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580" w:lineRule="exact"/>
        <w:rPr>
          <w:rFonts w:hint="eastAsia" w:ascii="Times New Roman" w:hAnsi="Times New Roman" w:eastAsia="仿宋_GB2312"/>
          <w:sz w:val="32"/>
          <w:szCs w:val="32"/>
        </w:rPr>
      </w:pPr>
      <w:r>
        <w:rPr>
          <w:rFonts w:hint="eastAsia" w:ascii="Times New Roman" w:hAnsi="Times New Roman" w:eastAsia="仿宋_GB2312"/>
          <w:sz w:val="32"/>
          <w:szCs w:val="32"/>
        </w:rPr>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firstLine="2249"/>
        <w:jc w:val="left"/>
        <w:spacing w:line="480" w:lineRule="auto"/>
        <w:rPr>
          <w:rFonts w:ascii="Arial" w:hAnsi="Arial" w:eastAsia="宋体" w:cs="Times New Roman"/>
          <w:b/>
          <w:bCs/>
          <w:color w:val="000000"/>
          <w:sz w:val="32"/>
          <w:szCs w:val="24"/>
        </w:rPr>
      </w:pPr>
      <w:r>
        <w:rPr>
          <w:rFonts w:ascii="Arial" w:hAnsi="Arial" w:eastAsia="宋体" w:cs="Times New Roman"/>
          <w:b/>
          <w:bCs/>
          <w:color w:val="000000"/>
          <w:sz w:val="32"/>
          <w:szCs w:val="24"/>
        </w:rPr>
      </w:r>
      <w:r/>
    </w:p>
    <w:p>
      <w:pPr>
        <w:ind w:left="210" w:firstLine="964"/>
        <w:spacing w:line="480" w:lineRule="auto"/>
        <w:rPr>
          <w:rFonts w:ascii="黑体" w:hAnsi="Arial" w:eastAsia="黑体" w:cs="Times New Roman"/>
          <w:b/>
          <w:color w:val="000000"/>
          <w:sz w:val="44"/>
          <w:szCs w:val="21"/>
        </w:rPr>
      </w:pPr>
      <w:r>
        <w:rPr>
          <w:rFonts w:hint="eastAsia" w:ascii="Arial" w:hAnsi="Arial" w:eastAsia="宋体" w:cs="Times New Roman"/>
          <w:b/>
          <w:bCs/>
          <w:color w:val="000000"/>
          <w:sz w:val="32"/>
          <w:szCs w:val="24"/>
        </w:rPr>
        <w:t xml:space="preserve">项目名称：</w:t>
      </w:r>
      <w:r>
        <w:rPr>
          <w:rFonts w:ascii="Arial" w:hAnsi="Arial" w:eastAsia="宋体" w:cs="Times New Roman"/>
          <w:b/>
          <w:bCs/>
          <w:color w:val="000000"/>
          <w:sz w:val="32"/>
          <w:szCs w:val="24"/>
        </w:rPr>
        <w:t xml:space="preserve">全市法院科技法庭升级改造项目（</w:t>
      </w:r>
      <w:r>
        <w:rPr>
          <w:rFonts w:hint="eastAsia" w:ascii="Arial" w:hAnsi="Arial" w:eastAsia="宋体" w:cs="Times New Roman"/>
          <w:b/>
          <w:bCs/>
          <w:color w:val="000000"/>
          <w:sz w:val="32"/>
          <w:szCs w:val="24"/>
        </w:rPr>
        <w:t xml:space="preserve">非专门面向中小企业</w:t>
      </w:r>
      <w:r>
        <w:rPr>
          <w:rFonts w:ascii="Arial" w:hAnsi="Arial" w:eastAsia="宋体" w:cs="Times New Roman"/>
          <w:b/>
          <w:bCs/>
          <w:color w:val="000000"/>
          <w:sz w:val="32"/>
          <w:szCs w:val="24"/>
        </w:rPr>
        <w:t xml:space="preserve">）</w:t>
      </w:r>
      <w:r/>
    </w:p>
    <w:p>
      <w:pPr>
        <w:ind w:firstLine="1285"/>
        <w:spacing w:line="480" w:lineRule="auto"/>
        <w:rPr>
          <w:rFonts w:ascii="黑体" w:hAnsi="Arial" w:eastAsia="黑体" w:cs="Times New Roman"/>
          <w:b/>
          <w:color w:val="000000"/>
          <w:sz w:val="44"/>
          <w:szCs w:val="21"/>
        </w:rPr>
      </w:pPr>
      <w:r>
        <w:rPr>
          <w:rFonts w:hint="eastAsia" w:ascii="Arial" w:hAnsi="Arial" w:eastAsia="宋体" w:cs="Times New Roman"/>
          <w:b/>
          <w:bCs/>
          <w:sz w:val="32"/>
          <w:szCs w:val="24"/>
        </w:rPr>
        <w:t xml:space="preserve">项目编号：JSZC-320700-JZCG-G2026-0111</w:t>
      </w:r>
      <w:r/>
    </w:p>
    <w:p>
      <w:pPr>
        <w:jc w:val="left"/>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line="480" w:lineRule="auto"/>
        <w:rPr>
          <w:rFonts w:ascii="黑体" w:hAnsi="Arial" w:eastAsia="黑体" w:cs="Times New Roman"/>
          <w:b/>
          <w:color w:val="000000"/>
          <w:sz w:val="44"/>
          <w:szCs w:val="21"/>
        </w:rPr>
      </w:pPr>
      <w:r>
        <w:rPr>
          <w:rFonts w:ascii="黑体" w:hAnsi="Arial" w:eastAsia="黑体" w:cs="Times New Roman"/>
          <w:b/>
          <w:color w:val="000000"/>
          <w:sz w:val="44"/>
          <w:szCs w:val="21"/>
        </w:rPr>
      </w:r>
      <w:r/>
    </w:p>
    <w:p>
      <w:pPr>
        <w:jc w:val="center"/>
        <w:spacing w:before="120" w:after="120" w:line="360" w:lineRule="auto"/>
        <w:rPr>
          <w:rFonts w:ascii="Arial" w:hAnsi="Arial" w:eastAsia="宋体" w:cs="Times New Roman"/>
          <w:b/>
          <w:bCs/>
          <w:color w:val="000000"/>
          <w:sz w:val="32"/>
          <w:szCs w:val="24"/>
        </w:rPr>
      </w:pPr>
      <w:r>
        <w:rPr>
          <w:rFonts w:hint="eastAsia" w:ascii="Arial" w:hAnsi="Arial" w:eastAsia="宋体" w:cs="Times New Roman"/>
          <w:b/>
          <w:bCs/>
          <w:color w:val="000000"/>
          <w:sz w:val="32"/>
          <w:szCs w:val="24"/>
        </w:rPr>
        <w:t xml:space="preserve">连云港市公共资源交易中心</w:t>
      </w:r>
      <w:r/>
    </w:p>
    <w:p>
      <w:pPr>
        <w:jc w:val="center"/>
        <w:spacing w:before="120" w:after="120" w:line="480" w:lineRule="auto"/>
        <w:rPr>
          <w:rFonts w:asciiTheme="minorEastAsia" w:hAnsiTheme="minorEastAsia"/>
          <w:sz w:val="24"/>
        </w:rPr>
      </w:pPr>
      <w:r>
        <w:rPr>
          <w:rFonts w:hint="eastAsia" w:ascii="Arial" w:hAnsi="Arial" w:eastAsia="宋体" w:cs="Times New Roman"/>
          <w:b/>
          <w:bCs/>
          <w:color w:val="000000"/>
          <w:sz w:val="32"/>
          <w:szCs w:val="24"/>
        </w:rPr>
        <w:t xml:space="preserve">2026年</w:t>
      </w:r>
      <w:r>
        <w:rPr>
          <w:rFonts w:ascii="Arial" w:hAnsi="Arial" w:eastAsia="宋体" w:cs="Times New Roman"/>
          <w:b/>
          <w:bCs/>
          <w:color w:val="000000"/>
          <w:sz w:val="32"/>
          <w:szCs w:val="24"/>
        </w:rPr>
        <w:t xml:space="preserve">9</w:t>
      </w:r>
      <w:r>
        <w:rPr>
          <w:rFonts w:hint="eastAsia" w:ascii="Arial" w:hAnsi="Arial" w:eastAsia="宋体" w:cs="Times New Roman"/>
          <w:b/>
          <w:bCs/>
          <w:color w:val="000000"/>
          <w:sz w:val="32"/>
          <w:szCs w:val="24"/>
        </w:rPr>
        <w:t xml:space="preserve">月</w:t>
      </w:r>
      <w:r>
        <w:br w:type="page" w:clear="all"/>
      </w:r>
      <w:r>
        <w:rPr>
          <w:rFonts w:asciiTheme="minorEastAsia" w:hAnsiTheme="minorEastAsia"/>
          <w:sz w:val="24"/>
        </w:rPr>
        <w:fldChar w:fldCharType="begin"/>
      </w:r>
      <w:r>
        <w:rPr>
          <w:rFonts w:asciiTheme="minorEastAsia" w:hAnsiTheme="minorEastAsia"/>
          <w:sz w:val="24"/>
        </w:rPr>
        <w:instrText xml:space="preserve"> TOC \o "1-1" \u </w:instrText>
      </w:r>
      <w:r>
        <w:rPr>
          <w:rFonts w:asciiTheme="minorEastAsia" w:hAnsiTheme="minorEastAsia"/>
          <w:sz w:val="24"/>
        </w:rPr>
        <w:fldChar w:fldCharType="separate"/>
      </w:r>
      <w:r/>
    </w:p>
    <w:p>
      <w:pPr>
        <w:pStyle w:val="744"/>
        <w:rPr>
          <w:b w:val="0"/>
        </w:rPr>
      </w:pPr>
      <w:r>
        <w:rPr>
          <w:rFonts w:hint="eastAsia"/>
          <w:b w:val="0"/>
        </w:rPr>
        <w:t xml:space="preserve">目  录</w:t>
      </w:r>
      <w:r/>
    </w:p>
    <w:p>
      <w:pPr>
        <w:pStyle w:val="744"/>
      </w:pPr>
      <w:r/>
      <w:r/>
    </w:p>
    <w:p>
      <w:pPr>
        <w:pStyle w:val="744"/>
        <w:rPr>
          <w:b w:val="0"/>
          <w:sz w:val="32"/>
        </w:rPr>
      </w:pPr>
      <w:r>
        <w:rPr>
          <w:rFonts w:hint="eastAsia"/>
          <w:b w:val="0"/>
          <w:sz w:val="32"/>
        </w:rPr>
        <w:t xml:space="preserve">第一章投标邀请.....................................................................</w:t>
      </w:r>
      <w:r>
        <w:rPr>
          <w:b w:val="0"/>
          <w:sz w:val="32"/>
        </w:rPr>
        <w:fldChar w:fldCharType="begin"/>
      </w:r>
      <w:r>
        <w:rPr>
          <w:b w:val="0"/>
          <w:sz w:val="32"/>
        </w:rPr>
        <w:instrText xml:space="preserve"> PAGEREF _Toc163482573 \h </w:instrText>
      </w:r>
      <w:r>
        <w:rPr>
          <w:b w:val="0"/>
          <w:sz w:val="32"/>
        </w:rPr>
        <w:fldChar w:fldCharType="separate"/>
      </w:r>
      <w:r>
        <w:rPr>
          <w:b w:val="0"/>
          <w:sz w:val="32"/>
        </w:rPr>
        <w:t xml:space="preserve">1</w:t>
      </w:r>
      <w:r>
        <w:rPr>
          <w:b w:val="0"/>
          <w:sz w:val="32"/>
        </w:rPr>
        <w:fldChar w:fldCharType="end"/>
      </w:r>
      <w:r/>
    </w:p>
    <w:p>
      <w:pPr>
        <w:pStyle w:val="744"/>
        <w:rPr>
          <w:b w:val="0"/>
          <w:sz w:val="32"/>
        </w:rPr>
      </w:pPr>
      <w:r>
        <w:rPr>
          <w:rFonts w:hint="eastAsia"/>
          <w:b w:val="0"/>
          <w:sz w:val="32"/>
        </w:rPr>
        <w:t xml:space="preserve">第二章投标人须知.................................................................</w:t>
      </w:r>
      <w:r>
        <w:rPr>
          <w:b w:val="0"/>
          <w:sz w:val="32"/>
        </w:rPr>
        <w:fldChar w:fldCharType="begin"/>
      </w:r>
      <w:r>
        <w:rPr>
          <w:b w:val="0"/>
          <w:sz w:val="32"/>
        </w:rPr>
        <w:instrText xml:space="preserve"> PAGEREF _Toc163482574 \h </w:instrText>
      </w:r>
      <w:r>
        <w:rPr>
          <w:b w:val="0"/>
          <w:sz w:val="32"/>
        </w:rPr>
        <w:fldChar w:fldCharType="separate"/>
      </w:r>
      <w:r>
        <w:rPr>
          <w:b w:val="0"/>
          <w:sz w:val="32"/>
        </w:rPr>
        <w:t xml:space="preserve">5</w:t>
      </w:r>
      <w:r>
        <w:rPr>
          <w:b w:val="0"/>
          <w:sz w:val="32"/>
        </w:rPr>
        <w:fldChar w:fldCharType="end"/>
      </w:r>
      <w:r/>
    </w:p>
    <w:p>
      <w:pPr>
        <w:pStyle w:val="744"/>
        <w:rPr>
          <w:b w:val="0"/>
          <w:sz w:val="32"/>
        </w:rPr>
      </w:pPr>
      <w:r>
        <w:rPr>
          <w:rFonts w:hint="eastAsia"/>
          <w:b w:val="0"/>
          <w:sz w:val="32"/>
        </w:rPr>
        <w:t xml:space="preserve">第三章合同文本...................................................................</w:t>
      </w:r>
      <w:r>
        <w:rPr>
          <w:b w:val="0"/>
          <w:sz w:val="32"/>
        </w:rPr>
        <w:fldChar w:fldCharType="begin"/>
      </w:r>
      <w:r>
        <w:rPr>
          <w:b w:val="0"/>
          <w:sz w:val="32"/>
        </w:rPr>
        <w:instrText xml:space="preserve"> PAGEREF _Toc163482575 \h </w:instrText>
      </w:r>
      <w:r>
        <w:rPr>
          <w:b w:val="0"/>
          <w:sz w:val="32"/>
        </w:rPr>
        <w:fldChar w:fldCharType="separate"/>
      </w:r>
      <w:r>
        <w:rPr>
          <w:b w:val="0"/>
          <w:sz w:val="32"/>
        </w:rPr>
        <w:t xml:space="preserve">20</w:t>
      </w:r>
      <w:r>
        <w:rPr>
          <w:b w:val="0"/>
          <w:sz w:val="32"/>
        </w:rPr>
        <w:fldChar w:fldCharType="end"/>
      </w:r>
      <w:r/>
    </w:p>
    <w:p>
      <w:pPr>
        <w:pStyle w:val="744"/>
        <w:rPr>
          <w:b w:val="0"/>
          <w:sz w:val="32"/>
        </w:rPr>
      </w:pPr>
      <w:r>
        <w:rPr>
          <w:rFonts w:hint="eastAsia"/>
          <w:b w:val="0"/>
          <w:sz w:val="32"/>
        </w:rPr>
        <w:t xml:space="preserve">第四章采购需求...................................................................</w:t>
      </w:r>
      <w:r>
        <w:rPr>
          <w:b w:val="0"/>
          <w:sz w:val="32"/>
        </w:rPr>
        <w:fldChar w:fldCharType="begin"/>
      </w:r>
      <w:r>
        <w:rPr>
          <w:b w:val="0"/>
          <w:sz w:val="32"/>
        </w:rPr>
        <w:instrText xml:space="preserve"> PAGEREF _Toc163482576 \h </w:instrText>
      </w:r>
      <w:r>
        <w:rPr>
          <w:b w:val="0"/>
          <w:sz w:val="32"/>
        </w:rPr>
        <w:fldChar w:fldCharType="separate"/>
      </w:r>
      <w:r>
        <w:rPr>
          <w:b w:val="0"/>
          <w:sz w:val="32"/>
        </w:rPr>
        <w:t xml:space="preserve">26</w:t>
      </w:r>
      <w:r>
        <w:rPr>
          <w:b w:val="0"/>
          <w:sz w:val="32"/>
        </w:rPr>
        <w:fldChar w:fldCharType="end"/>
      </w:r>
      <w:r/>
    </w:p>
    <w:p>
      <w:pPr>
        <w:pStyle w:val="744"/>
        <w:rPr>
          <w:b w:val="0"/>
          <w:sz w:val="32"/>
        </w:rPr>
      </w:pPr>
      <w:r>
        <w:rPr>
          <w:rFonts w:hint="eastAsia"/>
          <w:b w:val="0"/>
          <w:sz w:val="32"/>
        </w:rPr>
        <w:t xml:space="preserve">第五章评标方法与评标标准...............................................</w:t>
      </w:r>
      <w:r>
        <w:rPr>
          <w:b w:val="0"/>
          <w:sz w:val="32"/>
        </w:rPr>
        <w:fldChar w:fldCharType="begin"/>
      </w:r>
      <w:r>
        <w:rPr>
          <w:b w:val="0"/>
          <w:sz w:val="32"/>
        </w:rPr>
        <w:instrText xml:space="preserve"> PAGEREF _Toc163482577 \h </w:instrText>
      </w:r>
      <w:r>
        <w:rPr>
          <w:b w:val="0"/>
          <w:sz w:val="32"/>
        </w:rPr>
        <w:fldChar w:fldCharType="separate"/>
      </w:r>
      <w:r>
        <w:rPr>
          <w:b w:val="0"/>
          <w:sz w:val="32"/>
        </w:rPr>
        <w:t xml:space="preserve">31</w:t>
      </w:r>
      <w:r>
        <w:rPr>
          <w:b w:val="0"/>
          <w:sz w:val="32"/>
        </w:rPr>
        <w:fldChar w:fldCharType="end"/>
      </w:r>
      <w:r/>
    </w:p>
    <w:p>
      <w:pPr>
        <w:pStyle w:val="744"/>
        <w:rPr>
          <w:b w:val="0"/>
          <w:sz w:val="32"/>
        </w:rPr>
      </w:pPr>
      <w:r>
        <w:rPr>
          <w:rFonts w:hint="eastAsia"/>
          <w:b w:val="0"/>
          <w:sz w:val="32"/>
        </w:rPr>
        <w:t xml:space="preserve">第六章投标文件格式...........................................................</w:t>
      </w:r>
      <w:r>
        <w:rPr>
          <w:b w:val="0"/>
          <w:sz w:val="32"/>
        </w:rPr>
        <w:fldChar w:fldCharType="begin"/>
      </w:r>
      <w:r>
        <w:rPr>
          <w:b w:val="0"/>
          <w:sz w:val="32"/>
        </w:rPr>
        <w:instrText xml:space="preserve"> PAGEREF _Toc163482578 \h </w:instrText>
      </w:r>
      <w:r>
        <w:rPr>
          <w:b w:val="0"/>
          <w:sz w:val="32"/>
        </w:rPr>
        <w:fldChar w:fldCharType="separate"/>
      </w:r>
      <w:r>
        <w:rPr>
          <w:b w:val="0"/>
          <w:sz w:val="32"/>
        </w:rPr>
        <w:t xml:space="preserve">33</w:t>
      </w:r>
      <w:r>
        <w:rPr>
          <w:b w:val="0"/>
          <w:sz w:val="32"/>
        </w:rPr>
        <w:fldChar w:fldCharType="end"/>
      </w:r>
      <w:r/>
    </w:p>
    <w:p>
      <w:pPr>
        <w:jc w:val="left"/>
        <w:spacing w:line="480" w:lineRule="auto"/>
        <w:widowControl/>
        <w:rPr>
          <w:rFonts w:asciiTheme="minorEastAsia" w:hAnsiTheme="minorEastAsia"/>
          <w:sz w:val="24"/>
        </w:rPr>
      </w:pPr>
      <w:r>
        <w:rPr>
          <w:rFonts w:asciiTheme="minorEastAsia" w:hAnsiTheme="minorEastAsia"/>
          <w:sz w:val="24"/>
        </w:rPr>
        <w:fldChar w:fldCharType="end"/>
      </w:r>
      <w:r>
        <w:rPr>
          <w:rFonts w:asciiTheme="minorEastAsia" w:hAnsiTheme="minorEastAsia"/>
          <w:sz w:val="24"/>
        </w:rPr>
        <w:br w:type="page" w:clear="all"/>
      </w:r>
      <w:r/>
    </w:p>
    <w:p>
      <w:pPr>
        <w:pStyle w:val="720"/>
        <w:jc w:val="center"/>
        <w:spacing w:before="156" w:after="156" w:line="360" w:lineRule="auto"/>
        <w:rPr>
          <w:rFonts w:ascii="黑体" w:hAnsi="黑体" w:eastAsia="黑体"/>
          <w:b w:val="0"/>
        </w:rPr>
        <w:sectPr>
          <w:footerReference w:type="default" r:id="rId9"/>
          <w:footnotePr/>
          <w:endnotePr/>
          <w:type w:val="nextPage"/>
          <w:pgSz w:w="11906" w:h="16838" w:orient="portrait"/>
          <w:pgMar w:top="1928" w:right="1474" w:bottom="1814" w:left="1588" w:header="851" w:footer="992" w:gutter="0"/>
          <w:cols w:num="1" w:sep="0" w:space="425" w:equalWidth="1"/>
          <w:docGrid w:linePitch="360"/>
        </w:sectPr>
      </w:pPr>
      <w:r>
        <w:rPr>
          <w:rFonts w:ascii="黑体" w:hAnsi="黑体" w:eastAsia="黑体"/>
          <w:b w:val="0"/>
        </w:rPr>
      </w:r>
      <w:r/>
    </w:p>
    <w:p>
      <w:pPr>
        <w:pStyle w:val="720"/>
        <w:jc w:val="center"/>
        <w:spacing w:before="156" w:after="156" w:line="360" w:lineRule="auto"/>
        <w:rPr>
          <w:rFonts w:ascii="黑体" w:hAnsi="黑体" w:eastAsia="黑体"/>
          <w:b w:val="0"/>
        </w:rPr>
      </w:pPr>
      <w:r/>
      <w:bookmarkStart w:id="0" w:name="_Toc163482573"/>
      <w:r>
        <w:rPr>
          <w:rFonts w:hint="eastAsia" w:ascii="黑体" w:hAnsi="黑体" w:eastAsia="黑体"/>
          <w:b w:val="0"/>
        </w:rPr>
        <w:t xml:space="preserve">第一章  投标邀请</w:t>
      </w:r>
      <w:bookmarkEnd w:id="0"/>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受江苏省连云港市中级人民法院的委托，连云港市公共资源交易中心就</w:t>
      </w:r>
      <w:r>
        <w:rPr>
          <w:rFonts w:asciiTheme="minorEastAsia" w:hAnsiTheme="minorEastAsia"/>
          <w:sz w:val="24"/>
          <w:szCs w:val="24"/>
        </w:rPr>
        <w:t xml:space="preserve">全市法院科技法庭升级改造项目</w:t>
      </w:r>
      <w:r>
        <w:rPr>
          <w:rFonts w:hint="eastAsia" w:asciiTheme="minorEastAsia" w:hAnsiTheme="minorEastAsia"/>
          <w:sz w:val="24"/>
          <w:szCs w:val="24"/>
        </w:rPr>
        <w:t xml:space="preserve">（非专门面向中小企业）</w:t>
      </w:r>
      <w:r>
        <w:rPr>
          <w:rFonts w:hint="eastAsia" w:asciiTheme="minorEastAsia" w:hAnsiTheme="minorEastAsia"/>
          <w:b/>
          <w:bCs/>
          <w:sz w:val="24"/>
          <w:szCs w:val="24"/>
        </w:rPr>
        <w:t xml:space="preserve">（</w:t>
      </w:r>
      <w:r>
        <w:rPr>
          <w:rFonts w:hint="eastAsia" w:asciiTheme="minorEastAsia" w:hAnsiTheme="minorEastAsia"/>
          <w:sz w:val="24"/>
          <w:szCs w:val="24"/>
        </w:rPr>
        <w:t xml:space="preserve">项目编号JSZC-320700-JZCG-G2026-0111）项目进行公开招标采购，欢迎符合条件的供应商投标。</w:t>
      </w:r>
      <w:r/>
    </w:p>
    <w:tbl>
      <w:tblPr>
        <w:tblStyle w:val="755"/>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1"/>
      </w:tblGrid>
      <w:tr>
        <w:trPr/>
        <w:tc>
          <w:tcPr>
            <w:tcW w:w="8271" w:type="dxa"/>
            <w:textDirection w:val="lrTb"/>
            <w:noWrap w:val="false"/>
          </w:tcPr>
          <w:p>
            <w:pPr>
              <w:spacing w:line="500" w:lineRule="exact"/>
              <w:rPr>
                <w:rFonts w:asciiTheme="minorEastAsia" w:hAnsiTheme="minorEastAsia"/>
                <w:sz w:val="24"/>
                <w:szCs w:val="24"/>
              </w:rPr>
            </w:pPr>
            <w:r>
              <w:rPr>
                <w:rFonts w:hint="eastAsia" w:asciiTheme="minorEastAsia" w:hAnsiTheme="minorEastAsia"/>
                <w:sz w:val="24"/>
                <w:szCs w:val="24"/>
              </w:rPr>
              <w:t xml:space="preserve">项目概况</w:t>
            </w:r>
            <w:r/>
          </w:p>
          <w:p>
            <w:pPr>
              <w:spacing w:line="500" w:lineRule="exact"/>
              <w:rPr>
                <w:rFonts w:asciiTheme="minorEastAsia" w:hAnsiTheme="minorEastAsia"/>
                <w:sz w:val="24"/>
                <w:szCs w:val="24"/>
              </w:rPr>
            </w:pPr>
            <w:r>
              <w:rPr>
                <w:rFonts w:hint="eastAsia" w:asciiTheme="minorEastAsia" w:hAnsiTheme="minorEastAsia"/>
                <w:b/>
                <w:bCs/>
                <w:sz w:val="24"/>
                <w:szCs w:val="24"/>
              </w:rPr>
              <w:t xml:space="preserve">全市</w:t>
            </w:r>
            <w:r>
              <w:rPr>
                <w:rFonts w:asciiTheme="minorEastAsia" w:hAnsiTheme="minorEastAsia"/>
                <w:b/>
                <w:bCs/>
                <w:sz w:val="24"/>
                <w:szCs w:val="24"/>
              </w:rPr>
              <w:t xml:space="preserve">法院科技法庭升级改造项目</w:t>
            </w:r>
            <w:r>
              <w:rPr>
                <w:rFonts w:hint="eastAsia" w:asciiTheme="minorEastAsia" w:hAnsiTheme="minorEastAsia"/>
                <w:b/>
                <w:bCs/>
                <w:sz w:val="24"/>
                <w:szCs w:val="24"/>
              </w:rPr>
              <w:t xml:space="preserve">（非专门面向中小企业）</w:t>
            </w:r>
            <w:r>
              <w:rPr>
                <w:rFonts w:hint="eastAsia" w:asciiTheme="minorEastAsia" w:hAnsiTheme="minorEastAsia"/>
                <w:sz w:val="24"/>
                <w:szCs w:val="24"/>
              </w:rPr>
              <w:t xml:space="preserve">招标项目的潜在投标人应在</w:t>
            </w:r>
            <w:r>
              <w:rPr>
                <w:rFonts w:hint="eastAsia" w:asciiTheme="minorEastAsia" w:hAnsiTheme="minorEastAsia"/>
                <w:b/>
                <w:sz w:val="24"/>
                <w:szCs w:val="24"/>
                <w:u w:val="single"/>
              </w:rPr>
              <w:t xml:space="preserve">江苏政府采购网</w:t>
            </w:r>
            <w:r>
              <w:rPr>
                <w:rFonts w:hint="eastAsia" w:asciiTheme="minorEastAsia" w:hAnsiTheme="minorEastAsia"/>
                <w:sz w:val="24"/>
                <w:szCs w:val="24"/>
              </w:rPr>
              <w:t xml:space="preserve">自行免费下载招标文件，并于</w:t>
            </w:r>
            <w:r>
              <w:rPr>
                <w:rFonts w:hint="eastAsia" w:asciiTheme="minorEastAsia" w:hAnsiTheme="minorEastAsia"/>
                <w:b/>
                <w:sz w:val="24"/>
                <w:szCs w:val="24"/>
                <w:u w:val="single"/>
              </w:rPr>
              <w:t xml:space="preserve">2026年</w:t>
            </w:r>
            <w:r>
              <w:rPr>
                <w:rFonts w:hint="eastAsia" w:asciiTheme="minorEastAsia" w:hAnsiTheme="minorEastAsia"/>
                <w:b/>
                <w:sz w:val="24"/>
                <w:szCs w:val="24"/>
                <w:u w:val="single"/>
                <w:lang w:val="en-US" w:eastAsia="zh-CN"/>
              </w:rPr>
              <w:t xml:space="preserve">10</w:t>
            </w:r>
            <w:r>
              <w:rPr>
                <w:rFonts w:hint="eastAsia" w:asciiTheme="minorEastAsia" w:hAnsiTheme="minorEastAsia"/>
                <w:b/>
                <w:sz w:val="24"/>
                <w:szCs w:val="24"/>
                <w:u w:val="single"/>
              </w:rPr>
              <w:t xml:space="preserve">月</w:t>
            </w:r>
            <w:r>
              <w:rPr>
                <w:rFonts w:hint="eastAsia" w:asciiTheme="minorEastAsia" w:hAnsiTheme="minorEastAsia"/>
                <w:b/>
                <w:sz w:val="24"/>
                <w:szCs w:val="24"/>
                <w:u w:val="single"/>
                <w:lang w:val="en-US" w:eastAsia="zh-CN"/>
              </w:rPr>
              <w:t xml:space="preserve">20</w:t>
            </w:r>
            <w:r>
              <w:rPr>
                <w:rFonts w:hint="eastAsia" w:asciiTheme="minorEastAsia" w:hAnsiTheme="minorEastAsia"/>
                <w:b/>
                <w:sz w:val="24"/>
                <w:szCs w:val="24"/>
                <w:u w:val="single"/>
              </w:rPr>
              <w:t xml:space="preserve">日</w:t>
            </w:r>
            <w:r>
              <w:rPr>
                <w:rFonts w:asciiTheme="minorEastAsia" w:hAnsiTheme="minorEastAsia"/>
                <w:b/>
                <w:sz w:val="24"/>
                <w:szCs w:val="24"/>
                <w:u w:val="single"/>
              </w:rPr>
              <w:t xml:space="preserve">09</w:t>
            </w:r>
            <w:r>
              <w:rPr>
                <w:rFonts w:hint="eastAsia" w:asciiTheme="minorEastAsia" w:hAnsiTheme="minorEastAsia"/>
                <w:b/>
                <w:sz w:val="24"/>
                <w:szCs w:val="24"/>
                <w:u w:val="single"/>
              </w:rPr>
              <w:t xml:space="preserve">:</w:t>
            </w:r>
            <w:r>
              <w:rPr>
                <w:rFonts w:asciiTheme="minorEastAsia" w:hAnsiTheme="minorEastAsia"/>
                <w:b/>
                <w:sz w:val="24"/>
                <w:szCs w:val="24"/>
                <w:u w:val="single"/>
              </w:rPr>
              <w:t xml:space="preserve">0</w:t>
            </w:r>
            <w:r>
              <w:rPr>
                <w:rFonts w:hint="eastAsia" w:asciiTheme="minorEastAsia" w:hAnsiTheme="minorEastAsia"/>
                <w:b/>
                <w:sz w:val="24"/>
                <w:szCs w:val="24"/>
                <w:u w:val="single"/>
              </w:rPr>
              <w:t xml:space="preserve">0:00</w:t>
            </w:r>
            <w:r>
              <w:rPr>
                <w:rFonts w:hint="eastAsia" w:asciiTheme="minorEastAsia" w:hAnsiTheme="minorEastAsia"/>
                <w:sz w:val="24"/>
                <w:szCs w:val="24"/>
                <w:u w:val="single"/>
              </w:rPr>
              <w:t xml:space="preserve">（北京时间）</w:t>
            </w:r>
            <w:r>
              <w:rPr>
                <w:rFonts w:hint="eastAsia" w:asciiTheme="minorEastAsia" w:hAnsiTheme="minorEastAsia"/>
                <w:sz w:val="24"/>
                <w:szCs w:val="24"/>
              </w:rPr>
              <w:t xml:space="preserve">前递交（上传）投标文件。</w:t>
            </w:r>
            <w:r/>
          </w:p>
        </w:tc>
      </w:tr>
    </w:tbl>
    <w:p>
      <w:pPr>
        <w:pStyle w:val="72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一、项目基本情况</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项目编号：JSZC-320700-JZCG-G2026-0111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项目名称：全市</w:t>
      </w:r>
      <w:r>
        <w:rPr>
          <w:rFonts w:asciiTheme="minorEastAsia" w:hAnsiTheme="minorEastAsia"/>
          <w:sz w:val="24"/>
          <w:szCs w:val="24"/>
        </w:rPr>
        <w:t xml:space="preserve">法院科技法庭升级改造项目</w:t>
      </w:r>
      <w:r>
        <w:rPr>
          <w:rFonts w:hint="eastAsia" w:asciiTheme="minorEastAsia" w:hAnsiTheme="minorEastAsia"/>
          <w:sz w:val="24"/>
          <w:szCs w:val="24"/>
        </w:rPr>
        <w:t xml:space="preserve">（非专门面向中小企业）</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采购方式：公开招标</w:t>
      </w:r>
      <w:r/>
    </w:p>
    <w:p>
      <w:pPr>
        <w:ind w:firstLine="480"/>
        <w:spacing w:line="500" w:lineRule="exact"/>
        <w:rPr>
          <w:rFonts w:cs="Times New Roman" w:asciiTheme="minorEastAsia" w:hAnsiTheme="minorEastAsia"/>
          <w:color w:val="000000"/>
          <w:sz w:val="24"/>
          <w:szCs w:val="24"/>
        </w:rPr>
      </w:pPr>
      <w:r>
        <w:rPr>
          <w:rFonts w:hint="eastAsia" w:asciiTheme="minorEastAsia" w:hAnsiTheme="minorEastAsia"/>
          <w:sz w:val="24"/>
          <w:szCs w:val="24"/>
        </w:rPr>
        <w:t xml:space="preserve">预算金额：人民币</w:t>
      </w:r>
      <w:r>
        <w:rPr>
          <w:rFonts w:asciiTheme="minorEastAsia" w:hAnsiTheme="minorEastAsia"/>
          <w:sz w:val="24"/>
          <w:szCs w:val="24"/>
        </w:rPr>
        <w:t xml:space="preserve">187.63</w:t>
      </w:r>
      <w:r>
        <w:rPr>
          <w:rFonts w:hint="eastAsia" w:asciiTheme="minorEastAsia" w:hAnsiTheme="minorEastAsia"/>
          <w:sz w:val="24"/>
          <w:szCs w:val="24"/>
        </w:rPr>
        <w:t xml:space="preserve">万元</w:t>
      </w:r>
      <w:r>
        <w:rPr>
          <w:rFonts w:hint="eastAsia" w:cs="Times New Roman" w:asciiTheme="minorEastAsia" w:hAnsiTheme="minorEastAsia"/>
          <w:color w:val="000000"/>
          <w:sz w:val="24"/>
          <w:szCs w:val="24"/>
        </w:rPr>
        <w:t xml:space="preserve">。</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最高限价：无</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采购需求：本项目为全市法院科技法庭升级改造项目，主要包括中院庭审系统（内网端、外网端）、灌南法院庭审系统、东海法院庭审系统、灌云法院庭审系统、开发区法院庭审系统等的软硬件设备采购、安装、调试及系统集成。具体建设内容为科技法庭应用系统升级改造，包括操作系统、庭审应用系统、视频支撑平台。科技法庭应用支撑硬件升级改造，包括应用服务器、流媒体服</w:t>
      </w:r>
      <w:r>
        <w:rPr>
          <w:rFonts w:hint="eastAsia" w:asciiTheme="minorEastAsia" w:hAnsiTheme="minorEastAsia"/>
          <w:sz w:val="24"/>
          <w:szCs w:val="24"/>
        </w:rPr>
        <w:t xml:space="preserve">务器。科技法庭应用系统从基础架构、UI设计、操作体验、系统流程全面契合“一张网”的设计规范，根据“一张网”提供的数据接口的能力，融入全新的交互理念，达到“效能最大化”的目的。在科技法庭的建设上，采用更加轻量化、智能化、智慧化的设备，从音视频采集、人机交互、显示与扩声等设备利用基于网络和标准协议的智能设备，保证了开庭过程的流畅、稳定，同时设备高度集成和高度智能，也减少了在法庭内的辅助设备的投入，可以让所有法院享受到同等同质的售后服务，同一套架构，同一个系统，有效降低偏远法院因为各类原因导致的技术服务弱的问题。</w:t>
      </w:r>
      <w:r/>
    </w:p>
    <w:p>
      <w:pPr>
        <w:ind w:firstLine="482"/>
        <w:spacing w:line="500" w:lineRule="exact"/>
        <w:rPr>
          <w:rFonts w:asciiTheme="minorEastAsia" w:hAnsiTheme="minorEastAsia"/>
          <w:sz w:val="24"/>
          <w:szCs w:val="24"/>
        </w:rPr>
      </w:pPr>
      <w:r>
        <w:rPr>
          <w:rFonts w:hint="eastAsia" w:asciiTheme="minorEastAsia" w:hAnsiTheme="minorEastAsia"/>
          <w:b/>
          <w:sz w:val="24"/>
          <w:szCs w:val="24"/>
        </w:rPr>
        <w:t xml:space="preserve">对本项目资格要求、采购需求、评标方法与评标标准等部分的询问、质疑请与采购人联系，由采购人负责答复。</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合同履行期限：硬件设备自合同签订之日起15日内完成备货，30日内完成供货；软硬件安装调试自合同签订之日起60日内完成，达到交付条件。</w:t>
      </w:r>
      <w:r/>
    </w:p>
    <w:p>
      <w:pPr>
        <w:ind w:firstLine="480"/>
        <w:spacing w:line="500" w:lineRule="exact"/>
        <w:rPr>
          <w:rFonts w:cs="Times New Roman" w:asciiTheme="minorEastAsia" w:hAnsiTheme="minorEastAsia"/>
          <w:sz w:val="24"/>
          <w:szCs w:val="24"/>
        </w:rPr>
      </w:pPr>
      <w:r>
        <w:rPr>
          <w:rFonts w:hint="eastAsia" w:cs="Times New Roman" w:asciiTheme="minorEastAsia" w:hAnsiTheme="minorEastAsia"/>
          <w:sz w:val="24"/>
          <w:szCs w:val="24"/>
        </w:rPr>
        <w:t xml:space="preserve">本项目不接受进口产品（进口产品是指通过中国海关报关验放进入中国境内且产自关境外的产品）投标，中标后不允许分包或转包。</w:t>
      </w:r>
      <w:r/>
    </w:p>
    <w:p>
      <w:pPr>
        <w:pStyle w:val="72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二、申请人的资格要求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（一）满足《中华人民共和国政府采购法》第二十二条规定，并提供下列材料：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1.法人或者其他组织的营业执照等证明文件，自然人的身份证明；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2.上一年度的财务状况报告（成立不满一年无需提供）；</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4.具备履行合同所必需的设备和专业技术能力的声明及证明材料；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5.参加政府采购活动前3年内在经营活动中没有重大违法记录的书面声明。</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6.法律、行政法规规定的其他条件。（如有，请按要求提供）</w:t>
      </w:r>
      <w:r/>
    </w:p>
    <w:p>
      <w:pPr>
        <w:ind w:firstLine="480"/>
        <w:jc w:val="left"/>
        <w:spacing w:line="500" w:lineRule="exact"/>
        <w:rPr>
          <w:rFonts w:asciiTheme="minorEastAsia" w:hAnsiTheme="minorEastAsia"/>
          <w:sz w:val="24"/>
          <w:szCs w:val="24"/>
        </w:rPr>
      </w:pPr>
      <w:r>
        <w:rPr>
          <w:rFonts w:hint="eastAsia" w:cs="Times New Roman" w:asciiTheme="minorEastAsia" w:hAnsiTheme="minorEastAsia"/>
          <w:sz w:val="24"/>
          <w:szCs w:val="24"/>
        </w:rPr>
        <w:t xml:space="preserve">7.资格审查现场查询信用中国网</w:t>
      </w:r>
      <w:r>
        <w:rPr>
          <w:rFonts w:hint="eastAsia" w:asciiTheme="minorEastAsia" w:hAnsiTheme="minorEastAsia"/>
          <w:sz w:val="24"/>
          <w:szCs w:val="24"/>
        </w:rPr>
        <w:t xml:space="preserve">，投标人被</w:t>
      </w:r>
      <w:r>
        <w:rPr>
          <w:rFonts w:hint="eastAsia" w:cs="Times New Roman" w:asciiTheme="minorEastAsia" w:hAnsiTheme="minorEastAsia"/>
          <w:sz w:val="24"/>
          <w:szCs w:val="24"/>
        </w:rPr>
        <w:t xml:space="preserve">列入失信被执行人、</w:t>
      </w:r>
      <w:r>
        <w:rPr>
          <w:rFonts w:cs="Times New Roman" w:asciiTheme="minorEastAsia" w:hAnsiTheme="minorEastAsia"/>
          <w:sz w:val="24"/>
          <w:szCs w:val="24"/>
        </w:rPr>
        <w:t xml:space="preserve">税收违法黑名单</w:t>
      </w:r>
      <w:r>
        <w:rPr>
          <w:rFonts w:hint="eastAsia" w:cs="Times New Roman" w:asciiTheme="minorEastAsia" w:hAnsiTheme="minorEastAsia"/>
          <w:sz w:val="24"/>
          <w:szCs w:val="24"/>
        </w:rPr>
        <w:t xml:space="preserve">、政府采购严重违法失信行为记录名单</w:t>
      </w:r>
      <w:r>
        <w:rPr>
          <w:rFonts w:hint="eastAsia" w:asciiTheme="minorEastAsia" w:hAnsiTheme="minorEastAsia"/>
          <w:sz w:val="24"/>
          <w:szCs w:val="24"/>
        </w:rPr>
        <w:t xml:space="preserve">及具有其他不符合《中华人民共和国政府采购法》第二十二条规定情形</w:t>
      </w:r>
      <w:r>
        <w:rPr>
          <w:rFonts w:hint="eastAsia" w:cs="Times New Roman" w:asciiTheme="minorEastAsia" w:hAnsiTheme="minorEastAsia"/>
          <w:sz w:val="24"/>
          <w:szCs w:val="24"/>
        </w:rPr>
        <w:t xml:space="preserve">的，拒绝其参与政府采购活动。</w:t>
      </w:r>
      <w:r>
        <w:rPr>
          <w:rFonts w:hint="eastAsia" w:asciiTheme="minorEastAsia" w:hAnsiTheme="minorEastAsia"/>
          <w:sz w:val="24"/>
          <w:szCs w:val="24"/>
        </w:rPr>
        <w:t xml:space="preserve">（投标文件中无需提供证明材料）</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（二）落实政府采购政策需满足的资格要求：无。</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（三）本项目的特定资格要求：无。</w:t>
      </w:r>
      <w:r/>
    </w:p>
    <w:p>
      <w:pPr>
        <w:pStyle w:val="72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三、获取招标文件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时间：自招标公告发布之日起至2026年</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14</w:t>
      </w:r>
      <w:r>
        <w:rPr>
          <w:rFonts w:hint="eastAsia" w:asciiTheme="minorEastAsia" w:hAnsiTheme="minorEastAsia"/>
          <w:sz w:val="24"/>
          <w:szCs w:val="24"/>
          <w:highlight w:val="none"/>
        </w:rPr>
        <w:t xml:space="preserve">日（北京时间）</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地点：在“江苏政府采购网”自行免费下载招标文件</w:t>
      </w:r>
      <w:r/>
    </w:p>
    <w:p>
      <w:pPr>
        <w:ind w:firstLine="480"/>
        <w:jc w:val="left"/>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方式：投标人办理江苏省政府采购交易系统CA数字证书，登录“苏采云”政府采购交易系统，自行下载。</w:t>
      </w:r>
      <w:r/>
    </w:p>
    <w:p>
      <w:pPr>
        <w:pStyle w:val="721"/>
        <w:spacing w:before="0" w:after="0" w:line="500" w:lineRule="exact"/>
        <w:rPr>
          <w:rFonts w:asciiTheme="minorEastAsia" w:hAnsiTheme="minorEastAsia" w:eastAsiaTheme="minorEastAsia" w:cstheme="minorBidi"/>
          <w:bCs w:val="0"/>
          <w:szCs w:val="22"/>
          <w:highlight w:val="none"/>
        </w:rPr>
      </w:pPr>
      <w:r>
        <w:rPr>
          <w:rFonts w:hint="eastAsia" w:asciiTheme="minorEastAsia" w:hAnsiTheme="minorEastAsia" w:eastAsiaTheme="minorEastAsia" w:cstheme="minorBidi"/>
          <w:bCs w:val="0"/>
          <w:szCs w:val="22"/>
          <w:highlight w:val="none"/>
        </w:rPr>
        <w:t xml:space="preserve">四、提交投标文件截止时间、开标时间和地点</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提交投标文件截止时间：2026年</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20</w:t>
      </w:r>
      <w:r>
        <w:rPr>
          <w:rFonts w:hint="eastAsia" w:asciiTheme="minorEastAsia" w:hAnsiTheme="minorEastAsia"/>
          <w:sz w:val="24"/>
          <w:szCs w:val="24"/>
          <w:highlight w:val="none"/>
        </w:rPr>
        <w:t xml:space="preserve">日9:00:00（北京时间）</w:t>
      </w:r>
      <w:r/>
    </w:p>
    <w:p>
      <w:pPr>
        <w:ind w:firstLine="480"/>
        <w:spacing w:line="500" w:lineRule="exact"/>
        <w:rPr>
          <w:rFonts w:asciiTheme="minorEastAsia" w:hAnsiTheme="minorEastAsia"/>
          <w:sz w:val="24"/>
          <w:szCs w:val="24"/>
          <w:highlight w:val="none"/>
        </w:rPr>
      </w:pPr>
      <w:r>
        <w:rPr>
          <w:rFonts w:hint="eastAsia" w:asciiTheme="minorEastAsia" w:hAnsiTheme="minorEastAsia"/>
          <w:sz w:val="24"/>
          <w:szCs w:val="24"/>
          <w:highlight w:val="none"/>
        </w:rPr>
        <w:t xml:space="preserve">开标时间：2026年</w:t>
      </w:r>
      <w:r>
        <w:rPr>
          <w:rFonts w:hint="eastAsia" w:asciiTheme="minorEastAsia" w:hAnsiTheme="minorEastAsia"/>
          <w:sz w:val="24"/>
          <w:szCs w:val="24"/>
          <w:highlight w:val="none"/>
          <w:lang w:val="en-US" w:eastAsia="zh-CN"/>
        </w:rPr>
        <w:t xml:space="preserve">10</w:t>
      </w:r>
      <w:r>
        <w:rPr>
          <w:rFonts w:hint="eastAsia" w:asciiTheme="minorEastAsia" w:hAnsiTheme="minorEastAsia"/>
          <w:sz w:val="24"/>
          <w:szCs w:val="24"/>
          <w:highlight w:val="none"/>
        </w:rPr>
        <w:t xml:space="preserve">月</w:t>
      </w:r>
      <w:r>
        <w:rPr>
          <w:rFonts w:hint="eastAsia" w:asciiTheme="minorEastAsia" w:hAnsiTheme="minorEastAsia"/>
          <w:sz w:val="24"/>
          <w:szCs w:val="24"/>
          <w:highlight w:val="none"/>
          <w:lang w:val="en-US" w:eastAsia="zh-CN"/>
        </w:rPr>
        <w:t xml:space="preserve">20</w:t>
      </w:r>
      <w:r>
        <w:rPr>
          <w:rFonts w:hint="eastAsia" w:asciiTheme="minorEastAsia" w:hAnsiTheme="minorEastAsia"/>
          <w:sz w:val="24"/>
          <w:szCs w:val="24"/>
          <w:highlight w:val="none"/>
        </w:rPr>
        <w:t xml:space="preserve">日9:00:00（北京时间）</w:t>
      </w:r>
      <w:r/>
    </w:p>
    <w:p>
      <w:pPr>
        <w:ind w:firstLine="480"/>
        <w:spacing w:line="500" w:lineRule="exact"/>
        <w:rPr>
          <w:rFonts w:asciiTheme="minorEastAsia" w:hAnsiTheme="minorEastAsia"/>
        </w:rPr>
      </w:pPr>
      <w:r>
        <w:rPr>
          <w:rFonts w:hint="eastAsia" w:asciiTheme="minorEastAsia" w:hAnsiTheme="minorEastAsia"/>
          <w:sz w:val="24"/>
          <w:szCs w:val="24"/>
        </w:rPr>
        <w:t xml:space="preserve">开标地点：“苏采云”政府采购交易系统网上开标大厅</w:t>
      </w:r>
      <w:r/>
    </w:p>
    <w:p>
      <w:pPr>
        <w:pStyle w:val="72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五、公告期限</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自本公告发布之日起5个工作日。</w:t>
      </w:r>
      <w:r/>
    </w:p>
    <w:p>
      <w:pPr>
        <w:pStyle w:val="72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六、其他补充事宜</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1.本次招标不收取投标保证金。</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2.本招标文件中斜体且有下划线部分为实质性要求和条件，投标人须逐条做出满足实质性要求和条件的响应，否则将按无效响应处理。</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asciiTheme="minorEastAsia" w:hAnsiTheme="minorEastAsia"/>
          <w:sz w:val="24"/>
          <w:szCs w:val="24"/>
        </w:rPr>
        <w:t xml:space="preserve">或者</w:t>
      </w:r>
      <w:r>
        <w:rPr>
          <w:rFonts w:hint="eastAsia" w:asciiTheme="minorEastAsia" w:hAnsiTheme="minorEastAsia"/>
          <w:sz w:val="24"/>
          <w:szCs w:val="24"/>
        </w:rPr>
        <w:t xml:space="preserve">提交失误，由此造成的一切损失由投标人自行承担。</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http://www.ccgp-jiangsu.gov.cn/jiangsu/zlxz/ee/ee3a4bc5a3454aa2b0d9312230633ce9.html</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请投标人按照《操作手册》要求获取招标文件，制作、递交（上传）电子投标文件，参加开标，澄清、说明或者补正。因投标人未按要求操作原因导致电子投标文件被拒绝、造成无效响应的，</w:t>
      </w:r>
      <w:r>
        <w:rPr>
          <w:rFonts w:hint="eastAsia" w:cs="Times New Roman" w:asciiTheme="minorEastAsia" w:hAnsiTheme="minorEastAsia"/>
          <w:sz w:val="24"/>
          <w:szCs w:val="24"/>
        </w:rPr>
        <w:t xml:space="preserve">自行承担一切损失。</w:t>
      </w:r>
      <w:r/>
    </w:p>
    <w:p>
      <w:pPr>
        <w:pStyle w:val="721"/>
        <w:spacing w:before="0" w:after="0" w:line="500" w:lineRule="exact"/>
        <w:rPr>
          <w:rFonts w:asciiTheme="minorEastAsia" w:hAnsiTheme="minorEastAsia" w:eastAsiaTheme="minorEastAsia" w:cstheme="minorBidi"/>
          <w:bCs w:val="0"/>
          <w:szCs w:val="22"/>
        </w:rPr>
      </w:pPr>
      <w:r>
        <w:rPr>
          <w:rFonts w:hint="eastAsia" w:asciiTheme="minorEastAsia" w:hAnsiTheme="minorEastAsia" w:eastAsiaTheme="minorEastAsia" w:cstheme="minorBidi"/>
          <w:bCs w:val="0"/>
          <w:szCs w:val="22"/>
        </w:rPr>
        <w:t xml:space="preserve">七、对本次招标提出询问，请按以下方式联系</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1.采购人信息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称：江苏省连云港市中级人民法院</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址：连云港市海州区朝阳东路15号</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联系方式： </w:t>
      </w:r>
      <w:r>
        <w:rPr>
          <w:rFonts w:asciiTheme="minorEastAsia" w:hAnsiTheme="minorEastAsia"/>
          <w:sz w:val="24"/>
          <w:szCs w:val="24"/>
        </w:rPr>
        <w:t xml:space="preserve">0518-85298600</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2.采购代理机构信息</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名    称：连云港市公共资源交易中心</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地    址：连云港市海州区凌洲东路9号2号楼419室</w:t>
      </w:r>
      <w:r/>
    </w:p>
    <w:p>
      <w:pPr>
        <w:ind w:firstLine="480"/>
        <w:spacing w:line="500" w:lineRule="exact"/>
        <w:rPr>
          <w:rFonts w:cs="Times New Roman" w:asciiTheme="minorEastAsia" w:hAnsiTheme="minorEastAsia"/>
          <w:sz w:val="24"/>
          <w:szCs w:val="24"/>
        </w:rPr>
      </w:pPr>
      <w:r>
        <w:rPr>
          <w:rFonts w:hint="eastAsia" w:asciiTheme="minorEastAsia" w:hAnsiTheme="minorEastAsia"/>
          <w:sz w:val="24"/>
          <w:szCs w:val="24"/>
        </w:rPr>
        <w:t xml:space="preserve">联系方式：程杨 </w:t>
      </w:r>
      <w:r>
        <w:rPr>
          <w:rFonts w:cs="Times New Roman" w:asciiTheme="minorEastAsia" w:hAnsiTheme="minorEastAsia"/>
          <w:sz w:val="24"/>
          <w:szCs w:val="24"/>
        </w:rPr>
        <w:t xml:space="preserve">  0518-8</w:t>
      </w:r>
      <w:r>
        <w:rPr>
          <w:rFonts w:hint="eastAsia" w:cs="Times New Roman" w:asciiTheme="minorEastAsia" w:hAnsiTheme="minorEastAsia"/>
          <w:sz w:val="24"/>
          <w:szCs w:val="24"/>
        </w:rPr>
        <w:t xml:space="preserve">2256581</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3.项目联系方式</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项目联系人：程科长</w:t>
      </w:r>
      <w:r/>
    </w:p>
    <w:p>
      <w:pPr>
        <w:ind w:firstLine="480"/>
        <w:spacing w:line="500" w:lineRule="exact"/>
        <w:rPr>
          <w:rFonts w:asciiTheme="minorEastAsia" w:hAnsiTheme="minorEastAsia"/>
          <w:sz w:val="24"/>
          <w:szCs w:val="24"/>
        </w:rPr>
      </w:pPr>
      <w:r>
        <w:rPr>
          <w:rFonts w:hint="eastAsia" w:asciiTheme="minorEastAsia" w:hAnsiTheme="minorEastAsia"/>
          <w:sz w:val="24"/>
          <w:szCs w:val="24"/>
        </w:rPr>
        <w:t xml:space="preserve">电      话：0</w:t>
      </w:r>
      <w:r>
        <w:rPr>
          <w:rFonts w:asciiTheme="minorEastAsia" w:hAnsiTheme="minorEastAsia"/>
          <w:sz w:val="24"/>
          <w:szCs w:val="24"/>
        </w:rPr>
        <w:t xml:space="preserve">518-85295188</w:t>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ind w:firstLine="480"/>
        <w:spacing w:line="500" w:lineRule="exact"/>
        <w:rPr>
          <w:rFonts w:asciiTheme="minorEastAsia" w:hAnsiTheme="minorEastAsia"/>
          <w:sz w:val="24"/>
          <w:szCs w:val="24"/>
        </w:rPr>
      </w:pPr>
      <w:r>
        <w:rPr>
          <w:rFonts w:asciiTheme="minorEastAsia" w:hAnsiTheme="minorEastAsia"/>
          <w:sz w:val="24"/>
          <w:szCs w:val="24"/>
        </w:rPr>
      </w:r>
      <w:r/>
    </w:p>
    <w:p>
      <w:pPr>
        <w:pStyle w:val="720"/>
        <w:jc w:val="center"/>
        <w:spacing w:before="156" w:after="156" w:line="360" w:lineRule="auto"/>
        <w:rPr>
          <w:rFonts w:ascii="黑体" w:hAnsi="黑体" w:eastAsia="黑体"/>
          <w:b w:val="0"/>
        </w:rPr>
      </w:pPr>
      <w:r/>
      <w:bookmarkStart w:id="1" w:name="_Toc163482574"/>
      <w:r>
        <w:rPr>
          <w:rFonts w:hint="eastAsia" w:ascii="黑体" w:hAnsi="黑体" w:eastAsia="黑体"/>
          <w:b w:val="0"/>
        </w:rPr>
        <w:t xml:space="preserve">第二章  投标人须知</w:t>
      </w:r>
      <w:bookmarkEnd w:id="1"/>
      <w:r/>
      <w:r/>
    </w:p>
    <w:p>
      <w:pPr>
        <w:pStyle w:val="72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一、总则</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1.招标方式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2.合格的投标人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 满足招标公告中供应商的资格要求的规定。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 满足本招标文件全部实质性要求和条件的规定。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2.5单位负责人为同一人或者存在直接控股、管理关系的不同供应商，不得参加同一合同项下的政府采购活动。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2.6除单一来源采购项目外，为采购项目提供整体设计、规范编制或者项目管理、监理、检测等服务的供应商，不得再参加该采购项目的其他采购活动。</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3.适用法律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 本次招标及由此产生的合同受中华人民共和国有关的法律法规制约和保护。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 在本项目政府采购活动过程中，如果所执行的标准有更新的，按照最新标准执行。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4.投标费用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4.1 投标人应自行承担所有与参加投标有关的费用，无论投标过程中的做法和结果如何，连云港市公共资源交易中心（以下简称交易中心）在任何情况下均无义务和责任承担这些费用。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4.2 本次招标采购人和交易中心不收取标书工本费与中标服务费。</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5.招标文件的约束力</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72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二、招标文件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6.招标文件构成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6.1 招标文件由以下部分组成：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（1）投标邀请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（2）投标人须知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（3）合同文本</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（4）采购需求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请仔细检查招标文件是否齐全，如有缺漏请立即与交易中心联系解决。</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7.招标文件的澄清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7.1 任何要求对招标文件进行澄清的投标人，应在投标截止期十日前按招标公告中的通讯地址，以书面形式通知采购人或者交易中心。</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8.招标文件的修改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8.1 在投标截止时间前，交易中心可以对招标文件进行修改。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8.2 交易中心有权按照法定的要求推迟投标截止日期和开标日期。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8.3 招标文件的修改将在江苏政府采购网公布，补充文件将作为招标文件的组成部分，并对投标人具有约束力。</w:t>
      </w:r>
      <w:r/>
    </w:p>
    <w:p>
      <w:pPr>
        <w:pStyle w:val="72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三、投标文件的编制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9.投标文件编写注意事项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9.3根据关于印发《连云港市本级优化政府采购领域营商环境2026年重点举措》的通知（连采购〔2026〕11号）规定，自2026年4月1日起，针对市本级全部集中采购项目实施暗标盲评。</w:t>
      </w:r>
      <w:r/>
    </w:p>
    <w:p>
      <w:pPr>
        <w:ind w:firstLine="480"/>
        <w:spacing w:line="500" w:lineRule="exact"/>
        <w:rPr>
          <w:rFonts w:ascii="宋体" w:hAnsi="宋体" w:eastAsia="宋体" w:cs="宋体"/>
          <w:bCs/>
          <w:color w:val="000000"/>
          <w:sz w:val="24"/>
          <w:szCs w:val="24"/>
        </w:rPr>
      </w:pPr>
      <w:r>
        <w:rPr>
          <w:rFonts w:hint="eastAsia" w:ascii="宋体" w:hAnsi="宋体" w:eastAsia="宋体" w:cs="宋体"/>
          <w:bCs/>
          <w:color w:val="000000"/>
          <w:sz w:val="24"/>
          <w:szCs w:val="24"/>
        </w:rPr>
        <w:t xml:space="preserve">本项目评审因素中技术（方案）部分采用暗标评审。要求如下：方案内容、文字、各类型图表、框图均不得出现供应商名称、相关人员姓名和其他可识别供应商身份的字符、徽标、人员名称、投标人独享的企业标准或编号等内容；不得出现能显示企业特征或批注、底纹、阴影、水印等提示性的标记或标识；不得出现以前所承担过的项目名称，不得作任何标识或暗示该供应商单位名称或人员姓名的标记，相关人员姓名应以职务或职称代替。</w:t>
      </w:r>
      <w:r/>
    </w:p>
    <w:p>
      <w:pPr>
        <w:ind w:firstLine="480"/>
        <w:spacing w:line="500" w:lineRule="exact"/>
        <w:widowControl/>
        <w:rPr>
          <w:rFonts w:ascii="宋体" w:hAnsi="宋体" w:eastAsia="宋体" w:cs="宋体"/>
          <w:bCs/>
          <w:color w:val="000000"/>
          <w:sz w:val="24"/>
          <w:szCs w:val="24"/>
        </w:rPr>
      </w:pPr>
      <w:r>
        <w:rPr>
          <w:rFonts w:hint="eastAsia" w:ascii="宋体" w:hAnsi="宋体" w:eastAsia="宋体" w:cs="宋体"/>
          <w:bCs/>
          <w:color w:val="000000"/>
          <w:sz w:val="24"/>
          <w:szCs w:val="24"/>
        </w:rPr>
        <w:t xml:space="preserve">方案部分上传地址在“苏采云”系统响应文件制作工具（政府采购客户端）的带有“暗”标志的评分项节点。本项目在评审过程中，只要有任一家投标人方案部分能够正常显示的，即视为“苏采云”系统方案部分暗标功能运行无故障。投标人需按照上述要求编制方案，未按要求编制的本项不得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10.投标文件的语言及度量衡单位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ind w:firstLine="480"/>
        <w:spacing w:line="500" w:lineRule="exact"/>
        <w:rPr>
          <w:rFonts w:ascii="宋体" w:hAnsi="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rPr>
          <w:rFonts w:hint="eastAsia" w:ascii="宋体" w:hAnsi="宋体" w:cs="宋体"/>
          <w:sz w:val="24"/>
          <w:szCs w:val="24"/>
        </w:rPr>
        <w:t xml:space="preserve">招标文件中要求提供证明材料扫描件的，如提供复印件，电子件等予以认可。</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11.投标文件构成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11.2 如投标文件制作工具中格式和内容与江苏政府采购网发布的招标文件不一致，请以江苏政府采购网发布的招标文件为准。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12.证明投标人及投标标的符合招标文件规定的文件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12.1 投标人应按照招标文件要求提交证明文件，证明其及投标标的符合招标文件规定。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12.2 招标文件对证明文件无明确形式要求的，证明文件可以以文字资料、图纸和数据等形式提交。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投标人委托代理时应当提交授权委托书，请按招标文件第六章给定格式及要求填写并附法定代表人（单位负责人）与委托代理人身份证明。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13.投标分项报价表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（1）投标的货物总价；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（2）货物的标准附件、备品备件、专用工具、运输、装卸等各种费用；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（3）必要的保险费用和各项税金；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（4）投标总价要求包含安装维保费用。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13.2 投标人应按照招标文件规定格式填报投标分项报价表。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13.3 投标货币。投标文件中的单价和总价无特殊规定的采用人民币报价，以元为单位标注。招标文件中另有规定的按规定执行。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14.技术要求响应及偏离表、商务要求响应及偏离表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14.2 投标人可在投标文件中提供认为需要的其他技术文件或说明。</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15.服务承诺、培训计划、人员安排及其他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15.1 投标人需根据招标文件要求提供有关售后服务的管理制度，售后服务机构的分布情况，售后服务人员的数量、素质、技术水平及售后服务的反应能力等。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15.2 投标人需根据招标文件要求提供培训计划、人员安排等。</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15.3 投标人需根据招标文件要求提供所投标的的主要组成部分、功能设计、实现思路及关键技术等。</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16.投标函和开标一览表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16.1 投标人应按照招标文件中提供的格式完整、正确填写投标函、开标一览表。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16.2 对于采用货币报价的项目，开标一览表中的投标总报价应与投标分项报价表中的投标总报价一致，如不一致，不做无效投标处理，但评标时以开标一览表中价格为准。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17.投标有效期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17.1 投标有效期为交易中心规定的开标之日后六十（60）天。投标有效期比规定短的将被视为未实质性响应招标文件而予以拒绝。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17.2 在特殊情况下（法律法规另有规定的除外），经监管部门批准后在原投标有效期满之前可向投标人提出延长投标有效期的要求。这种要求与答复均应采用书面形式。投标人可以拒绝这一要求而放弃投标，同意延长投标有效期的投标人既不能要求也不允许修改其投标文件。受投标有效期约束的所有权利与义务均延长至新的有效期。</w:t>
      </w:r>
      <w:r/>
    </w:p>
    <w:p>
      <w:pPr>
        <w:pStyle w:val="72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四、投标文件的递交</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18.电子投标文件的递交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18.1 投标人应当按照《操作手册》规定，在投标截止时间前制作并递交（上传）电子投标文件。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19.投标截止时间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19.1 投标人递交（上传）电子投标文件的时间不得迟于招标公告中规定的投标截止时间。</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投标人应充分考虑到计算机硬件、软件及网络环境等风险因素，如因投标人自身原因造成电子投标文件递交（上传）不成功的按照本招标文件第二章第27.1条规定做无效投标处理。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19.2 交易中心可以按照规定，通过修改招标文件酌情延长投标截止日期，在此情况下，投标人的所有权利和义务以及投标人受制的截止日期均应以延长后新的截止日期为准。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20.投标文件的拒收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20.1 交易中心拒绝接收在其规定的投标截止时间后递交（上传）的任何投标文件。</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21.投标文件的撤回和修改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 投标文件的撤回</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21.1.1 投标人可在投标截止时间前，撤回其电子投标文件，具体操作方法见《操作手册》。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21.1.2 投标人撤回电子投标文件的，则认为其不再参与本项目投标活动。</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 投标文件的修改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21.2.1 投标人可在投标截止时间前，对其电子投标文件进行修改，具体操作方法见《操作手册》。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21.2.2 在投标截止时间之后，投标人不得对其电子投标文件做任何修改。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21.3 在投标截止时间至招标文件中规定的投标有效期满之间的这段时间内，投标人不得撤回其投标。</w:t>
      </w:r>
      <w:r/>
    </w:p>
    <w:p>
      <w:pPr>
        <w:pStyle w:val="72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五、开标与评标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22.开标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22.1 交易中心将在招标公告中规定的时间和地点组织公开开标。投标人应当按时参加开标活动，并在“苏采云”系统规定的时间内对投标文件进行解密。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22.2 开标仪式由交易中心组织。“苏采云”系统将自动对项目进行开标，并宣布各投标人名称和投标价格。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22.3 投标人在开标过程中涉及到的投标文件解密、开标结果确认等工作，应当按照《操作手册》规定执行。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22.4 投标人如果对开标过程和开标记录有疑义，应当按照《操作手册》规定提出，未在“苏采云”系统《开标记录表》宣布后5分钟内提出的，视同认可开标结果。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23、评标委员会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23.1 开标后，交易中心将组织评委会进行评标。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23.2 评委会由采购人代表和有关技术、经济等方面的评审专家组成，且人员构成符合政府采购有关规定。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23.3 评委会按照采购文件规定的评审程序、评审方法和评审标准进行独立评审并确定中标候选人。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24、评标过程的保密与公正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24.1 凡是与审查、澄清、评价和比较投标的有关资料以及授标建议等，采购人、评审专家、交易中心均不得向投标人或与评标无关的其他人员透露。</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24.2 在评标过程中，投标人不得以任何行为影响评标过程，否则其投标文件将被作为无效投标文件。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24.3 交易中心和评委会不向未中标的投标人解释未中标原因，也不公布评标过程中的相关细节。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24.4 采用综合评分法的项目，未中标的投标人可于中标结果公告期限届满之日起通过“苏采云”系统查看自己的评审得分及排序情况。</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25、投标文件的澄清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25.1 评标期间，评委会对投标文件中含义不明确、同类问题表述不一致或者有明显文字和计算错误的内容 ，有权要求投标人作出必要的澄清、说明或者补正。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评委会并非对每个投标人都做澄清、说明或者补正要求。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式见《操作手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25.3 接到评委会澄清、说明或者补正要求的投标人如未按规定响应，其风险由投标人自行承担。</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26、对投标文件的初审</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 投标文件初审分为资格审查和符合性审查。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26.1.1 资格审查：依据法律法规和招标文件的规定，由采购人对投标文件中的资格证明文件进行审查。资格审查的结论，采购人以书面形式向评委会进行反馈。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采购人进行资格性审查的同时，在信用中国网站（www.creditchina.gov.cn）查询投标人的信用记录，以确定投标人是否具备投标资格，查询结果留存并归档。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26.1.2 符合性审查：依据招标文件的规定，由评委会从投标文件的有效性、完整性和对招标文件的响应程度进行审查，以确定其是否对招标文件的实质性要求作出响应。</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本招标文件中斜体且有下划线部分为实质性要求和条件，投标人必须逐条做出满足实质性要求和条件的响应，否则将按无效响应处理。</w:t>
      </w:r>
      <w:r/>
    </w:p>
    <w:p>
      <w:pPr>
        <w:ind w:firstLine="482"/>
        <w:spacing w:line="500" w:lineRule="exact"/>
        <w:rPr>
          <w:rFonts w:ascii="宋体" w:hAnsi="宋体" w:eastAsia="宋体" w:cs="宋体"/>
          <w:b/>
          <w:bCs/>
          <w:sz w:val="24"/>
          <w:szCs w:val="24"/>
        </w:rPr>
      </w:pPr>
      <w:r>
        <w:rPr>
          <w:rFonts w:hint="eastAsia" w:ascii="宋体" w:hAnsi="宋体" w:eastAsia="宋体" w:cs="宋体"/>
          <w:b/>
          <w:bCs/>
          <w:sz w:val="24"/>
          <w:szCs w:val="24"/>
        </w:rPr>
        <w:t xml:space="preserve">26.1.3政府采购异常低价审查：</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（一）政府采购评审中出现下列情形之一的，评审委员会应当启动异常低价投标审查程序：</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1.投标报价低于全部通过符合性审查供应商投标报价平均值</w:t>
      </w:r>
      <w:r>
        <w:rPr>
          <w:rFonts w:ascii="宋体" w:hAnsi="宋体" w:eastAsia="宋体" w:cs="宋体"/>
          <w:bCs/>
          <w:sz w:val="24"/>
          <w:szCs w:val="24"/>
        </w:rPr>
        <w:t xml:space="preserve">65</w:t>
      </w:r>
      <w:r>
        <w:rPr>
          <w:rFonts w:hint="eastAsia" w:ascii="宋体" w:hAnsi="宋体" w:eastAsia="宋体" w:cs="宋体"/>
          <w:bCs/>
          <w:sz w:val="24"/>
          <w:szCs w:val="24"/>
        </w:rPr>
        <w:t xml:space="preserve">%的，即投标报价&lt;全部通过符合性审查供应商投标报价平均值×</w:t>
      </w:r>
      <w:r>
        <w:rPr>
          <w:rFonts w:ascii="宋体" w:hAnsi="宋体" w:eastAsia="宋体" w:cs="宋体"/>
          <w:bCs/>
          <w:sz w:val="24"/>
          <w:szCs w:val="24"/>
        </w:rPr>
        <w:t xml:space="preserve">65</w:t>
      </w:r>
      <w:r>
        <w:rPr>
          <w:rFonts w:hint="eastAsia" w:ascii="宋体" w:hAnsi="宋体" w:eastAsia="宋体" w:cs="宋体"/>
          <w:bCs/>
          <w:sz w:val="24"/>
          <w:szCs w:val="24"/>
        </w:rPr>
        <w:t xml:space="preserve">%；</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2.投标报价低于通过符合性审查的次低报价供应商投标报价</w:t>
      </w:r>
      <w:r>
        <w:rPr>
          <w:rFonts w:ascii="宋体" w:hAnsi="宋体" w:eastAsia="宋体" w:cs="宋体"/>
          <w:bCs/>
          <w:sz w:val="24"/>
          <w:szCs w:val="24"/>
        </w:rPr>
        <w:t xml:space="preserve">65</w:t>
      </w:r>
      <w:r>
        <w:rPr>
          <w:rFonts w:hint="eastAsia" w:ascii="宋体" w:hAnsi="宋体" w:eastAsia="宋体" w:cs="宋体"/>
          <w:bCs/>
          <w:sz w:val="24"/>
          <w:szCs w:val="24"/>
        </w:rPr>
        <w:t xml:space="preserve">%的，即投标报价&lt;通过符合性审查的次低报价供应商投标报价×</w:t>
      </w:r>
      <w:r>
        <w:rPr>
          <w:rFonts w:ascii="宋体" w:hAnsi="宋体" w:eastAsia="宋体" w:cs="宋体"/>
          <w:bCs/>
          <w:sz w:val="24"/>
          <w:szCs w:val="24"/>
        </w:rPr>
        <w:t xml:space="preserve">65</w:t>
      </w:r>
      <w:r>
        <w:rPr>
          <w:rFonts w:hint="eastAsia" w:ascii="宋体" w:hAnsi="宋体" w:eastAsia="宋体" w:cs="宋体"/>
          <w:bCs/>
          <w:sz w:val="24"/>
          <w:szCs w:val="24"/>
        </w:rPr>
        <w:t xml:space="preserve">%；</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3.投标报价低于采购项目最高限价</w:t>
      </w:r>
      <w:r>
        <w:rPr>
          <w:rFonts w:ascii="宋体" w:hAnsi="宋体" w:eastAsia="宋体" w:cs="宋体"/>
          <w:bCs/>
          <w:sz w:val="24"/>
          <w:szCs w:val="24"/>
        </w:rPr>
        <w:t xml:space="preserve">65</w:t>
      </w:r>
      <w:r>
        <w:rPr>
          <w:rFonts w:hint="eastAsia" w:ascii="宋体" w:hAnsi="宋体" w:eastAsia="宋体" w:cs="宋体"/>
          <w:bCs/>
          <w:sz w:val="24"/>
          <w:szCs w:val="24"/>
        </w:rPr>
        <w:t xml:space="preserve">%的，即投标报价&lt;采购项目最高限价×</w:t>
      </w:r>
      <w:r>
        <w:rPr>
          <w:rFonts w:ascii="宋体" w:hAnsi="宋体" w:eastAsia="宋体" w:cs="宋体"/>
          <w:bCs/>
          <w:sz w:val="24"/>
          <w:szCs w:val="24"/>
        </w:rPr>
        <w:t xml:space="preserve">65</w:t>
      </w:r>
      <w:r>
        <w:rPr>
          <w:rFonts w:hint="eastAsia" w:ascii="宋体" w:hAnsi="宋体" w:eastAsia="宋体" w:cs="宋体"/>
          <w:bCs/>
          <w:sz w:val="24"/>
          <w:szCs w:val="24"/>
        </w:rPr>
        <w:t xml:space="preserve">%；</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4.评审委员会基于专业判断，认为供应商报价过低，有可能影响产品质量或者不能诚信履约的其他情形。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二）评审委员会启动异常低价投标审查后，属于前述（一）中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具体时间由评审委员会确定。其中，属于（一）中第3项情形，供应商已随投标文件一并提交相关书面说明及必要的证明材料的，在评审现场可不再重复提交。</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评审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采购人、采购代理机构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异常低价投标审查的启动原因、审查意见和审查结果应当在评审报告中记录，并随供应商提供的相关书面说明及证明材料，以及评审委员会有关互联网浏览、查询历史一并归档。评委会将通过“苏采云”系统要求其在合理的时间内提供书面说明、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26.1.4未通过资格审查或符合性审查的投标人，将通过“苏采云”系统中告知其未通过的原因，评审结束后，将不再告知。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26.2 在符合性审查阶段，评委会将审查每份投标文件是否实质性响应了招标文件的要求。实质性响应的投标应当是与招标文件要求的全部条款、条件和规格相符，没有重大偏离或保留的投标。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包含但不限于设备质量、技术规格、售后服务和履约能力等材料明显不能满足招标文件要求，有可能影响产品质量或者不能诚信履约，限制了合同中买方和交易中心的权利或投标人的义务，纠正这些偏离或保留将会对其他实质性响应要求的投标人的竞争地位产生不公正的影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26.4 评委会将对确定为实质性响应的投标进行进一步审核，看其是否有计算上或累加上的算术错误，修正错误的原则如下：</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26.6 采用最低评标价法的采购项目，提供相同品牌产品的不同投标人参加同一合同项下投标的，以其中通过资格审查、符合性审查且报价最低的参加评标；报价相同的，由评委员会按照招标文件规定的方式确定一个参加评标的投标人，招标文件未规定的采取随机抽取方式确定，其他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员会按照招标文件规定的方式确定一个投标人获得中标人推荐资格，招标文件未规定的采取随机抽取方式确定，其他同品牌投标人不作为中标候选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非单一产品采购项目，招标文件中将载明核心产品。多家投标人提供的核心产品品牌相同的，按前两款规定处理。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26.7 投标人在开、评标全过程中应保持通讯畅通，及时登录“苏采云”系统查阅、答复相关信息，并安排专人与交易中心及评委会联系。</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27、无效投标条款和废标条款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27.1 无效投标条款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7）评标委员会认为投标人的报价明显低于其他通过符合性审查投标人的报价，有可能影响产品质量或者不能诚信履约的，或评标委员会启动异常低价投标审查程序，投标人在规定时间内未提供书面说明、证明材料，或提供的书面说明、证明材料不能证明其报价合理性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9）本项目采购产品（如有）被财政部、国家发改委、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27.3 废标条款</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（3）符合专业条件的供应商或者对招标文件作实质响应的供应商不足三家的。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27.4 出现投标截止时间结束后参加投标的供应商或者在评标期间对招标文件做出实质响应的供应商不足三家情况的，按照政府采购相关规定执行。</w:t>
      </w:r>
      <w:r/>
    </w:p>
    <w:p>
      <w:pPr>
        <w:pStyle w:val="72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六、定标</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28、确定中标单位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28.1 中标候选人的选取原则和数量详见招标文件第五章规定。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28.2 采购人应根据评委会推荐的中标候选人确定中标人。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28.3 交易中心将在江苏政府采购网发布中标公告，公告期限为1个工作日。</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28.4 若有充分证据证明，中标人存在下列情况之一的，一经查实，将被取消中标资格：</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（1）提供虚假材料谋取中标、成交的。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（2）采取不正当手段诋毁、排挤其他供应商的。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（3）与采购人、其他供应商或者采购代理机构恶意串通的。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（4）向采购人、交易中心行贿或者提供其他不正当利益的。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（5）在招标采购过程中与采购人进行协商谈判的。</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（6）属于本文件规定的无效条件，但在评标过程中又未被评委会发现的。</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29、中标通知书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而造成的不利后果由中标人自行承担。</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29.2 中标通知书将是合同的一个组成部分。对采购人和中标人均具有法律效力。中标通知书发出后，采购人改变中标结果的，或者中标人放弃中标项目的，应当依法承担法律责任。</w:t>
      </w:r>
      <w:r/>
    </w:p>
    <w:p>
      <w:pPr>
        <w:pStyle w:val="72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七、授予合同</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30、履约保证金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30.3 履约保证金自合同生效之日起至合同约定的中标人主要义务履行完毕止，采购人应当按合同约定及时退还履约保证金。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30.4 逾期退还履约保证金的采购人承担违约责任，按照中国人民银行同期贷款基准利率向中标人支付超期资金占用费。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30.5 本项目履约保证金要求详见招标文件第四章 采购需求。</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31、合同签订及货物（包含与货物相关的服务）的追加</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31.1 中标人应当在中标通知书发出之日起三十日内，按照招标文件和中标人投标文件的规定，与采购人签订政府采购合同。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31.2 招标文件、中标人的投标文件及招标过程中有关澄清、承诺等文件均应作为合同附件。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31.4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32、政府采购履约资金扶持政策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721"/>
        <w:spacing w:before="0" w:after="0" w:line="500" w:lineRule="exact"/>
        <w:rPr>
          <w:rFonts w:ascii="宋体" w:hAnsi="宋体" w:eastAsia="宋体" w:cs="宋体"/>
          <w:bCs w:val="0"/>
          <w:sz w:val="24"/>
          <w:szCs w:val="24"/>
        </w:rPr>
      </w:pPr>
      <w:r>
        <w:rPr>
          <w:rFonts w:hint="eastAsia" w:ascii="宋体" w:hAnsi="宋体" w:eastAsia="宋体" w:cs="宋体"/>
          <w:bCs w:val="0"/>
          <w:sz w:val="24"/>
          <w:szCs w:val="24"/>
        </w:rPr>
        <w:t xml:space="preserve">八、询问与质疑</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33、询问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33.1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供应商向采购人提出。</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34、质疑提出</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34.1 提出质疑的供应商应当是参与所质疑项目采购活动的供应商。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34.2 供应商认为采购文件、采购过程、采购结果使自己的权益受到损害的，可以在知道或者应知其权益受到损害之日（获取采购文件之日、采购公告发布之日）起七个工作日内以书面形式向采购人、交易中心提出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未依照采购公告要求获取采购文件的供应商，视为未参与该项目的采购活动，不具备对该采购文件提出质疑的法定权利。</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34.4 质疑函的接收方式为供应商书面原件提交。联系部门、联系电话和通讯地址详见招标文件第一章。质疑实行实名制，不得进行虚假、恶意质疑。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34.5 质疑函应当使用范本，详见招标文件第六章。供应商提出质疑应当提交质疑函和必要的证明材料，应当包括下列内容：</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（1）供应商的姓名或者名称、地址、邮编、联系人及联系电话；</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（4）事实依据；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（5）必要的法律依据；</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（6）提出质疑的日期；</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（7）必要的证明材料；</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供应商为自然人的，应当由本人签字；供应商为法人或者其他组织的，应当由法定代表人、主要负责人，或者其委托代理人签字或者盖章，并加盖单位公章。</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35、质疑函的受理和答复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35.2 对符合质疑要求的，采购人、交易中心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35.3 对不符合质疑要求的，采购人、交易中心有权要求其补充必要的证明材料，质疑供应商未在法定的时间内提供补充必要的证明材料的，视同放弃质疑。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35.4 以下情形的质疑不予受理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（4）未参加采购活动的供应商或在采购活动中自身权益未受到损害的供应商所提出的质疑。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（5）供应商组成联合体，联合体中任何一方或多方未按要求签字（盖章）、加盖公章的质疑。</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35.5 采购人、交易中心依法受理的质疑，将按照政府采购有关规定，在法定期限内答复。</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w:t>
      </w:r>
      <w:r>
        <w:rPr>
          <w:rFonts w:ascii="宋体" w:hAnsi="宋体" w:eastAsia="宋体" w:cs="宋体"/>
          <w:sz w:val="24"/>
          <w:szCs w:val="24"/>
        </w:rPr>
        <w:t xml:space="preserve">5.6</w:t>
      </w:r>
      <w:r>
        <w:rPr>
          <w:rFonts w:hint="eastAsia" w:ascii="宋体" w:hAnsi="宋体" w:eastAsia="宋体" w:cs="宋体"/>
          <w:sz w:val="24"/>
          <w:szCs w:val="24"/>
        </w:rPr>
        <w:t xml:space="preserve"> 未尽事宜，依照有关法律、法规执行。</w:t>
      </w:r>
      <w:r/>
    </w:p>
    <w:p>
      <w:pPr>
        <w:pStyle w:val="721"/>
        <w:spacing w:before="0" w:after="0" w:line="500" w:lineRule="exact"/>
        <w:rPr>
          <w:rFonts w:ascii="宋体" w:hAnsi="宋体" w:eastAsia="宋体" w:cs="宋体"/>
          <w:bCs w:val="0"/>
          <w:color w:val="ff0000"/>
          <w:sz w:val="24"/>
          <w:szCs w:val="24"/>
          <w:highlight w:val="cyan"/>
        </w:rPr>
      </w:pPr>
      <w:r>
        <w:rPr>
          <w:rFonts w:hint="eastAsia" w:ascii="宋体" w:hAnsi="宋体" w:eastAsia="宋体" w:cs="宋体"/>
          <w:bCs w:val="0"/>
          <w:sz w:val="24"/>
          <w:szCs w:val="24"/>
        </w:rPr>
        <w:t xml:space="preserve">九、政府采购政策功能</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37、促进中小企业发展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37.1 本项目执行《关于印发&lt;政府采购促进中小企业发展管理办法&gt;的通知》（财库〔2020〕</w:t>
      </w:r>
      <w:r>
        <w:rPr>
          <w:rFonts w:hint="eastAsia" w:ascii="宋体" w:hAnsi="宋体" w:eastAsia="宋体" w:cs="宋体"/>
          <w:sz w:val="24"/>
          <w:szCs w:val="24"/>
        </w:rPr>
        <w:t xml:space="preserve">46号，以下简称《办法》）、《关于印发中小企业划型标准规定的通知》（工信部联企业〔2011〕300号，以下简称《通知》）、《关于政府采购支持监狱企业发展有关问题的通知》（财库〔2014〕68号）、《关于促进残疾人就业政府采购政策的通知》（财库〔2017〕141号）、《关于进一步加大政府采购支持中小企业力度的通知》（财库〔2022〕19号）的规定。对于小型企业、微型企业、监狱企业、残疾人福利性单位报价以扣除优惠比率后的价格参与评审，但不作为中标价和合同签约价。中标价和合同签约价仍以其投标文件中的投标报价为准。</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37.2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37.3 参加本项目政府采购活动的供应商享受价格评审优惠的应当提供的材料： </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（1）投标人提供的货物全部由小型企业、微型企业制造的，提供《中小企业声明函》（第六章 投标文件格式）。</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37.4 残疾人福利单位、监狱企业属于小型企业、微型企业的，不重复享受政策。</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37.5 享受扶持政策获得政府采购合同的，小微企业不得将合同分包给大中型企业，中型企业不得将合同分包给大型企业。</w:t>
      </w:r>
      <w:r/>
    </w:p>
    <w:p>
      <w:pPr>
        <w:numPr>
          <w:ilvl w:val="0"/>
          <w:numId w:val="1"/>
        </w:numPr>
        <w:ind w:firstLine="482"/>
        <w:spacing w:line="500" w:lineRule="exact"/>
        <w:rPr>
          <w:rFonts w:ascii="宋体" w:hAnsi="宋体" w:eastAsia="宋体" w:cs="宋体"/>
          <w:bCs/>
          <w:sz w:val="24"/>
          <w:szCs w:val="24"/>
        </w:rPr>
      </w:pPr>
      <w:r>
        <w:rPr>
          <w:rFonts w:hint="eastAsia" w:ascii="宋体" w:hAnsi="宋体" w:eastAsia="宋体" w:cs="宋体"/>
          <w:b/>
          <w:sz w:val="24"/>
          <w:szCs w:val="24"/>
        </w:rPr>
        <w:t xml:space="preserve">采购本国产品的支持政策</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人的报价签订。 </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38.3 供应商需按照招标文件的要求提供《关于符合本国产品标准的声明函》（以下简称《声明函》），如不提供将不享受本国产品价格评审优惠。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500" w:lineRule="exact"/>
        <w:rPr>
          <w:rFonts w:ascii="宋体" w:hAnsi="宋体" w:eastAsia="宋体" w:cs="宋体"/>
          <w:bCs/>
          <w:sz w:val="24"/>
          <w:szCs w:val="24"/>
        </w:rPr>
      </w:pPr>
      <w:r>
        <w:rPr>
          <w:rFonts w:hint="eastAsia" w:ascii="宋体" w:hAnsi="宋体" w:eastAsia="宋体" w:cs="宋体"/>
          <w:bCs/>
          <w:sz w:val="24"/>
          <w:szCs w:val="24"/>
        </w:rPr>
        <w:t xml:space="preserve">38.6政府采购中的本国产品标准及其他未尽事宜详见《国务院办公厅关于在政府采购中实施本国产品标准及相关政策的通知》（国办发〔2025〕34号）。</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39、支持绿色发展</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39.3本项目执行《财政部 生态环境部 工业和信息化部关于印发&lt;绿色数据中心政府采购需求标准（试行）&gt;的通知》（财库〔2023〕7号）的相关要求。涉及本次采购标的的设备在履约验收中将对中标人提供的产品或服务进行抽查检测，必要时可委托取得相关资质的第三方机构对其进行检测、认证。</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39.4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ind w:firstLine="482"/>
        <w:spacing w:line="500" w:lineRule="exact"/>
        <w:rPr>
          <w:rFonts w:ascii="宋体" w:hAnsi="宋体" w:eastAsia="宋体" w:cs="宋体"/>
          <w:b/>
          <w:sz w:val="24"/>
          <w:szCs w:val="24"/>
        </w:rPr>
      </w:pPr>
      <w:r>
        <w:rPr>
          <w:rFonts w:hint="eastAsia" w:ascii="宋体" w:hAnsi="宋体" w:eastAsia="宋体" w:cs="宋体"/>
          <w:b/>
          <w:sz w:val="24"/>
          <w:szCs w:val="24"/>
        </w:rPr>
        <w:t xml:space="preserve">40、政府采购需求标准</w:t>
      </w:r>
      <w:r/>
    </w:p>
    <w:p>
      <w:pPr>
        <w:ind w:firstLine="480"/>
        <w:spacing w:line="500" w:lineRule="exact"/>
        <w:rPr>
          <w:rFonts w:ascii="宋体" w:hAnsi="宋体" w:eastAsia="宋体" w:cs="宋体"/>
          <w:sz w:val="24"/>
          <w:szCs w:val="24"/>
        </w:rPr>
      </w:pPr>
      <w:r>
        <w:rPr>
          <w:rFonts w:hint="eastAsia" w:ascii="宋体" w:hAnsi="宋体" w:eastAsia="宋体" w:cs="宋体"/>
          <w:sz w:val="24"/>
          <w:szCs w:val="24"/>
        </w:rPr>
        <w:t xml:space="preserve">40.1 本项目执行《绿色数据中心政府采购需求</w:t>
      </w:r>
      <w:r>
        <w:rPr>
          <w:rFonts w:hint="eastAsia" w:ascii="宋体" w:hAnsi="宋体" w:eastAsia="宋体" w:cs="宋体"/>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720"/>
        <w:jc w:val="center"/>
        <w:spacing w:before="156" w:after="156" w:line="360" w:lineRule="auto"/>
        <w:rPr>
          <w:rFonts w:ascii="黑体" w:hAnsi="黑体" w:eastAsia="黑体"/>
          <w:b w:val="0"/>
        </w:rPr>
      </w:pPr>
      <w:r/>
      <w:bookmarkStart w:id="2" w:name="_Toc163482575"/>
      <w:r>
        <w:rPr>
          <w:rFonts w:hint="eastAsia" w:ascii="黑体" w:hAnsi="黑体" w:eastAsia="黑体"/>
          <w:b w:val="0"/>
        </w:rPr>
        <w:t xml:space="preserve">第三章  合同文本</w:t>
      </w:r>
      <w:bookmarkEnd w:id="2"/>
      <w:r/>
      <w:r/>
    </w:p>
    <w:p>
      <w:r/>
      <w:r/>
    </w:p>
    <w:p>
      <w:r/>
      <w:r/>
    </w:p>
    <w:p>
      <w:r/>
      <w:r/>
    </w:p>
    <w:p>
      <w:r/>
      <w:r/>
    </w:p>
    <w:p>
      <w:r/>
      <w:r/>
    </w:p>
    <w:p>
      <w:r/>
      <w:r/>
    </w:p>
    <w:p>
      <w:r/>
      <w:r/>
    </w:p>
    <w:p>
      <w:r/>
      <w:r/>
    </w:p>
    <w:p>
      <w:pPr>
        <w:jc w:val="center"/>
        <w:rPr>
          <w:rFonts w:ascii="宋体" w:hAnsi="宋体" w:eastAsia="宋体" w:cs="宋体"/>
          <w:b/>
          <w:bCs/>
          <w:spacing w:val="-20"/>
          <w:sz w:val="48"/>
          <w:szCs w:val="48"/>
        </w:rPr>
      </w:pPr>
      <w:r/>
      <w:bookmarkStart w:id="3" w:name="_Toc163482576"/>
      <w:r>
        <w:rPr>
          <w:rFonts w:hint="eastAsia" w:ascii="宋体" w:hAnsi="宋体" w:eastAsia="宋体" w:cs="宋体"/>
          <w:b/>
          <w:bCs/>
          <w:spacing w:val="-20"/>
          <w:sz w:val="48"/>
          <w:szCs w:val="48"/>
        </w:rPr>
        <w:t xml:space="preserve">连云港市政府采购货物买卖合同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firstLine="640"/>
        <w:spacing w:line="360" w:lineRule="auto"/>
        <w:rPr>
          <w:sz w:val="32"/>
          <w:szCs w:val="32"/>
        </w:rPr>
      </w:pPr>
      <w:r>
        <w:rPr>
          <w:rFonts w:hint="eastAsia" w:ascii="宋体" w:hAnsi="宋体" w:cs="宋体"/>
          <w:sz w:val="32"/>
          <w:szCs w:val="32"/>
        </w:rPr>
        <w:t xml:space="preserve">项目名称：</w:t>
      </w:r>
      <w:r/>
    </w:p>
    <w:p>
      <w:pPr>
        <w:ind w:left="420" w:firstLine="640"/>
        <w:spacing w:line="360" w:lineRule="auto"/>
        <w:rPr>
          <w:sz w:val="32"/>
          <w:szCs w:val="32"/>
          <w:u w:val="single"/>
        </w:rPr>
      </w:pPr>
      <w:r>
        <w:rPr>
          <w:rFonts w:hint="eastAsia"/>
          <w:sz w:val="32"/>
          <w:szCs w:val="32"/>
        </w:rPr>
        <w:t xml:space="preserve">合同编号：</w:t>
      </w:r>
      <w:r/>
    </w:p>
    <w:p>
      <w:pPr>
        <w:ind w:left="420" w:firstLine="640"/>
        <w:spacing w:line="360" w:lineRule="auto"/>
        <w:rPr>
          <w:sz w:val="32"/>
          <w:szCs w:val="32"/>
        </w:rPr>
      </w:pPr>
      <w:r>
        <w:rPr>
          <w:rFonts w:hint="eastAsia"/>
          <w:sz w:val="32"/>
          <w:szCs w:val="32"/>
        </w:rPr>
        <w:t xml:space="preserve">甲    方：</w:t>
      </w:r>
      <w:r/>
    </w:p>
    <w:p>
      <w:pPr>
        <w:ind w:left="420" w:firstLine="640"/>
        <w:spacing w:line="360" w:lineRule="auto"/>
        <w:rPr>
          <w:sz w:val="32"/>
          <w:szCs w:val="32"/>
          <w:u w:val="single"/>
        </w:rPr>
      </w:pPr>
      <w:r>
        <w:rPr>
          <w:rFonts w:hint="eastAsia"/>
          <w:sz w:val="32"/>
          <w:szCs w:val="32"/>
        </w:rPr>
        <w:t xml:space="preserve">乙    方：</w:t>
      </w:r>
      <w:r/>
    </w:p>
    <w:p>
      <w:pPr>
        <w:ind w:left="420" w:firstLine="640"/>
        <w:spacing w:line="360" w:lineRule="auto"/>
        <w:rPr>
          <w:sz w:val="32"/>
          <w:szCs w:val="32"/>
        </w:rPr>
      </w:pPr>
      <w:r>
        <w:rPr>
          <w:rFonts w:hint="eastAsia"/>
          <w:sz w:val="32"/>
          <w:szCs w:val="32"/>
        </w:rPr>
        <w:t xml:space="preserve">签订时间：</w:t>
      </w:r>
      <w:r/>
    </w:p>
    <w:p>
      <w:pPr>
        <w:ind w:firstLine="880"/>
        <w:jc w:val="left"/>
        <w:widowControl/>
        <w:rPr>
          <w:rFonts w:eastAsia="黑体"/>
          <w:sz w:val="44"/>
          <w:szCs w:val="44"/>
        </w:rPr>
      </w:pPr>
      <w:r>
        <w:rPr>
          <w:rFonts w:eastAsia="黑体"/>
          <w:sz w:val="44"/>
          <w:szCs w:val="44"/>
        </w:rPr>
        <w:br w:type="page" w:clear="all"/>
      </w:r>
      <w:r/>
    </w:p>
    <w:p>
      <w:pPr>
        <w:jc w:val="center"/>
        <w:rPr>
          <w:rFonts w:ascii="黑体" w:hAnsi="黑体" w:eastAsia="黑体"/>
          <w:sz w:val="40"/>
          <w:szCs w:val="44"/>
        </w:rPr>
      </w:pPr>
      <w:r>
        <w:rPr>
          <w:rFonts w:hint="eastAsia" w:ascii="黑体" w:hAnsi="黑体" w:eastAsia="黑体"/>
          <w:sz w:val="40"/>
          <w:szCs w:val="44"/>
        </w:rPr>
        <w:t xml:space="preserve">使用说明</w:t>
      </w:r>
      <w:r/>
    </w:p>
    <w:p>
      <w:pPr>
        <w:jc w:val="center"/>
        <w:rPr>
          <w:rFonts w:ascii="黑体" w:hAnsi="黑体" w:eastAsia="黑体"/>
          <w:sz w:val="44"/>
          <w:szCs w:val="44"/>
        </w:rPr>
      </w:pPr>
      <w:r>
        <w:rPr>
          <w:rFonts w:ascii="黑体" w:hAnsi="黑体" w:eastAsia="黑体"/>
          <w:sz w:val="44"/>
          <w:szCs w:val="44"/>
        </w:rPr>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1.本合同标准文本适用于购买现成货物的采购项目，不包括需要供应商定制开发、创新研发的货物采购项目。</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2.本合同标准文本为政府采购货物买卖合同编制提供参考，可以结合采购项目具体情况，对文本作必要的调整修订后使用。</w:t>
      </w:r>
      <w:r/>
    </w:p>
    <w:p>
      <w:pPr>
        <w:ind w:firstLine="560"/>
        <w:rPr>
          <w:rFonts w:ascii="仿宋" w:hAnsi="仿宋" w:eastAsia="仿宋" w:cs="仿宋_GB2312"/>
          <w:sz w:val="28"/>
          <w:szCs w:val="32"/>
        </w:rPr>
      </w:pPr>
      <w:r>
        <w:rPr>
          <w:rFonts w:hint="eastAsia" w:ascii="仿宋" w:hAnsi="仿宋" w:eastAsia="仿宋" w:cs="仿宋_GB2312"/>
          <w:sz w:val="28"/>
          <w:szCs w:val="32"/>
        </w:rPr>
        <w:t xml:space="preserve">3.本合同标准文本各条款中，如涉及填写多家供应商、制造商，多种采购标的、分包主要内容等信息的，可根据采购项目具体情况添加信息项。</w:t>
      </w:r>
      <w:r/>
    </w:p>
    <w:p>
      <w:pPr>
        <w:jc w:val="left"/>
        <w:widowControl/>
        <w:rPr>
          <w:rFonts w:ascii="黑体" w:hAnsi="黑体" w:eastAsia="黑体" w:cstheme="majorBidi"/>
          <w:sz w:val="28"/>
          <w:szCs w:val="28"/>
        </w:rPr>
      </w:pPr>
      <w:r/>
      <w:bookmarkStart w:id="4" w:name="_Toc22209"/>
      <w:r>
        <w:rPr>
          <w:rFonts w:ascii="黑体" w:hAnsi="黑体" w:eastAsia="黑体"/>
          <w:b/>
          <w:bCs/>
          <w:sz w:val="28"/>
          <w:szCs w:val="28"/>
        </w:rPr>
        <w:br w:type="page" w:clear="all"/>
      </w:r>
      <w:r/>
    </w:p>
    <w:p>
      <w:pPr>
        <w:jc w:val="center"/>
        <w:rPr>
          <w:b/>
          <w:sz w:val="28"/>
          <w:szCs w:val="28"/>
        </w:rPr>
      </w:pPr>
      <w:r>
        <w:rPr>
          <w:rFonts w:hint="eastAsia" w:hAnsi="黑体"/>
          <w:b/>
          <w:sz w:val="28"/>
          <w:szCs w:val="28"/>
        </w:rPr>
        <w:t xml:space="preserve">第一节 </w:t>
      </w:r>
      <w:r>
        <w:rPr>
          <w:rFonts w:hint="eastAsia"/>
          <w:b/>
          <w:sz w:val="28"/>
          <w:szCs w:val="28"/>
        </w:rPr>
        <w:t xml:space="preserve">政府采购合同协议书</w:t>
      </w:r>
      <w:bookmarkEnd w:id="4"/>
      <w:r/>
      <w:r/>
    </w:p>
    <w:p>
      <w:pPr>
        <w:jc w:val="center"/>
        <w:rPr>
          <w:b/>
          <w:sz w:val="28"/>
          <w:szCs w:val="28"/>
        </w:rPr>
      </w:pPr>
      <w:r>
        <w:rPr>
          <w:b/>
          <w:sz w:val="28"/>
          <w:szCs w:val="28"/>
        </w:rPr>
      </w:r>
      <w:r/>
    </w:p>
    <w:p>
      <w:pPr>
        <w:spacing w:line="400" w:lineRule="exact"/>
        <w:rPr>
          <w:rFonts w:ascii="宋体" w:hAnsi="宋体" w:eastAsia="宋体"/>
          <w:sz w:val="24"/>
          <w:szCs w:val="21"/>
        </w:rPr>
      </w:pPr>
      <w:r>
        <w:rPr>
          <w:rFonts w:hint="eastAsia" w:ascii="宋体" w:hAnsi="宋体" w:eastAsia="宋体"/>
          <w:sz w:val="24"/>
          <w:szCs w:val="21"/>
        </w:rPr>
        <w:t xml:space="preserve">甲方（全称）：（采购人、受采购人委托签订合同的单位或采购文件约定的合同甲方）</w:t>
      </w:r>
      <w:r/>
    </w:p>
    <w:p>
      <w:pPr>
        <w:spacing w:line="400" w:lineRule="exact"/>
        <w:rPr>
          <w:rFonts w:ascii="宋体" w:hAnsi="宋体" w:eastAsia="宋体"/>
          <w:sz w:val="24"/>
          <w:szCs w:val="21"/>
        </w:rPr>
      </w:pPr>
      <w:r>
        <w:rPr>
          <w:rFonts w:hint="eastAsia" w:ascii="宋体" w:hAnsi="宋体" w:eastAsia="宋体"/>
          <w:sz w:val="24"/>
          <w:szCs w:val="21"/>
        </w:rPr>
        <w:t xml:space="preserve">乙方1（全称）：（供应商）</w:t>
      </w:r>
      <w:r/>
    </w:p>
    <w:p>
      <w:pPr>
        <w:spacing w:line="400" w:lineRule="exact"/>
        <w:rPr>
          <w:rFonts w:ascii="宋体" w:hAnsi="宋体" w:eastAsia="宋体"/>
          <w:sz w:val="24"/>
          <w:szCs w:val="21"/>
        </w:rPr>
      </w:pPr>
      <w:r>
        <w:rPr>
          <w:rFonts w:hint="eastAsia" w:ascii="宋体" w:hAnsi="宋体" w:eastAsia="宋体"/>
          <w:sz w:val="24"/>
          <w:szCs w:val="21"/>
        </w:rPr>
        <w:t xml:space="preserve">乙方2（全称）：（联合体成员供应商或其他合同主体）（如有）</w:t>
      </w:r>
      <w:r/>
    </w:p>
    <w:p>
      <w:pPr>
        <w:spacing w:line="400" w:lineRule="exact"/>
        <w:rPr>
          <w:rFonts w:ascii="宋体" w:hAnsi="宋体" w:eastAsia="宋体"/>
          <w:sz w:val="24"/>
          <w:szCs w:val="21"/>
        </w:rPr>
      </w:pPr>
      <w:r>
        <w:rPr>
          <w:rFonts w:hint="eastAsia" w:ascii="宋体" w:hAnsi="宋体" w:eastAsia="宋体"/>
          <w:sz w:val="24"/>
        </w:rPr>
        <w:t xml:space="preserve">乙方</w:t>
      </w:r>
      <w:r>
        <w:rPr>
          <w:rFonts w:hint="eastAsia" w:ascii="宋体" w:hAnsi="宋体" w:eastAsia="宋体"/>
          <w:sz w:val="24"/>
          <w:szCs w:val="21"/>
        </w:rPr>
        <w:t xml:space="preserve">3</w:t>
      </w:r>
      <w:r>
        <w:rPr>
          <w:rFonts w:hint="eastAsia" w:ascii="宋体" w:hAnsi="宋体" w:eastAsia="宋体"/>
          <w:sz w:val="24"/>
        </w:rPr>
        <w:t xml:space="preserve">（全称）：</w:t>
      </w:r>
      <w:r>
        <w:rPr>
          <w:rFonts w:hint="eastAsia" w:ascii="宋体" w:hAnsi="宋体" w:eastAsia="宋体"/>
          <w:sz w:val="24"/>
          <w:szCs w:val="21"/>
        </w:rPr>
        <w:t xml:space="preserve">（联合体成员供应商或其他合同主体）（如有）</w:t>
      </w:r>
      <w:r/>
    </w:p>
    <w:p>
      <w:pPr>
        <w:spacing w:line="400" w:lineRule="exact"/>
        <w:rPr>
          <w:rFonts w:ascii="宋体" w:hAnsi="宋体" w:eastAsia="宋体"/>
        </w:rPr>
      </w:pPr>
      <w:r>
        <w:rPr>
          <w:rFonts w:ascii="宋体" w:hAnsi="宋体" w:eastAsia="宋体"/>
        </w:rPr>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项目信息</w:t>
      </w:r>
      <w:r/>
    </w:p>
    <w:p>
      <w:pPr>
        <w:ind w:left="420"/>
        <w:jc w:val="left"/>
        <w:spacing w:line="400" w:lineRule="exact"/>
        <w:rPr>
          <w:rFonts w:ascii="宋体" w:hAnsi="宋体" w:eastAsia="宋体" w:cs="Times New Roman"/>
          <w:sz w:val="24"/>
          <w:szCs w:val="21"/>
          <w:u w:val="single"/>
        </w:rPr>
      </w:pPr>
      <w:r>
        <w:rPr>
          <w:rFonts w:hint="eastAsia" w:ascii="宋体" w:hAnsi="宋体" w:eastAsia="宋体" w:cs="Times New Roman"/>
          <w:sz w:val="24"/>
          <w:szCs w:val="21"/>
        </w:rPr>
        <w:t xml:space="preserve">（1）采购项目名称：</w:t>
      </w:r>
      <w:r/>
    </w:p>
    <w:p>
      <w:pPr>
        <w:numPr>
          <w:ilvl w:val="255"/>
          <w:numId w:val="0"/>
        </w:numPr>
        <w:ind w:firstLine="1080"/>
        <w:jc w:val="left"/>
        <w:spacing w:line="400" w:lineRule="exact"/>
        <w:tabs>
          <w:tab w:val="left" w:pos="999" w:leader="none"/>
        </w:tabs>
        <w:rPr>
          <w:rFonts w:ascii="宋体" w:hAnsi="宋体" w:eastAsia="宋体" w:cs="Times New Roman"/>
          <w:sz w:val="24"/>
          <w:szCs w:val="21"/>
        </w:rPr>
      </w:pPr>
      <w:r>
        <w:rPr>
          <w:rFonts w:hint="eastAsia" w:ascii="宋体" w:hAnsi="宋体" w:eastAsia="宋体" w:cs="Times New Roman"/>
          <w:sz w:val="24"/>
          <w:szCs w:val="21"/>
        </w:rPr>
        <w:t xml:space="preserve">采购项目编号：</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（2）采购计划编号：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（3）项目内容：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采购标的及数量（台/套</w:t>
      </w:r>
      <w:r>
        <w:rPr>
          <w:rFonts w:ascii="宋体" w:hAnsi="宋体" w:eastAsia="宋体"/>
          <w:sz w:val="24"/>
          <w:szCs w:val="21"/>
        </w:rPr>
        <w:t xml:space="preserve">/</w:t>
      </w:r>
      <w:r>
        <w:rPr>
          <w:rFonts w:hint="eastAsia" w:ascii="宋体" w:hAnsi="宋体" w:eastAsia="宋体"/>
          <w:sz w:val="24"/>
          <w:szCs w:val="21"/>
        </w:rPr>
        <w:t xml:space="preserve">个</w:t>
      </w:r>
      <w:r>
        <w:rPr>
          <w:rFonts w:ascii="宋体" w:hAnsi="宋体" w:eastAsia="宋体"/>
          <w:sz w:val="24"/>
          <w:szCs w:val="21"/>
        </w:rPr>
        <w:t xml:space="preserve">/</w:t>
      </w:r>
      <w:r>
        <w:rPr>
          <w:rFonts w:hint="eastAsia" w:ascii="宋体" w:hAnsi="宋体" w:eastAsia="宋体"/>
          <w:sz w:val="24"/>
          <w:szCs w:val="21"/>
        </w:rPr>
        <w:t xml:space="preserve">架</w:t>
      </w:r>
      <w:r>
        <w:rPr>
          <w:rFonts w:ascii="宋体" w:hAnsi="宋体" w:eastAsia="宋体"/>
          <w:sz w:val="24"/>
          <w:szCs w:val="21"/>
        </w:rPr>
        <w:t xml:space="preserve">/</w:t>
      </w:r>
      <w:r>
        <w:rPr>
          <w:rFonts w:hint="eastAsia" w:ascii="宋体" w:hAnsi="宋体" w:eastAsia="宋体"/>
          <w:sz w:val="24"/>
          <w:szCs w:val="21"/>
        </w:rPr>
        <w:t xml:space="preserve">组等）：</w:t>
      </w:r>
      <w:r/>
    </w:p>
    <w:p>
      <w:pPr>
        <w:ind w:firstLine="1080"/>
        <w:jc w:val="left"/>
        <w:spacing w:line="400" w:lineRule="exact"/>
        <w:rPr>
          <w:rFonts w:ascii="宋体" w:hAnsi="宋体" w:eastAsia="宋体" w:cs="宋体"/>
          <w:sz w:val="24"/>
          <w:szCs w:val="21"/>
        </w:rPr>
      </w:pPr>
      <w:r>
        <w:rPr>
          <w:rFonts w:hint="eastAsia" w:ascii="宋体" w:hAnsi="宋体" w:eastAsia="宋体"/>
          <w:sz w:val="24"/>
          <w:szCs w:val="21"/>
        </w:rPr>
        <w:t xml:space="preserve">品牌：    规格型号</w:t>
      </w:r>
      <w:r>
        <w:rPr>
          <w:rFonts w:hint="eastAsia" w:ascii="宋体" w:hAnsi="宋体" w:eastAsia="宋体" w:cs="宋体"/>
          <w:sz w:val="24"/>
          <w:szCs w:val="21"/>
        </w:rPr>
        <w:t xml:space="preserve">：    </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采购标的的技术要求、商务要求具体见附件。</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汉仪书宋二S"/>
          <w:sz w:val="24"/>
          <w:szCs w:val="21"/>
        </w:rPr>
        <w:t xml:space="preserve">①</w:t>
      </w:r>
      <w:r>
        <w:rPr>
          <w:rFonts w:hint="eastAsia" w:ascii="宋体" w:hAnsi="宋体" w:eastAsia="宋体" w:cs="宋体"/>
          <w:sz w:val="24"/>
          <w:szCs w:val="21"/>
        </w:rPr>
        <w:t xml:space="preserve">涉及信息类产品，请填写该产品关键部件的品牌、型号：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标的名称：</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szCs w:val="21"/>
        </w:rPr>
        <w:t xml:space="preserve">关键部件：    品牌：    型号：</w:t>
      </w:r>
      <w:r/>
    </w:p>
    <w:p>
      <w:pPr>
        <w:numPr>
          <w:ilvl w:val="255"/>
          <w:numId w:val="0"/>
        </w:numPr>
        <w:ind w:firstLine="1080"/>
        <w:jc w:val="left"/>
        <w:spacing w:line="400" w:lineRule="exact"/>
        <w:rPr>
          <w:rFonts w:ascii="宋体" w:hAnsi="宋体" w:eastAsia="宋体" w:cs="宋体"/>
          <w:sz w:val="24"/>
        </w:rPr>
      </w:pPr>
      <w:r>
        <w:rPr>
          <w:rFonts w:hint="eastAsia" w:ascii="宋体" w:hAnsi="宋体" w:eastAsia="宋体" w:cs="宋体"/>
          <w:sz w:val="24"/>
        </w:rPr>
        <w:t xml:space="preserve">关键部件：    品牌：    型号：</w:t>
      </w:r>
      <w:r/>
    </w:p>
    <w:p>
      <w:pPr>
        <w:numPr>
          <w:ilvl w:val="255"/>
          <w:numId w:val="0"/>
        </w:numPr>
        <w:ind w:firstLine="1080"/>
        <w:jc w:val="left"/>
        <w:spacing w:line="400" w:lineRule="exact"/>
        <w:rPr>
          <w:rFonts w:ascii="宋体" w:hAnsi="宋体" w:eastAsia="宋体" w:cs="宋体"/>
          <w:sz w:val="24"/>
          <w:szCs w:val="21"/>
        </w:rPr>
      </w:pPr>
      <w:r>
        <w:rPr>
          <w:rFonts w:hint="eastAsia" w:ascii="宋体" w:hAnsi="宋体" w:eastAsia="宋体" w:cs="宋体"/>
          <w:sz w:val="24"/>
        </w:rPr>
        <w:t xml:space="preserve">（注：关键部件是指财政部会同有关部门发布的政府采购需求标准规定的需要通过国家有关部门指定的测评机构开展的安全可靠测评的软硬件，如CPU芯片、操作系统、数据库等。）</w:t>
      </w:r>
      <w:r/>
    </w:p>
    <w:p>
      <w:pPr>
        <w:numPr>
          <w:ilvl w:val="255"/>
          <w:numId w:val="0"/>
        </w:numPr>
        <w:ind w:firstLine="1080"/>
        <w:jc w:val="left"/>
        <w:spacing w:line="400" w:lineRule="exact"/>
        <w:widowControl/>
        <w:rPr>
          <w:rFonts w:ascii="宋体" w:hAnsi="宋体" w:eastAsia="宋体" w:cs="宋体"/>
          <w:sz w:val="24"/>
          <w:szCs w:val="21"/>
        </w:rPr>
      </w:pPr>
      <w:r>
        <w:rPr>
          <w:rFonts w:hint="eastAsia" w:ascii="宋体" w:hAnsi="宋体" w:eastAsia="宋体" w:cs="汉仪书宋二S"/>
          <w:sz w:val="24"/>
          <w:szCs w:val="21"/>
        </w:rPr>
        <w:t xml:space="preserve">②</w:t>
      </w:r>
      <w:r>
        <w:rPr>
          <w:rFonts w:hint="eastAsia" w:ascii="宋体" w:hAnsi="宋体" w:eastAsia="宋体" w:cs="宋体"/>
          <w:sz w:val="24"/>
          <w:szCs w:val="21"/>
        </w:rPr>
        <w:t xml:space="preserve">涉及车辆采购，请填写是否属于新能源汽车：</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是，《政府采购品目分类目录》 底级品目名称：    数量：    金额：</w:t>
      </w:r>
      <w:r/>
    </w:p>
    <w:p>
      <w:pPr>
        <w:numPr>
          <w:ilvl w:val="255"/>
          <w:numId w:val="0"/>
        </w:numPr>
        <w:ind w:firstLine="1080"/>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否</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4</w:t>
      </w:r>
      <w:r>
        <w:rPr>
          <w:rFonts w:hint="eastAsia" w:ascii="宋体" w:hAnsi="宋体" w:eastAsia="宋体" w:cstheme="minorEastAsia"/>
          <w:sz w:val="24"/>
          <w:szCs w:val="21"/>
        </w:rPr>
        <w:t xml:space="preserve">）政府采购组织形式：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政府集中采购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部门集中采购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分散采购</w:t>
      </w:r>
      <w:r/>
    </w:p>
    <w:p>
      <w:pPr>
        <w:numPr>
          <w:ilvl w:val="255"/>
          <w:numId w:val="0"/>
        </w:numPr>
        <w:ind w:firstLine="480"/>
        <w:jc w:val="left"/>
        <w:spacing w:line="400" w:lineRule="exact"/>
        <w:widowControl/>
        <w:rPr>
          <w:rFonts w:ascii="宋体" w:hAnsi="宋体" w:eastAsia="宋体" w:cstheme="minorEastAsia"/>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5</w:t>
      </w:r>
      <w:r>
        <w:rPr>
          <w:rFonts w:hint="eastAsia" w:ascii="宋体" w:hAnsi="宋体" w:eastAsia="宋体" w:cstheme="minorEastAsia"/>
          <w:sz w:val="24"/>
          <w:szCs w:val="21"/>
        </w:rPr>
        <w:t xml:space="preserve">）政府采购方式：</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公开招标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邀请招标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竞争性谈判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竞争性磋商</w:t>
      </w:r>
      <w:r/>
    </w:p>
    <w:p>
      <w:pPr>
        <w:numPr>
          <w:ilvl w:val="255"/>
          <w:numId w:val="0"/>
        </w:numPr>
        <w:ind w:firstLine="2784"/>
        <w:jc w:val="left"/>
        <w:spacing w:line="400" w:lineRule="exact"/>
        <w:widowControl/>
        <w:rPr>
          <w:rFonts w:ascii="宋体" w:hAnsi="宋体" w:eastAsia="宋体" w:cstheme="minorEastAsia"/>
          <w:sz w:val="24"/>
          <w:szCs w:val="21"/>
        </w:rPr>
      </w:pPr>
      <w:r>
        <w:rPr>
          <w:rFonts w:ascii="Wingdings" w:hAnsi="Wingdings" w:eastAsia="Wingdings" w:cs="Wingdings"/>
          <w:sz w:val="24"/>
          <w:szCs w:val="21"/>
        </w:rPr>
        <w:t xml:space="preserve">¨</w:t>
      </w:r>
      <w:r>
        <w:rPr>
          <w:rFonts w:hint="eastAsia" w:ascii="宋体" w:hAnsi="宋体" w:eastAsia="宋体" w:cstheme="minorEastAsia"/>
          <w:sz w:val="24"/>
          <w:szCs w:val="21"/>
        </w:rPr>
        <w:t xml:space="preserve">询价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单一来源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框架协议  </w:t>
      </w:r>
      <w:r>
        <w:rPr>
          <w:rFonts w:ascii="Wingdings" w:hAnsi="Wingdings" w:eastAsia="Wingdings" w:cs="Wingdings"/>
          <w:sz w:val="24"/>
          <w:szCs w:val="21"/>
        </w:rPr>
        <w:t xml:space="preserve">¨</w:t>
      </w:r>
      <w:r>
        <w:rPr>
          <w:rFonts w:hint="eastAsia" w:ascii="宋体" w:hAnsi="宋体" w:eastAsia="宋体" w:cstheme="minorEastAsia"/>
          <w:sz w:val="24"/>
          <w:szCs w:val="21"/>
        </w:rPr>
        <w:t xml:space="preserve">其他：</w:t>
      </w:r>
      <w:r/>
    </w:p>
    <w:p>
      <w:pPr>
        <w:numPr>
          <w:ilvl w:val="255"/>
          <w:numId w:val="0"/>
        </w:numPr>
        <w:ind w:firstLine="1080"/>
        <w:jc w:val="left"/>
        <w:spacing w:line="400" w:lineRule="exact"/>
        <w:widowControl/>
        <w:rPr>
          <w:rFonts w:ascii="宋体" w:hAnsi="宋体" w:eastAsia="宋体" w:cs="宋体"/>
          <w:sz w:val="24"/>
          <w:szCs w:val="21"/>
          <w:u w:val="single"/>
        </w:rPr>
      </w:pPr>
      <w:r>
        <w:rPr>
          <w:rFonts w:hint="eastAsia" w:ascii="宋体" w:hAnsi="宋体" w:eastAsia="宋体" w:cs="宋体"/>
          <w:sz w:val="24"/>
          <w:szCs w:val="21"/>
        </w:rPr>
        <w:t xml:space="preserve">（注：在框架协议采购的第二阶段，可选择使用该合同文本）</w:t>
      </w:r>
      <w:r/>
    </w:p>
    <w:p>
      <w:pPr>
        <w:numPr>
          <w:ilvl w:val="255"/>
          <w:numId w:val="0"/>
        </w:numPr>
        <w:ind w:firstLine="480"/>
        <w:jc w:val="left"/>
        <w:spacing w:line="400" w:lineRule="exact"/>
        <w:widowControl/>
        <w:rPr>
          <w:rFonts w:ascii="宋体" w:hAnsi="宋体" w:eastAsia="宋体" w:cs="Times New Roman"/>
          <w:sz w:val="24"/>
          <w:szCs w:val="21"/>
        </w:rPr>
      </w:pPr>
      <w:r>
        <w:rPr>
          <w:rFonts w:hint="eastAsia" w:ascii="宋体" w:hAnsi="宋体" w:eastAsia="宋体" w:cstheme="minorEastAsia"/>
          <w:sz w:val="24"/>
          <w:szCs w:val="21"/>
        </w:rPr>
        <w:t xml:space="preserve">（</w:t>
      </w:r>
      <w:r>
        <w:rPr>
          <w:rFonts w:ascii="宋体" w:hAnsi="宋体" w:eastAsia="宋体" w:cstheme="minorEastAsia"/>
          <w:sz w:val="24"/>
          <w:szCs w:val="21"/>
        </w:rPr>
        <w:t xml:space="preserve">6</w:t>
      </w:r>
      <w:r>
        <w:rPr>
          <w:rFonts w:hint="eastAsia" w:ascii="宋体" w:hAnsi="宋体" w:eastAsia="宋体" w:cstheme="minorEastAsia"/>
          <w:sz w:val="24"/>
          <w:szCs w:val="21"/>
        </w:rPr>
        <w:t xml:space="preserve">）中标（成交）采购</w:t>
      </w:r>
      <w:r>
        <w:rPr>
          <w:rFonts w:hint="eastAsia" w:ascii="宋体" w:hAnsi="宋体" w:eastAsia="宋体" w:cs="Times New Roman"/>
          <w:sz w:val="24"/>
          <w:szCs w:val="21"/>
        </w:rPr>
        <w:t xml:space="preserve">标的制造商是否为中小企业：</w:t>
      </w:r>
      <w:r>
        <w:rPr>
          <w:rFonts w:ascii="Wingdings" w:hAnsi="Wingdings" w:eastAsia="Wingdings" w:cs="Wingdings"/>
          <w:sz w:val="24"/>
          <w:szCs w:val="21"/>
        </w:rPr>
        <w:t xml:space="preserve">¨</w:t>
      </w:r>
      <w:r>
        <w:rPr>
          <w:rFonts w:hint="eastAsia" w:ascii="宋体" w:hAnsi="宋体" w:eastAsia="宋体" w:cs="Times New Roman"/>
          <w:sz w:val="24"/>
          <w:szCs w:val="21"/>
        </w:rPr>
        <w:t xml:space="preserve">是  </w:t>
      </w:r>
      <w:r>
        <w:rPr>
          <w:rFonts w:ascii="Wingdings" w:hAnsi="Wingdings" w:eastAsia="Wingdings" w:cs="Wingdings"/>
          <w:sz w:val="24"/>
          <w:szCs w:val="21"/>
        </w:rPr>
        <w:t xml:space="preserve">¨</w:t>
      </w:r>
      <w:r>
        <w:rPr>
          <w:rFonts w:hint="eastAsia" w:ascii="宋体" w:hAnsi="宋体" w:eastAsia="宋体" w:cs="Times New Roman"/>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szCs w:val="21"/>
        </w:rPr>
        <w:t xml:space="preserve">本合同是否为专门面向中小企业的采购合同（中小企业预留合同）：</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若本项目不专门面向中小企业采购，是否给予小微企业评审优惠：</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numPr>
          <w:ilvl w:val="255"/>
          <w:numId w:val="0"/>
        </w:numPr>
        <w:ind w:firstLine="1080"/>
        <w:jc w:val="left"/>
        <w:spacing w:line="400" w:lineRule="exact"/>
        <w:rPr>
          <w:rFonts w:ascii="宋体" w:hAnsi="宋体" w:eastAsia="宋体"/>
          <w:iCs/>
          <w:sz w:val="24"/>
          <w:szCs w:val="21"/>
        </w:rPr>
      </w:pPr>
      <w:r>
        <w:rPr>
          <w:rFonts w:hint="eastAsia" w:ascii="宋体" w:hAnsi="宋体" w:eastAsia="宋体"/>
          <w:sz w:val="24"/>
        </w:rPr>
        <w:t xml:space="preserve">中标（成交）采购标的制造商是否为残疾人福利性单位：</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rPr>
      </w:pPr>
      <w:r>
        <w:rPr>
          <w:rFonts w:hint="eastAsia" w:ascii="宋体" w:hAnsi="宋体" w:eastAsia="宋体"/>
          <w:sz w:val="24"/>
        </w:rPr>
        <w:t xml:space="preserve">中标（成交）采购标的制造商是否为监狱企业：</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w:t>
      </w:r>
      <w:r>
        <w:rPr>
          <w:rFonts w:ascii="宋体" w:hAnsi="宋体" w:eastAsia="宋体"/>
          <w:sz w:val="24"/>
          <w:szCs w:val="21"/>
        </w:rPr>
        <w:t xml:space="preserve">7</w:t>
      </w:r>
      <w:r>
        <w:rPr>
          <w:rFonts w:hint="eastAsia" w:ascii="宋体" w:hAnsi="宋体" w:eastAsia="宋体"/>
          <w:sz w:val="24"/>
          <w:szCs w:val="21"/>
        </w:rPr>
        <w:t xml:space="preserve">）合同是否分包：</w:t>
      </w:r>
      <w:r>
        <w:rPr>
          <w:rFonts w:ascii="Wingdings" w:hAnsi="Wingdings" w:eastAsia="Wingdings" w:cs="Wingdings"/>
          <w:iCs/>
          <w:sz w:val="24"/>
          <w:szCs w:val="21"/>
        </w:rPr>
        <w:t xml:space="preserve">¨</w:t>
      </w:r>
      <w:r>
        <w:rPr>
          <w:rFonts w:hint="eastAsia" w:ascii="宋体" w:hAnsi="宋体" w:eastAsia="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iCs/>
          <w:sz w:val="24"/>
          <w:szCs w:val="21"/>
        </w:rPr>
        <w:t xml:space="preserve">否</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分包主要内容：</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分包供应商/制造商名称（如供应商和制造商不同，请分别填写）：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分包供应商/制造商类型（如果供应商和制造商不同，只填写制造商类型）：</w:t>
      </w:r>
      <w:r/>
    </w:p>
    <w:p>
      <w:pPr>
        <w:ind w:firstLine="1080"/>
        <w:jc w:val="left"/>
        <w:spacing w:line="400" w:lineRule="exact"/>
        <w:rPr>
          <w:rFonts w:ascii="宋体" w:hAnsi="宋体" w:eastAsia="宋体"/>
          <w:iCs/>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大型企业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中型企业  </w:t>
      </w:r>
      <w:r>
        <w:rPr>
          <w:rFonts w:ascii="Wingdings" w:hAnsi="Wingdings" w:eastAsia="Wingdings" w:cs="Wingdings"/>
          <w:iCs/>
          <w:sz w:val="24"/>
          <w:szCs w:val="21"/>
        </w:rPr>
        <w:t xml:space="preserve">¨</w:t>
      </w:r>
      <w:r>
        <w:rPr>
          <w:rFonts w:hint="eastAsia" w:ascii="宋体" w:hAnsi="宋体" w:eastAsia="宋体"/>
          <w:iCs/>
          <w:sz w:val="24"/>
          <w:szCs w:val="21"/>
        </w:rPr>
        <w:t xml:space="preserve">小微型企业</w:t>
      </w:r>
      <w:r/>
    </w:p>
    <w:p>
      <w:pPr>
        <w:ind w:firstLine="1080"/>
        <w:jc w:val="left"/>
        <w:spacing w:line="400" w:lineRule="exact"/>
        <w:rPr>
          <w:rFonts w:ascii="宋体" w:hAnsi="宋体" w:eastAsia="宋体"/>
          <w:sz w:val="24"/>
        </w:rPr>
      </w:pPr>
      <w:r>
        <w:rPr>
          <w:rFonts w:ascii="Wingdings" w:hAnsi="Wingdings" w:eastAsia="Wingdings" w:cs="Wingdings"/>
          <w:iCs/>
          <w:sz w:val="24"/>
          <w:szCs w:val="21"/>
        </w:rPr>
        <w:t xml:space="preserve">¨</w:t>
      </w:r>
      <w:r>
        <w:rPr>
          <w:rFonts w:hint="eastAsia" w:ascii="宋体" w:hAnsi="宋体" w:eastAsia="宋体"/>
          <w:iCs/>
          <w:sz w:val="24"/>
          <w:szCs w:val="21"/>
        </w:rPr>
        <w:t xml:space="preserve">残疾人福利性单位  </w:t>
      </w:r>
      <w:r>
        <w:rPr>
          <w:rFonts w:ascii="Wingdings" w:hAnsi="Wingdings" w:eastAsia="Wingdings" w:cs="Wingdings"/>
          <w:iCs/>
          <w:sz w:val="24"/>
          <w:szCs w:val="21"/>
        </w:rPr>
        <w:t xml:space="preserve">¨</w:t>
      </w:r>
      <w:r>
        <w:rPr>
          <w:rFonts w:hint="eastAsia" w:ascii="宋体" w:hAnsi="宋体" w:eastAsia="宋体"/>
          <w:iCs/>
          <w:sz w:val="24"/>
          <w:szCs w:val="21"/>
        </w:rPr>
        <w:t xml:space="preserve">监狱企业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numPr>
          <w:ilvl w:val="255"/>
          <w:numId w:val="0"/>
        </w:numPr>
        <w:ind w:firstLine="480"/>
        <w:jc w:val="left"/>
        <w:spacing w:line="400" w:lineRule="exact"/>
        <w:rPr>
          <w:rFonts w:ascii="宋体" w:hAnsi="宋体" w:eastAsia="宋体" w:cs="宋体"/>
          <w:iCs/>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8</w:t>
      </w:r>
      <w:r>
        <w:rPr>
          <w:rFonts w:hint="eastAsia" w:ascii="宋体" w:hAnsi="宋体" w:eastAsia="宋体" w:cs="宋体"/>
          <w:sz w:val="24"/>
          <w:szCs w:val="21"/>
        </w:rPr>
        <w:t xml:space="preserve">）中标（成交）供应商是否为外商投资企业：</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是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否</w:t>
      </w:r>
      <w:r/>
    </w:p>
    <w:p>
      <w:pPr>
        <w:ind w:firstLine="1080"/>
        <w:jc w:val="left"/>
        <w:spacing w:line="400" w:lineRule="exact"/>
        <w:widowControl/>
        <w:tabs>
          <w:tab w:val="left" w:pos="1340" w:leader="none"/>
        </w:tabs>
        <w:rPr>
          <w:rFonts w:ascii="宋体" w:hAnsi="宋体" w:eastAsia="宋体" w:cs="宋体"/>
          <w:sz w:val="24"/>
          <w:szCs w:val="21"/>
          <w:u w:val="single"/>
        </w:rPr>
      </w:pPr>
      <w:r>
        <w:rPr>
          <w:rFonts w:hint="eastAsia" w:ascii="宋体" w:hAnsi="宋体" w:eastAsia="宋体" w:cs="宋体"/>
          <w:sz w:val="24"/>
          <w:szCs w:val="21"/>
        </w:rPr>
        <w:t xml:space="preserve">外商投资企业类型：</w:t>
      </w:r>
      <w:r>
        <w:rPr>
          <w:rFonts w:ascii="Wingdings" w:hAnsi="Wingdings" w:eastAsia="Wingdings" w:cs="Wingdings"/>
          <w:iCs/>
          <w:sz w:val="24"/>
          <w:szCs w:val="21"/>
        </w:rPr>
        <w:t xml:space="preserve">¨</w:t>
      </w:r>
      <w:r>
        <w:rPr>
          <w:rFonts w:hint="eastAsia" w:ascii="宋体" w:hAnsi="宋体" w:eastAsia="宋体" w:cs="宋体"/>
          <w:sz w:val="24"/>
          <w:szCs w:val="21"/>
        </w:rPr>
        <w:t xml:space="preserve">全部由外国投资者投资  </w:t>
      </w:r>
      <w:r>
        <w:rPr>
          <w:rFonts w:ascii="Wingdings" w:hAnsi="Wingdings" w:eastAsia="Wingdings" w:cs="Wingdings"/>
          <w:iCs/>
          <w:sz w:val="24"/>
          <w:szCs w:val="21"/>
        </w:rPr>
        <w:t xml:space="preserve">¨</w:t>
      </w:r>
      <w:r>
        <w:rPr>
          <w:rFonts w:hint="eastAsia" w:ascii="宋体" w:hAnsi="宋体" w:eastAsia="宋体" w:cs="宋体"/>
          <w:iCs/>
          <w:sz w:val="24"/>
          <w:szCs w:val="21"/>
        </w:rPr>
        <w:t xml:space="preserve">部分由外国投资者投资</w:t>
      </w:r>
      <w:r/>
    </w:p>
    <w:p>
      <w:pPr>
        <w:numPr>
          <w:ilvl w:val="255"/>
          <w:numId w:val="0"/>
        </w:num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w:t>
      </w:r>
      <w:r>
        <w:rPr>
          <w:rFonts w:ascii="宋体" w:hAnsi="宋体" w:eastAsia="宋体" w:cs="宋体"/>
          <w:sz w:val="24"/>
          <w:szCs w:val="21"/>
        </w:rPr>
        <w:t xml:space="preserve">9</w:t>
      </w:r>
      <w:r>
        <w:rPr>
          <w:rFonts w:hint="eastAsia" w:ascii="宋体" w:hAnsi="宋体" w:eastAsia="宋体" w:cs="宋体"/>
          <w:sz w:val="24"/>
          <w:szCs w:val="21"/>
        </w:rPr>
        <w:t xml:space="preserve">）是否涉及进口产品：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是，《政府采购品目分类目录》 底级品目名称：金额：</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国别：    品牌：    规格型号：</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numPr>
          <w:ilvl w:val="255"/>
          <w:numId w:val="0"/>
        </w:numPr>
        <w:jc w:val="left"/>
        <w:spacing w:line="400" w:lineRule="exact"/>
        <w:tabs>
          <w:tab w:val="left" w:pos="740" w:leader="none"/>
        </w:tabs>
        <w:rPr>
          <w:rFonts w:ascii="宋体" w:hAnsi="宋体" w:eastAsia="宋体"/>
          <w:sz w:val="24"/>
          <w:szCs w:val="21"/>
        </w:rPr>
      </w:pPr>
      <w:r>
        <w:rPr>
          <w:rFonts w:hint="eastAsia" w:ascii="宋体" w:hAnsi="宋体" w:eastAsia="宋体"/>
          <w:sz w:val="24"/>
          <w:szCs w:val="21"/>
        </w:rPr>
        <w:t xml:space="preserve">    （1</w:t>
      </w:r>
      <w:r>
        <w:rPr>
          <w:rFonts w:ascii="宋体" w:hAnsi="宋体" w:eastAsia="宋体"/>
          <w:sz w:val="24"/>
          <w:szCs w:val="21"/>
        </w:rPr>
        <w:t xml:space="preserve">0</w:t>
      </w:r>
      <w:r>
        <w:rPr>
          <w:rFonts w:hint="eastAsia" w:ascii="宋体" w:hAnsi="宋体" w:eastAsia="宋体"/>
          <w:sz w:val="24"/>
          <w:szCs w:val="21"/>
        </w:rPr>
        <w:t xml:space="preserve">）是否涉及节能产品：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是，《节能产品政府采购品目清单》的底级品目名称：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是否涉及环境标志产品：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是，《环境标志产品政府采购品目清单》的底级品目名称：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否</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是否涉及绿色产品：</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是，绿色产品政府采购相关政策确定的底级品目名称：</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强制采购  </w:t>
      </w:r>
      <w:r>
        <w:rPr>
          <w:rFonts w:ascii="Wingdings" w:hAnsi="Wingdings" w:eastAsia="Wingdings" w:cs="Wingdings"/>
          <w:sz w:val="24"/>
          <w:szCs w:val="21"/>
        </w:rPr>
        <w:t xml:space="preserve">¨</w:t>
      </w:r>
      <w:r>
        <w:rPr>
          <w:rFonts w:hint="eastAsia" w:ascii="宋体" w:hAnsi="宋体" w:eastAsia="宋体"/>
          <w:sz w:val="24"/>
          <w:szCs w:val="21"/>
        </w:rPr>
        <w:t xml:space="preserve">优先采购</w:t>
      </w:r>
      <w:r/>
    </w:p>
    <w:p>
      <w:pPr>
        <w:ind w:firstLine="1080"/>
        <w:jc w:val="left"/>
        <w:spacing w:line="400" w:lineRule="exact"/>
        <w:rPr>
          <w:rFonts w:ascii="宋体" w:hAnsi="宋体" w:eastAsia="宋体"/>
          <w:sz w:val="24"/>
          <w:szCs w:val="21"/>
        </w:rPr>
      </w:pPr>
      <w:r>
        <w:rPr>
          <w:rFonts w:ascii="Wingdings" w:hAnsi="Wingdings" w:eastAsia="Wingdings" w:cs="Wingdings"/>
          <w:sz w:val="24"/>
        </w:rPr>
        <w:t xml:space="preserve">¨</w:t>
      </w:r>
      <w:r>
        <w:rPr>
          <w:rFonts w:hint="eastAsia" w:ascii="宋体" w:hAnsi="宋体" w:eastAsia="宋体" w:cs="Times New Roman"/>
          <w:sz w:val="24"/>
        </w:rPr>
        <w:t xml:space="preserve">否</w:t>
      </w:r>
      <w:r/>
    </w:p>
    <w:p>
      <w:pPr>
        <w:numPr>
          <w:ilvl w:val="255"/>
          <w:numId w:val="0"/>
        </w:numPr>
        <w:ind w:firstLine="480"/>
        <w:jc w:val="left"/>
        <w:spacing w:line="400" w:lineRule="exact"/>
        <w:rPr>
          <w:rFonts w:ascii="宋体" w:hAnsi="宋体" w:eastAsia="宋体"/>
          <w:sz w:val="24"/>
          <w:szCs w:val="21"/>
        </w:rPr>
      </w:pPr>
      <w:r>
        <w:rPr>
          <w:rFonts w:hint="eastAsia" w:ascii="宋体" w:hAnsi="宋体" w:eastAsia="宋体"/>
          <w:sz w:val="24"/>
          <w:szCs w:val="21"/>
        </w:rPr>
        <w:t xml:space="preserve">（1</w:t>
      </w:r>
      <w:r>
        <w:rPr>
          <w:rFonts w:ascii="宋体" w:hAnsi="宋体" w:eastAsia="宋体"/>
          <w:sz w:val="24"/>
          <w:szCs w:val="21"/>
        </w:rPr>
        <w:t xml:space="preserve">1</w:t>
      </w:r>
      <w:r>
        <w:rPr>
          <w:rFonts w:hint="eastAsia" w:ascii="宋体" w:hAnsi="宋体" w:eastAsia="宋体"/>
          <w:sz w:val="24"/>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是  </w:t>
      </w:r>
      <w:r>
        <w:rPr>
          <w:rFonts w:ascii="Wingdings" w:hAnsi="Wingdings" w:eastAsia="Wingdings" w:cs="Wingdings"/>
          <w:sz w:val="24"/>
          <w:szCs w:val="21"/>
        </w:rPr>
        <w:t xml:space="preserve">¨</w:t>
      </w:r>
      <w:r>
        <w:rPr>
          <w:rFonts w:hint="eastAsia" w:ascii="宋体" w:hAnsi="宋体" w:eastAsia="宋体"/>
          <w:sz w:val="24"/>
          <w:szCs w:val="21"/>
        </w:rPr>
        <w:t xml:space="preserve">否  </w:t>
      </w:r>
      <w:r>
        <w:rPr>
          <w:rFonts w:ascii="Wingdings" w:hAnsi="Wingdings" w:eastAsia="Wingdings" w:cs="Wingdings"/>
          <w:sz w:val="24"/>
          <w:szCs w:val="21"/>
        </w:rPr>
        <w:t xml:space="preserve">¨</w:t>
      </w:r>
      <w:r>
        <w:rPr>
          <w:rFonts w:hint="eastAsia" w:ascii="宋体" w:hAnsi="宋体" w:eastAsia="宋体"/>
          <w:sz w:val="24"/>
          <w:szCs w:val="21"/>
        </w:rPr>
        <w:t xml:space="preserve">不涉及</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合同金额</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（1）合同金额小写：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分包金额（如有）小写：</w:t>
      </w:r>
      <w:r/>
    </w:p>
    <w:p>
      <w:pPr>
        <w:ind w:firstLine="1080"/>
        <w:jc w:val="left"/>
        <w:spacing w:line="400" w:lineRule="exact"/>
        <w:rPr>
          <w:rFonts w:ascii="宋体" w:hAnsi="宋体" w:eastAsia="宋体"/>
          <w:sz w:val="24"/>
          <w:szCs w:val="21"/>
          <w:u w:val="single"/>
        </w:rPr>
      </w:pPr>
      <w:r>
        <w:rPr>
          <w:rFonts w:hint="eastAsia" w:ascii="宋体" w:hAnsi="宋体" w:eastAsia="宋体"/>
          <w:sz w:val="24"/>
          <w:szCs w:val="21"/>
        </w:rPr>
        <w:t xml:space="preserve">大写：</w:t>
      </w:r>
      <w:r/>
    </w:p>
    <w:p>
      <w:pPr>
        <w:ind w:firstLine="1080"/>
        <w:jc w:val="left"/>
        <w:spacing w:line="400" w:lineRule="exact"/>
        <w:rPr>
          <w:rFonts w:ascii="宋体" w:hAnsi="宋体" w:eastAsia="宋体"/>
          <w:sz w:val="24"/>
          <w:szCs w:val="21"/>
        </w:rPr>
      </w:pPr>
      <w:r>
        <w:rPr>
          <w:rFonts w:hint="eastAsia" w:ascii="宋体" w:hAnsi="宋体" w:eastAsia="宋体"/>
          <w:sz w:val="24"/>
          <w:szCs w:val="21"/>
        </w:rPr>
        <w:t xml:space="preserve">（注：固定单价合同应填写单价和最高限价）</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（2）合同定价方式（采用组合定价方式的，可以勾选多项）：</w:t>
      </w:r>
      <w:r/>
    </w:p>
    <w:p>
      <w:pPr>
        <w:ind w:firstLine="1080"/>
        <w:jc w:val="left"/>
        <w:spacing w:line="400" w:lineRule="exact"/>
        <w:rPr>
          <w:rFonts w:ascii="宋体" w:hAnsi="宋体" w:eastAsia="宋体"/>
          <w:sz w:val="24"/>
          <w:szCs w:val="21"/>
        </w:rPr>
      </w:pPr>
      <w:r>
        <w:rPr>
          <w:rFonts w:ascii="Wingdings" w:hAnsi="Wingdings" w:eastAsia="Wingdings" w:cs="Wingdings"/>
          <w:iCs/>
          <w:sz w:val="24"/>
          <w:szCs w:val="21"/>
        </w:rPr>
        <w:t xml:space="preserve">¨</w:t>
      </w:r>
      <w:r>
        <w:rPr>
          <w:rFonts w:hint="eastAsia" w:ascii="宋体" w:hAnsi="宋体" w:eastAsia="宋体"/>
          <w:iCs/>
          <w:sz w:val="24"/>
          <w:szCs w:val="21"/>
        </w:rPr>
        <w:t xml:space="preserve">固定总价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固定单价  </w:t>
      </w:r>
      <w:r>
        <w:rPr>
          <w:rFonts w:ascii="Wingdings" w:hAnsi="Wingdings" w:eastAsia="Wingdings" w:cs="Wingdings"/>
          <w:iCs/>
          <w:sz w:val="24"/>
          <w:szCs w:val="21"/>
        </w:rPr>
        <w:t xml:space="preserve">¨</w:t>
      </w:r>
      <w:r>
        <w:rPr>
          <w:rFonts w:hint="eastAsia" w:ascii="宋体" w:hAnsi="宋体" w:eastAsia="宋体"/>
          <w:iCs/>
          <w:sz w:val="24"/>
          <w:szCs w:val="21"/>
        </w:rPr>
        <w:t xml:space="preserve">固定费率  </w:t>
      </w:r>
      <w:r>
        <w:rPr>
          <w:rFonts w:ascii="Wingdings" w:hAnsi="Wingdings" w:eastAsia="Wingdings" w:cs="Wingdings"/>
          <w:iCs/>
          <w:sz w:val="24"/>
          <w:szCs w:val="21"/>
        </w:rPr>
        <w:t xml:space="preserve">¨</w:t>
      </w:r>
      <w:r>
        <w:rPr>
          <w:rFonts w:hint="eastAsia" w:ascii="宋体" w:hAnsi="宋体" w:eastAsia="宋体"/>
          <w:iCs/>
          <w:sz w:val="24"/>
          <w:szCs w:val="21"/>
        </w:rPr>
        <w:t xml:space="preserve">成本补偿  </w:t>
      </w:r>
      <w:r>
        <w:rPr>
          <w:rFonts w:ascii="Wingdings" w:hAnsi="Wingdings" w:eastAsia="Wingdings" w:cs="Wingdings"/>
          <w:iCs/>
          <w:sz w:val="24"/>
          <w:szCs w:val="21"/>
        </w:rPr>
        <w:t xml:space="preserve">¨</w:t>
      </w:r>
      <w:r>
        <w:rPr>
          <w:rFonts w:hint="eastAsia" w:ascii="宋体" w:hAnsi="宋体" w:eastAsia="宋体"/>
          <w:iCs/>
          <w:sz w:val="24"/>
          <w:szCs w:val="21"/>
        </w:rPr>
        <w:t xml:space="preserve">绩效激励  </w:t>
      </w:r>
      <w:r>
        <w:rPr>
          <w:rFonts w:ascii="Wingdings" w:hAnsi="Wingdings" w:eastAsia="Wingdings" w:cs="Wingdings"/>
          <w:iCs/>
          <w:sz w:val="24"/>
          <w:szCs w:val="21"/>
        </w:rPr>
        <w:t xml:space="preserve">¨</w:t>
      </w:r>
      <w:r>
        <w:rPr>
          <w:rFonts w:hint="eastAsia" w:ascii="宋体" w:hAnsi="宋体" w:eastAsia="宋体"/>
          <w:iCs/>
          <w:sz w:val="24"/>
          <w:szCs w:val="21"/>
        </w:rPr>
        <w:t xml:space="preserve">其他</w:t>
      </w:r>
      <w:r/>
    </w:p>
    <w:p>
      <w:pPr>
        <w:ind w:firstLine="480"/>
        <w:jc w:val="left"/>
        <w:spacing w:line="400" w:lineRule="exact"/>
        <w:rPr>
          <w:rFonts w:ascii="宋体" w:hAnsi="宋体" w:eastAsia="宋体" w:cs="Times New Roman"/>
          <w:sz w:val="24"/>
          <w:szCs w:val="21"/>
        </w:rPr>
      </w:pPr>
      <w:r>
        <w:rPr>
          <w:rFonts w:hint="eastAsia" w:ascii="宋体" w:hAnsi="宋体" w:eastAsia="宋体" w:cs="Times New Roman"/>
          <w:sz w:val="24"/>
          <w:szCs w:val="21"/>
        </w:rPr>
        <w:t xml:space="preserve">（3）付款方式（按项目实际勾选填写）：</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全额付款：</w:t>
      </w:r>
      <w:r>
        <w:rPr>
          <w:rFonts w:hint="eastAsia" w:ascii="宋体" w:hAnsi="宋体" w:eastAsia="宋体"/>
          <w:sz w:val="24"/>
          <w:szCs w:val="21"/>
          <w:u w:val="single"/>
        </w:rPr>
        <w:t xml:space="preserve">     （应明确一次性支付合同款项的条件）                </w:t>
      </w:r>
      <w:r/>
    </w:p>
    <w:p>
      <w:pPr>
        <w:ind w:firstLine="1080"/>
        <w:jc w:val="left"/>
        <w:spacing w:line="360" w:lineRule="auto"/>
        <w:rPr>
          <w:rFonts w:ascii="宋体" w:hAnsi="宋体" w:eastAsia="宋体"/>
          <w:sz w:val="24"/>
        </w:rPr>
      </w:pPr>
      <w:r>
        <w:rPr>
          <w:rFonts w:ascii="Wingdings" w:hAnsi="Wingdings" w:eastAsia="Wingdings" w:cs="Wingdings"/>
          <w:sz w:val="24"/>
          <w:szCs w:val="21"/>
        </w:rPr>
        <w:t xml:space="preserve">¨</w:t>
      </w:r>
      <w:r>
        <w:rPr>
          <w:rFonts w:hint="eastAsia" w:ascii="宋体" w:hAnsi="宋体" w:eastAsia="宋体"/>
          <w:sz w:val="24"/>
          <w:szCs w:val="21"/>
        </w:rPr>
        <w:t xml:space="preserve">分期付款：</w:t>
      </w:r>
      <w:r>
        <w:rPr>
          <w:rFonts w:hint="eastAsia" w:ascii="宋体" w:hAnsi="宋体" w:eastAsia="宋体"/>
          <w:sz w:val="24"/>
          <w:szCs w:val="21"/>
          <w:u w:val="single"/>
        </w:rPr>
        <w:t xml:space="preserve">   （应明确分期支付合同款项的各期比例和支付条件，各期支付条件应与分期履约验收情况挂钩） ，其中涉及预付款的： （应明确预付款的支付比例和支付条件）</w:t>
      </w:r>
      <w:r/>
    </w:p>
    <w:p>
      <w:pPr>
        <w:ind w:firstLine="1080"/>
        <w:jc w:val="left"/>
        <w:spacing w:line="400" w:lineRule="exact"/>
        <w:rPr>
          <w:rFonts w:ascii="宋体" w:hAnsi="宋体" w:eastAsia="宋体"/>
          <w:sz w:val="24"/>
          <w:szCs w:val="21"/>
          <w:u w:val="single"/>
        </w:rPr>
      </w:pPr>
      <w:r>
        <w:rPr>
          <w:rFonts w:ascii="Wingdings" w:hAnsi="Wingdings" w:eastAsia="Wingdings" w:cs="Wingdings"/>
          <w:sz w:val="24"/>
          <w:szCs w:val="21"/>
        </w:rPr>
        <w:t xml:space="preserve">¨</w:t>
      </w:r>
      <w:r>
        <w:rPr>
          <w:rFonts w:hint="eastAsia" w:ascii="宋体" w:hAnsi="宋体" w:eastAsia="宋体"/>
          <w:sz w:val="24"/>
          <w:szCs w:val="21"/>
        </w:rPr>
        <w:t xml:space="preserve">成本补偿：</w:t>
      </w:r>
      <w:r>
        <w:rPr>
          <w:rFonts w:hint="eastAsia" w:ascii="宋体" w:hAnsi="宋体" w:eastAsia="宋体"/>
          <w:sz w:val="24"/>
          <w:szCs w:val="21"/>
          <w:u w:val="single"/>
        </w:rPr>
        <w:t xml:space="preserve">      （应明确按照成本补偿方式的支付方式和支付条件）   </w:t>
      </w:r>
      <w:r/>
    </w:p>
    <w:p>
      <w:pPr>
        <w:ind w:firstLine="1080"/>
        <w:jc w:val="left"/>
        <w:spacing w:line="400" w:lineRule="exact"/>
        <w:rPr>
          <w:rFonts w:ascii="宋体" w:hAnsi="宋体" w:eastAsia="宋体"/>
          <w:sz w:val="24"/>
          <w:szCs w:val="21"/>
        </w:rPr>
      </w:pPr>
      <w:r>
        <w:rPr>
          <w:rFonts w:ascii="Wingdings" w:hAnsi="Wingdings" w:eastAsia="Wingdings" w:cs="Wingdings"/>
          <w:sz w:val="24"/>
          <w:szCs w:val="21"/>
        </w:rPr>
        <w:t xml:space="preserve">¨</w:t>
      </w:r>
      <w:r>
        <w:rPr>
          <w:rFonts w:hint="eastAsia" w:ascii="宋体" w:hAnsi="宋体" w:eastAsia="宋体"/>
          <w:sz w:val="24"/>
          <w:szCs w:val="21"/>
        </w:rPr>
        <w:t xml:space="preserve">绩效激励：</w:t>
      </w:r>
      <w:r>
        <w:rPr>
          <w:rFonts w:hint="eastAsia" w:ascii="宋体" w:hAnsi="宋体" w:eastAsia="宋体"/>
          <w:sz w:val="24"/>
          <w:szCs w:val="21"/>
          <w:u w:val="single"/>
        </w:rPr>
        <w:t xml:space="preserve">      （应明确按照绩效激励方式的支付方式和支付条件）   </w:t>
      </w:r>
      <w:r/>
    </w:p>
    <w:p>
      <w:pPr>
        <w:numPr>
          <w:ilvl w:val="0"/>
          <w:numId w:val="2"/>
        </w:numPr>
        <w:ind w:firstLine="482"/>
        <w:jc w:val="left"/>
        <w:spacing w:line="400" w:lineRule="exact"/>
        <w:rPr>
          <w:rFonts w:ascii="宋体" w:hAnsi="宋体" w:eastAsia="宋体"/>
          <w:b/>
          <w:sz w:val="24"/>
          <w:szCs w:val="21"/>
          <w:u w:val="single"/>
        </w:rPr>
      </w:pPr>
      <w:r>
        <w:rPr>
          <w:rFonts w:hint="eastAsia" w:ascii="宋体" w:hAnsi="宋体" w:eastAsia="宋体"/>
          <w:b/>
          <w:sz w:val="24"/>
          <w:szCs w:val="21"/>
        </w:rPr>
        <w:t xml:space="preserve">合同履行</w:t>
      </w:r>
      <w:r/>
    </w:p>
    <w:p>
      <w:pPr>
        <w:ind w:firstLine="480"/>
        <w:jc w:val="left"/>
        <w:spacing w:line="400" w:lineRule="exact"/>
        <w:rPr>
          <w:rFonts w:ascii="宋体" w:hAnsi="宋体" w:eastAsia="宋体" w:cs="宋体"/>
          <w:sz w:val="24"/>
          <w:szCs w:val="21"/>
        </w:rPr>
      </w:pPr>
      <w:r>
        <w:rPr>
          <w:rFonts w:hint="eastAsia" w:ascii="宋体" w:hAnsi="宋体" w:eastAsia="宋体" w:cs="宋体"/>
          <w:sz w:val="24"/>
          <w:szCs w:val="21"/>
        </w:rPr>
        <w:t xml:space="preserve">（1）起始日期：    年  月  日，完成日期：    年  月  日。</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sz w:val="24"/>
          <w:szCs w:val="21"/>
        </w:rPr>
        <w:t xml:space="preserve">（2）履约地点</w:t>
      </w:r>
      <w:r>
        <w:rPr>
          <w:rFonts w:hint="eastAsia" w:ascii="宋体" w:hAnsi="宋体" w:eastAsia="宋体" w:cs="宋体"/>
          <w:bCs/>
          <w:sz w:val="24"/>
          <w:szCs w:val="21"/>
        </w:rPr>
        <w:t xml:space="preserve">：</w:t>
      </w:r>
      <w:r/>
    </w:p>
    <w:p>
      <w:pPr>
        <w:ind w:firstLine="480"/>
        <w:jc w:val="left"/>
        <w:spacing w:line="400" w:lineRule="exact"/>
        <w:rPr>
          <w:rFonts w:ascii="宋体" w:hAnsi="宋体" w:eastAsia="宋体" w:cs="宋体"/>
          <w:sz w:val="24"/>
          <w:szCs w:val="21"/>
        </w:rPr>
      </w:pPr>
      <w:r>
        <w:rPr>
          <w:rFonts w:hint="eastAsia" w:ascii="宋体" w:hAnsi="宋体" w:eastAsia="宋体" w:cs="宋体"/>
          <w:bCs/>
          <w:sz w:val="24"/>
          <w:szCs w:val="21"/>
        </w:rPr>
        <w:t xml:space="preserve">（3）履约担保：</w:t>
      </w:r>
      <w:r>
        <w:rPr>
          <w:rFonts w:hint="eastAsia" w:ascii="宋体" w:hAnsi="宋体" w:eastAsia="宋体" w:cs="宋体"/>
          <w:sz w:val="24"/>
        </w:rPr>
        <w:t xml:space="preserve">是否收取履约保证金：</w:t>
      </w:r>
      <w:r>
        <w:rPr>
          <w:rFonts w:ascii="Wingdings" w:hAnsi="Wingdings" w:eastAsia="Wingdings" w:cs="Wingdings"/>
          <w:sz w:val="24"/>
          <w:szCs w:val="21"/>
        </w:rPr>
        <w:t xml:space="preserve">¨</w:t>
      </w:r>
      <w:r>
        <w:rPr>
          <w:rFonts w:hint="eastAsia" w:ascii="宋体" w:hAnsi="宋体" w:eastAsia="宋体" w:cs="宋体"/>
          <w:sz w:val="24"/>
          <w:szCs w:val="21"/>
        </w:rPr>
        <w:t xml:space="preserve">是  </w:t>
      </w:r>
      <w:r>
        <w:rPr>
          <w:rFonts w:ascii="Wingdings" w:hAnsi="Wingdings" w:eastAsia="Wingdings" w:cs="Wingdings"/>
          <w:sz w:val="24"/>
          <w:szCs w:val="21"/>
        </w:rPr>
        <w:t xml:space="preserve">¨</w:t>
      </w:r>
      <w:r>
        <w:rPr>
          <w:rFonts w:hint="eastAsia" w:ascii="宋体" w:hAnsi="宋体" w:eastAsia="宋体" w:cs="宋体"/>
          <w:sz w:val="24"/>
          <w:szCs w:val="21"/>
        </w:rPr>
        <w:t xml:space="preserve">否</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收取履约保证金形式：</w:t>
      </w:r>
      <w:r/>
    </w:p>
    <w:p>
      <w:pPr>
        <w:ind w:firstLine="10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收取履约保证金金额：</w:t>
      </w:r>
      <w:r/>
    </w:p>
    <w:p>
      <w:pPr>
        <w:ind w:firstLine="1080"/>
        <w:jc w:val="left"/>
        <w:spacing w:line="400" w:lineRule="exact"/>
        <w:rPr>
          <w:rFonts w:ascii="宋体" w:hAnsi="宋体" w:eastAsia="宋体" w:cs="宋体"/>
          <w:sz w:val="24"/>
        </w:rPr>
      </w:pPr>
      <w:r>
        <w:rPr>
          <w:rFonts w:hint="eastAsia" w:ascii="宋体" w:hAnsi="宋体" w:eastAsia="宋体" w:cs="宋体"/>
          <w:bCs/>
          <w:sz w:val="24"/>
          <w:szCs w:val="21"/>
        </w:rPr>
        <w:t xml:space="preserve">履约担保期限：</w:t>
      </w:r>
      <w:r/>
    </w:p>
    <w:p>
      <w:pPr>
        <w:ind w:firstLine="480"/>
        <w:jc w:val="left"/>
        <w:spacing w:line="400" w:lineRule="exact"/>
        <w:rPr>
          <w:rFonts w:ascii="宋体" w:hAnsi="宋体" w:eastAsia="宋体" w:cs="宋体"/>
          <w:bCs/>
          <w:sz w:val="24"/>
          <w:szCs w:val="21"/>
        </w:rPr>
      </w:pPr>
      <w:r>
        <w:rPr>
          <w:rFonts w:hint="eastAsia" w:ascii="宋体" w:hAnsi="宋体" w:eastAsia="宋体" w:cs="宋体"/>
          <w:bCs/>
          <w:sz w:val="24"/>
          <w:szCs w:val="21"/>
        </w:rPr>
        <w:t xml:space="preserve">（4）分期履行要求：</w:t>
      </w:r>
      <w:r/>
    </w:p>
    <w:p>
      <w:pPr>
        <w:ind w:firstLine="480"/>
        <w:jc w:val="left"/>
        <w:spacing w:line="400" w:lineRule="exact"/>
        <w:rPr>
          <w:rFonts w:ascii="宋体" w:hAnsi="宋体" w:eastAsia="宋体" w:cs="宋体"/>
          <w:sz w:val="24"/>
          <w:szCs w:val="21"/>
          <w:u w:val="single"/>
        </w:rPr>
      </w:pPr>
      <w:r>
        <w:rPr>
          <w:rFonts w:hint="eastAsia" w:ascii="宋体" w:hAnsi="宋体" w:eastAsia="宋体" w:cs="宋体"/>
          <w:bCs/>
          <w:sz w:val="24"/>
          <w:szCs w:val="21"/>
        </w:rPr>
        <w:t xml:space="preserve">（5）风险处置措施和替代方案：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（1）验收组织方式：</w:t>
      </w:r>
      <w:r>
        <w:rPr>
          <w:rFonts w:ascii="Wingdings" w:hAnsi="Wingdings" w:eastAsia="Wingdings" w:cs="Wingdings"/>
          <w:sz w:val="24"/>
          <w:szCs w:val="21"/>
        </w:rPr>
        <w:t xml:space="preserve">¨</w:t>
      </w:r>
      <w:r>
        <w:rPr>
          <w:rFonts w:hint="eastAsia" w:ascii="宋体" w:hAnsi="宋体" w:eastAsia="宋体"/>
          <w:bCs/>
          <w:sz w:val="24"/>
          <w:szCs w:val="21"/>
        </w:rPr>
        <w:t xml:space="preserve">自行组织  </w:t>
      </w:r>
      <w:r>
        <w:rPr>
          <w:rFonts w:ascii="Wingdings" w:hAnsi="Wingdings" w:eastAsia="Wingdings" w:cs="Wingdings"/>
          <w:sz w:val="24"/>
          <w:szCs w:val="21"/>
        </w:rPr>
        <w:t xml:space="preserve">¨</w:t>
      </w:r>
      <w:r>
        <w:rPr>
          <w:rFonts w:hint="eastAsia" w:ascii="宋体" w:hAnsi="宋体" w:eastAsia="宋体"/>
          <w:bCs/>
          <w:sz w:val="24"/>
          <w:szCs w:val="21"/>
        </w:rPr>
        <w:t xml:space="preserve">委托第三方组织</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验收主体：</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是否邀请本项目的其他供应商参加验收：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是否邀请专家参加验收：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是否邀请服务对象参加验收：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是否邀请第三方检测机构参加验收：</w:t>
      </w:r>
      <w:r>
        <w:rPr>
          <w:rFonts w:ascii="Wingdings" w:hAnsi="Wingdings" w:eastAsia="Wingdings" w:cs="Wingdings"/>
          <w:sz w:val="24"/>
          <w:szCs w:val="21"/>
        </w:rPr>
        <w:t xml:space="preserve">¨</w:t>
      </w:r>
      <w:r>
        <w:rPr>
          <w:rFonts w:hint="eastAsia" w:ascii="宋体" w:hAnsi="宋体" w:eastAsia="宋体"/>
          <w:bCs/>
          <w:sz w:val="24"/>
          <w:szCs w:val="21"/>
        </w:rPr>
        <w:t xml:space="preserve">是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是否进行抽查检测：</w:t>
      </w:r>
      <w:r>
        <w:rPr>
          <w:rFonts w:ascii="Wingdings" w:hAnsi="Wingdings" w:eastAsia="Wingdings" w:cs="Wingdings"/>
          <w:sz w:val="24"/>
          <w:szCs w:val="21"/>
        </w:rPr>
        <w:t xml:space="preserve">¨</w:t>
      </w:r>
      <w:r>
        <w:rPr>
          <w:rFonts w:hint="eastAsia" w:ascii="宋体" w:hAnsi="宋体" w:eastAsia="宋体"/>
          <w:bCs/>
          <w:sz w:val="24"/>
          <w:szCs w:val="21"/>
        </w:rPr>
        <w:t xml:space="preserve">是，抽查比例：    </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rPr>
      </w:pPr>
      <w:r>
        <w:rPr>
          <w:rFonts w:hint="eastAsia" w:ascii="宋体" w:hAnsi="宋体" w:eastAsia="宋体"/>
          <w:bCs/>
          <w:sz w:val="24"/>
          <w:szCs w:val="21"/>
        </w:rPr>
        <w:t xml:space="preserve">是否存在破坏性检测：</w:t>
      </w:r>
      <w:r>
        <w:rPr>
          <w:rFonts w:ascii="Wingdings" w:hAnsi="Wingdings" w:eastAsia="Wingdings" w:cs="Wingdings"/>
          <w:sz w:val="24"/>
          <w:szCs w:val="21"/>
        </w:rPr>
        <w:t xml:space="preserve">¨</w:t>
      </w:r>
      <w:r>
        <w:rPr>
          <w:rFonts w:hint="eastAsia" w:ascii="宋体" w:hAnsi="宋体" w:eastAsia="宋体"/>
          <w:bCs/>
          <w:sz w:val="24"/>
          <w:szCs w:val="21"/>
        </w:rPr>
        <w:t xml:space="preserve">是，</w:t>
      </w:r>
      <w:r>
        <w:rPr>
          <w:rFonts w:hint="eastAsia" w:ascii="宋体" w:hAnsi="宋体" w:eastAsia="宋体"/>
          <w:bCs/>
          <w:sz w:val="24"/>
          <w:szCs w:val="21"/>
          <w:u w:val="single"/>
        </w:rPr>
        <w:t xml:space="preserve">（应明确对被破坏的检测产品的处理方式）</w:t>
      </w:r>
      <w:r>
        <w:rPr>
          <w:rFonts w:ascii="Wingdings" w:hAnsi="Wingdings" w:eastAsia="Wingdings" w:cs="Wingdings"/>
          <w:sz w:val="24"/>
          <w:szCs w:val="21"/>
        </w:rPr>
        <w:t xml:space="preserve">¨</w:t>
      </w:r>
      <w:r>
        <w:rPr>
          <w:rFonts w:hint="eastAsia" w:ascii="宋体" w:hAnsi="宋体" w:eastAsia="宋体"/>
          <w:bCs/>
          <w:sz w:val="24"/>
          <w:szCs w:val="21"/>
        </w:rPr>
        <w:t xml:space="preserve">否</w:t>
      </w:r>
      <w:r/>
    </w:p>
    <w:p>
      <w:pPr>
        <w:ind w:firstLine="10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验收组织的其他事项：</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（2）履约验收时间：</w:t>
      </w:r>
      <w:r>
        <w:rPr>
          <w:rFonts w:hint="eastAsia" w:ascii="宋体" w:hAnsi="宋体" w:eastAsia="宋体"/>
          <w:bCs/>
          <w:sz w:val="24"/>
          <w:szCs w:val="21"/>
          <w:u w:val="single"/>
        </w:rPr>
        <w:t xml:space="preserve">（计划于何时验收/供应商提出验收申请之日起   日内组织验收）</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（3）履约验收方式：</w:t>
      </w:r>
      <w:r/>
    </w:p>
    <w:p>
      <w:pPr>
        <w:ind w:firstLine="1080"/>
        <w:jc w:val="left"/>
        <w:spacing w:line="400" w:lineRule="exact"/>
        <w:rPr>
          <w:rFonts w:ascii="宋体" w:hAnsi="宋体" w:eastAsia="宋体"/>
          <w:bCs/>
          <w:sz w:val="24"/>
          <w:szCs w:val="21"/>
        </w:rPr>
      </w:pPr>
      <w:r>
        <w:rPr>
          <w:rFonts w:ascii="Wingdings" w:hAnsi="Wingdings" w:eastAsia="Wingdings" w:cs="Wingdings"/>
          <w:sz w:val="24"/>
          <w:szCs w:val="21"/>
        </w:rPr>
        <w:t xml:space="preserve">¨</w:t>
      </w:r>
      <w:r>
        <w:rPr>
          <w:rFonts w:hint="eastAsia" w:ascii="宋体" w:hAnsi="宋体" w:eastAsia="宋体"/>
          <w:bCs/>
          <w:sz w:val="24"/>
          <w:szCs w:val="21"/>
        </w:rPr>
        <w:t xml:space="preserve">一次性验收  </w:t>
      </w:r>
      <w:r>
        <w:rPr>
          <w:rFonts w:ascii="Wingdings" w:hAnsi="Wingdings" w:eastAsia="Wingdings" w:cs="Wingdings"/>
          <w:sz w:val="24"/>
          <w:szCs w:val="21"/>
        </w:rPr>
        <w:t xml:space="preserve">¨</w:t>
      </w:r>
      <w:r>
        <w:rPr>
          <w:rFonts w:hint="eastAsia" w:ascii="宋体" w:hAnsi="宋体" w:eastAsia="宋体"/>
          <w:bCs/>
          <w:sz w:val="24"/>
          <w:szCs w:val="21"/>
        </w:rPr>
        <w:t xml:space="preserve">分期/分项验收：</w:t>
      </w:r>
      <w:r>
        <w:rPr>
          <w:rFonts w:hint="eastAsia" w:ascii="宋体" w:hAnsi="宋体" w:eastAsia="宋体"/>
          <w:bCs/>
          <w:sz w:val="24"/>
          <w:szCs w:val="21"/>
          <w:u w:val="single"/>
        </w:rPr>
        <w:t xml:space="preserve">（应明确分期</w:t>
      </w:r>
      <w:r>
        <w:rPr>
          <w:rFonts w:ascii="宋体" w:hAnsi="宋体" w:eastAsia="宋体"/>
          <w:bCs/>
          <w:sz w:val="24"/>
          <w:szCs w:val="21"/>
          <w:u w:val="single"/>
        </w:rPr>
        <w:t xml:space="preserve">/</w:t>
      </w:r>
      <w:r>
        <w:rPr>
          <w:rFonts w:hint="eastAsia" w:ascii="宋体" w:hAnsi="宋体" w:eastAsia="宋体"/>
          <w:bCs/>
          <w:sz w:val="24"/>
          <w:szCs w:val="21"/>
          <w:u w:val="single"/>
        </w:rPr>
        <w:t xml:space="preserve">分项验收的工作安排）</w:t>
      </w:r>
      <w:r/>
    </w:p>
    <w:p>
      <w:pPr>
        <w:ind w:firstLine="480"/>
        <w:jc w:val="left"/>
        <w:spacing w:line="400" w:lineRule="exact"/>
        <w:rPr>
          <w:rFonts w:ascii="宋体" w:hAnsi="宋体" w:eastAsia="宋体"/>
          <w:bCs/>
          <w:sz w:val="24"/>
          <w:szCs w:val="21"/>
        </w:rPr>
      </w:pPr>
      <w:r>
        <w:rPr>
          <w:rFonts w:hint="eastAsia" w:ascii="宋体" w:hAnsi="宋体" w:eastAsia="宋体"/>
          <w:bCs/>
          <w:sz w:val="24"/>
          <w:szCs w:val="21"/>
        </w:rPr>
        <w:t xml:space="preserve">（4）履约验收程序：</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（5）履约验收的内容：</w:t>
      </w:r>
      <w:r>
        <w:rPr>
          <w:rFonts w:hint="eastAsia" w:ascii="宋体" w:hAnsi="宋体" w:eastAsia="宋体"/>
          <w:bCs/>
          <w:sz w:val="24"/>
          <w:szCs w:val="21"/>
          <w:u w:val="single"/>
        </w:rPr>
        <w:t xml:space="preserve">（应当包括每一项技术和商务要求的履约情况，特别是落实政府采购扶持中小企业，支持绿色发展和乡村振兴等政策情况）</w:t>
      </w:r>
      <w:r/>
    </w:p>
    <w:p>
      <w:pPr>
        <w:ind w:firstLine="480"/>
        <w:jc w:val="left"/>
        <w:spacing w:line="400" w:lineRule="exact"/>
        <w:rPr>
          <w:rFonts w:ascii="宋体" w:hAnsi="宋体" w:eastAsia="宋体"/>
          <w:bCs/>
          <w:sz w:val="24"/>
          <w:szCs w:val="21"/>
          <w:u w:val="single"/>
        </w:rPr>
      </w:pPr>
      <w:r>
        <w:rPr>
          <w:rFonts w:hint="eastAsia" w:ascii="宋体" w:hAnsi="宋体" w:eastAsia="宋体"/>
          <w:bCs/>
          <w:sz w:val="24"/>
          <w:szCs w:val="21"/>
        </w:rPr>
        <w:t xml:space="preserve">（6）履约验收标准：</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bCs/>
          <w:sz w:val="24"/>
          <w:szCs w:val="21"/>
        </w:rPr>
        <w:t xml:space="preserve">（7）是否以采购活动中供应商提供的样品作为参考：</w:t>
      </w:r>
      <w:r>
        <w:rPr>
          <w:rFonts w:ascii="Wingdings" w:hAnsi="Wingdings" w:eastAsia="Wingdings" w:cs="Wingdings"/>
          <w:sz w:val="24"/>
          <w:szCs w:val="21"/>
        </w:rPr>
        <w:t xml:space="preserve">¨</w:t>
      </w:r>
      <w:r>
        <w:rPr>
          <w:rFonts w:hint="eastAsia" w:ascii="宋体" w:hAnsi="宋体" w:eastAsia="宋体" w:cs="宋体"/>
          <w:bCs/>
          <w:sz w:val="24"/>
          <w:szCs w:val="21"/>
        </w:rPr>
        <w:t xml:space="preserve">是  </w:t>
      </w:r>
      <w:r>
        <w:rPr>
          <w:rFonts w:ascii="Wingdings" w:hAnsi="Wingdings" w:eastAsia="Wingdings" w:cs="Wingdings"/>
          <w:sz w:val="24"/>
          <w:szCs w:val="21"/>
        </w:rPr>
        <w:t xml:space="preserve">¨</w:t>
      </w:r>
      <w:r>
        <w:rPr>
          <w:rFonts w:hint="eastAsia" w:ascii="宋体" w:hAnsi="宋体" w:eastAsia="宋体" w:cs="宋体"/>
          <w:bCs/>
          <w:sz w:val="24"/>
          <w:szCs w:val="21"/>
        </w:rPr>
        <w:t xml:space="preserve">否</w:t>
      </w:r>
      <w:r/>
    </w:p>
    <w:p>
      <w:pPr>
        <w:ind w:firstLine="480"/>
        <w:jc w:val="left"/>
        <w:spacing w:line="400" w:lineRule="exact"/>
        <w:rPr>
          <w:rFonts w:ascii="宋体" w:hAnsi="宋体" w:eastAsia="宋体" w:cs="宋体"/>
          <w:bCs/>
          <w:sz w:val="24"/>
          <w:szCs w:val="21"/>
          <w:u w:val="single"/>
        </w:rPr>
      </w:pPr>
      <w:r>
        <w:rPr>
          <w:rFonts w:hint="eastAsia" w:ascii="宋体" w:hAnsi="宋体" w:eastAsia="宋体" w:cs="宋体"/>
          <w:bCs/>
          <w:sz w:val="24"/>
          <w:szCs w:val="21"/>
        </w:rPr>
        <w:t xml:space="preserve">（8）履约验收其他事项：</w:t>
      </w:r>
      <w:r>
        <w:rPr>
          <w:rFonts w:hint="eastAsia" w:ascii="宋体" w:hAnsi="宋体" w:eastAsia="宋体" w:cs="宋体"/>
          <w:bCs/>
          <w:sz w:val="24"/>
          <w:szCs w:val="21"/>
          <w:u w:val="single"/>
        </w:rPr>
        <w:t xml:space="preserve">（产权过户登记等）</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组成合同的文件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本协议书与下列文件一起构成合同文件，如下述文件之间有任何抵触、矛盾或歧义，应按以下顺序解释：</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（1）政府采购合同协议书及其变更、补充协议</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（2）政府采购合同专用条款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（3）政府采购合同通用条款</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（4）中标（成交）通知书</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（5）投标（响应）文件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（6）采购文件</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（7）有关技术文件，图纸</w:t>
      </w:r>
      <w:r/>
    </w:p>
    <w:p>
      <w:pPr>
        <w:ind w:firstLine="480"/>
        <w:jc w:val="left"/>
        <w:spacing w:line="400" w:lineRule="exact"/>
        <w:widowControl/>
        <w:rPr>
          <w:rFonts w:ascii="宋体" w:hAnsi="宋体" w:eastAsia="宋体" w:cs="宋体"/>
          <w:sz w:val="24"/>
          <w:szCs w:val="21"/>
        </w:rPr>
      </w:pPr>
      <w:r>
        <w:rPr>
          <w:rFonts w:hint="eastAsia" w:ascii="宋体" w:hAnsi="宋体" w:eastAsia="宋体" w:cs="宋体"/>
          <w:sz w:val="24"/>
          <w:szCs w:val="21"/>
        </w:rPr>
        <w:t xml:space="preserve">（8）</w:t>
      </w:r>
      <w:r>
        <w:rPr>
          <w:rFonts w:hint="eastAsia" w:ascii="宋体" w:hAnsi="宋体" w:eastAsia="宋体" w:cs="宋体"/>
          <w:color w:val="000000" w:themeColor="text1"/>
          <w:sz w:val="24"/>
          <w:szCs w:val="21"/>
        </w:rPr>
        <w:t xml:space="preserve">国家法律、行政法规和规章制度规定或合同约定的作为合同组成部分的其他文件</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合同生效</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本合同自        生效。</w:t>
      </w:r>
      <w:r/>
    </w:p>
    <w:p>
      <w:pPr>
        <w:numPr>
          <w:ilvl w:val="0"/>
          <w:numId w:val="2"/>
        </w:numPr>
        <w:ind w:firstLine="482"/>
        <w:jc w:val="left"/>
        <w:spacing w:line="400" w:lineRule="exact"/>
        <w:rPr>
          <w:rFonts w:ascii="宋体" w:hAnsi="宋体" w:eastAsia="宋体"/>
          <w:b/>
          <w:sz w:val="24"/>
          <w:szCs w:val="21"/>
        </w:rPr>
      </w:pPr>
      <w:r>
        <w:rPr>
          <w:rFonts w:hint="eastAsia" w:ascii="宋体" w:hAnsi="宋体" w:eastAsia="宋体"/>
          <w:b/>
          <w:sz w:val="24"/>
          <w:szCs w:val="21"/>
        </w:rPr>
        <w:t xml:space="preserve">合同份数</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本合同一式    份，甲方执    份，乙方执    份，均具有同等法律效力。</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合同订立时间：     年  月  日</w:t>
      </w:r>
      <w:r/>
    </w:p>
    <w:p>
      <w:pPr>
        <w:ind w:firstLine="480"/>
        <w:jc w:val="left"/>
        <w:spacing w:line="400" w:lineRule="exact"/>
        <w:rPr>
          <w:rFonts w:ascii="宋体" w:hAnsi="宋体" w:eastAsia="宋体"/>
          <w:sz w:val="24"/>
          <w:szCs w:val="21"/>
        </w:rPr>
      </w:pPr>
      <w:r>
        <w:rPr>
          <w:rFonts w:hint="eastAsia" w:ascii="宋体" w:hAnsi="宋体" w:eastAsia="宋体"/>
          <w:sz w:val="24"/>
          <w:szCs w:val="21"/>
        </w:rPr>
        <w:t xml:space="preserve">合同订立地点：</w:t>
      </w:r>
      <w:r/>
    </w:p>
    <w:p>
      <w:pPr>
        <w:ind w:firstLine="480"/>
        <w:jc w:val="left"/>
        <w:spacing w:line="400" w:lineRule="exact"/>
        <w:rPr>
          <w:rFonts w:ascii="宋体" w:hAnsi="宋体" w:eastAsia="宋体"/>
          <w:sz w:val="24"/>
        </w:rPr>
      </w:pPr>
      <w:r>
        <w:rPr>
          <w:rFonts w:hint="eastAsia" w:ascii="宋体" w:hAnsi="宋体" w:eastAsia="宋体"/>
          <w:sz w:val="24"/>
          <w:szCs w:val="21"/>
        </w:rPr>
        <w:t xml:space="preserve">附件：具体标的及其技术要求和商务要求、联合协议、分包意向协议等。</w:t>
      </w:r>
      <w:r/>
    </w:p>
    <w:p>
      <w:r>
        <w:rPr>
          <w:rFonts w:hint="eastAsia"/>
        </w:rPr>
        <w:br w:type="page" w:clear="all"/>
      </w:r>
      <w:r/>
    </w:p>
    <w:tbl>
      <w:tblPr>
        <w:tblStyle w:val="730"/>
        <w:tblW w:w="4927"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jc w:val="cente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60" w:lineRule="auto"/>
              <w:rPr>
                <w:sz w:val="24"/>
              </w:rPr>
            </w:pPr>
            <w:r>
              <w:rPr>
                <w:sz w:val="24"/>
                <w:szCs w:val="21"/>
              </w:rPr>
              <w:t xml:space="preserve">甲方</w:t>
            </w:r>
            <w:r>
              <w:rPr>
                <w:rFonts w:hint="eastAsia"/>
                <w:sz w:val="24"/>
                <w:szCs w:val="21"/>
              </w:rPr>
              <w:t xml:space="preserve">（采购人</w:t>
            </w:r>
            <w:r>
              <w:rPr>
                <w:rFonts w:hint="eastAsia" w:ascii="宋体" w:hAnsi="宋体"/>
                <w:sz w:val="24"/>
                <w:szCs w:val="21"/>
              </w:rPr>
              <w:t xml:space="preserve">、受采购人委托签订合同的单位或</w:t>
            </w:r>
            <w:r>
              <w:rPr>
                <w:rFonts w:hint="eastAsia"/>
                <w:sz w:val="24"/>
                <w:szCs w:val="21"/>
              </w:rPr>
              <w:t xml:space="preserve">采购文件约定的合同甲方）</w:t>
            </w:r>
            <w:r/>
          </w:p>
        </w:tc>
        <w:tc>
          <w:tcPr>
            <w:gridSpan w:val="2"/>
            <w:tcBorders>
              <w:left w:val="single" w:color="auto" w:sz="2" w:space="0"/>
              <w:bottom w:val="single" w:color="auto" w:sz="2" w:space="0"/>
            </w:tcBorders>
            <w:tcW w:w="2438" w:type="pct"/>
            <w:vAlign w:val="center"/>
            <w:textDirection w:val="lrTb"/>
            <w:noWrap w:val="false"/>
          </w:tcPr>
          <w:p>
            <w:pPr>
              <w:jc w:val="center"/>
              <w:spacing w:line="360" w:lineRule="auto"/>
              <w:rPr>
                <w:sz w:val="24"/>
              </w:rPr>
            </w:pPr>
            <w:r>
              <w:rPr>
                <w:sz w:val="24"/>
                <w:szCs w:val="21"/>
              </w:rPr>
              <w:t xml:space="preserve">乙方</w:t>
            </w:r>
            <w:r>
              <w:rPr>
                <w:rFonts w:hint="eastAsia"/>
                <w:sz w:val="24"/>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单位名称</w:t>
            </w:r>
            <w:r>
              <w:rPr>
                <w:rFonts w:hint="eastAsia"/>
                <w:sz w:val="24"/>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60" w:lineRule="auto"/>
              <w:rPr>
                <w:sz w:val="24"/>
                <w:szCs w:val="21"/>
              </w:rPr>
            </w:pPr>
            <w:r>
              <w:rPr>
                <w:sz w:val="24"/>
                <w:szCs w:val="21"/>
              </w:rPr>
              <w:t xml:space="preserve">法定代表人</w:t>
            </w:r>
            <w:r/>
          </w:p>
          <w:p>
            <w:pPr>
              <w:ind w:firstLine="115"/>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法定代表人</w:t>
            </w:r>
            <w:r/>
          </w:p>
          <w:p>
            <w:pPr>
              <w:jc w:val="center"/>
              <w:spacing w:line="360" w:lineRule="auto"/>
              <w:rPr>
                <w:sz w:val="24"/>
                <w:szCs w:val="21"/>
              </w:rPr>
            </w:pPr>
            <w:r>
              <w:rPr>
                <w:rFonts w:hint="eastAsia"/>
                <w:sz w:val="24"/>
                <w:szCs w:val="21"/>
              </w:rPr>
              <w:t xml:space="preserve">或其</w:t>
            </w:r>
            <w:r>
              <w:rPr>
                <w:sz w:val="24"/>
                <w:szCs w:val="21"/>
              </w:rPr>
              <w:t xml:space="preserve">委托代理人</w:t>
            </w:r>
            <w:r>
              <w:rPr>
                <w:rFonts w:hint="eastAsia"/>
                <w:sz w:val="24"/>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z w:val="24"/>
                <w:szCs w:val="21"/>
              </w:rPr>
            </w:pPr>
            <w:r>
              <w:rPr>
                <w:sz w:val="24"/>
                <w:szCs w:val="21"/>
              </w:rPr>
            </w:r>
            <w:r/>
          </w:p>
        </w:tc>
      </w:tr>
      <w:tr>
        <w:trPr>
          <w:jc w:val="cente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60" w:lineRule="auto"/>
              <w:rPr>
                <w:sz w:val="24"/>
                <w:szCs w:val="21"/>
              </w:rPr>
            </w:pPr>
            <w:r>
              <w:rPr>
                <w:sz w:val="24"/>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住所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rFonts w:hint="eastAsia"/>
                <w:sz w:val="24"/>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top w:val="single" w:color="auto" w:sz="2" w:space="0"/>
              <w:right w:val="single" w:color="auto" w:sz="2" w:space="0"/>
            </w:tcBorders>
            <w:tcW w:w="1" w:type="pct"/>
            <w:vAlign w:val="center"/>
            <w:vMerge w:val="restart"/>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483"/>
        </w:trPr>
        <w:tc>
          <w:tcPr>
            <w:gridSpan w:val="2"/>
            <w:tcBorders>
              <w:bottom w:val="single" w:color="auto" w:sz="2" w:space="0"/>
              <w:right w:val="single" w:color="auto" w:sz="2" w:space="0"/>
            </w:tcBorders>
            <w:tcW w:w="2562" w:type="pct"/>
            <w:vAlign w:val="center"/>
            <w:vMerge w:val="continue"/>
            <w:textDirection w:val="lrTb"/>
            <w:noWrap w:val="false"/>
          </w:tcPr>
          <w:p>
            <w:pPr>
              <w:jc w:val="center"/>
              <w:spacing w:line="360" w:lineRule="auto"/>
              <w:rPr>
                <w:sz w:val="24"/>
                <w:szCs w:val="21"/>
              </w:rPr>
            </w:pPr>
            <w:r>
              <w:rPr>
                <w:sz w:val="24"/>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60" w:lineRule="auto"/>
              <w:rPr>
                <w:sz w:val="24"/>
                <w:szCs w:val="21"/>
              </w:rPr>
            </w:pPr>
            <w:r>
              <w:rPr>
                <w:sz w:val="24"/>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60" w:lineRule="auto"/>
              <w:rPr>
                <w:spacing w:val="20"/>
                <w:sz w:val="24"/>
                <w:szCs w:val="21"/>
              </w:rPr>
            </w:pPr>
            <w:r>
              <w:rPr>
                <w:spacing w:val="20"/>
                <w:sz w:val="24"/>
                <w:szCs w:val="21"/>
              </w:rPr>
            </w:r>
            <w:r/>
          </w:p>
        </w:tc>
      </w:tr>
      <w:tr>
        <w:trPr>
          <w:jc w:val="center"/>
          <w:trHeight w:val="586"/>
        </w:trPr>
        <w:tc>
          <w:tcPr>
            <w:gridSpan w:val="4"/>
            <w:tcBorders>
              <w:top w:val="single" w:color="auto" w:sz="2" w:space="0"/>
            </w:tcBorders>
            <w:tcW w:w="5000" w:type="pct"/>
            <w:vAlign w:val="center"/>
            <w:textDirection w:val="lrTb"/>
            <w:noWrap w:val="false"/>
          </w:tcPr>
          <w:p>
            <w:pPr>
              <w:jc w:val="left"/>
              <w:spacing w:before="156" w:line="360" w:lineRule="auto"/>
              <w:rPr>
                <w:rFonts w:ascii="Times New Roman" w:hAnsi="Times New Roman" w:eastAsia="宋体" w:cs="Times New Roman"/>
                <w:spacing w:val="20"/>
                <w:sz w:val="24"/>
                <w:szCs w:val="21"/>
              </w:rPr>
            </w:pPr>
            <w:r>
              <w:rPr>
                <w:rFonts w:hint="eastAsia" w:ascii="宋体" w:hAnsi="宋体" w:eastAsia="宋体" w:cs="Times New Roman"/>
                <w:sz w:val="24"/>
                <w:szCs w:val="21"/>
              </w:rPr>
              <w:t xml:space="preserve">注：涉及联合体或其他合同主体的信息应按上表格式加列。</w:t>
            </w:r>
            <w:r/>
          </w:p>
        </w:tc>
      </w:tr>
    </w:tbl>
    <w:p>
      <w:pPr>
        <w:jc w:val="center"/>
        <w:rPr>
          <w:b/>
          <w:bCs/>
          <w:sz w:val="32"/>
        </w:rPr>
      </w:pPr>
      <w:r>
        <w:rPr>
          <w:rFonts w:ascii="宋体" w:hAnsi="宋体" w:eastAsiaTheme="majorEastAsia"/>
          <w:b/>
          <w:bCs/>
          <w:szCs w:val="21"/>
          <w:u w:val="single"/>
        </w:rPr>
        <w:br w:type="page" w:clear="all"/>
      </w:r>
      <w:bookmarkStart w:id="5" w:name="_Toc27624"/>
      <w:r>
        <w:rPr>
          <w:rFonts w:hint="eastAsia"/>
          <w:b/>
          <w:sz w:val="32"/>
        </w:rPr>
        <w:t xml:space="preserve">第二节 政府采购合同通用条款</w:t>
      </w:r>
      <w:bookmarkEnd w:id="5"/>
      <w:r/>
      <w:r/>
    </w:p>
    <w:p>
      <w:pPr>
        <w:spacing w:line="360" w:lineRule="auto"/>
        <w:tabs>
          <w:tab w:val="left" w:pos="8820" w:leader="none"/>
          <w:tab w:val="left" w:pos="9345" w:leader="none"/>
          <w:tab w:val="left" w:pos="9765" w:leader="none"/>
        </w:tabs>
        <w:rPr>
          <w:rFonts w:ascii="宋体" w:hAnsi="宋体"/>
          <w:b/>
          <w:bCs/>
          <w:sz w:val="24"/>
          <w:szCs w:val="24"/>
        </w:rPr>
      </w:pPr>
      <w:r>
        <w:rPr>
          <w:rFonts w:hint="eastAsia" w:ascii="宋体" w:hAnsi="宋体"/>
          <w:b/>
          <w:sz w:val="24"/>
          <w:szCs w:val="24"/>
        </w:rPr>
        <w:t xml:space="preserve">1.</w:t>
      </w:r>
      <w:r>
        <w:rPr>
          <w:rFonts w:hint="eastAsia" w:ascii="宋体" w:hAnsi="宋体"/>
          <w:b/>
          <w:bCs/>
          <w:sz w:val="24"/>
          <w:szCs w:val="24"/>
        </w:rPr>
        <w:t xml:space="preserve">定义</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1.1 合同当事人</w:t>
      </w:r>
      <w:r/>
    </w:p>
    <w:p>
      <w:pPr>
        <w:ind w:firstLine="480"/>
        <w:spacing w:line="360" w:lineRule="auto"/>
        <w:rPr>
          <w:rFonts w:ascii="宋体" w:hAnsi="宋体"/>
          <w:sz w:val="24"/>
          <w:szCs w:val="24"/>
        </w:rPr>
      </w:pPr>
      <w:r>
        <w:rPr>
          <w:rFonts w:hint="eastAsia" w:ascii="宋体" w:hAnsi="宋体"/>
          <w:sz w:val="24"/>
          <w:szCs w:val="24"/>
        </w:rPr>
        <w:t xml:space="preserve">（1）采购人（以下称甲方）是指使用财政性资金，通过政府采购方式向供应商购买货物及其相关服务的国家机关、事业单位、团体组织。</w:t>
      </w:r>
      <w:r/>
    </w:p>
    <w:p>
      <w:pPr>
        <w:ind w:firstLine="480"/>
        <w:spacing w:line="360" w:lineRule="auto"/>
        <w:rPr>
          <w:rFonts w:ascii="宋体" w:hAnsi="宋体"/>
          <w:sz w:val="24"/>
          <w:szCs w:val="24"/>
        </w:rPr>
      </w:pPr>
      <w:r>
        <w:rPr>
          <w:rFonts w:hint="eastAsia" w:ascii="宋体" w:hAnsi="宋体"/>
          <w:sz w:val="24"/>
          <w:szCs w:val="24"/>
        </w:rPr>
        <w:t xml:space="preserve">（2）供应商（以下称乙方）是指参加政府采购活动并且中标（成交），向采购人提供合同约定的货物及其相关服务的法人、非法人组织或者自然人。</w:t>
      </w:r>
      <w:r/>
    </w:p>
    <w:p>
      <w:pPr>
        <w:ind w:firstLine="480"/>
        <w:spacing w:line="360" w:lineRule="auto"/>
        <w:rPr>
          <w:rFonts w:ascii="宋体" w:hAnsi="宋体"/>
          <w:sz w:val="24"/>
          <w:szCs w:val="24"/>
        </w:rPr>
      </w:pPr>
      <w:r>
        <w:rPr>
          <w:rFonts w:hint="eastAsia" w:ascii="宋体" w:hAnsi="宋体"/>
          <w:sz w:val="24"/>
          <w:szCs w:val="24"/>
        </w:rPr>
        <w:t xml:space="preserve">（3）其他合同主体是指除采购人和供应商以外，</w:t>
      </w:r>
      <w:r>
        <w:rPr>
          <w:rFonts w:hint="eastAsia" w:ascii="宋体" w:hAnsi="宋体" w:cs="宋体"/>
          <w:bCs/>
          <w:color w:val="000000" w:themeColor="text1"/>
          <w:sz w:val="24"/>
          <w:szCs w:val="24"/>
        </w:rPr>
        <w:t xml:space="preserve">依法参与合同缔结或履行，享有权利、承担义务的合同当事人</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1.2 本合同下列术语应解释为：</w:t>
      </w:r>
      <w:r/>
    </w:p>
    <w:p>
      <w:pPr>
        <w:ind w:firstLine="480"/>
        <w:spacing w:line="360" w:lineRule="auto"/>
        <w:rPr>
          <w:rFonts w:ascii="宋体" w:hAnsi="宋体"/>
          <w:sz w:val="24"/>
          <w:szCs w:val="24"/>
        </w:rPr>
      </w:pPr>
      <w:r>
        <w:rPr>
          <w:rFonts w:hint="eastAsia" w:ascii="宋体" w:hAnsi="宋体"/>
          <w:sz w:val="24"/>
          <w:szCs w:val="24"/>
        </w:rPr>
        <w:t xml:space="preserve">（1）“合同”系指</w:t>
      </w:r>
      <w:r>
        <w:rPr>
          <w:rFonts w:hint="eastAsia" w:ascii="宋体" w:hAnsi="宋体" w:cs="宋体"/>
          <w:bCs/>
          <w:color w:val="000000" w:themeColor="text1"/>
          <w:sz w:val="24"/>
          <w:szCs w:val="24"/>
        </w:rPr>
        <w:t xml:space="preserve">合同当事人意思表示达成一致的任何协议，包括签署的</w:t>
      </w:r>
      <w:r>
        <w:rPr>
          <w:rFonts w:hint="eastAsia" w:ascii="宋体" w:hAnsi="宋体"/>
          <w:sz w:val="24"/>
          <w:szCs w:val="24"/>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 w:val="24"/>
          <w:szCs w:val="24"/>
        </w:rPr>
        <w:t xml:space="preserve">国家法律、行政法规和规章制度规定或合同约定的作为合同组成部分的其他文件</w:t>
      </w:r>
      <w:r>
        <w:rPr>
          <w:rFonts w:hint="eastAsia" w:ascii="宋体" w:hAnsi="宋体"/>
          <w:sz w:val="24"/>
          <w:szCs w:val="24"/>
        </w:rPr>
        <w:t xml:space="preserve">。</w:t>
      </w:r>
      <w:r/>
    </w:p>
    <w:p>
      <w:pPr>
        <w:ind w:firstLine="480"/>
        <w:spacing w:line="360" w:lineRule="auto"/>
        <w:tabs>
          <w:tab w:val="left" w:pos="570" w:leader="none"/>
          <w:tab w:val="left" w:pos="9240" w:leader="none"/>
          <w:tab w:val="left" w:pos="9555" w:leader="none"/>
        </w:tabs>
        <w:rPr>
          <w:rFonts w:ascii="宋体" w:hAnsi="宋体"/>
          <w:sz w:val="24"/>
          <w:szCs w:val="24"/>
        </w:rPr>
      </w:pPr>
      <w:r>
        <w:rPr>
          <w:rFonts w:hint="eastAsia" w:ascii="宋体" w:hAnsi="宋体"/>
          <w:sz w:val="24"/>
          <w:szCs w:val="24"/>
        </w:rPr>
        <w:t xml:space="preserve">（2）“合同价款”系指根据本合同规定乙方在全面履行合同义务后甲方应支付给乙方的价款。</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sz w:val="24"/>
          <w:szCs w:val="24"/>
        </w:rPr>
        <w:t xml:space="preserve">（3）“货物”系指乙方根据本合同规定须向甲方提供的各种形态和种类的物品，包括原材料、设备、产品（</w:t>
      </w:r>
      <w:r>
        <w:rPr>
          <w:rFonts w:hint="eastAsia" w:ascii="宋体" w:hAnsi="宋体"/>
          <w:color w:val="000000" w:themeColor="text1"/>
          <w:sz w:val="24"/>
          <w:szCs w:val="24"/>
        </w:rPr>
        <w:t xml:space="preserve">包括软件）及相关的其备品备件、工具、手册及</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技术资料和材料等。</w:t>
      </w:r>
      <w:r/>
    </w:p>
    <w:p>
      <w:pPr>
        <w:ind w:firstLine="480"/>
        <w:spacing w:line="360"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（4）“</w:t>
      </w:r>
      <w:r>
        <w:rPr>
          <w:rFonts w:hint="eastAsia" w:ascii="宋体" w:hAnsi="宋体"/>
          <w:sz w:val="24"/>
          <w:szCs w:val="24"/>
        </w:rPr>
        <w:t xml:space="preserve">相关</w:t>
      </w:r>
      <w:r>
        <w:rPr>
          <w:rFonts w:hint="eastAsia" w:ascii="宋体" w:hAnsi="宋体"/>
          <w:color w:val="000000" w:themeColor="text1"/>
          <w:sz w:val="24"/>
          <w:szCs w:val="24"/>
        </w:rPr>
        <w:t xml:space="preserve">服务”系指根据合同规定，乙方应提供的与货物有关的技术、管理和</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义务。</w:t>
      </w:r>
      <w:r/>
    </w:p>
    <w:p>
      <w:pPr>
        <w:ind w:firstLine="480"/>
        <w:spacing w:line="360" w:lineRule="auto"/>
        <w:rPr>
          <w:rFonts w:ascii="宋体" w:hAnsi="宋体"/>
          <w:color w:val="000000" w:themeColor="text1"/>
          <w:sz w:val="24"/>
          <w:szCs w:val="24"/>
          <w:highlight w:val="yellow"/>
        </w:rPr>
      </w:pPr>
      <w:r>
        <w:rPr>
          <w:rFonts w:hint="eastAsia" w:ascii="宋体" w:hAnsi="宋体"/>
          <w:color w:val="000000" w:themeColor="text1"/>
          <w:sz w:val="24"/>
          <w:szCs w:val="24"/>
        </w:rPr>
        <w:t xml:space="preserve">（5）“分包”系指中标（成交）供应商按采购文件、投标（响应）文件的规定，根据分包意向协议，将中标（成交）项目中的部分履约内容，分给具有相应资质条件的供应商履行合同的行为。</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（6）</w:t>
      </w:r>
      <w:r>
        <w:rPr>
          <w:rFonts w:hint="eastAsia" w:ascii="宋体" w:hAnsi="宋体"/>
          <w:sz w:val="24"/>
          <w:szCs w:val="24"/>
        </w:rPr>
        <w:t xml:space="preserve">“联合体”系指由两个以上的自然人、法人或者非法人组织组成，以一个供应商的身份共同参加政府采购的主体</w:t>
      </w:r>
      <w:r>
        <w:rPr>
          <w:rFonts w:hint="eastAsia" w:ascii="宋体" w:hAnsi="宋体"/>
          <w:color w:val="000000" w:themeColor="text1"/>
          <w:sz w:val="24"/>
          <w:szCs w:val="24"/>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ind w:firstLine="480"/>
        <w:spacing w:line="360" w:lineRule="auto"/>
        <w:tabs>
          <w:tab w:val="left" w:pos="570" w:leader="none"/>
          <w:tab w:val="left" w:pos="9240" w:leader="none"/>
          <w:tab w:val="left" w:pos="9555" w:leader="none"/>
        </w:tabs>
        <w:rPr>
          <w:rFonts w:ascii="宋体" w:hAnsi="宋体"/>
          <w:color w:val="000000" w:themeColor="text1"/>
          <w:sz w:val="24"/>
          <w:szCs w:val="24"/>
        </w:rPr>
      </w:pPr>
      <w:r>
        <w:rPr>
          <w:rFonts w:hint="eastAsia" w:ascii="宋体" w:hAnsi="宋体"/>
          <w:color w:val="000000" w:themeColor="text1"/>
          <w:sz w:val="24"/>
          <w:szCs w:val="24"/>
        </w:rPr>
        <w:t xml:space="preserve">（7）其他术语解释，见【</w:t>
      </w:r>
      <w:r>
        <w:rPr>
          <w:rFonts w:hint="eastAsia" w:ascii="宋体" w:hAnsi="宋体"/>
          <w:bCs/>
          <w:color w:val="000000" w:themeColor="text1"/>
          <w:sz w:val="24"/>
          <w:szCs w:val="24"/>
        </w:rPr>
        <w:t xml:space="preserve">政府采购合同专用条款</w:t>
      </w:r>
      <w:r>
        <w:rPr>
          <w:rFonts w:hint="eastAsia" w:ascii="宋体" w:hAnsi="宋体"/>
          <w:color w:val="000000" w:themeColor="text1"/>
          <w:sz w:val="24"/>
          <w:szCs w:val="24"/>
        </w:rPr>
        <w:t xml:space="preserve">】。</w:t>
      </w:r>
      <w:r/>
    </w:p>
    <w:p>
      <w:pPr>
        <w:numPr>
          <w:ilvl w:val="0"/>
          <w:numId w:val="3"/>
        </w:numPr>
        <w:spacing w:line="360" w:lineRule="auto"/>
        <w:rPr>
          <w:rFonts w:ascii="宋体" w:hAnsi="宋体"/>
          <w:b/>
          <w:bCs/>
          <w:color w:val="000000" w:themeColor="text1"/>
          <w:sz w:val="24"/>
          <w:szCs w:val="24"/>
        </w:rPr>
      </w:pPr>
      <w:r>
        <w:rPr>
          <w:rFonts w:hint="eastAsia" w:ascii="宋体" w:hAnsi="宋体"/>
          <w:b/>
          <w:color w:val="000000" w:themeColor="text1"/>
          <w:sz w:val="24"/>
          <w:szCs w:val="24"/>
        </w:rPr>
        <w:t xml:space="preserve">合同标的及金额</w:t>
      </w:r>
      <w:r/>
    </w:p>
    <w:p>
      <w:pPr>
        <w:ind w:firstLine="480"/>
        <w:spacing w:line="360" w:lineRule="auto"/>
        <w:rPr>
          <w:rFonts w:ascii="宋体" w:hAnsi="宋体"/>
          <w:b/>
          <w:bCs/>
          <w:i/>
          <w:iCs/>
          <w:color w:val="000000" w:themeColor="text1"/>
          <w:sz w:val="24"/>
          <w:szCs w:val="24"/>
        </w:rPr>
      </w:pPr>
      <w:r>
        <w:rPr>
          <w:rFonts w:hint="eastAsia" w:ascii="宋体" w:hAnsi="宋体"/>
          <w:color w:val="000000" w:themeColor="text1"/>
          <w:sz w:val="24"/>
          <w:szCs w:val="24"/>
        </w:rPr>
        <w:t xml:space="preserve">2.1 合同标的及金额应与中标（成交）结果一致。乙方为履行本合同而发生的所有费用均应包含在合同价款中，甲方不再另行支付</w:t>
      </w:r>
      <w:r>
        <w:rPr>
          <w:rFonts w:ascii="宋体" w:hAnsi="宋体"/>
          <w:color w:val="000000" w:themeColor="text1"/>
          <w:sz w:val="24"/>
          <w:szCs w:val="24"/>
        </w:rPr>
        <w:t xml:space="preserve">其他</w:t>
      </w:r>
      <w:r>
        <w:rPr>
          <w:rFonts w:hint="eastAsia" w:ascii="宋体" w:hAnsi="宋体"/>
          <w:color w:val="000000" w:themeColor="text1"/>
          <w:sz w:val="24"/>
          <w:szCs w:val="24"/>
        </w:rPr>
        <w:t xml:space="preserve">任何费用。</w:t>
      </w:r>
      <w:r/>
    </w:p>
    <w:p>
      <w:pPr>
        <w:spacing w:line="360" w:lineRule="auto"/>
        <w:rPr>
          <w:rFonts w:ascii="宋体" w:hAnsi="宋体"/>
          <w:b/>
          <w:color w:val="000000" w:themeColor="text1"/>
          <w:sz w:val="24"/>
          <w:szCs w:val="24"/>
        </w:rPr>
      </w:pPr>
      <w:r>
        <w:rPr>
          <w:rFonts w:hint="eastAsia" w:ascii="宋体" w:hAnsi="宋体"/>
          <w:b/>
          <w:color w:val="000000" w:themeColor="text1"/>
          <w:sz w:val="24"/>
          <w:szCs w:val="24"/>
        </w:rPr>
        <w:t xml:space="preserve">3. 履行合同的时间、地点和方式</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3.1 </w:t>
      </w:r>
      <w:r>
        <w:rPr>
          <w:rFonts w:hint="eastAsia" w:ascii="宋体" w:hAnsi="宋体" w:cs="宋体"/>
          <w:sz w:val="24"/>
          <w:szCs w:val="24"/>
        </w:rPr>
        <w:t xml:space="preserve">乙方应当在约定的时间、地点，按照约定方式履行合同。</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4. 甲方的权利和义务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4.1 </w:t>
      </w:r>
      <w:r>
        <w:rPr>
          <w:rFonts w:ascii="宋体" w:hAnsi="宋体"/>
          <w:color w:val="000000" w:themeColor="text1"/>
          <w:sz w:val="24"/>
          <w:szCs w:val="24"/>
        </w:rPr>
        <w:t xml:space="preserve">签署合同后，甲方</w:t>
      </w:r>
      <w:r>
        <w:rPr>
          <w:rFonts w:hint="eastAsia" w:ascii="宋体" w:hAnsi="宋体"/>
          <w:color w:val="000000" w:themeColor="text1"/>
          <w:sz w:val="24"/>
          <w:szCs w:val="24"/>
        </w:rPr>
        <w:t xml:space="preserve">应</w:t>
      </w:r>
      <w:r>
        <w:rPr>
          <w:rFonts w:ascii="宋体" w:hAnsi="宋体"/>
          <w:color w:val="000000" w:themeColor="text1"/>
          <w:sz w:val="24"/>
          <w:szCs w:val="24"/>
        </w:rPr>
        <w:t xml:space="preserve">确定</w:t>
      </w:r>
      <w:r>
        <w:rPr>
          <w:rFonts w:hint="eastAsia" w:ascii="宋体" w:hAnsi="宋体"/>
          <w:color w:val="000000" w:themeColor="text1"/>
          <w:sz w:val="24"/>
          <w:szCs w:val="24"/>
        </w:rPr>
        <w:t xml:space="preserve">项目负责人（或项目联系人）</w:t>
      </w:r>
      <w:r>
        <w:rPr>
          <w:rFonts w:ascii="宋体" w:hAnsi="宋体"/>
          <w:color w:val="000000" w:themeColor="text1"/>
          <w:sz w:val="24"/>
          <w:szCs w:val="24"/>
        </w:rPr>
        <w:t xml:space="preserve">，负责与本合同有关的事务。</w:t>
      </w:r>
      <w:r>
        <w:rPr>
          <w:rFonts w:hint="eastAsia" w:ascii="宋体" w:hAnsi="宋体"/>
          <w:color w:val="000000" w:themeColor="text1"/>
          <w:sz w:val="24"/>
          <w:szCs w:val="24"/>
        </w:rPr>
        <w:t xml:space="preserve">甲方有权对乙方的履约行为进行检查，并</w:t>
      </w:r>
      <w:r>
        <w:rPr>
          <w:rFonts w:ascii="宋体" w:hAnsi="宋体"/>
          <w:color w:val="000000" w:themeColor="text1"/>
          <w:sz w:val="24"/>
          <w:szCs w:val="24"/>
        </w:rPr>
        <w:t xml:space="preserve">及时确认乙方提交的事项</w:t>
      </w:r>
      <w:r>
        <w:rPr>
          <w:rFonts w:hint="eastAsia" w:ascii="宋体" w:hAnsi="宋体"/>
          <w:color w:val="000000" w:themeColor="text1"/>
          <w:sz w:val="24"/>
          <w:szCs w:val="24"/>
        </w:rPr>
        <w:t xml:space="preserve">。甲方应当</w:t>
      </w:r>
      <w:r>
        <w:rPr>
          <w:rFonts w:ascii="宋体" w:hAnsi="宋体"/>
          <w:color w:val="000000" w:themeColor="text1"/>
          <w:sz w:val="24"/>
          <w:szCs w:val="24"/>
        </w:rPr>
        <w:t xml:space="preserve">配合乙方完成</w:t>
      </w:r>
      <w:r>
        <w:rPr>
          <w:rFonts w:hint="eastAsia" w:ascii="宋体" w:hAnsi="宋体"/>
          <w:color w:val="000000" w:themeColor="text1"/>
          <w:sz w:val="24"/>
          <w:szCs w:val="24"/>
        </w:rPr>
        <w:t xml:space="preserve">相关项目</w:t>
      </w:r>
      <w:r>
        <w:rPr>
          <w:rFonts w:ascii="宋体" w:hAnsi="宋体"/>
          <w:color w:val="000000" w:themeColor="text1"/>
          <w:sz w:val="24"/>
          <w:szCs w:val="24"/>
        </w:rPr>
        <w:t xml:space="preserve">实施工作。</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4.2 </w:t>
      </w:r>
      <w:r>
        <w:rPr>
          <w:rFonts w:ascii="宋体" w:hAnsi="宋体"/>
          <w:color w:val="000000" w:themeColor="text1"/>
          <w:sz w:val="24"/>
          <w:szCs w:val="24"/>
        </w:rPr>
        <w:t xml:space="preserve">甲方有权要求乙方按时提交各阶段有关</w:t>
      </w:r>
      <w:r>
        <w:rPr>
          <w:rFonts w:hint="eastAsia" w:ascii="宋体" w:hAnsi="宋体"/>
          <w:color w:val="000000" w:themeColor="text1"/>
          <w:sz w:val="24"/>
          <w:szCs w:val="24"/>
        </w:rPr>
        <w:t xml:space="preserve">安排计划</w:t>
      </w:r>
      <w:r>
        <w:rPr>
          <w:rFonts w:ascii="宋体" w:hAnsi="宋体"/>
          <w:color w:val="000000" w:themeColor="text1"/>
          <w:sz w:val="24"/>
          <w:szCs w:val="24"/>
        </w:rPr>
        <w:t xml:space="preserve">，并有权</w:t>
      </w:r>
      <w:r>
        <w:rPr>
          <w:rFonts w:hint="eastAsia" w:ascii="宋体" w:hAnsi="宋体"/>
          <w:color w:val="000000" w:themeColor="text1"/>
          <w:sz w:val="24"/>
          <w:szCs w:val="24"/>
        </w:rPr>
        <w:t xml:space="preserve">定期核对乙方提供货物数量、规格、质量等内容。甲方</w:t>
      </w:r>
      <w:r>
        <w:rPr>
          <w:rFonts w:ascii="宋体" w:hAnsi="宋体"/>
          <w:color w:val="000000" w:themeColor="text1"/>
          <w:sz w:val="24"/>
          <w:szCs w:val="24"/>
        </w:rPr>
        <w:t xml:space="preserve">有权督促乙方工作并要求乙方</w:t>
      </w:r>
      <w:r>
        <w:rPr>
          <w:rFonts w:hint="eastAsia" w:ascii="宋体" w:hAnsi="宋体"/>
          <w:color w:val="000000" w:themeColor="text1"/>
          <w:sz w:val="24"/>
          <w:szCs w:val="24"/>
        </w:rPr>
        <w:t xml:space="preserve">更</w:t>
      </w:r>
      <w:r>
        <w:rPr>
          <w:rFonts w:ascii="宋体" w:hAnsi="宋体"/>
          <w:color w:val="000000" w:themeColor="text1"/>
          <w:sz w:val="24"/>
          <w:szCs w:val="24"/>
        </w:rPr>
        <w:t xml:space="preserve">换不符合要求的</w:t>
      </w:r>
      <w:r>
        <w:rPr>
          <w:rFonts w:hint="eastAsia" w:ascii="宋体" w:hAnsi="宋体"/>
          <w:color w:val="000000" w:themeColor="text1"/>
          <w:sz w:val="24"/>
          <w:szCs w:val="24"/>
        </w:rPr>
        <w:t xml:space="preserve">货物</w:t>
      </w:r>
      <w:r>
        <w:rPr>
          <w:rFonts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3甲方</w:t>
      </w:r>
      <w:r>
        <w:rPr>
          <w:rFonts w:hint="eastAsia" w:ascii="宋体" w:hAnsi="宋体"/>
          <w:color w:val="000000" w:themeColor="text1"/>
          <w:sz w:val="24"/>
          <w:szCs w:val="24"/>
        </w:rPr>
        <w:t xml:space="preserve">有权要求乙方对缺陷部分予以修复，并按合同约定享有货物保修及其他合同约定的权利。</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4.</w:t>
      </w:r>
      <w:r>
        <w:rPr>
          <w:rFonts w:ascii="宋体" w:hAnsi="宋体"/>
          <w:color w:val="000000" w:themeColor="text1"/>
          <w:sz w:val="24"/>
          <w:szCs w:val="24"/>
        </w:rPr>
        <w:t xml:space="preserve">4</w:t>
      </w:r>
      <w:r>
        <w:rPr>
          <w:rFonts w:hint="eastAsia" w:ascii="宋体" w:hAnsi="宋体"/>
          <w:color w:val="000000" w:themeColor="text1"/>
          <w:sz w:val="24"/>
          <w:szCs w:val="24"/>
        </w:rPr>
        <w:t xml:space="preserve"> 国家法律法规规定及</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约定应由甲方承担的其他义务和责任。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5. 乙方的权利和义务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5.1 </w:t>
      </w:r>
      <w:r>
        <w:rPr>
          <w:rFonts w:ascii="宋体" w:hAnsi="宋体"/>
          <w:color w:val="000000" w:themeColor="text1"/>
          <w:sz w:val="24"/>
          <w:szCs w:val="24"/>
        </w:rPr>
        <w:t xml:space="preserve">签署合同后，乙方</w:t>
      </w:r>
      <w:r>
        <w:rPr>
          <w:rFonts w:hint="eastAsia" w:ascii="宋体" w:hAnsi="宋体"/>
          <w:sz w:val="24"/>
          <w:szCs w:val="24"/>
        </w:rPr>
        <w:t xml:space="preserve">应当由投标文件中的项目经理</w:t>
      </w:r>
      <w:r>
        <w:rPr>
          <w:rFonts w:ascii="宋体" w:hAnsi="宋体"/>
          <w:sz w:val="24"/>
          <w:szCs w:val="24"/>
        </w:rPr>
        <w:t xml:space="preserve">负责与本</w:t>
      </w:r>
      <w:r>
        <w:rPr>
          <w:rFonts w:ascii="宋体" w:hAnsi="宋体"/>
          <w:color w:val="000000" w:themeColor="text1"/>
          <w:sz w:val="24"/>
          <w:szCs w:val="24"/>
        </w:rPr>
        <w:t xml:space="preserve">合同有关的事务。</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2乙方应按照合同要求</w:t>
      </w:r>
      <w:r>
        <w:rPr>
          <w:rFonts w:hint="eastAsia" w:ascii="宋体" w:hAnsi="宋体"/>
          <w:color w:val="000000" w:themeColor="text1"/>
          <w:sz w:val="24"/>
          <w:szCs w:val="24"/>
        </w:rPr>
        <w:t xml:space="preserve">履约</w:t>
      </w:r>
      <w:r>
        <w:rPr>
          <w:rFonts w:ascii="宋体" w:hAnsi="宋体"/>
          <w:color w:val="000000" w:themeColor="text1"/>
          <w:sz w:val="24"/>
          <w:szCs w:val="24"/>
        </w:rPr>
        <w:t xml:space="preserve">，充分合理安排，确保</w:t>
      </w:r>
      <w:r>
        <w:rPr>
          <w:rFonts w:hint="eastAsia" w:ascii="宋体" w:hAnsi="宋体"/>
          <w:color w:val="000000" w:themeColor="text1"/>
          <w:sz w:val="24"/>
          <w:szCs w:val="24"/>
        </w:rPr>
        <w:t xml:space="preserve">提供的货物及相关服务符合合同有关</w:t>
      </w:r>
      <w:r>
        <w:rPr>
          <w:rFonts w:ascii="宋体" w:hAnsi="宋体"/>
          <w:color w:val="000000" w:themeColor="text1"/>
          <w:sz w:val="24"/>
          <w:szCs w:val="24"/>
        </w:rPr>
        <w:t xml:space="preserve">要求</w:t>
      </w:r>
      <w:r>
        <w:rPr>
          <w:rFonts w:hint="eastAsia" w:ascii="宋体" w:hAnsi="宋体"/>
          <w:color w:val="000000" w:themeColor="text1"/>
          <w:sz w:val="24"/>
          <w:szCs w:val="24"/>
        </w:rPr>
        <w:t xml:space="preserve">。接受项目行业管理部门及政府有关部门的指导，配合甲方的履约检查及验收，并</w:t>
      </w:r>
      <w:r>
        <w:rPr>
          <w:rFonts w:ascii="宋体" w:hAnsi="宋体"/>
          <w:color w:val="000000" w:themeColor="text1"/>
          <w:sz w:val="24"/>
          <w:szCs w:val="24"/>
        </w:rPr>
        <w:t xml:space="preserve">负责项目实施过程中的所有协调工作。</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3</w:t>
      </w:r>
      <w:r>
        <w:rPr>
          <w:rFonts w:hint="eastAsia" w:ascii="宋体" w:hAnsi="宋体" w:eastAsia="宋体" w:cs="Times New Roman"/>
          <w:color w:val="000000" w:themeColor="text1"/>
          <w:sz w:val="24"/>
          <w:szCs w:val="24"/>
        </w:rPr>
        <w:t xml:space="preserve"> 乙方有权</w:t>
      </w:r>
      <w:r>
        <w:rPr>
          <w:rFonts w:hint="eastAsia" w:ascii="宋体" w:hAnsi="宋体" w:eastAsia="宋体" w:cs="宋体"/>
          <w:color w:val="000000" w:themeColor="text1"/>
          <w:sz w:val="24"/>
          <w:szCs w:val="24"/>
        </w:rPr>
        <w:t xml:space="preserve">根据合同约定向甲方收取合同价款。</w:t>
      </w:r>
      <w:r/>
    </w:p>
    <w:p>
      <w:pPr>
        <w:ind w:firstLine="422"/>
        <w:spacing w:line="360" w:lineRule="auto"/>
        <w:rPr>
          <w:rFonts w:ascii="宋体" w:hAnsi="宋体" w:eastAsia="宋体" w:cs="宋体"/>
          <w:color w:val="000000" w:themeColor="text1"/>
          <w:sz w:val="24"/>
          <w:szCs w:val="24"/>
        </w:rPr>
      </w:pPr>
      <w:r>
        <w:rPr>
          <w:rFonts w:hint="eastAsia" w:ascii="宋体" w:hAnsi="宋体" w:eastAsia="宋体" w:cs="Times New Roman"/>
          <w:color w:val="000000" w:themeColor="text1"/>
          <w:sz w:val="24"/>
          <w:szCs w:val="24"/>
        </w:rPr>
        <w:t xml:space="preserve">5.</w:t>
      </w:r>
      <w:r>
        <w:rPr>
          <w:rFonts w:ascii="宋体" w:hAnsi="宋体" w:eastAsia="宋体" w:cs="Times New Roman"/>
          <w:color w:val="000000" w:themeColor="text1"/>
          <w:sz w:val="24"/>
          <w:szCs w:val="24"/>
        </w:rPr>
        <w:t xml:space="preserve">4</w:t>
      </w:r>
      <w:r>
        <w:rPr>
          <w:rFonts w:hint="eastAsia" w:ascii="宋体" w:hAnsi="宋体" w:eastAsia="宋体" w:cs="宋体"/>
          <w:color w:val="000000" w:themeColor="text1"/>
          <w:sz w:val="24"/>
          <w:szCs w:val="24"/>
        </w:rPr>
        <w:t xml:space="preserve">国家法律法规规定</w:t>
      </w:r>
      <w:r>
        <w:rPr>
          <w:rFonts w:hint="eastAsia" w:ascii="宋体" w:hAnsi="宋体" w:eastAsia="宋体" w:cs="Times New Roman"/>
          <w:color w:val="000000" w:themeColor="text1"/>
          <w:sz w:val="24"/>
          <w:szCs w:val="24"/>
        </w:rPr>
        <w:t xml:space="preserve">及</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约定应</w:t>
      </w:r>
      <w:r>
        <w:rPr>
          <w:rFonts w:hint="eastAsia" w:ascii="宋体" w:hAnsi="宋体" w:eastAsia="宋体" w:cs="宋体"/>
          <w:color w:val="000000" w:themeColor="text1"/>
          <w:sz w:val="24"/>
          <w:szCs w:val="24"/>
        </w:rPr>
        <w:t xml:space="preserve">由乙方承担的其他义务和责任。</w:t>
      </w:r>
      <w:r/>
    </w:p>
    <w:p>
      <w:pPr>
        <w:numPr>
          <w:ilvl w:val="0"/>
          <w:numId w:val="4"/>
        </w:num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合同履行</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6.1 甲乙双方应当按照</w:t>
      </w:r>
      <w:r>
        <w:rPr>
          <w:rFonts w:hint="eastAsia" w:ascii="宋体" w:hAnsi="宋体" w:cs="宋体"/>
          <w:bCs/>
          <w:sz w:val="24"/>
          <w:szCs w:val="24"/>
        </w:rPr>
        <w:t xml:space="preserve">【政府采购合同专用条款】</w:t>
      </w:r>
      <w:r>
        <w:rPr>
          <w:rFonts w:hint="eastAsia" w:ascii="宋体" w:hAnsi="宋体"/>
          <w:color w:val="000000" w:themeColor="text1"/>
          <w:sz w:val="24"/>
          <w:szCs w:val="24"/>
        </w:rPr>
        <w:t xml:space="preserve">约定顺序履行合同义务；如果没有先后顺序的，应当同时履行。</w:t>
      </w:r>
      <w:r/>
    </w:p>
    <w:p>
      <w:pPr>
        <w:ind w:firstLine="480"/>
        <w:spacing w:line="360" w:lineRule="auto"/>
        <w:rPr>
          <w:sz w:val="24"/>
          <w:szCs w:val="24"/>
        </w:rPr>
      </w:pPr>
      <w:r>
        <w:rPr>
          <w:rFonts w:hint="eastAsia" w:ascii="宋体" w:hAnsi="宋体"/>
          <w:color w:val="000000" w:themeColor="text1"/>
          <w:sz w:val="24"/>
          <w:szCs w:val="24"/>
        </w:rPr>
        <w:t xml:space="preserve">6.2 甲乙双方按照合同约定顺序履行合同义务时，应当先履行一方未履行的，后履行一方有权拒绝其履行请求。先履行一方履行不符合约定的，后履行一方有权拒绝其相应的履行请求。</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7. 货物包装、运输、保险和交付要求</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7.1 本合同</w:t>
      </w:r>
      <w:r>
        <w:rPr>
          <w:rFonts w:hint="eastAsia" w:ascii="宋体" w:hAnsi="宋体"/>
          <w:bCs/>
          <w:color w:val="000000" w:themeColor="text1"/>
          <w:sz w:val="24"/>
          <w:szCs w:val="24"/>
        </w:rPr>
        <w:t xml:space="preserve">涉及商品包装、快递包装的，</w:t>
      </w:r>
      <w:r>
        <w:rPr>
          <w:rFonts w:hint="eastAsia" w:ascii="宋体" w:hAnsi="宋体"/>
          <w:color w:val="000000" w:themeColor="text1"/>
          <w:sz w:val="24"/>
          <w:szCs w:val="24"/>
        </w:rPr>
        <w:t xml:space="preserve">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包装应适应远距离运输、防潮、防震、防锈和防野蛮装卸等要求，确保货物安全无损地运抵【政府采购合同专用条款】</w:t>
      </w:r>
      <w:r>
        <w:rPr>
          <w:rFonts w:hint="eastAsia" w:ascii="宋体" w:hAnsi="宋体"/>
          <w:bCs/>
          <w:color w:val="000000" w:themeColor="text1"/>
          <w:sz w:val="24"/>
          <w:szCs w:val="24"/>
        </w:rPr>
        <w:t xml:space="preserve">约定的</w:t>
      </w:r>
      <w:r>
        <w:rPr>
          <w:rFonts w:hint="eastAsia" w:ascii="宋体" w:hAnsi="宋体"/>
          <w:color w:val="000000" w:themeColor="text1"/>
          <w:sz w:val="24"/>
          <w:szCs w:val="24"/>
        </w:rPr>
        <w:t xml:space="preserve">指定现场。</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7.2 除【政府采购合同专用条款】</w:t>
      </w:r>
      <w:r>
        <w:rPr>
          <w:rFonts w:hint="eastAsia" w:ascii="宋体" w:hAnsi="宋体"/>
          <w:bCs/>
          <w:color w:val="000000" w:themeColor="text1"/>
          <w:sz w:val="24"/>
          <w:szCs w:val="24"/>
        </w:rPr>
        <w:t xml:space="preserve">另有约定外，</w:t>
      </w:r>
      <w:r>
        <w:rPr>
          <w:rFonts w:hint="eastAsia" w:ascii="宋体" w:hAnsi="宋体"/>
          <w:color w:val="000000" w:themeColor="text1"/>
          <w:sz w:val="24"/>
          <w:szCs w:val="24"/>
        </w:rPr>
        <w:t xml:space="preserve">乙方负责办理将货物运抵本合同规定的交货地点，并装卸、交付至甲方的一切运输事项，相关费用应包含在合同价款中。</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7.3 货物保险要求按【政府采购合同专用条款】</w:t>
      </w:r>
      <w:r>
        <w:rPr>
          <w:rFonts w:hint="eastAsia" w:ascii="宋体" w:hAnsi="宋体"/>
          <w:bCs/>
          <w:color w:val="000000" w:themeColor="text1"/>
          <w:sz w:val="24"/>
          <w:szCs w:val="24"/>
        </w:rPr>
        <w:t xml:space="preserve">规定执行</w:t>
      </w:r>
      <w:r>
        <w:rPr>
          <w:rFonts w:hint="eastAsia" w:ascii="宋体" w:hAnsi="宋体"/>
          <w:color w:val="000000" w:themeColor="text1"/>
          <w:sz w:val="24"/>
          <w:szCs w:val="24"/>
        </w:rPr>
        <w:t xml:space="preserve">。</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7.5 </w:t>
      </w:r>
      <w:r>
        <w:rPr>
          <w:rFonts w:hint="eastAsia" w:ascii="宋体" w:hAnsi="宋体" w:cs="宋体"/>
          <w:color w:val="000000"/>
          <w:sz w:val="24"/>
          <w:szCs w:val="24"/>
        </w:rPr>
        <w:t xml:space="preserve">乙方在运输到达之前应提前通知甲方，并提示货物运输装卸的注意事项，甲方配合乙方做好货物的接收工作。</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Times New Roman"/>
          <w:color w:val="000000" w:themeColor="text1"/>
          <w:sz w:val="24"/>
          <w:szCs w:val="24"/>
        </w:rPr>
        <w:t xml:space="preserve">7.6 </w:t>
      </w:r>
      <w:r>
        <w:rPr>
          <w:rFonts w:hint="eastAsia" w:ascii="宋体" w:hAnsi="宋体" w:eastAsia="宋体" w:cs="Times New Roman"/>
          <w:color w:val="000000"/>
          <w:sz w:val="24"/>
          <w:szCs w:val="24"/>
        </w:rPr>
        <w:t xml:space="preserve">如因包装、运输问题导致货物</w:t>
      </w:r>
      <w:r>
        <w:rPr>
          <w:rFonts w:hint="eastAsia" w:ascii="宋体" w:hAnsi="宋体" w:eastAsia="宋体" w:cs="Times New Roman"/>
          <w:color w:val="000000" w:themeColor="text1"/>
          <w:sz w:val="24"/>
          <w:szCs w:val="24"/>
        </w:rPr>
        <w:t xml:space="preserve">损毁、丢失</w:t>
      </w:r>
      <w:r>
        <w:rPr>
          <w:rFonts w:hint="eastAsia" w:ascii="宋体" w:hAnsi="宋体" w:eastAsia="宋体" w:cs="Times New Roman"/>
          <w:color w:val="000000"/>
          <w:sz w:val="24"/>
          <w:szCs w:val="24"/>
        </w:rPr>
        <w:t xml:space="preserve">或者品质下降，甲方有权要求降价、换货、拒收部分或整批货物，由此产生的费用和损失，均由乙方承担。</w:t>
      </w:r>
      <w:r/>
    </w:p>
    <w:p>
      <w:pPr>
        <w:spacing w:line="360" w:lineRule="auto"/>
        <w:rPr>
          <w:rFonts w:ascii="宋体" w:hAnsi="宋体"/>
          <w:b/>
          <w:sz w:val="24"/>
          <w:szCs w:val="24"/>
        </w:rPr>
      </w:pPr>
      <w:r>
        <w:rPr>
          <w:rFonts w:hint="eastAsia" w:ascii="宋体" w:hAnsi="宋体"/>
          <w:b/>
          <w:color w:val="000000" w:themeColor="text1"/>
          <w:sz w:val="24"/>
          <w:szCs w:val="24"/>
        </w:rPr>
        <w:t xml:space="preserve">8. </w:t>
      </w:r>
      <w:r>
        <w:rPr>
          <w:rFonts w:hint="eastAsia" w:ascii="宋体" w:hAnsi="宋体"/>
          <w:b/>
          <w:sz w:val="24"/>
          <w:szCs w:val="24"/>
        </w:rPr>
        <w:t xml:space="preserve">质量标准和保证</w:t>
      </w:r>
      <w:r/>
    </w:p>
    <w:p>
      <w:pPr>
        <w:ind w:firstLine="480"/>
        <w:spacing w:line="360" w:lineRule="auto"/>
        <w:rPr>
          <w:rFonts w:ascii="宋体" w:hAnsi="宋体" w:eastAsia="宋体" w:cs="Courier New"/>
          <w:b/>
          <w:sz w:val="24"/>
          <w:szCs w:val="24"/>
        </w:rPr>
      </w:pPr>
      <w:r>
        <w:rPr>
          <w:rFonts w:hint="eastAsia" w:ascii="宋体" w:hAnsi="宋体" w:eastAsia="宋体" w:cs="Courier New"/>
          <w:sz w:val="24"/>
          <w:szCs w:val="24"/>
        </w:rPr>
        <w:t xml:space="preserve">8.1 质量标准</w:t>
      </w:r>
      <w:r/>
    </w:p>
    <w:p>
      <w:pPr>
        <w:ind w:firstLine="480"/>
        <w:spacing w:line="360" w:lineRule="auto"/>
        <w:rPr>
          <w:rFonts w:ascii="宋体" w:hAnsi="宋体"/>
          <w:sz w:val="24"/>
          <w:szCs w:val="24"/>
        </w:rPr>
      </w:pPr>
      <w:r>
        <w:rPr>
          <w:rFonts w:hint="eastAsia" w:ascii="宋体" w:hAnsi="宋体"/>
          <w:sz w:val="24"/>
          <w:szCs w:val="24"/>
        </w:rPr>
        <w:t xml:space="preserve">（1）本合同下提供的货物应符合合同</w:t>
      </w:r>
      <w:r>
        <w:rPr>
          <w:rFonts w:hint="eastAsia" w:ascii="宋体" w:hAnsi="宋体" w:cs="宋体"/>
          <w:color w:val="000000"/>
          <w:sz w:val="24"/>
          <w:szCs w:val="24"/>
        </w:rPr>
        <w:t xml:space="preserve">约定的</w:t>
      </w:r>
      <w:r>
        <w:rPr>
          <w:rFonts w:hint="eastAsia" w:ascii="宋体" w:hAnsi="宋体" w:cs="宋体"/>
          <w:sz w:val="24"/>
          <w:szCs w:val="24"/>
        </w:rPr>
        <w:t xml:space="preserve">品牌、规格型号、技术性能、配置、质量、数量等要求。</w:t>
      </w:r>
      <w:r>
        <w:rPr>
          <w:rFonts w:hint="eastAsia" w:ascii="宋体" w:hAnsi="宋体"/>
          <w:sz w:val="24"/>
          <w:szCs w:val="24"/>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80"/>
        <w:spacing w:line="360" w:lineRule="auto"/>
        <w:rPr>
          <w:rFonts w:ascii="宋体" w:hAnsi="宋体" w:eastAsia="宋体" w:cs="Courier New"/>
          <w:sz w:val="24"/>
          <w:szCs w:val="24"/>
        </w:rPr>
      </w:pPr>
      <w:r>
        <w:rPr>
          <w:rFonts w:hint="eastAsia" w:ascii="宋体" w:hAnsi="宋体" w:eastAsia="宋体" w:cs="Courier New"/>
          <w:sz w:val="24"/>
          <w:szCs w:val="24"/>
        </w:rPr>
        <w:t xml:space="preserve">（2）采用中华人民共和国法定计量单位。</w:t>
      </w:r>
      <w:r/>
    </w:p>
    <w:p>
      <w:pPr>
        <w:ind w:firstLine="480"/>
        <w:spacing w:line="360" w:lineRule="auto"/>
        <w:rPr>
          <w:rFonts w:ascii="宋体" w:hAnsi="宋体"/>
          <w:sz w:val="24"/>
          <w:szCs w:val="24"/>
        </w:rPr>
      </w:pPr>
      <w:r>
        <w:rPr>
          <w:rFonts w:hint="eastAsia" w:ascii="宋体" w:hAnsi="宋体"/>
          <w:sz w:val="24"/>
          <w:szCs w:val="24"/>
        </w:rPr>
        <w:t xml:space="preserve">（3）乙方所提供的货物应符合国家有关安全、环保、卫生的规定。</w:t>
      </w:r>
      <w:r/>
    </w:p>
    <w:p>
      <w:pPr>
        <w:ind w:firstLine="480"/>
        <w:spacing w:line="360" w:lineRule="auto"/>
        <w:rPr>
          <w:rFonts w:ascii="宋体" w:hAnsi="宋体"/>
          <w:sz w:val="24"/>
          <w:szCs w:val="24"/>
        </w:rPr>
      </w:pPr>
      <w:r>
        <w:rPr>
          <w:rFonts w:hint="eastAsia" w:ascii="宋体" w:hAnsi="宋体"/>
          <w:sz w:val="24"/>
          <w:szCs w:val="24"/>
        </w:rPr>
        <w:t xml:space="preserve">（4）乙方应向甲方提交所提供货物的技术文件，包括相应的中文技术文件，如：产品目录、图纸、操作手册、使用说明、维护手册或服务指南等。上述文件应包装好随货物一同发运。</w:t>
      </w:r>
      <w:r/>
    </w:p>
    <w:p>
      <w:pPr>
        <w:ind w:firstLine="480"/>
        <w:spacing w:line="360" w:lineRule="auto"/>
        <w:rPr>
          <w:rFonts w:ascii="宋体" w:hAnsi="宋体"/>
          <w:sz w:val="24"/>
          <w:szCs w:val="24"/>
        </w:rPr>
      </w:pPr>
      <w:r>
        <w:rPr>
          <w:rFonts w:hint="eastAsia" w:ascii="宋体" w:hAnsi="宋体"/>
          <w:sz w:val="24"/>
          <w:szCs w:val="24"/>
        </w:rPr>
        <w:t xml:space="preserve">8.2 保证</w:t>
      </w:r>
      <w:r/>
    </w:p>
    <w:p>
      <w:pPr>
        <w:ind w:firstLine="480"/>
        <w:spacing w:line="360" w:lineRule="auto"/>
        <w:rPr>
          <w:rFonts w:ascii="宋体" w:hAnsi="宋体"/>
          <w:sz w:val="24"/>
          <w:szCs w:val="24"/>
        </w:rPr>
      </w:pPr>
      <w:r>
        <w:rPr>
          <w:rFonts w:hint="eastAsia" w:ascii="宋体" w:hAnsi="宋体"/>
          <w:sz w:val="24"/>
          <w:szCs w:val="24"/>
        </w:rPr>
        <w:t xml:space="preserve">（1）乙方应保证提供的货物完全符合合同规定的质量、规格和性能要求。乙方应保证货物在正确安装、正常使用和保养条件下，</w:t>
      </w:r>
      <w:r>
        <w:rPr>
          <w:rFonts w:hint="eastAsia" w:ascii="宋体" w:hAnsi="宋体" w:cs="宋体"/>
          <w:sz w:val="24"/>
          <w:szCs w:val="24"/>
        </w:rPr>
        <w:t xml:space="preserve">在其使用寿命期内具备合同约定的性能</w:t>
      </w:r>
      <w:r>
        <w:rPr>
          <w:rFonts w:hint="eastAsia" w:ascii="宋体" w:hAnsi="宋体"/>
          <w:sz w:val="24"/>
          <w:szCs w:val="24"/>
        </w:rPr>
        <w:t xml:space="preserve">。存在质量保证期的，货物最终交付验收合格后在【政府采购合同专用条款】规定或乙方书面承诺（两者以较长的为准）的质量保证期内，本保证保持有效。</w:t>
      </w:r>
      <w:r/>
    </w:p>
    <w:p>
      <w:pPr>
        <w:ind w:firstLine="480"/>
        <w:spacing w:line="360" w:lineRule="auto"/>
        <w:rPr>
          <w:rFonts w:ascii="宋体" w:hAnsi="宋体"/>
          <w:sz w:val="24"/>
          <w:szCs w:val="24"/>
        </w:rPr>
      </w:pPr>
      <w:r>
        <w:rPr>
          <w:rFonts w:hint="eastAsia" w:ascii="宋体" w:hAnsi="宋体"/>
          <w:sz w:val="24"/>
          <w:szCs w:val="24"/>
        </w:rPr>
        <w:t xml:space="preserve">本项目质保期为三年。</w:t>
      </w:r>
      <w:r/>
    </w:p>
    <w:p>
      <w:pPr>
        <w:ind w:firstLine="480"/>
        <w:spacing w:line="360" w:lineRule="auto"/>
        <w:rPr>
          <w:rFonts w:ascii="宋体" w:hAnsi="宋体"/>
          <w:sz w:val="24"/>
          <w:szCs w:val="24"/>
        </w:rPr>
      </w:pPr>
      <w:r>
        <w:rPr>
          <w:rFonts w:hint="eastAsia" w:ascii="宋体" w:hAnsi="宋体"/>
          <w:sz w:val="24"/>
          <w:szCs w:val="24"/>
        </w:rPr>
        <w:t xml:space="preserve">（2）在质量保证期内所发现的缺陷，甲方应尽快以书面形式通知乙方。</w:t>
      </w:r>
      <w:r/>
    </w:p>
    <w:p>
      <w:pPr>
        <w:ind w:firstLine="480"/>
        <w:spacing w:line="360" w:lineRule="auto"/>
        <w:rPr>
          <w:rFonts w:ascii="宋体" w:hAnsi="宋体"/>
          <w:sz w:val="24"/>
          <w:szCs w:val="24"/>
        </w:rPr>
      </w:pPr>
      <w:r>
        <w:rPr>
          <w:rFonts w:hint="eastAsia" w:ascii="宋体" w:hAnsi="宋体"/>
          <w:sz w:val="24"/>
          <w:szCs w:val="24"/>
        </w:rPr>
        <w:t xml:space="preserve">（3）乙方收到通知后，应在【政府采购合同专用条款】规定的响应时间内以合理的速度免费维修或更换有缺陷的货物或部件。</w:t>
      </w:r>
      <w:r/>
    </w:p>
    <w:p>
      <w:pPr>
        <w:ind w:firstLine="480"/>
        <w:spacing w:line="360" w:lineRule="auto"/>
        <w:rPr>
          <w:rFonts w:ascii="宋体" w:hAnsi="宋体"/>
          <w:sz w:val="24"/>
          <w:szCs w:val="24"/>
        </w:rPr>
      </w:pPr>
      <w:r>
        <w:rPr>
          <w:rFonts w:hint="eastAsia" w:ascii="宋体" w:hAnsi="宋体"/>
          <w:sz w:val="24"/>
          <w:szCs w:val="24"/>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 w:val="24"/>
          <w:szCs w:val="24"/>
        </w:rPr>
        <w:t xml:space="preserve">5</w:t>
      </w:r>
      <w:r>
        <w:rPr>
          <w:rFonts w:hint="eastAsia" w:ascii="宋体" w:hAnsi="宋体"/>
          <w:sz w:val="24"/>
          <w:szCs w:val="24"/>
        </w:rPr>
        <w:t xml:space="preserve">.1条规定以书面形式</w:t>
      </w:r>
      <w:r>
        <w:rPr>
          <w:rFonts w:hint="eastAsia" w:ascii="宋体" w:hAnsi="宋体"/>
          <w:color w:val="000000" w:themeColor="text1"/>
          <w:sz w:val="24"/>
          <w:szCs w:val="24"/>
        </w:rPr>
        <w:t xml:space="preserve">追究</w:t>
      </w:r>
      <w:r>
        <w:rPr>
          <w:rFonts w:hint="eastAsia" w:ascii="宋体" w:hAnsi="宋体"/>
          <w:sz w:val="24"/>
          <w:szCs w:val="24"/>
        </w:rPr>
        <w:t xml:space="preserve">乙方</w:t>
      </w:r>
      <w:r>
        <w:rPr>
          <w:rFonts w:hint="eastAsia" w:ascii="宋体" w:hAnsi="宋体"/>
          <w:color w:val="000000" w:themeColor="text1"/>
          <w:sz w:val="24"/>
          <w:szCs w:val="24"/>
        </w:rPr>
        <w:t xml:space="preserve">的违约责任</w:t>
      </w:r>
      <w:r>
        <w:rPr>
          <w:rFonts w:hint="eastAsia" w:ascii="宋体" w:hAnsi="宋体"/>
          <w:sz w:val="24"/>
          <w:szCs w:val="24"/>
        </w:rPr>
        <w:t xml:space="preserve">。</w:t>
      </w:r>
      <w:r/>
    </w:p>
    <w:p>
      <w:pPr>
        <w:ind w:firstLine="480"/>
        <w:spacing w:line="360" w:lineRule="auto"/>
        <w:rPr>
          <w:sz w:val="24"/>
          <w:szCs w:val="24"/>
        </w:rPr>
      </w:pPr>
      <w:r>
        <w:rPr>
          <w:rFonts w:hint="eastAsia" w:ascii="宋体" w:hAnsi="宋体"/>
          <w:sz w:val="24"/>
          <w:szCs w:val="24"/>
        </w:rPr>
        <w:t xml:space="preserve">（5）乙方在约定的时间内未能弥补缺陷，甲方可采取必要的补救措施，但其风险和费用将由乙方承担，甲方根据合同约定对乙方行使的其他权利不受影响。</w:t>
      </w:r>
      <w:r/>
    </w:p>
    <w:p>
      <w:pPr>
        <w:spacing w:line="360" w:lineRule="auto"/>
        <w:rPr>
          <w:rFonts w:ascii="宋体" w:hAnsi="宋体"/>
          <w:b/>
          <w:bCs/>
          <w:sz w:val="24"/>
          <w:szCs w:val="24"/>
        </w:rPr>
      </w:pPr>
      <w:r>
        <w:rPr>
          <w:rFonts w:hint="eastAsia" w:ascii="宋体" w:hAnsi="宋体"/>
          <w:b/>
          <w:bCs/>
          <w:color w:val="000000" w:themeColor="text1"/>
          <w:sz w:val="24"/>
          <w:szCs w:val="24"/>
        </w:rPr>
        <w:t xml:space="preserve">9</w:t>
      </w:r>
      <w:r>
        <w:rPr>
          <w:rFonts w:hint="eastAsia" w:ascii="宋体" w:hAnsi="宋体"/>
          <w:b/>
          <w:bCs/>
          <w:sz w:val="24"/>
          <w:szCs w:val="24"/>
        </w:rPr>
        <w:t xml:space="preserve">.权利瑕疵担保</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9.1 乙方保证对其出售的货物享有合法的权利。</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9.2 </w:t>
      </w:r>
      <w:r>
        <w:rPr>
          <w:rFonts w:hint="eastAsia" w:ascii="宋体" w:hAnsi="宋体" w:cs="宋体"/>
          <w:sz w:val="24"/>
          <w:szCs w:val="24"/>
        </w:rPr>
        <w:t xml:space="preserve">乙方保证在交付的货物上不存在抵押权等担保物权。</w:t>
      </w:r>
      <w:r/>
    </w:p>
    <w:p>
      <w:pPr>
        <w:ind w:firstLine="480"/>
        <w:spacing w:line="360" w:lineRule="auto"/>
        <w:rPr>
          <w:rFonts w:ascii="宋体" w:hAnsi="宋体"/>
          <w:color w:val="000000" w:themeColor="text1"/>
          <w:sz w:val="24"/>
          <w:szCs w:val="24"/>
        </w:rPr>
      </w:pPr>
      <w:r>
        <w:rPr>
          <w:rFonts w:hint="eastAsia" w:ascii="宋体" w:hAnsi="宋体"/>
          <w:color w:val="000000" w:themeColor="text1"/>
          <w:sz w:val="24"/>
          <w:szCs w:val="24"/>
        </w:rPr>
        <w:t xml:space="preserve">9.3 如甲方使用上述货物构成对第三人侵权的，则由乙方承担全部责任。</w:t>
      </w:r>
      <w:r/>
    </w:p>
    <w:p>
      <w:pPr>
        <w:spacing w:line="360" w:lineRule="auto"/>
        <w:rPr>
          <w:rFonts w:ascii="宋体" w:hAnsi="宋体"/>
          <w:b/>
          <w:bCs/>
          <w:color w:val="000000" w:themeColor="text1"/>
          <w:sz w:val="24"/>
          <w:szCs w:val="24"/>
        </w:rPr>
      </w:pPr>
      <w:r>
        <w:rPr>
          <w:rFonts w:hint="eastAsia" w:ascii="宋体" w:hAnsi="宋体"/>
          <w:b/>
          <w:bCs/>
          <w:color w:val="000000" w:themeColor="text1"/>
          <w:sz w:val="24"/>
          <w:szCs w:val="24"/>
        </w:rPr>
        <w:t xml:space="preserve">10.知识产权保护</w:t>
      </w:r>
      <w:r/>
    </w:p>
    <w:p>
      <w:pPr>
        <w:ind w:firstLine="480"/>
        <w:spacing w:line="360" w:lineRule="auto"/>
        <w:rPr>
          <w:rFonts w:ascii="宋体" w:hAnsi="宋体"/>
          <w:sz w:val="24"/>
          <w:szCs w:val="24"/>
        </w:rPr>
      </w:pPr>
      <w:r>
        <w:rPr>
          <w:rFonts w:hint="eastAsia" w:ascii="宋体" w:hAnsi="宋体"/>
          <w:color w:val="000000" w:themeColor="text1"/>
          <w:sz w:val="24"/>
          <w:szCs w:val="24"/>
        </w:rPr>
        <w:t xml:space="preserve">10.1 乙方对其所销售的货物应当享有知识产权或经权利人合法授权，保证没有侵犯任</w:t>
      </w:r>
      <w:r>
        <w:rPr>
          <w:rFonts w:hint="eastAsia" w:ascii="宋体" w:hAnsi="宋体"/>
          <w:sz w:val="24"/>
          <w:szCs w:val="24"/>
        </w:rPr>
        <w:t xml:space="preserve">何第三人的知识产权等权利。</w:t>
      </w:r>
      <w:bookmarkStart w:id="6" w:name="_Hlk163047038"/>
      <w:r>
        <w:rPr>
          <w:rFonts w:hint="eastAsia" w:ascii="宋体" w:hAnsi="宋体" w:cs="宋体"/>
          <w:sz w:val="24"/>
          <w:szCs w:val="24"/>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 w:val="24"/>
          <w:szCs w:val="24"/>
        </w:rPr>
        <w:t xml:space="preserve">。</w:t>
      </w:r>
      <w:r/>
    </w:p>
    <w:p>
      <w:pPr>
        <w:spacing w:line="360" w:lineRule="auto"/>
        <w:rPr>
          <w:rFonts w:ascii="宋体" w:hAnsi="宋体"/>
          <w:b/>
          <w:bCs/>
          <w:sz w:val="24"/>
          <w:szCs w:val="24"/>
        </w:rPr>
      </w:pPr>
      <w:r>
        <w:rPr>
          <w:rFonts w:hint="eastAsia" w:ascii="宋体" w:hAnsi="宋体"/>
          <w:b/>
          <w:bCs/>
          <w:sz w:val="24"/>
          <w:szCs w:val="24"/>
        </w:rPr>
        <w:t xml:space="preserve">11.保密义务</w:t>
      </w:r>
      <w:r/>
    </w:p>
    <w:p>
      <w:pPr>
        <w:ind w:firstLine="480"/>
        <w:spacing w:line="360" w:lineRule="auto"/>
        <w:rPr>
          <w:rFonts w:ascii="宋体" w:hAnsi="宋体" w:cs="宋体"/>
          <w:sz w:val="24"/>
          <w:szCs w:val="24"/>
        </w:rPr>
      </w:pPr>
      <w:r>
        <w:rPr>
          <w:rFonts w:hint="eastAsia" w:ascii="宋体" w:hAnsi="宋体" w:cs="宋体"/>
          <w:sz w:val="24"/>
          <w:szCs w:val="24"/>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Cs/>
          <w:sz w:val="24"/>
          <w:szCs w:val="24"/>
        </w:rPr>
        <w:t xml:space="preserve">【政府采购合同专用条款】</w:t>
      </w:r>
      <w:r>
        <w:rPr>
          <w:rFonts w:hint="eastAsia" w:ascii="宋体" w:hAnsi="宋体" w:cs="宋体"/>
          <w:sz w:val="24"/>
          <w:szCs w:val="24"/>
        </w:rPr>
        <w:t xml:space="preserve">中约定。</w:t>
      </w:r>
      <w:r/>
    </w:p>
    <w:p>
      <w:pPr>
        <w:spacing w:line="360" w:lineRule="auto"/>
        <w:rPr>
          <w:rFonts w:ascii="宋体" w:hAnsi="宋体"/>
          <w:b/>
          <w:bCs/>
          <w:sz w:val="24"/>
          <w:szCs w:val="24"/>
        </w:rPr>
      </w:pPr>
      <w:r>
        <w:rPr>
          <w:rFonts w:hint="eastAsia" w:ascii="宋体" w:hAnsi="宋体"/>
          <w:b/>
          <w:bCs/>
          <w:sz w:val="24"/>
          <w:szCs w:val="24"/>
        </w:rPr>
        <w:t xml:space="preserve">12.合同价款支付</w:t>
      </w:r>
      <w:r/>
    </w:p>
    <w:p>
      <w:pPr>
        <w:ind w:firstLine="480"/>
        <w:spacing w:line="360" w:lineRule="auto"/>
        <w:rPr>
          <w:rFonts w:ascii="宋体" w:hAnsi="宋体"/>
          <w:sz w:val="24"/>
          <w:szCs w:val="24"/>
        </w:rPr>
      </w:pPr>
      <w:r>
        <w:rPr>
          <w:rFonts w:hint="eastAsia" w:ascii="宋体" w:hAnsi="宋体"/>
          <w:sz w:val="24"/>
          <w:szCs w:val="24"/>
        </w:rPr>
        <w:t xml:space="preserve">12.1 合同价款支付按照国库集中支付制度及财政管理相关规定执行。</w:t>
      </w:r>
      <w:r/>
    </w:p>
    <w:p>
      <w:pPr>
        <w:ind w:firstLine="480"/>
        <w:spacing w:line="360" w:lineRule="auto"/>
        <w:rPr>
          <w:rFonts w:ascii="宋体" w:hAnsi="宋体"/>
          <w:sz w:val="24"/>
          <w:szCs w:val="24"/>
        </w:rPr>
      </w:pPr>
      <w:r>
        <w:rPr>
          <w:rFonts w:hint="eastAsia" w:ascii="宋体" w:hAnsi="宋体"/>
          <w:sz w:val="24"/>
          <w:szCs w:val="24"/>
        </w:rPr>
        <w:t xml:space="preserve">12.2 对于满足合同约定支付条件的，收到发票后，支付款总额在50万元以内的，应当自收到发票后30日内将资金支付到合同约定的乙方账户，支付款总额在50万元以上的，应当自收到发票后30日内将付款申请提交市财政审核，在财政审核通过后完成合同款支付。</w:t>
      </w:r>
      <w:r/>
    </w:p>
    <w:p>
      <w:pPr>
        <w:spacing w:line="360" w:lineRule="auto"/>
        <w:rPr>
          <w:rFonts w:ascii="宋体" w:hAnsi="宋体" w:eastAsia="宋体" w:cs="Times New Roman"/>
          <w:b/>
          <w:bCs/>
          <w:sz w:val="24"/>
          <w:szCs w:val="24"/>
        </w:rPr>
      </w:pPr>
      <w:r>
        <w:rPr>
          <w:rFonts w:hint="eastAsia" w:ascii="宋体" w:hAnsi="宋体" w:eastAsia="宋体" w:cs="Times New Roman"/>
          <w:b/>
          <w:bCs/>
          <w:sz w:val="24"/>
          <w:szCs w:val="24"/>
        </w:rPr>
        <w:t xml:space="preserve">13.履约保证金</w:t>
      </w:r>
      <w:r/>
    </w:p>
    <w:p>
      <w:pPr>
        <w:ind w:firstLine="480"/>
        <w:spacing w:line="360" w:lineRule="auto"/>
        <w:rPr>
          <w:rFonts w:ascii="宋体" w:hAnsi="宋体"/>
          <w:sz w:val="24"/>
          <w:szCs w:val="24"/>
        </w:rPr>
      </w:pPr>
      <w:r>
        <w:rPr>
          <w:rFonts w:hint="eastAsia" w:ascii="宋体" w:hAnsi="宋体"/>
          <w:sz w:val="24"/>
          <w:szCs w:val="24"/>
        </w:rPr>
        <w:t xml:space="preserve">13.1 </w:t>
      </w:r>
      <w:r>
        <w:rPr>
          <w:rFonts w:hint="eastAsia" w:ascii="宋体" w:hAnsi="宋体" w:cs="宋体"/>
          <w:sz w:val="24"/>
          <w:szCs w:val="24"/>
        </w:rPr>
        <w:t xml:space="preserve">乙方应当以支票、汇票、本票或者金融机构、担保机构出具的保函等非现金形式提交。</w:t>
      </w:r>
      <w:r/>
    </w:p>
    <w:p>
      <w:pPr>
        <w:ind w:firstLine="480"/>
        <w:spacing w:line="360" w:lineRule="auto"/>
        <w:rPr>
          <w:rFonts w:ascii="宋体" w:hAnsi="宋体"/>
          <w:sz w:val="24"/>
          <w:szCs w:val="24"/>
        </w:rPr>
      </w:pPr>
      <w:r>
        <w:rPr>
          <w:rFonts w:hint="eastAsia" w:ascii="宋体" w:hAnsi="宋体"/>
          <w:sz w:val="24"/>
          <w:szCs w:val="24"/>
        </w:rPr>
        <w:t xml:space="preserve">13.2 如果乙方出现</w:t>
      </w:r>
      <w:r>
        <w:rPr>
          <w:rFonts w:hint="eastAsia" w:ascii="宋体" w:hAnsi="宋体" w:cs="宋体"/>
          <w:bCs/>
          <w:sz w:val="24"/>
          <w:szCs w:val="24"/>
        </w:rPr>
        <w:t xml:space="preserve">【政府采购合同专用条款】</w:t>
      </w:r>
      <w:r>
        <w:rPr>
          <w:rFonts w:hint="eastAsia" w:ascii="宋体" w:hAnsi="宋体" w:cs="宋体"/>
          <w:sz w:val="24"/>
          <w:szCs w:val="24"/>
        </w:rPr>
        <w:t xml:space="preserve">约定情形的</w:t>
      </w:r>
      <w:r>
        <w:rPr>
          <w:rFonts w:hint="eastAsia" w:ascii="宋体" w:hAnsi="宋体"/>
          <w:sz w:val="24"/>
          <w:szCs w:val="24"/>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360" w:lineRule="auto"/>
        <w:rPr>
          <w:sz w:val="24"/>
          <w:szCs w:val="24"/>
        </w:rPr>
      </w:pPr>
      <w:r>
        <w:rPr>
          <w:rFonts w:hint="eastAsia" w:ascii="宋体" w:hAnsi="宋体"/>
          <w:sz w:val="24"/>
          <w:szCs w:val="24"/>
        </w:rPr>
        <w:t xml:space="preserve">13.3 甲方在项目通过验收后按照【政府采购合同专用条款】规定的时间内将履约保证金退还乙方；逾期退还的，乙方可要求甲方支付违约金，违约金按照【政府采购合同专用条款】规定支付。</w:t>
      </w:r>
      <w:r/>
    </w:p>
    <w:p>
      <w:pPr>
        <w:spacing w:line="360" w:lineRule="auto"/>
        <w:rPr>
          <w:rFonts w:ascii="宋体" w:hAnsi="宋体"/>
          <w:b/>
          <w:sz w:val="24"/>
          <w:szCs w:val="24"/>
        </w:rPr>
      </w:pPr>
      <w:r>
        <w:rPr>
          <w:rFonts w:hint="eastAsia" w:ascii="宋体" w:hAnsi="宋体"/>
          <w:b/>
          <w:bCs/>
          <w:sz w:val="24"/>
          <w:szCs w:val="24"/>
        </w:rPr>
        <w:t xml:space="preserve">14.</w:t>
      </w:r>
      <w:r>
        <w:rPr>
          <w:rFonts w:hint="eastAsia"/>
          <w:b/>
          <w:sz w:val="24"/>
          <w:szCs w:val="24"/>
        </w:rPr>
        <w:t xml:space="preserve">售后</w:t>
      </w:r>
      <w:r>
        <w:rPr>
          <w:rFonts w:hint="eastAsia" w:ascii="宋体" w:hAnsi="宋体"/>
          <w:b/>
          <w:sz w:val="24"/>
          <w:szCs w:val="24"/>
        </w:rPr>
        <w:t xml:space="preserve">服务</w:t>
      </w:r>
      <w:r/>
    </w:p>
    <w:p>
      <w:pPr>
        <w:ind w:firstLine="480"/>
        <w:spacing w:line="360" w:lineRule="auto"/>
        <w:rPr>
          <w:rFonts w:ascii="宋体" w:hAnsi="宋体"/>
          <w:sz w:val="24"/>
          <w:szCs w:val="24"/>
        </w:rPr>
      </w:pPr>
      <w:r>
        <w:rPr>
          <w:rFonts w:hint="eastAsia" w:ascii="宋体" w:hAnsi="宋体"/>
          <w:sz w:val="24"/>
          <w:szCs w:val="24"/>
        </w:rPr>
        <w:t xml:space="preserve">14.1 除项目不涉及或采购活动中明确约定无须承担外，乙方还应提供下列服务：</w:t>
      </w:r>
      <w:r/>
    </w:p>
    <w:p>
      <w:pPr>
        <w:ind w:firstLine="480"/>
        <w:spacing w:line="360" w:lineRule="auto"/>
        <w:rPr>
          <w:rFonts w:ascii="宋体" w:hAnsi="宋体"/>
          <w:sz w:val="24"/>
          <w:szCs w:val="24"/>
        </w:rPr>
      </w:pPr>
      <w:r>
        <w:rPr>
          <w:rFonts w:hint="eastAsia" w:ascii="宋体" w:hAnsi="宋体"/>
          <w:sz w:val="24"/>
          <w:szCs w:val="24"/>
        </w:rPr>
        <w:t xml:space="preserve">（1）货物的现场移动、安装、调试、启动监督及技术支持；</w:t>
      </w:r>
      <w:r/>
    </w:p>
    <w:p>
      <w:pPr>
        <w:ind w:firstLine="480"/>
        <w:spacing w:line="360" w:lineRule="auto"/>
        <w:rPr>
          <w:rFonts w:ascii="宋体" w:hAnsi="宋体"/>
          <w:sz w:val="24"/>
          <w:szCs w:val="24"/>
        </w:rPr>
      </w:pPr>
      <w:r>
        <w:rPr>
          <w:rFonts w:hint="eastAsia" w:ascii="宋体" w:hAnsi="宋体"/>
          <w:sz w:val="24"/>
          <w:szCs w:val="24"/>
        </w:rPr>
        <w:t xml:space="preserve">（2）提供货物组装和维修所需的专用工具和辅助材料；</w:t>
      </w:r>
      <w:r/>
    </w:p>
    <w:p>
      <w:pPr>
        <w:ind w:firstLine="480"/>
        <w:spacing w:line="360" w:lineRule="auto"/>
        <w:rPr>
          <w:rFonts w:ascii="宋体" w:hAnsi="宋体"/>
          <w:sz w:val="24"/>
          <w:szCs w:val="24"/>
        </w:rPr>
      </w:pPr>
      <w:r>
        <w:rPr>
          <w:rFonts w:hint="eastAsia" w:ascii="宋体" w:hAnsi="宋体"/>
          <w:sz w:val="24"/>
          <w:szCs w:val="24"/>
        </w:rPr>
        <w:t xml:space="preserve">（3）在</w:t>
      </w:r>
      <w:r>
        <w:rPr>
          <w:rFonts w:hint="eastAsia" w:ascii="宋体" w:hAnsi="宋体" w:cs="宋体"/>
          <w:bCs/>
          <w:sz w:val="24"/>
          <w:szCs w:val="24"/>
        </w:rPr>
        <w:t xml:space="preserve">【政府采购合同专用条款】</w:t>
      </w:r>
      <w:r>
        <w:rPr>
          <w:rFonts w:hint="eastAsia" w:ascii="宋体" w:hAnsi="宋体"/>
          <w:sz w:val="24"/>
          <w:szCs w:val="24"/>
        </w:rPr>
        <w:t xml:space="preserve">约定的期限内对所有的货物实施运行监督、维修，但前提条件是该服务并不能免除乙方在质量保证期内所承担的义务；</w:t>
      </w:r>
      <w:r/>
    </w:p>
    <w:p>
      <w:pPr>
        <w:ind w:firstLine="480"/>
        <w:spacing w:line="360" w:lineRule="auto"/>
        <w:rPr>
          <w:rFonts w:ascii="宋体" w:hAnsi="宋体"/>
          <w:sz w:val="24"/>
          <w:szCs w:val="24"/>
        </w:rPr>
      </w:pPr>
      <w:r>
        <w:rPr>
          <w:rFonts w:hint="eastAsia" w:ascii="宋体" w:hAnsi="宋体"/>
          <w:sz w:val="24"/>
          <w:szCs w:val="24"/>
        </w:rPr>
        <w:t xml:space="preserve">（4）在制造商所在地或指定现场就货物的安装、启动、运营、维护、废弃处置等对甲方操作人员进行培训</w:t>
      </w:r>
      <w:r>
        <w:rPr>
          <w:rFonts w:hint="eastAsia" w:ascii="宋体" w:hAnsi="宋体" w:cs="宋体"/>
          <w:sz w:val="24"/>
          <w:szCs w:val="24"/>
        </w:rPr>
        <w:t xml:space="preserve">；</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（5）依照法律、行政法规的规定或者按照</w:t>
      </w:r>
      <w:r>
        <w:rPr>
          <w:rFonts w:hint="eastAsia" w:ascii="宋体" w:hAnsi="宋体" w:eastAsia="宋体" w:cs="宋体"/>
          <w:bCs/>
          <w:sz w:val="24"/>
          <w:szCs w:val="24"/>
        </w:rPr>
        <w:t xml:space="preserve">【政府采购合同专用条款】</w:t>
      </w:r>
      <w:r>
        <w:rPr>
          <w:rFonts w:hint="eastAsia" w:ascii="宋体" w:hAnsi="宋体" w:eastAsia="宋体" w:cs="宋体"/>
          <w:sz w:val="24"/>
          <w:szCs w:val="24"/>
        </w:rPr>
        <w:t xml:space="preserve">约定，货物在有效使用年限届满后应予回收的，乙方负有自行或者委托第三人对货物予以回收的义务；</w:t>
      </w:r>
      <w:r/>
    </w:p>
    <w:p>
      <w:pPr>
        <w:ind w:firstLine="480"/>
        <w:spacing w:line="360" w:lineRule="auto"/>
        <w:rPr>
          <w:rFonts w:ascii="宋体" w:hAnsi="宋体"/>
          <w:sz w:val="24"/>
          <w:szCs w:val="24"/>
        </w:rPr>
      </w:pPr>
      <w:r>
        <w:rPr>
          <w:rFonts w:hint="eastAsia" w:ascii="宋体" w:hAnsi="宋体"/>
          <w:sz w:val="24"/>
          <w:szCs w:val="24"/>
        </w:rPr>
        <w:t xml:space="preserve">（6）【政府采购合同专用条款】规定由乙方提供的其他服务。</w:t>
      </w:r>
      <w:r/>
    </w:p>
    <w:p>
      <w:pPr>
        <w:ind w:firstLine="480"/>
        <w:spacing w:line="360" w:lineRule="auto"/>
        <w:rPr>
          <w:rFonts w:ascii="宋体" w:hAnsi="宋体"/>
          <w:sz w:val="24"/>
          <w:szCs w:val="24"/>
        </w:rPr>
      </w:pPr>
      <w:r>
        <w:rPr>
          <w:rFonts w:hint="eastAsia" w:ascii="宋体" w:hAnsi="宋体"/>
          <w:sz w:val="24"/>
          <w:szCs w:val="24"/>
        </w:rPr>
        <w:t xml:space="preserve">14.2 乙方提供的售后服务的费用已包含在合同价款中，甲方不再另行支付。</w:t>
      </w:r>
      <w:r/>
    </w:p>
    <w:p>
      <w:pPr>
        <w:spacing w:line="360" w:lineRule="auto"/>
        <w:rPr>
          <w:rFonts w:ascii="宋体" w:hAnsi="宋体"/>
          <w:bCs/>
          <w:sz w:val="24"/>
          <w:szCs w:val="24"/>
        </w:rPr>
      </w:pPr>
      <w:r>
        <w:rPr>
          <w:rFonts w:hint="eastAsia" w:ascii="宋体" w:hAnsi="宋体"/>
          <w:bCs/>
          <w:sz w:val="24"/>
          <w:szCs w:val="24"/>
        </w:rPr>
        <w:t xml:space="preserve">15.违约责任</w:t>
      </w:r>
      <w:r/>
    </w:p>
    <w:p>
      <w:pPr>
        <w:ind w:firstLine="480"/>
        <w:spacing w:line="360" w:lineRule="auto"/>
        <w:rPr>
          <w:rFonts w:ascii="宋体" w:hAnsi="宋体"/>
          <w:bCs/>
          <w:sz w:val="24"/>
          <w:szCs w:val="24"/>
        </w:rPr>
      </w:pPr>
      <w:r>
        <w:rPr>
          <w:rFonts w:hint="eastAsia" w:ascii="宋体" w:hAnsi="宋体"/>
          <w:bCs/>
          <w:sz w:val="24"/>
          <w:szCs w:val="24"/>
        </w:rPr>
        <w:t xml:space="preserve">15.1 质量瑕疵的违约责任</w:t>
      </w:r>
      <w:r/>
    </w:p>
    <w:p>
      <w:pPr>
        <w:ind w:firstLine="480"/>
        <w:spacing w:line="360" w:lineRule="auto"/>
        <w:rPr>
          <w:rFonts w:ascii="宋体" w:hAnsi="宋体"/>
          <w:sz w:val="24"/>
          <w:szCs w:val="24"/>
        </w:rPr>
      </w:pPr>
      <w:r>
        <w:rPr>
          <w:rFonts w:hint="eastAsia" w:ascii="宋体" w:hAnsi="宋体"/>
          <w:sz w:val="24"/>
          <w:szCs w:val="24"/>
        </w:rPr>
        <w:t xml:space="preserve">乙方提供的产品不符合招标文件、合同约定的质量标准或存在产品质量缺陷，甲方有权要求乙方根据【政府采购合同专用条款】</w:t>
      </w:r>
      <w:r>
        <w:rPr>
          <w:rFonts w:hint="eastAsia" w:ascii="宋体" w:hAnsi="宋体"/>
          <w:bCs/>
          <w:sz w:val="24"/>
          <w:szCs w:val="24"/>
        </w:rPr>
        <w:t xml:space="preserve">要求</w:t>
      </w:r>
      <w:r>
        <w:rPr>
          <w:rFonts w:hint="eastAsia" w:ascii="宋体" w:hAnsi="宋体"/>
          <w:sz w:val="24"/>
          <w:szCs w:val="24"/>
        </w:rPr>
        <w:t xml:space="preserve">及时修理、重作、更换，并承担由此给甲方造成的损失。</w:t>
      </w:r>
      <w:r/>
    </w:p>
    <w:p>
      <w:pPr>
        <w:ind w:firstLine="480"/>
        <w:spacing w:line="360" w:lineRule="auto"/>
        <w:rPr>
          <w:rFonts w:ascii="宋体" w:hAnsi="宋体"/>
          <w:bCs/>
          <w:sz w:val="24"/>
          <w:szCs w:val="24"/>
        </w:rPr>
      </w:pPr>
      <w:r>
        <w:rPr>
          <w:rFonts w:hint="eastAsia" w:ascii="宋体" w:hAnsi="宋体"/>
          <w:bCs/>
          <w:sz w:val="24"/>
          <w:szCs w:val="24"/>
        </w:rPr>
        <w:t xml:space="preserve">15.2 迟延交货的违约责任</w:t>
      </w:r>
      <w:r/>
    </w:p>
    <w:p>
      <w:pPr>
        <w:ind w:firstLine="480"/>
        <w:spacing w:line="360" w:lineRule="auto"/>
        <w:rPr>
          <w:rFonts w:ascii="宋体" w:hAnsi="宋体"/>
          <w:sz w:val="24"/>
          <w:szCs w:val="24"/>
        </w:rPr>
      </w:pPr>
      <w:r>
        <w:rPr>
          <w:rFonts w:hint="eastAsia" w:ascii="宋体" w:hAnsi="宋体"/>
          <w:sz w:val="24"/>
          <w:szCs w:val="24"/>
        </w:rPr>
        <w:t xml:space="preserve">（1）乙方应按照本合同规定的时间、地点交货和提供相关服务。</w:t>
      </w:r>
      <w:r/>
    </w:p>
    <w:p>
      <w:pPr>
        <w:ind w:firstLine="480"/>
        <w:spacing w:line="360" w:lineRule="auto"/>
        <w:rPr>
          <w:rFonts w:ascii="宋体" w:hAnsi="宋体"/>
          <w:sz w:val="24"/>
          <w:szCs w:val="24"/>
        </w:rPr>
      </w:pPr>
      <w:r>
        <w:rPr>
          <w:rFonts w:hint="eastAsia" w:ascii="宋体" w:hAnsi="宋体"/>
          <w:sz w:val="24"/>
          <w:szCs w:val="24"/>
        </w:rPr>
        <w:t xml:space="preserve">（2）如果乙方没有按照合同规定的时间交货和提供相关服务，甲方有权解除合同并要求乙方承担由此给甲方造成的损失。乙方因逾期交付或因其他违约行为导致甲方解除合同的，乙方应向甲方支付合同总值百分之十的违约金，如造成甲方损失超过违约金的，超出部分由乙方继续承担赔偿责任。</w:t>
      </w:r>
      <w:r/>
    </w:p>
    <w:p>
      <w:pPr>
        <w:ind w:firstLine="480"/>
        <w:spacing w:line="360" w:lineRule="auto"/>
        <w:rPr>
          <w:rFonts w:ascii="宋体" w:hAnsi="宋体"/>
          <w:sz w:val="24"/>
          <w:szCs w:val="24"/>
        </w:rPr>
      </w:pPr>
      <w:r>
        <w:rPr>
          <w:rFonts w:hint="eastAsia" w:ascii="宋体" w:hAnsi="宋体"/>
          <w:sz w:val="24"/>
          <w:szCs w:val="24"/>
        </w:rPr>
        <w:t xml:space="preserve">15.3 迟延支付的违约责任</w:t>
      </w:r>
      <w:r/>
    </w:p>
    <w:p>
      <w:pPr>
        <w:ind w:firstLine="480"/>
        <w:spacing w:line="360" w:lineRule="auto"/>
        <w:rPr>
          <w:rFonts w:ascii="宋体" w:hAnsi="宋体"/>
          <w:sz w:val="24"/>
          <w:szCs w:val="24"/>
        </w:rPr>
      </w:pPr>
      <w:r>
        <w:rPr>
          <w:rFonts w:hint="eastAsia" w:ascii="宋体" w:hAnsi="宋体"/>
          <w:sz w:val="24"/>
          <w:szCs w:val="24"/>
        </w:rPr>
        <w:t xml:space="preserve">甲方存在迟延支付乙方合同款项的，应当承担</w:t>
      </w:r>
      <w:r>
        <w:rPr>
          <w:rFonts w:hint="eastAsia" w:ascii="宋体" w:hAnsi="宋体"/>
          <w:bCs/>
          <w:sz w:val="24"/>
          <w:szCs w:val="24"/>
        </w:rPr>
        <w:t xml:space="preserve">【政府采购合同专用条款】</w:t>
      </w:r>
      <w:r>
        <w:rPr>
          <w:rFonts w:hint="eastAsia" w:ascii="宋体" w:hAnsi="宋体"/>
          <w:sz w:val="24"/>
          <w:szCs w:val="24"/>
        </w:rPr>
        <w:t xml:space="preserve">规定的逾期付款利息。</w:t>
      </w:r>
      <w:r/>
    </w:p>
    <w:p>
      <w:pPr>
        <w:ind w:firstLine="480"/>
        <w:spacing w:line="360" w:lineRule="auto"/>
        <w:rPr>
          <w:rFonts w:ascii="宋体" w:hAnsi="宋体"/>
          <w:sz w:val="24"/>
          <w:szCs w:val="24"/>
        </w:rPr>
      </w:pPr>
      <w:r>
        <w:rPr>
          <w:rFonts w:hint="eastAsia" w:ascii="宋体" w:hAnsi="宋体"/>
          <w:bCs/>
          <w:sz w:val="24"/>
          <w:szCs w:val="24"/>
        </w:rPr>
        <w:t xml:space="preserve">15.4 其他违约责任根据项目实际需要按【政府采购合同专用条款】</w:t>
      </w:r>
      <w:r>
        <w:rPr>
          <w:rFonts w:hint="eastAsia" w:ascii="宋体" w:hAnsi="宋体"/>
          <w:sz w:val="24"/>
          <w:szCs w:val="24"/>
        </w:rPr>
        <w:t xml:space="preserve">规定执行。</w:t>
      </w:r>
      <w:r/>
    </w:p>
    <w:p>
      <w:pPr>
        <w:numPr>
          <w:ilvl w:val="0"/>
          <w:numId w:val="5"/>
        </w:numPr>
        <w:spacing w:line="360" w:lineRule="auto"/>
        <w:rPr>
          <w:rFonts w:ascii="宋体" w:hAnsi="宋体"/>
          <w:b/>
          <w:sz w:val="24"/>
          <w:szCs w:val="24"/>
        </w:rPr>
      </w:pPr>
      <w:r>
        <w:rPr>
          <w:rFonts w:hint="eastAsia" w:ascii="宋体" w:hAnsi="宋体"/>
          <w:b/>
          <w:sz w:val="24"/>
          <w:szCs w:val="24"/>
        </w:rPr>
        <w:t xml:space="preserve">合同变更、中止与终止</w:t>
      </w:r>
      <w:r/>
    </w:p>
    <w:p>
      <w:pPr>
        <w:ind w:firstLine="480"/>
        <w:spacing w:line="360" w:lineRule="auto"/>
        <w:rPr>
          <w:rFonts w:ascii="宋体" w:hAnsi="宋体"/>
          <w:bCs/>
          <w:sz w:val="24"/>
          <w:szCs w:val="24"/>
        </w:rPr>
      </w:pPr>
      <w:r>
        <w:rPr>
          <w:rFonts w:hint="eastAsia" w:ascii="宋体" w:hAnsi="宋体"/>
          <w:bCs/>
          <w:sz w:val="24"/>
          <w:szCs w:val="24"/>
        </w:rPr>
        <w:t xml:space="preserve">16.1 合同的变更</w:t>
      </w:r>
      <w:r/>
    </w:p>
    <w:p>
      <w:pPr>
        <w:ind w:firstLine="480"/>
        <w:spacing w:line="360" w:lineRule="auto"/>
        <w:rPr>
          <w:rFonts w:ascii="宋体" w:hAnsi="宋体"/>
          <w:sz w:val="24"/>
          <w:szCs w:val="24"/>
        </w:rPr>
      </w:pPr>
      <w:r>
        <w:rPr>
          <w:rFonts w:hint="eastAsia" w:ascii="宋体" w:hAnsi="宋体"/>
          <w:sz w:val="24"/>
          <w:szCs w:val="24"/>
        </w:rPr>
        <w:t xml:space="preserve">政府采购合同履行中，在不改变合同其他条款的前提下，甲方可以在合同价款10%的范围内追加与合同标的相同的货物，并就此与乙方协商一致后签订补充协议。</w:t>
      </w:r>
      <w:r/>
    </w:p>
    <w:p>
      <w:pPr>
        <w:ind w:firstLine="480"/>
        <w:spacing w:line="360" w:lineRule="auto"/>
        <w:rPr>
          <w:rFonts w:ascii="宋体" w:hAnsi="宋体"/>
          <w:sz w:val="24"/>
          <w:szCs w:val="24"/>
        </w:rPr>
      </w:pPr>
      <w:r>
        <w:rPr>
          <w:rFonts w:hint="eastAsia" w:ascii="宋体" w:hAnsi="宋体"/>
          <w:sz w:val="24"/>
          <w:szCs w:val="24"/>
        </w:rPr>
        <w:t xml:space="preserve">16.2 合同的中止</w:t>
      </w:r>
      <w:r/>
    </w:p>
    <w:p>
      <w:pPr>
        <w:ind w:firstLine="480"/>
        <w:spacing w:line="360" w:lineRule="auto"/>
        <w:rPr>
          <w:rFonts w:ascii="宋体" w:hAnsi="宋体"/>
          <w:sz w:val="24"/>
          <w:szCs w:val="24"/>
        </w:rPr>
      </w:pPr>
      <w:r>
        <w:rPr>
          <w:rFonts w:hint="eastAsia" w:ascii="宋体" w:hAnsi="宋体"/>
          <w:sz w:val="24"/>
          <w:szCs w:val="24"/>
        </w:rPr>
        <w:t xml:space="preserve">（1）合同履行过程中因供应商就采购文件、采购过程或结果提起投诉的，甲方认为有必要的，可以中止合同的履行。</w:t>
      </w:r>
      <w:r/>
    </w:p>
    <w:p>
      <w:pPr>
        <w:ind w:firstLine="480"/>
        <w:spacing w:line="360" w:lineRule="auto"/>
        <w:rPr>
          <w:rFonts w:ascii="宋体" w:hAnsi="宋体"/>
          <w:sz w:val="24"/>
          <w:szCs w:val="24"/>
        </w:rPr>
      </w:pPr>
      <w:r>
        <w:rPr>
          <w:rFonts w:hint="eastAsia" w:ascii="宋体" w:hAnsi="宋体"/>
          <w:sz w:val="24"/>
          <w:szCs w:val="24"/>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80"/>
        <w:spacing w:line="360" w:lineRule="auto"/>
        <w:rPr>
          <w:sz w:val="24"/>
          <w:szCs w:val="24"/>
        </w:rPr>
      </w:pPr>
      <w:r>
        <w:rPr>
          <w:rFonts w:hint="eastAsia" w:ascii="宋体" w:hAnsi="宋体"/>
          <w:sz w:val="24"/>
          <w:szCs w:val="24"/>
        </w:rPr>
        <w:t xml:space="preserve">（4）甲方不得以行政区划调整、政府换届、机构或者职能调整以及相关责任人更替为由中止合同。</w:t>
      </w:r>
      <w:r/>
    </w:p>
    <w:p>
      <w:pPr>
        <w:ind w:firstLine="480"/>
        <w:spacing w:line="360" w:lineRule="auto"/>
        <w:rPr>
          <w:rFonts w:ascii="宋体" w:hAnsi="宋体"/>
          <w:sz w:val="24"/>
          <w:szCs w:val="24"/>
        </w:rPr>
      </w:pPr>
      <w:r>
        <w:rPr>
          <w:rFonts w:hint="eastAsia" w:ascii="宋体" w:hAnsi="宋体"/>
          <w:sz w:val="24"/>
          <w:szCs w:val="24"/>
        </w:rPr>
        <w:t xml:space="preserve">16.3 合同的终止</w:t>
      </w:r>
      <w:r/>
    </w:p>
    <w:p>
      <w:pPr>
        <w:ind w:firstLine="480"/>
        <w:spacing w:line="360" w:lineRule="auto"/>
        <w:rPr>
          <w:rFonts w:ascii="宋体" w:hAnsi="宋体"/>
          <w:sz w:val="24"/>
          <w:szCs w:val="24"/>
        </w:rPr>
      </w:pPr>
      <w:r>
        <w:rPr>
          <w:rFonts w:hint="eastAsia" w:ascii="宋体" w:hAnsi="宋体"/>
          <w:sz w:val="24"/>
          <w:szCs w:val="24"/>
        </w:rPr>
        <w:t xml:space="preserve">（1）合同因有效期限届满而终止；</w:t>
      </w:r>
      <w:r/>
    </w:p>
    <w:p>
      <w:pPr>
        <w:ind w:firstLine="480"/>
        <w:spacing w:line="360" w:lineRule="auto"/>
        <w:rPr>
          <w:rFonts w:ascii="宋体" w:hAnsi="宋体" w:cs="宋体"/>
          <w:sz w:val="24"/>
          <w:szCs w:val="24"/>
        </w:rPr>
      </w:pPr>
      <w:r>
        <w:rPr>
          <w:rFonts w:hint="eastAsia" w:ascii="宋体" w:hAnsi="宋体"/>
          <w:sz w:val="24"/>
          <w:szCs w:val="24"/>
        </w:rPr>
        <w:t xml:space="preserve">（2）乙方未按合同约定履行，甲方有权终止合同，</w:t>
      </w:r>
      <w:r>
        <w:rPr>
          <w:rFonts w:hint="eastAsia" w:ascii="宋体" w:hAnsi="宋体" w:cs="宋体"/>
          <w:sz w:val="24"/>
          <w:szCs w:val="24"/>
        </w:rPr>
        <w:t xml:space="preserve">并追究乙方的违约责任</w:t>
      </w:r>
      <w:r>
        <w:rPr>
          <w:rFonts w:hint="eastAsia" w:ascii="宋体" w:hAnsi="宋体"/>
          <w:sz w:val="24"/>
          <w:szCs w:val="24"/>
        </w:rPr>
        <w:t xml:space="preserve">。</w:t>
      </w:r>
      <w:r/>
    </w:p>
    <w:p>
      <w:pPr>
        <w:ind w:firstLine="480"/>
        <w:spacing w:line="360" w:lineRule="auto"/>
        <w:widowControl/>
        <w:rPr>
          <w:rFonts w:ascii="宋体" w:hAnsi="宋体" w:eastAsia="华文楷体" w:cs="华文楷体"/>
          <w:sz w:val="24"/>
          <w:szCs w:val="24"/>
        </w:rPr>
      </w:pPr>
      <w:r>
        <w:rPr>
          <w:rFonts w:hint="eastAsia" w:ascii="宋体" w:hAnsi="宋体" w:eastAsia="华文楷体" w:cs="华文楷体"/>
          <w:sz w:val="24"/>
          <w:szCs w:val="24"/>
        </w:rPr>
        <w:t xml:space="preserve">16.4 </w:t>
      </w:r>
      <w:r>
        <w:rPr>
          <w:rFonts w:hint="eastAsia" w:ascii="宋体" w:hAnsi="宋体" w:eastAsia="宋体" w:cs="Times New Roman"/>
          <w:sz w:val="24"/>
          <w:szCs w:val="24"/>
        </w:rPr>
        <w:t xml:space="preserve">涉及国家利益、社会公共利益的情形</w:t>
      </w:r>
      <w:r/>
    </w:p>
    <w:p>
      <w:pPr>
        <w:ind w:firstLine="480"/>
        <w:spacing w:line="360" w:lineRule="auto"/>
        <w:widowControl/>
        <w:rPr>
          <w:rFonts w:ascii="华文楷体" w:hAnsi="华文楷体" w:eastAsia="华文楷体" w:cs="华文楷体"/>
          <w:sz w:val="24"/>
          <w:szCs w:val="24"/>
        </w:rPr>
      </w:pPr>
      <w:r>
        <w:rPr>
          <w:rFonts w:hint="eastAsia" w:ascii="宋体" w:hAnsi="宋体" w:eastAsia="宋体" w:cs="宋体"/>
          <w:sz w:val="24"/>
          <w:szCs w:val="24"/>
        </w:rPr>
        <w:t xml:space="preserve">政府采购合同继续履行将损害国家利益和社会公共利益的，双方当事人应当变更、中止或者终止合同。有过错的一方应当承担赔偿责任，双方都有过错的，各自承担相应的责任。</w:t>
      </w:r>
      <w:r/>
    </w:p>
    <w:p>
      <w:pPr>
        <w:spacing w:line="360" w:lineRule="auto"/>
        <w:rPr>
          <w:rFonts w:ascii="宋体" w:hAnsi="宋体"/>
          <w:b/>
          <w:bCs/>
          <w:sz w:val="24"/>
          <w:szCs w:val="24"/>
        </w:rPr>
      </w:pPr>
      <w:r>
        <w:rPr>
          <w:rFonts w:hint="eastAsia" w:ascii="宋体" w:hAnsi="宋体"/>
          <w:b/>
          <w:bCs/>
          <w:sz w:val="24"/>
          <w:szCs w:val="24"/>
        </w:rPr>
        <w:t xml:space="preserve">17.合同分包</w:t>
      </w:r>
      <w:r/>
    </w:p>
    <w:p>
      <w:pPr>
        <w:ind w:firstLine="480"/>
        <w:spacing w:line="360" w:lineRule="auto"/>
        <w:rPr>
          <w:rFonts w:ascii="宋体" w:hAnsi="宋体"/>
          <w:sz w:val="24"/>
          <w:szCs w:val="24"/>
        </w:rPr>
      </w:pPr>
      <w:r>
        <w:rPr>
          <w:rFonts w:hint="eastAsia" w:ascii="宋体" w:hAnsi="宋体"/>
          <w:sz w:val="24"/>
          <w:szCs w:val="24"/>
        </w:rPr>
        <w:t xml:space="preserve">17.1 乙方不得将合同转包给其他供应商。涉及合同分包的，乙方应根据采购文件和投标（响应）文件规定进行合同分包。</w:t>
      </w:r>
      <w:r/>
    </w:p>
    <w:p>
      <w:pPr>
        <w:ind w:firstLine="480"/>
        <w:spacing w:line="360" w:lineRule="auto"/>
        <w:rPr>
          <w:rFonts w:ascii="宋体" w:hAnsi="宋体"/>
          <w:sz w:val="24"/>
          <w:szCs w:val="24"/>
        </w:rPr>
      </w:pPr>
      <w:r>
        <w:rPr>
          <w:rFonts w:hint="eastAsia" w:ascii="宋体" w:hAnsi="宋体"/>
          <w:sz w:val="24"/>
          <w:szCs w:val="24"/>
        </w:rPr>
        <w:t xml:space="preserve">17.2 乙方执行政府采购政策向中小企业依法分包的，乙方应当按采购文件和投标（响应）文件签订分包意向协议，分包意向协议属于本合同组成部分。</w:t>
      </w:r>
      <w:r/>
    </w:p>
    <w:p>
      <w:pPr>
        <w:spacing w:line="360" w:lineRule="auto"/>
        <w:rPr>
          <w:rFonts w:ascii="宋体" w:hAnsi="宋体"/>
          <w:b/>
          <w:bCs/>
          <w:sz w:val="24"/>
          <w:szCs w:val="24"/>
        </w:rPr>
      </w:pPr>
      <w:r>
        <w:rPr>
          <w:rFonts w:hint="eastAsia" w:ascii="宋体" w:hAnsi="宋体"/>
          <w:b/>
          <w:bCs/>
          <w:sz w:val="24"/>
          <w:szCs w:val="24"/>
        </w:rPr>
        <w:t xml:space="preserve">18.不可抗力</w:t>
      </w:r>
      <w:r/>
    </w:p>
    <w:p>
      <w:pPr>
        <w:ind w:firstLine="480"/>
        <w:spacing w:line="360" w:lineRule="auto"/>
        <w:rPr>
          <w:rFonts w:ascii="宋体" w:hAnsi="宋体"/>
          <w:sz w:val="24"/>
          <w:szCs w:val="24"/>
        </w:rPr>
      </w:pPr>
      <w:r>
        <w:rPr>
          <w:rFonts w:hint="eastAsia" w:ascii="宋体" w:hAnsi="宋体"/>
          <w:sz w:val="24"/>
          <w:szCs w:val="24"/>
        </w:rPr>
        <w:t xml:space="preserve">18.1 不可抗力是指合同双方不能预见、不能避免且不能克服的客观情况。</w:t>
      </w:r>
      <w:r/>
    </w:p>
    <w:p>
      <w:pPr>
        <w:ind w:firstLine="480"/>
        <w:spacing w:line="360" w:lineRule="auto"/>
        <w:rPr>
          <w:rFonts w:ascii="宋体" w:hAnsi="宋体"/>
          <w:sz w:val="24"/>
          <w:szCs w:val="24"/>
        </w:rPr>
      </w:pPr>
      <w:r>
        <w:rPr>
          <w:rFonts w:hint="eastAsia" w:ascii="宋体" w:hAnsi="宋体"/>
          <w:sz w:val="24"/>
          <w:szCs w:val="24"/>
        </w:rPr>
        <w:t xml:space="preserve">18.2 任何一方对由于不可抗力造成的部分或全部不能履行合同不承担违约责任。但迟延履行后发生不可抗力的，不能免除责任。</w:t>
      </w:r>
      <w:r/>
    </w:p>
    <w:p>
      <w:pPr>
        <w:ind w:firstLine="480"/>
        <w:spacing w:line="360" w:lineRule="auto"/>
        <w:rPr>
          <w:rFonts w:ascii="宋体" w:hAnsi="宋体"/>
          <w:sz w:val="24"/>
          <w:szCs w:val="24"/>
        </w:rPr>
      </w:pPr>
      <w:r>
        <w:rPr>
          <w:rFonts w:hint="eastAsia" w:ascii="宋体" w:hAnsi="宋体"/>
          <w:sz w:val="24"/>
          <w:szCs w:val="24"/>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spacing w:line="360" w:lineRule="auto"/>
        <w:rPr>
          <w:rFonts w:ascii="宋体" w:hAnsi="宋体"/>
          <w:b/>
          <w:bCs/>
          <w:sz w:val="24"/>
          <w:szCs w:val="24"/>
        </w:rPr>
      </w:pPr>
      <w:r>
        <w:rPr>
          <w:rFonts w:hint="eastAsia" w:ascii="宋体" w:hAnsi="宋体"/>
          <w:b/>
          <w:bCs/>
          <w:sz w:val="24"/>
          <w:szCs w:val="24"/>
        </w:rPr>
        <w:t xml:space="preserve">19.系统对接要求</w:t>
      </w:r>
      <w:r/>
    </w:p>
    <w:p>
      <w:pPr>
        <w:ind w:firstLine="480"/>
        <w:spacing w:line="360" w:lineRule="auto"/>
        <w:rPr>
          <w:rFonts w:ascii="宋体" w:hAnsi="宋体"/>
          <w:sz w:val="24"/>
          <w:szCs w:val="24"/>
        </w:rPr>
      </w:pPr>
      <w:r>
        <w:rPr>
          <w:rFonts w:hint="eastAsia" w:ascii="宋体" w:hAnsi="宋体"/>
          <w:sz w:val="24"/>
          <w:szCs w:val="24"/>
        </w:rPr>
        <w:t xml:space="preserve">19.1合同签订</w:t>
      </w:r>
      <w:r>
        <w:rPr>
          <w:rFonts w:ascii="宋体" w:hAnsi="宋体"/>
          <w:sz w:val="24"/>
          <w:szCs w:val="24"/>
        </w:rPr>
        <w:t xml:space="preserve">7</w:t>
      </w:r>
      <w:r>
        <w:rPr>
          <w:rFonts w:hint="eastAsia" w:ascii="宋体" w:hAnsi="宋体"/>
          <w:sz w:val="24"/>
          <w:szCs w:val="24"/>
        </w:rPr>
        <w:t xml:space="preserve">日内，中标人需在江苏省连云港市中级人民法院法庭内按照招标文件要求完成核心设备与甲方现有系统对接（公示期内，有意向参与本项目的可提前预约采购人勘验现场、部署测试环境）。7日内未完成系统对接，甲方有权解除合同，乙方应向甲方支付合同总值百分之十的违约金，如造成甲方损失超过违约金的，超出部分由乙方继续承担赔偿责任。</w:t>
      </w:r>
      <w:r/>
    </w:p>
    <w:p>
      <w:pPr>
        <w:spacing w:line="360" w:lineRule="auto"/>
        <w:rPr>
          <w:rFonts w:ascii="宋体" w:hAnsi="宋体"/>
          <w:b/>
          <w:bCs/>
          <w:sz w:val="24"/>
          <w:szCs w:val="24"/>
        </w:rPr>
      </w:pPr>
      <w:r>
        <w:rPr>
          <w:rFonts w:hint="eastAsia" w:ascii="宋体" w:hAnsi="宋体"/>
          <w:b/>
          <w:bCs/>
          <w:sz w:val="24"/>
          <w:szCs w:val="24"/>
        </w:rPr>
        <w:t xml:space="preserve">20.网络数据安全与保密要求</w:t>
      </w:r>
      <w:r/>
    </w:p>
    <w:p>
      <w:pPr>
        <w:ind w:firstLine="480"/>
        <w:spacing w:line="360" w:lineRule="auto"/>
        <w:rPr>
          <w:rFonts w:ascii="宋体" w:hAnsi="宋体"/>
          <w:sz w:val="24"/>
          <w:szCs w:val="24"/>
        </w:rPr>
      </w:pPr>
      <w:r>
        <w:rPr>
          <w:rFonts w:hint="eastAsia" w:ascii="宋体" w:hAnsi="宋体"/>
          <w:sz w:val="24"/>
          <w:szCs w:val="24"/>
        </w:rPr>
        <w:t xml:space="preserve">20.1供应商及其团队成员在工作中需要严格遵守法院网络安全有关要求，网线连接由采购人实施，严禁供应商及其团队人员未经允许私自连接网线。供应商及其团队成员在服务期内导致网络数据安全事件或泄密事件的，发生一起对供应商处以</w:t>
      </w:r>
      <w:r>
        <w:rPr>
          <w:rFonts w:ascii="宋体" w:hAnsi="宋体"/>
          <w:sz w:val="24"/>
          <w:szCs w:val="24"/>
        </w:rPr>
        <w:t xml:space="preserve">10</w:t>
      </w:r>
      <w:r>
        <w:rPr>
          <w:rFonts w:hint="eastAsia" w:ascii="宋体" w:hAnsi="宋体"/>
          <w:sz w:val="24"/>
          <w:szCs w:val="24"/>
        </w:rPr>
        <w:t xml:space="preserve">万元罚金，并赔偿</w:t>
      </w:r>
      <w:r>
        <w:rPr>
          <w:rFonts w:ascii="宋体" w:hAnsi="宋体"/>
          <w:sz w:val="24"/>
          <w:szCs w:val="24"/>
        </w:rPr>
        <w:t xml:space="preserve">因网络数据安全或泄密事件造成</w:t>
      </w:r>
      <w:r>
        <w:rPr>
          <w:rFonts w:hint="eastAsia" w:ascii="宋体" w:hAnsi="宋体"/>
          <w:sz w:val="24"/>
          <w:szCs w:val="24"/>
        </w:rPr>
        <w:t xml:space="preserve">的</w:t>
      </w:r>
      <w:r>
        <w:rPr>
          <w:rFonts w:ascii="宋体" w:hAnsi="宋体"/>
          <w:sz w:val="24"/>
          <w:szCs w:val="24"/>
        </w:rPr>
        <w:t xml:space="preserve">甲方实际损失。发生</w:t>
      </w:r>
      <w:r>
        <w:rPr>
          <w:rFonts w:hint="eastAsia" w:ascii="宋体" w:hAnsi="宋体"/>
          <w:sz w:val="24"/>
          <w:szCs w:val="24"/>
        </w:rPr>
        <w:t xml:space="preserve">第二起</w:t>
      </w:r>
      <w:r>
        <w:rPr>
          <w:rFonts w:ascii="宋体" w:hAnsi="宋体"/>
          <w:sz w:val="24"/>
          <w:szCs w:val="24"/>
        </w:rPr>
        <w:t xml:space="preserve">的，</w:t>
      </w:r>
      <w:r>
        <w:rPr>
          <w:rFonts w:hint="eastAsia" w:ascii="宋体" w:hAnsi="宋体"/>
          <w:sz w:val="24"/>
          <w:szCs w:val="24"/>
        </w:rPr>
        <w:t xml:space="preserve">处以</w:t>
      </w:r>
      <w:r>
        <w:rPr>
          <w:rFonts w:ascii="宋体" w:hAnsi="宋体"/>
          <w:sz w:val="24"/>
          <w:szCs w:val="24"/>
        </w:rPr>
        <w:t xml:space="preserve">10</w:t>
      </w:r>
      <w:r>
        <w:rPr>
          <w:rFonts w:hint="eastAsia" w:ascii="宋体" w:hAnsi="宋体"/>
          <w:sz w:val="24"/>
          <w:szCs w:val="24"/>
        </w:rPr>
        <w:t xml:space="preserve">万元罚金，赔偿</w:t>
      </w:r>
      <w:r>
        <w:rPr>
          <w:rFonts w:ascii="宋体" w:hAnsi="宋体"/>
          <w:sz w:val="24"/>
          <w:szCs w:val="24"/>
        </w:rPr>
        <w:t xml:space="preserve">因网络数据安全或泄密事件造成</w:t>
      </w:r>
      <w:r>
        <w:rPr>
          <w:rFonts w:hint="eastAsia" w:ascii="宋体" w:hAnsi="宋体"/>
          <w:sz w:val="24"/>
          <w:szCs w:val="24"/>
        </w:rPr>
        <w:t xml:space="preserve">的</w:t>
      </w:r>
      <w:r>
        <w:rPr>
          <w:rFonts w:ascii="宋体" w:hAnsi="宋体"/>
          <w:sz w:val="24"/>
          <w:szCs w:val="24"/>
        </w:rPr>
        <w:t xml:space="preserve">甲方实际损失</w:t>
      </w:r>
      <w:r>
        <w:rPr>
          <w:rFonts w:hint="eastAsia" w:ascii="宋体" w:hAnsi="宋体"/>
          <w:sz w:val="24"/>
          <w:szCs w:val="24"/>
        </w:rPr>
        <w:t xml:space="preserve">，并终止服务合同。</w:t>
      </w:r>
      <w:r/>
    </w:p>
    <w:p>
      <w:pPr>
        <w:spacing w:line="360" w:lineRule="auto"/>
        <w:rPr>
          <w:rFonts w:ascii="宋体" w:hAnsi="宋体"/>
          <w:b/>
          <w:bCs/>
          <w:sz w:val="24"/>
          <w:szCs w:val="24"/>
        </w:rPr>
      </w:pPr>
      <w:r>
        <w:rPr>
          <w:rFonts w:hint="eastAsia" w:ascii="宋体" w:hAnsi="宋体"/>
          <w:b/>
          <w:bCs/>
          <w:sz w:val="24"/>
          <w:szCs w:val="24"/>
        </w:rPr>
        <w:t xml:space="preserve">21.反商业贿赂</w:t>
      </w:r>
      <w:r/>
    </w:p>
    <w:p>
      <w:pPr>
        <w:ind w:firstLine="480"/>
        <w:spacing w:line="360" w:lineRule="auto"/>
        <w:rPr>
          <w:rFonts w:ascii="宋体" w:hAnsi="宋体"/>
          <w:sz w:val="24"/>
          <w:szCs w:val="24"/>
        </w:rPr>
      </w:pPr>
      <w:r>
        <w:rPr>
          <w:rFonts w:hint="eastAsia" w:ascii="宋体" w:hAnsi="宋体"/>
          <w:sz w:val="24"/>
          <w:szCs w:val="24"/>
        </w:rPr>
        <w:t xml:space="preserve">21.1以下行为属于商业贿赂行为:（1）收受业务相关单位及人员提供的财物，包括但不限于现金、银行卡、有价证券如购物卡、提货单、娱乐场所会员卡、打折卡、代币券。（2）收受业务相关单位及人员提供的包括但不限于赠送或借用录像摄像设备、家电设备、健身器材、汽车、住房等实物。（3）收受业务相关单位及人员提供的的包括但不限于宴请、娱乐消费、旅游、国内或国外考察等形式的消费。（4）收受业务相关单位及人员提供的包括但不限于以朋友名义提供各种回扣、好处、活动抽奖、赌博中故意输钱、性贿赂等其他任何形式商业贿赂。</w:t>
      </w:r>
      <w:r/>
    </w:p>
    <w:p>
      <w:pPr>
        <w:ind w:firstLine="480"/>
        <w:spacing w:line="360" w:lineRule="auto"/>
        <w:rPr>
          <w:rFonts w:ascii="宋体" w:hAnsi="宋体"/>
          <w:sz w:val="24"/>
          <w:szCs w:val="24"/>
        </w:rPr>
      </w:pPr>
      <w:r>
        <w:rPr>
          <w:rFonts w:hint="eastAsia" w:ascii="宋体" w:hAnsi="宋体"/>
          <w:sz w:val="24"/>
          <w:szCs w:val="24"/>
        </w:rPr>
        <w:t xml:space="preserve">21.2乙方在服务期间，应严格遵守甲方相关管理制度和国家相关法律法规，不得出现上述规定的商业贿赂行为。</w:t>
      </w:r>
      <w:r/>
    </w:p>
    <w:p>
      <w:pPr>
        <w:ind w:firstLine="480"/>
        <w:spacing w:line="360" w:lineRule="auto"/>
        <w:rPr>
          <w:rFonts w:ascii="宋体" w:hAnsi="宋体"/>
          <w:sz w:val="24"/>
          <w:szCs w:val="24"/>
        </w:rPr>
      </w:pPr>
      <w:r>
        <w:rPr>
          <w:rFonts w:hint="eastAsia" w:ascii="宋体" w:hAnsi="宋体"/>
          <w:sz w:val="24"/>
          <w:szCs w:val="24"/>
        </w:rPr>
        <w:t xml:space="preserve">21.3如发现乙方有上述行为，甲方可视情节严重，对乙方给予书面警告、承担违约金、解除合同等，以上惩戒措施可同时适用。</w:t>
      </w:r>
      <w:r/>
    </w:p>
    <w:p>
      <w:pPr>
        <w:spacing w:line="360" w:lineRule="auto"/>
        <w:rPr>
          <w:rFonts w:ascii="宋体" w:hAnsi="宋体"/>
          <w:b/>
          <w:bCs/>
          <w:sz w:val="24"/>
          <w:szCs w:val="24"/>
        </w:rPr>
      </w:pPr>
      <w:r>
        <w:rPr>
          <w:rFonts w:hint="eastAsia" w:ascii="宋体" w:hAnsi="宋体"/>
          <w:b/>
          <w:bCs/>
          <w:sz w:val="24"/>
          <w:szCs w:val="24"/>
        </w:rPr>
        <w:t xml:space="preserve">22.解决争议的方法</w:t>
      </w:r>
      <w:r/>
    </w:p>
    <w:p>
      <w:pPr>
        <w:ind w:firstLine="480"/>
        <w:spacing w:line="360" w:lineRule="auto"/>
        <w:widowControl/>
        <w:rPr>
          <w:rFonts w:ascii="宋体" w:hAnsi="宋体" w:cs="宋体"/>
          <w:sz w:val="24"/>
          <w:szCs w:val="24"/>
        </w:rPr>
      </w:pPr>
      <w:r>
        <w:rPr>
          <w:rFonts w:hint="eastAsia" w:ascii="宋体" w:hAnsi="宋体" w:cs="宋体"/>
          <w:sz w:val="24"/>
          <w:szCs w:val="24"/>
        </w:rPr>
        <w:t xml:space="preserve">22.1 双方在执行合同中所发生的一切争议，应通过协商解决。如协商不成，向连云港仲裁委员会申请仲裁。</w:t>
      </w:r>
      <w:r/>
    </w:p>
    <w:p>
      <w:pPr>
        <w:spacing w:line="360" w:lineRule="auto"/>
        <w:rPr>
          <w:rFonts w:ascii="宋体" w:hAnsi="宋体"/>
          <w:sz w:val="24"/>
          <w:szCs w:val="24"/>
        </w:rPr>
      </w:pPr>
      <w:r>
        <w:rPr>
          <w:rFonts w:hint="eastAsia" w:ascii="宋体" w:hAnsi="宋体"/>
          <w:b/>
          <w:sz w:val="24"/>
          <w:szCs w:val="24"/>
        </w:rPr>
        <w:t xml:space="preserve">23.政府采购政策</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.1 </w:t>
      </w:r>
      <w:r>
        <w:rPr>
          <w:rFonts w:hint="eastAsia" w:ascii="宋体" w:hAnsi="宋体" w:cs="宋体"/>
          <w:sz w:val="24"/>
          <w:szCs w:val="24"/>
          <w:lang w:val="en-GB"/>
        </w:rPr>
        <w:t xml:space="preserve">本合同应当按照规定执行政府采购政策。</w:t>
      </w:r>
      <w:r/>
    </w:p>
    <w:p>
      <w:pPr>
        <w:ind w:firstLine="480"/>
        <w:spacing w:line="360" w:lineRule="auto"/>
        <w:rPr>
          <w:rFonts w:ascii="宋体" w:hAnsi="宋体"/>
          <w:sz w:val="24"/>
          <w:szCs w:val="24"/>
        </w:rPr>
      </w:pPr>
      <w:r>
        <w:rPr>
          <w:rFonts w:ascii="宋体" w:hAnsi="宋体"/>
          <w:sz w:val="24"/>
          <w:szCs w:val="24"/>
        </w:rPr>
        <w:t xml:space="preserve">23</w:t>
      </w:r>
      <w:r>
        <w:rPr>
          <w:rFonts w:hint="eastAsia" w:ascii="宋体" w:hAnsi="宋体"/>
          <w:sz w:val="24"/>
          <w:szCs w:val="24"/>
        </w:rPr>
        <w:t xml:space="preserve">.2 本合同依法执行政府采购政策的方式和内容，属于合同履约验收的范围。</w:t>
      </w:r>
      <w:r>
        <w:rPr>
          <w:rFonts w:hint="eastAsia" w:ascii="宋体" w:hAnsi="宋体" w:cs="宋体"/>
          <w:sz w:val="24"/>
          <w:szCs w:val="24"/>
        </w:rPr>
        <w:t xml:space="preserve">甲乙双方</w:t>
      </w:r>
      <w:r>
        <w:rPr>
          <w:rFonts w:hint="eastAsia" w:ascii="宋体" w:hAnsi="宋体" w:cs="宋体"/>
          <w:sz w:val="24"/>
          <w:szCs w:val="24"/>
          <w:lang w:val="en-GB"/>
        </w:rPr>
        <w:t xml:space="preserve">未按规定要求执行政府采购政策造成损失的</w:t>
      </w:r>
      <w:r>
        <w:rPr>
          <w:rFonts w:hint="eastAsia" w:ascii="宋体" w:hAnsi="宋体"/>
          <w:sz w:val="24"/>
          <w:szCs w:val="24"/>
        </w:rPr>
        <w:t xml:space="preserve">，有过错的一方应当承担赔偿责任，双方都有过错的，各自承担相应的责任。</w:t>
      </w:r>
      <w:r/>
    </w:p>
    <w:p>
      <w:pPr>
        <w:ind w:firstLine="480"/>
        <w:spacing w:line="360" w:lineRule="auto"/>
        <w:rPr>
          <w:rFonts w:ascii="Calibri" w:hAnsi="Calibri" w:eastAsia="宋体" w:cs="Times New Roman"/>
          <w:sz w:val="24"/>
          <w:szCs w:val="24"/>
        </w:rPr>
      </w:pPr>
      <w:r>
        <w:rPr>
          <w:rFonts w:ascii="宋体" w:hAnsi="宋体" w:eastAsia="宋体" w:cs="Times New Roman"/>
          <w:sz w:val="24"/>
          <w:szCs w:val="24"/>
        </w:rPr>
        <w:t xml:space="preserve">23</w:t>
      </w:r>
      <w:r>
        <w:rPr>
          <w:rFonts w:hint="eastAsia" w:ascii="宋体" w:hAnsi="宋体" w:eastAsia="宋体" w:cs="Times New Roman"/>
          <w:sz w:val="24"/>
          <w:szCs w:val="24"/>
        </w:rPr>
        <w:t xml:space="preserve">.3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spacing w:line="360" w:lineRule="auto"/>
        <w:rPr>
          <w:rFonts w:ascii="宋体" w:hAnsi="宋体"/>
          <w:b/>
          <w:sz w:val="24"/>
          <w:szCs w:val="24"/>
        </w:rPr>
      </w:pPr>
      <w:r>
        <w:rPr>
          <w:rFonts w:hint="eastAsia" w:ascii="宋体" w:hAnsi="宋体"/>
          <w:b/>
          <w:sz w:val="24"/>
          <w:szCs w:val="24"/>
        </w:rPr>
        <w:t xml:space="preserve">24.法律适用</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4</w:t>
      </w:r>
      <w:r>
        <w:rPr>
          <w:rFonts w:hint="eastAsia" w:ascii="宋体" w:hAnsi="宋体" w:eastAsia="宋体" w:cs="宋体"/>
          <w:sz w:val="24"/>
          <w:szCs w:val="24"/>
        </w:rPr>
        <w:t xml:space="preserve">.1 本合同的订立、生效、解释、履行及与本合同有关的争议解决，均适用法律、行政法规。</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4</w:t>
      </w:r>
      <w:r>
        <w:rPr>
          <w:rFonts w:hint="eastAsia" w:ascii="宋体" w:hAnsi="宋体" w:eastAsia="宋体" w:cs="宋体"/>
          <w:sz w:val="24"/>
          <w:szCs w:val="24"/>
        </w:rPr>
        <w:t xml:space="preserve">.2 本合同条款与法律、行政法规的强制性规定不一致的，双方当事人应按照法律、行政法规的强制性规定修改本合同的相关条款。</w:t>
      </w:r>
      <w:r/>
    </w:p>
    <w:p>
      <w:pPr>
        <w:numPr>
          <w:ilvl w:val="255"/>
          <w:numId w:val="0"/>
        </w:numPr>
        <w:spacing w:line="360" w:lineRule="auto"/>
        <w:rPr>
          <w:rFonts w:ascii="宋体" w:hAnsi="宋体"/>
          <w:b/>
          <w:sz w:val="24"/>
          <w:szCs w:val="24"/>
        </w:rPr>
      </w:pPr>
      <w:r>
        <w:rPr>
          <w:rFonts w:hint="eastAsia" w:ascii="宋体" w:hAnsi="宋体"/>
          <w:b/>
          <w:sz w:val="24"/>
          <w:szCs w:val="24"/>
        </w:rPr>
        <w:t xml:space="preserve">25. 通知</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.1 本合同任何一方向对方发出的通知、信件、数据电文等，应当发送至本合同第一部分《政府采购合同协议书》所约定的通讯地址、联系人、联系电话或电子邮箱。</w:t>
      </w:r>
      <w:r/>
    </w:p>
    <w:p>
      <w:pPr>
        <w:ind w:firstLine="480"/>
        <w:spacing w:line="360" w:lineRule="auto"/>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5</w:t>
      </w:r>
      <w:r>
        <w:rPr>
          <w:rFonts w:hint="eastAsia" w:ascii="宋体" w:hAnsi="宋体" w:eastAsia="宋体" w:cs="宋体"/>
          <w:sz w:val="24"/>
          <w:szCs w:val="24"/>
        </w:rPr>
        <w:t xml:space="preserve">.2 一方当事人变更名称、住所、联系人、联系电话或电子邮箱等信息的，应当在变更后3日内及时书面通知对方，对方实际收到变更通知前的送达仍为有效送达。</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.3 本合同一方给另一方的通知均应采用书面形式，传真或快递送到本合同中规定的对方的地址和办理签收手续。</w:t>
      </w:r>
      <w:r/>
    </w:p>
    <w:p>
      <w:pPr>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5</w:t>
      </w:r>
      <w:r>
        <w:rPr>
          <w:rFonts w:hint="eastAsia" w:ascii="宋体" w:hAnsi="宋体"/>
          <w:sz w:val="24"/>
          <w:szCs w:val="24"/>
        </w:rPr>
        <w:t xml:space="preserve">.4 通知以送达之日或通知书中规定的生效之日起生效，两者中以较迟之日为准。</w:t>
      </w:r>
      <w:r/>
    </w:p>
    <w:p>
      <w:pPr>
        <w:spacing w:line="360" w:lineRule="auto"/>
        <w:rPr>
          <w:rFonts w:ascii="宋体" w:hAnsi="宋体"/>
          <w:b/>
          <w:bCs/>
          <w:sz w:val="24"/>
          <w:szCs w:val="24"/>
        </w:rPr>
      </w:pPr>
      <w:r>
        <w:rPr>
          <w:rFonts w:hint="eastAsia" w:ascii="宋体" w:hAnsi="宋体"/>
          <w:b/>
          <w:bCs/>
          <w:sz w:val="24"/>
          <w:szCs w:val="24"/>
        </w:rPr>
        <w:t xml:space="preserve">26.合同未尽事项</w:t>
      </w:r>
      <w:r/>
    </w:p>
    <w:p>
      <w:pPr>
        <w:ind w:firstLine="480"/>
        <w:spacing w:line="360" w:lineRule="auto"/>
        <w:rPr>
          <w:rFonts w:ascii="宋体" w:hAnsi="宋体"/>
          <w:bCs/>
          <w:sz w:val="24"/>
          <w:szCs w:val="24"/>
        </w:rPr>
      </w:pPr>
      <w:r>
        <w:rPr>
          <w:rFonts w:hint="eastAsia" w:ascii="宋体" w:hAnsi="宋体"/>
          <w:bCs/>
          <w:sz w:val="24"/>
          <w:szCs w:val="24"/>
        </w:rPr>
        <w:t xml:space="preserve">2</w:t>
      </w:r>
      <w:r>
        <w:rPr>
          <w:rFonts w:ascii="宋体" w:hAnsi="宋体"/>
          <w:bCs/>
          <w:sz w:val="24"/>
          <w:szCs w:val="24"/>
        </w:rPr>
        <w:t xml:space="preserve">6</w:t>
      </w:r>
      <w:r>
        <w:rPr>
          <w:rFonts w:hint="eastAsia" w:ascii="宋体" w:hAnsi="宋体"/>
          <w:bCs/>
          <w:sz w:val="24"/>
          <w:szCs w:val="24"/>
        </w:rPr>
        <w:t xml:space="preserve">.1 合同未尽事项见</w:t>
      </w:r>
      <w:r>
        <w:rPr>
          <w:rFonts w:hint="eastAsia" w:ascii="宋体" w:hAnsi="宋体"/>
          <w:sz w:val="24"/>
          <w:szCs w:val="24"/>
        </w:rPr>
        <w:t xml:space="preserve">【政府采购合同专用条款】</w:t>
      </w:r>
      <w:r>
        <w:rPr>
          <w:rFonts w:hint="eastAsia" w:ascii="宋体" w:hAnsi="宋体"/>
          <w:bCs/>
          <w:sz w:val="24"/>
          <w:szCs w:val="24"/>
        </w:rPr>
        <w:t xml:space="preserve">。</w:t>
      </w:r>
      <w:r/>
    </w:p>
    <w:p>
      <w:pPr>
        <w:spacing w:line="360" w:lineRule="auto"/>
        <w:rPr>
          <w:rFonts w:ascii="黑体" w:hAnsi="华文中宋" w:eastAsia="黑体"/>
          <w:sz w:val="24"/>
          <w:szCs w:val="24"/>
        </w:rPr>
      </w:pPr>
      <w:r>
        <w:rPr>
          <w:rFonts w:hint="eastAsia" w:ascii="宋体" w:hAnsi="宋体"/>
          <w:bCs/>
          <w:sz w:val="24"/>
          <w:szCs w:val="24"/>
        </w:rPr>
        <w:t xml:space="preserve">    2</w:t>
      </w:r>
      <w:r>
        <w:rPr>
          <w:rFonts w:ascii="宋体" w:hAnsi="宋体"/>
          <w:bCs/>
          <w:sz w:val="24"/>
          <w:szCs w:val="24"/>
        </w:rPr>
        <w:t xml:space="preserve">6</w:t>
      </w:r>
      <w:r>
        <w:rPr>
          <w:rFonts w:hint="eastAsia" w:ascii="宋体" w:hAnsi="宋体"/>
          <w:bCs/>
          <w:sz w:val="24"/>
          <w:szCs w:val="24"/>
        </w:rPr>
        <w:t xml:space="preserve">.2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jc w:val="center"/>
        <w:rPr>
          <w:b/>
          <w:sz w:val="32"/>
        </w:rPr>
      </w:pPr>
      <w:r>
        <w:rPr>
          <w:rFonts w:hint="eastAsia"/>
          <w:b/>
          <w:sz w:val="32"/>
        </w:rPr>
        <w:t xml:space="preserve">第三节 政府采购合同专用条款</w:t>
      </w:r>
      <w:bookmarkEnd w:id="7"/>
      <w:r/>
      <w:r/>
    </w:p>
    <w:p>
      <w:pPr>
        <w:jc w:val="center"/>
        <w:rPr>
          <w:b/>
          <w:sz w:val="32"/>
        </w:rPr>
      </w:pPr>
      <w:r>
        <w:rPr>
          <w:b/>
          <w:sz w:val="32"/>
        </w:rPr>
      </w:r>
      <w:r/>
    </w:p>
    <w:tbl>
      <w:tblPr>
        <w:tblStyle w:val="730"/>
        <w:tblW w:w="832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847"/>
        <w:gridCol w:w="2479"/>
        <w:gridCol w:w="3997"/>
      </w:tblGrid>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联合体具体要求</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0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第1.2（7）项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其他术语解释</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履约验收中甲方提出异议或作出说明的期限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第4.4款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约定甲方承担的其他义务和责任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sz w:val="24"/>
                <w:szCs w:val="24"/>
              </w:rPr>
            </w:pPr>
            <w:r>
              <w:rPr>
                <w:rFonts w:hint="eastAsia" w:ascii="宋体" w:hAnsi="宋体"/>
                <w:sz w:val="24"/>
                <w:szCs w:val="24"/>
              </w:rPr>
              <w:t xml:space="preserve">第5.4款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约定乙方承担的其他义务和责任</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第6.1款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履行合同义务的顺序</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67"/>
        </w:trPr>
        <w:tc>
          <w:tcPr>
            <w:tcW w:w="1847" w:type="dxa"/>
            <w:vAlign w:val="center"/>
            <w:vMerge w:val="restart"/>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包装特殊要求</w:t>
            </w:r>
            <w:r/>
          </w:p>
        </w:tc>
        <w:tc>
          <w:tcPr>
            <w:tcW w:w="3997" w:type="dxa"/>
            <w:vAlign w:val="center"/>
            <w:textDirection w:val="lrTb"/>
            <w:noWrap w:val="false"/>
          </w:tcPr>
          <w:p>
            <w:pPr>
              <w:rPr>
                <w:color w:val="ff0000"/>
                <w:sz w:val="24"/>
                <w:szCs w:val="24"/>
              </w:rPr>
            </w:pPr>
            <w:r>
              <w:rPr>
                <w:color w:val="ff0000"/>
                <w:sz w:val="24"/>
                <w:szCs w:val="24"/>
              </w:rPr>
            </w:r>
            <w:r/>
          </w:p>
        </w:tc>
      </w:tr>
      <w:tr>
        <w:trPr>
          <w:jc w:val="center"/>
          <w:trHeight w:val="667"/>
        </w:trPr>
        <w:tc>
          <w:tcPr>
            <w:tcW w:w="1847" w:type="dxa"/>
            <w:vAlign w:val="center"/>
            <w:vMerge w:val="continue"/>
            <w:textDirection w:val="lrTb"/>
            <w:noWrap w:val="false"/>
          </w:tcPr>
          <w:p>
            <w:pPr>
              <w:jc w:val="center"/>
              <w:rPr>
                <w:rFonts w:ascii="宋体" w:hAnsi="宋体"/>
                <w:sz w:val="24"/>
                <w:szCs w:val="24"/>
              </w:rPr>
            </w:pPr>
            <w:r>
              <w:rPr>
                <w:rFonts w:ascii="宋体" w:hAnsi="宋体"/>
                <w:sz w:val="24"/>
                <w:szCs w:val="24"/>
              </w:rPr>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指定现场</w:t>
            </w:r>
            <w:r/>
          </w:p>
        </w:tc>
        <w:tc>
          <w:tcPr>
            <w:tcW w:w="3997" w:type="dxa"/>
            <w:vAlign w:val="center"/>
            <w:textDirection w:val="lrTb"/>
            <w:noWrap w:val="false"/>
          </w:tcPr>
          <w:p>
            <w:pPr>
              <w:rPr>
                <w:sz w:val="24"/>
                <w:szCs w:val="24"/>
              </w:rPr>
            </w:pPr>
            <w:r>
              <w:rPr>
                <w:sz w:val="24"/>
                <w:szCs w:val="24"/>
              </w:rPr>
            </w:r>
            <w:r/>
          </w:p>
        </w:tc>
      </w:tr>
      <w:tr>
        <w:trPr>
          <w:jc w:val="center"/>
          <w:trHeight w:val="772"/>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运输特殊要求</w:t>
            </w:r>
            <w:r/>
          </w:p>
        </w:tc>
        <w:tc>
          <w:tcPr>
            <w:tcW w:w="3997" w:type="dxa"/>
            <w:vAlign w:val="center"/>
            <w:textDirection w:val="lrTb"/>
            <w:noWrap w:val="false"/>
          </w:tcPr>
          <w:p>
            <w:pPr>
              <w:rPr>
                <w:sz w:val="24"/>
                <w:szCs w:val="24"/>
              </w:rPr>
            </w:pPr>
            <w:r>
              <w:rPr>
                <w:sz w:val="24"/>
                <w:szCs w:val="24"/>
              </w:rPr>
            </w:r>
            <w:r/>
          </w:p>
        </w:tc>
      </w:tr>
      <w:tr>
        <w:trPr>
          <w:jc w:val="center"/>
          <w:trHeight w:val="66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第7.3款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保险要求</w:t>
            </w:r>
            <w:r/>
          </w:p>
        </w:tc>
        <w:tc>
          <w:tcPr>
            <w:tcW w:w="3997" w:type="dxa"/>
            <w:vAlign w:val="center"/>
            <w:textDirection w:val="lrTb"/>
            <w:noWrap w:val="false"/>
          </w:tcPr>
          <w:p>
            <w:pPr>
              <w:rPr>
                <w:sz w:val="24"/>
                <w:szCs w:val="24"/>
              </w:rPr>
            </w:pPr>
            <w:r>
              <w:rPr>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第8.2（1）项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质量保证期</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第8.2（3）项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货物质量缺陷</w:t>
            </w:r>
            <w:r/>
          </w:p>
          <w:p>
            <w:pPr>
              <w:jc w:val="center"/>
              <w:rPr>
                <w:rFonts w:ascii="宋体" w:hAnsi="宋体"/>
                <w:sz w:val="24"/>
                <w:szCs w:val="24"/>
              </w:rPr>
            </w:pPr>
            <w:r>
              <w:rPr>
                <w:rFonts w:hint="eastAsia" w:ascii="宋体" w:hAnsi="宋体"/>
                <w:sz w:val="24"/>
                <w:szCs w:val="24"/>
              </w:rPr>
              <w:t xml:space="preserve">响应时间</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第二节</w:t>
            </w:r>
            <w:r/>
          </w:p>
          <w:p>
            <w:pPr>
              <w:jc w:val="center"/>
              <w:spacing w:line="400" w:lineRule="exact"/>
              <w:widowControl/>
              <w:rPr>
                <w:rFonts w:ascii="华文楷体" w:hAnsi="华文楷体" w:eastAsia="华文楷体" w:cs="华文楷体"/>
                <w:sz w:val="24"/>
                <w:szCs w:val="24"/>
              </w:rPr>
            </w:pPr>
            <w:r>
              <w:rPr>
                <w:rFonts w:hint="eastAsia" w:ascii="宋体" w:hAnsi="宋体" w:eastAsia="宋体" w:cs="宋体"/>
                <w:sz w:val="24"/>
                <w:szCs w:val="24"/>
              </w:rPr>
              <w:t xml:space="preserve">第11.1款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其他应当保密的信息</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第12.2款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合同价款支付时间</w:t>
            </w:r>
            <w:r/>
          </w:p>
        </w:tc>
        <w:tc>
          <w:tcPr>
            <w:tcW w:w="3997" w:type="dxa"/>
            <w:vAlign w:val="center"/>
            <w:textDirection w:val="lrTb"/>
            <w:noWrap w:val="false"/>
          </w:tcPr>
          <w:p>
            <w:pPr>
              <w:jc w:val="left"/>
              <w:rPr>
                <w:rFonts w:ascii="宋体" w:hAnsi="宋体"/>
                <w:color w:val="ff0000"/>
                <w:sz w:val="24"/>
                <w:szCs w:val="24"/>
              </w:rPr>
            </w:pPr>
            <w:r>
              <w:rPr>
                <w:rFonts w:ascii="宋体" w:hAnsi="宋体"/>
                <w:color w:val="ff0000"/>
                <w:sz w:val="24"/>
                <w:szCs w:val="24"/>
              </w:rPr>
            </w:r>
            <w:r/>
          </w:p>
        </w:tc>
      </w:tr>
      <w:tr>
        <w:trPr>
          <w:jc w:val="center"/>
          <w:trHeight w:val="697"/>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第13.2款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履约保证金不予退还的情形</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第13.3款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履约保证金退还时间及逾期退还的违约金</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第14.1（3）项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运行监督、维修期限</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84"/>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第14.1（5）项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货物回收的约定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第14.1（6）项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乙方提供的其他服务</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第15.1款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修理、重作、更换相关具体规定</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第15.2（2）项</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迟延交货赔偿费</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73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第15.3款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逾期付款利息</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876"/>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第15.4款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其他违约责任</w:t>
            </w:r>
            <w:r/>
          </w:p>
        </w:tc>
        <w:tc>
          <w:tcPr>
            <w:tcW w:w="3997" w:type="dxa"/>
            <w:vAlign w:val="center"/>
            <w:textDirection w:val="lrTb"/>
            <w:noWrap w:val="false"/>
          </w:tcPr>
          <w:p>
            <w:pPr>
              <w:jc w:val="left"/>
              <w:rPr>
                <w:rFonts w:ascii="宋体" w:hAnsi="宋体"/>
                <w:sz w:val="24"/>
                <w:szCs w:val="24"/>
                <w:u w:val="single"/>
              </w:rPr>
            </w:pPr>
            <w:r>
              <w:rPr>
                <w:rFonts w:ascii="宋体" w:hAnsi="宋体"/>
                <w:sz w:val="24"/>
                <w:szCs w:val="24"/>
                <w:u w:val="single"/>
              </w:rPr>
            </w:r>
            <w:r/>
          </w:p>
        </w:tc>
      </w:tr>
      <w:tr>
        <w:trPr>
          <w:jc w:val="center"/>
          <w:trHeight w:val="9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w:t>
            </w:r>
            <w:r>
              <w:rPr>
                <w:rFonts w:ascii="宋体" w:hAnsi="宋体"/>
                <w:sz w:val="24"/>
                <w:szCs w:val="24"/>
              </w:rPr>
              <w:t xml:space="preserve">22</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款</w:t>
            </w:r>
            <w:r/>
          </w:p>
        </w:tc>
        <w:tc>
          <w:tcPr>
            <w:tcW w:w="2479" w:type="dxa"/>
            <w:vAlign w:val="center"/>
            <w:textDirection w:val="lrTb"/>
            <w:noWrap w:val="false"/>
          </w:tcPr>
          <w:p>
            <w:pPr>
              <w:jc w:val="center"/>
              <w:rPr>
                <w:rFonts w:ascii="宋体" w:hAnsi="宋体"/>
                <w:sz w:val="24"/>
                <w:szCs w:val="24"/>
              </w:rPr>
            </w:pPr>
            <w:r>
              <w:rPr>
                <w:rFonts w:hint="eastAsia" w:ascii="宋体" w:hAnsi="宋体"/>
                <w:sz w:val="24"/>
                <w:szCs w:val="24"/>
              </w:rPr>
              <w:t xml:space="preserve">解决争议的方法</w:t>
            </w:r>
            <w:r/>
          </w:p>
        </w:tc>
        <w:tc>
          <w:tcPr>
            <w:tcW w:w="3997" w:type="dxa"/>
            <w:vAlign w:val="center"/>
            <w:textDirection w:val="lrTb"/>
            <w:noWrap w:val="false"/>
          </w:tcPr>
          <w:p>
            <w:pPr>
              <w:jc w:val="left"/>
              <w:spacing w:line="400" w:lineRule="exact"/>
              <w:rPr>
                <w:rFonts w:ascii="宋体" w:hAnsi="宋体" w:cs="宋体"/>
                <w:iCs/>
                <w:sz w:val="24"/>
                <w:szCs w:val="24"/>
              </w:rPr>
            </w:pPr>
            <w:r>
              <w:rPr>
                <w:rFonts w:ascii="宋体" w:hAnsi="宋体" w:cs="宋体"/>
                <w:iCs/>
                <w:sz w:val="24"/>
                <w:szCs w:val="24"/>
              </w:rPr>
            </w:r>
            <w:r/>
          </w:p>
        </w:tc>
      </w:tr>
      <w:tr>
        <w:trPr>
          <w:jc w:val="center"/>
          <w:trHeight w:val="770"/>
        </w:trPr>
        <w:tc>
          <w:tcPr>
            <w:tcW w:w="1847" w:type="dxa"/>
            <w:vAlign w:val="center"/>
            <w:textDirection w:val="lrTb"/>
            <w:noWrap w:val="false"/>
          </w:tcPr>
          <w:p>
            <w:pPr>
              <w:jc w:val="center"/>
              <w:rPr>
                <w:rFonts w:ascii="宋体" w:hAnsi="宋体"/>
                <w:sz w:val="24"/>
                <w:szCs w:val="24"/>
              </w:rPr>
            </w:pPr>
            <w:r>
              <w:rPr>
                <w:rFonts w:hint="eastAsia" w:ascii="宋体" w:hAnsi="宋体"/>
                <w:sz w:val="24"/>
                <w:szCs w:val="24"/>
              </w:rPr>
              <w:t xml:space="preserve">第二节</w:t>
            </w:r>
            <w:r/>
          </w:p>
          <w:p>
            <w:pPr>
              <w:jc w:val="center"/>
              <w:rPr>
                <w:rFonts w:ascii="宋体" w:hAnsi="宋体"/>
                <w:sz w:val="24"/>
                <w:szCs w:val="24"/>
              </w:rPr>
            </w:pPr>
            <w:r>
              <w:rPr>
                <w:rFonts w:hint="eastAsia" w:ascii="宋体" w:hAnsi="宋体"/>
                <w:sz w:val="24"/>
                <w:szCs w:val="24"/>
              </w:rPr>
              <w:t xml:space="preserve">第2</w:t>
            </w:r>
            <w:r>
              <w:rPr>
                <w:rFonts w:ascii="宋体" w:hAnsi="宋体"/>
                <w:sz w:val="24"/>
                <w:szCs w:val="24"/>
              </w:rPr>
              <w:t xml:space="preserve">6</w:t>
            </w:r>
            <w:r>
              <w:rPr>
                <w:rFonts w:hint="eastAsia" w:ascii="宋体" w:hAnsi="宋体"/>
                <w:sz w:val="24"/>
                <w:szCs w:val="24"/>
              </w:rPr>
              <w:t xml:space="preserve">.1款</w:t>
            </w:r>
            <w:r/>
          </w:p>
        </w:tc>
        <w:tc>
          <w:tcPr>
            <w:tcW w:w="2479" w:type="dxa"/>
            <w:vAlign w:val="center"/>
            <w:textDirection w:val="lrTb"/>
            <w:noWrap w:val="false"/>
          </w:tcPr>
          <w:p>
            <w:pPr>
              <w:jc w:val="center"/>
              <w:rPr>
                <w:rFonts w:ascii="宋体" w:hAnsi="宋体"/>
                <w:sz w:val="24"/>
                <w:szCs w:val="24"/>
              </w:rPr>
            </w:pPr>
            <w:r>
              <w:rPr>
                <w:rFonts w:hint="eastAsia" w:ascii="宋体" w:hAnsi="宋体"/>
                <w:bCs/>
                <w:sz w:val="24"/>
                <w:szCs w:val="24"/>
              </w:rPr>
              <w:t xml:space="preserve">其他专用条款</w:t>
            </w:r>
            <w:r/>
          </w:p>
        </w:tc>
        <w:tc>
          <w:tcPr>
            <w:tcW w:w="3997" w:type="dxa"/>
            <w:vAlign w:val="center"/>
            <w:textDirection w:val="lrTb"/>
            <w:noWrap w:val="false"/>
          </w:tcPr>
          <w:p>
            <w:pPr>
              <w:jc w:val="left"/>
              <w:rPr>
                <w:rFonts w:ascii="宋体" w:hAnsi="宋体"/>
                <w:sz w:val="24"/>
                <w:szCs w:val="24"/>
              </w:rPr>
            </w:pPr>
            <w:r>
              <w:rPr>
                <w:rFonts w:ascii="宋体" w:hAnsi="宋体"/>
                <w:sz w:val="24"/>
                <w:szCs w:val="24"/>
              </w:rPr>
            </w:r>
            <w:r/>
          </w:p>
        </w:tc>
      </w:tr>
    </w:tbl>
    <w:p>
      <w:r/>
      <w:r/>
    </w:p>
    <w:p>
      <w:r/>
      <w:r/>
    </w:p>
    <w:p>
      <w:r/>
      <w:r/>
    </w:p>
    <w:p>
      <w:r/>
      <w:r/>
    </w:p>
    <w:p>
      <w:r/>
      <w:r/>
    </w:p>
    <w:p>
      <w:r/>
      <w:r/>
    </w:p>
    <w:p>
      <w:r/>
      <w:r/>
    </w:p>
    <w:p>
      <w:r/>
      <w:r/>
    </w:p>
    <w:p>
      <w:r/>
      <w:r/>
    </w:p>
    <w:p>
      <w:r/>
      <w:r/>
    </w:p>
    <w:p>
      <w:r/>
      <w:r/>
    </w:p>
    <w:p>
      <w:r/>
      <w:r/>
    </w:p>
    <w:p>
      <w:r/>
      <w:r/>
    </w:p>
    <w:p>
      <w:r/>
      <w:r/>
    </w:p>
    <w:p>
      <w:r/>
      <w:r/>
    </w:p>
    <w:p>
      <w:r/>
      <w:r/>
    </w:p>
    <w:p>
      <w:r/>
      <w:r/>
    </w:p>
    <w:p>
      <w:r/>
      <w:r/>
    </w:p>
    <w:p>
      <w:r/>
      <w:r/>
    </w:p>
    <w:p>
      <w:r/>
      <w:r/>
    </w:p>
    <w:p>
      <w:r/>
      <w:r/>
    </w:p>
    <w:p>
      <w:pPr>
        <w:pStyle w:val="720"/>
        <w:jc w:val="center"/>
        <w:spacing w:before="156" w:after="156" w:line="360" w:lineRule="auto"/>
        <w:rPr>
          <w:rFonts w:ascii="黑体" w:hAnsi="黑体" w:eastAsia="黑体"/>
          <w:b w:val="0"/>
        </w:rPr>
      </w:pPr>
      <w:r>
        <w:rPr>
          <w:rFonts w:hint="eastAsia" w:ascii="黑体" w:hAnsi="黑体" w:eastAsia="黑体"/>
          <w:b w:val="0"/>
        </w:rPr>
        <w:t xml:space="preserve">第四章  采购需求</w:t>
      </w:r>
      <w:bookmarkEnd w:id="3"/>
      <w:r/>
      <w:r/>
    </w:p>
    <w:p>
      <w:pPr>
        <w:ind w:firstLine="480"/>
        <w:spacing w:line="500" w:lineRule="exact"/>
        <w:rPr>
          <w:b/>
          <w:sz w:val="24"/>
          <w:szCs w:val="24"/>
        </w:rPr>
      </w:pPr>
      <w:r>
        <w:rPr>
          <w:rFonts w:hint="eastAsia"/>
          <w:b/>
          <w:sz w:val="24"/>
          <w:szCs w:val="24"/>
        </w:rPr>
        <w:t xml:space="preserve">说明：本项目属性为货物，采购标的对应的中小企业划分标准所属行业详见</w:t>
      </w:r>
      <w:r>
        <w:rPr>
          <w:rFonts w:hint="eastAsia"/>
          <w:b/>
          <w:sz w:val="24"/>
          <w:szCs w:val="24"/>
          <w:u w:val="single"/>
        </w:rPr>
        <w:t xml:space="preserve"> 货物（标的）采购清单  </w:t>
      </w:r>
      <w:r>
        <w:rPr>
          <w:rFonts w:hint="eastAsia"/>
          <w:b/>
          <w:sz w:val="24"/>
          <w:szCs w:val="24"/>
        </w:rPr>
        <w:t xml:space="preserve">。</w:t>
      </w:r>
      <w:r/>
    </w:p>
    <w:p>
      <w:pPr>
        <w:ind w:firstLine="480"/>
        <w:spacing w:line="500" w:lineRule="exact"/>
        <w:rPr>
          <w:rFonts w:ascii="宋体" w:hAnsi="宋体"/>
          <w:b/>
          <w:bCs/>
          <w:sz w:val="24"/>
          <w:szCs w:val="24"/>
        </w:rPr>
      </w:pPr>
      <w:r>
        <w:rPr>
          <w:rFonts w:hint="eastAsia"/>
          <w:b/>
          <w:sz w:val="24"/>
          <w:szCs w:val="24"/>
        </w:rPr>
        <w:t xml:space="preserve">本项目采购标的对应的中小企业划分标准所属行业涉及</w:t>
      </w:r>
      <w:r>
        <w:rPr>
          <w:rFonts w:hint="eastAsia"/>
          <w:b/>
          <w:sz w:val="24"/>
          <w:szCs w:val="24"/>
          <w:u w:val="single"/>
        </w:rPr>
        <w:t xml:space="preserve">工业</w:t>
      </w:r>
      <w:r>
        <w:rPr>
          <w:rFonts w:hint="eastAsia"/>
          <w:b/>
          <w:sz w:val="24"/>
          <w:szCs w:val="24"/>
        </w:rPr>
        <w:t xml:space="preserve">、</w:t>
      </w:r>
      <w:r>
        <w:rPr>
          <w:rFonts w:hint="eastAsia"/>
          <w:b/>
          <w:sz w:val="24"/>
          <w:szCs w:val="24"/>
          <w:u w:val="single"/>
        </w:rPr>
        <w:t xml:space="preserve">软件和信息技术服务业</w:t>
      </w:r>
      <w:r>
        <w:rPr>
          <w:rFonts w:hint="eastAsia"/>
          <w:b/>
          <w:sz w:val="24"/>
          <w:szCs w:val="24"/>
        </w:rPr>
        <w:t xml:space="preserve">，</w:t>
      </w:r>
      <w:r>
        <w:rPr>
          <w:rFonts w:hint="eastAsia" w:ascii="宋体" w:hAnsi="宋体"/>
          <w:b/>
          <w:sz w:val="24"/>
          <w:szCs w:val="24"/>
        </w:rPr>
        <w:t xml:space="preserve">依据《关于印发中小企业划型标准规定的通知》（工信部联企业〔2011〕300号）行业划型标准如下：</w:t>
      </w:r>
      <w:r/>
    </w:p>
    <w:p>
      <w:pPr>
        <w:ind w:firstLine="480"/>
        <w:spacing w:line="500" w:lineRule="exact"/>
        <w:rPr>
          <w:rFonts w:ascii="宋体" w:hAnsi="宋体"/>
          <w:b/>
          <w:bCs/>
          <w:sz w:val="24"/>
          <w:szCs w:val="24"/>
        </w:rPr>
      </w:pPr>
      <w:r>
        <w:rPr>
          <w:rFonts w:hint="eastAsia" w:ascii="宋体" w:hAnsi="宋体" w:cs="Calibri"/>
          <w:b/>
          <w:sz w:val="24"/>
          <w:szCs w:val="24"/>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spacing w:line="500" w:lineRule="exact"/>
        <w:rPr>
          <w:rFonts w:ascii="宋体" w:hAnsi="宋体"/>
          <w:b/>
          <w:bCs/>
          <w:sz w:val="24"/>
          <w:szCs w:val="24"/>
        </w:rPr>
      </w:pPr>
      <w:r>
        <w:rPr>
          <w:rFonts w:hint="eastAsia" w:ascii="宋体" w:hAnsi="宋体"/>
          <w:b/>
          <w:sz w:val="24"/>
          <w:szCs w:val="24"/>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1.根据《政府采购需求管理办法》等有关规定，采购人确定采购需求。</w:t>
      </w:r>
      <w:r/>
    </w:p>
    <w:p>
      <w:pPr>
        <w:ind w:firstLine="480"/>
        <w:jc w:val="left"/>
        <w:spacing w:line="500" w:lineRule="exact"/>
        <w:rPr>
          <w:rFonts w:asciiTheme="minorEastAsia" w:hAnsiTheme="minorEastAsia"/>
          <w:sz w:val="24"/>
          <w:szCs w:val="24"/>
        </w:rPr>
      </w:pPr>
      <w:r>
        <w:rPr>
          <w:rFonts w:hint="eastAsia" w:asciiTheme="minorEastAsia" w:hAnsiTheme="minorEastAsia"/>
          <w:sz w:val="24"/>
          <w:szCs w:val="24"/>
        </w:rPr>
        <w:t xml:space="preserve">2.本招标文件中斜体且有下划线部分为实质性要求和条件，由采购人根据实际情况设置，投标人必须逐条明确作出满足实质性要求和条件的响应，否则将按无效投标处理。</w:t>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3.本项目核心产品为：</w:t>
      </w:r>
      <w:r>
        <w:rPr>
          <w:rFonts w:hint="eastAsia" w:asciiTheme="minorEastAsia" w:hAnsiTheme="minorEastAsia"/>
          <w:b/>
          <w:sz w:val="24"/>
          <w:szCs w:val="24"/>
          <w:u w:val="single"/>
        </w:rPr>
        <w:t xml:space="preserve">法院内网庭审平台</w:t>
      </w:r>
      <w:r>
        <w:rPr>
          <w:rFonts w:hint="eastAsia" w:asciiTheme="minorEastAsia" w:hAnsiTheme="minorEastAsia"/>
          <w:b/>
          <w:sz w:val="24"/>
          <w:szCs w:val="24"/>
        </w:rPr>
        <w:t xml:space="preserve">。</w:t>
      </w:r>
      <w:r/>
    </w:p>
    <w:p>
      <w:pPr>
        <w:pStyle w:val="771"/>
        <w:ind w:firstLine="468"/>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4.特别提醒：政府采购中实施本国产品标准及相关政策</w:t>
      </w:r>
      <w:r/>
    </w:p>
    <w:p>
      <w:pPr>
        <w:pStyle w:val="771"/>
        <w:ind w:firstLine="468"/>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4.1本项目对采购本国产品给予政策支持，具体内容见招标文件“第二章 九、政府采购政策功能”。</w:t>
      </w:r>
      <w:r/>
    </w:p>
    <w:p>
      <w:pPr>
        <w:pStyle w:val="771"/>
        <w:ind w:firstLine="468"/>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771"/>
        <w:ind w:firstLine="468"/>
        <w:rPr>
          <w:rFonts w:asciiTheme="minorEastAsia" w:hAnsiTheme="minorEastAsia" w:eastAsiaTheme="minorEastAsia"/>
          <w:sz w:val="24"/>
          <w:szCs w:val="24"/>
          <w:lang w:eastAsia="zh-CN"/>
        </w:rPr>
      </w:pPr>
      <w:r>
        <w:rPr>
          <w:rFonts w:hint="eastAsia" w:asciiTheme="minorEastAsia" w:hAnsiTheme="minorEastAsia" w:eastAsiaTheme="minorEastAsia"/>
          <w:sz w:val="24"/>
          <w:szCs w:val="24"/>
          <w:lang w:eastAsia="zh-CN"/>
        </w:rPr>
        <w:t xml:space="preserve">4.3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562"/>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一、项目背景</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目前连云港全市两级法院庭审信息化基础环境建设参差不齐，庭审系统平台均未实现国产化，且部分法院法庭前端设备建设已超十年，已经无法满足最高院“一张网”的信息化建设需求。</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依据最高人民法院对全国法院“一张网”系统架构的宏伟蓝图，总目标是构建一个高度统一、集约高效的四级法院信息化办案与办公平台，该平台以数据精准无误为基础，追求操作的敏捷流畅与运行的稳固可靠，同时确保全过程的自主可控性。此总目标不仅为当前及未来的信息化建设部署提供了权威性的指导框架，还鲜明地树立了整体性原则：即坚持集约化以优化资源配置，追求高效化以提升工作效能，强化自主可控以保障信息安全与主权完整。这些原则共同引领着全国法院信息化建设的稳健前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根据“一张网”的应用规范，新一代庭审系统需支持集中部署，供多级法院共同应用。但为了确保数据实时存储的稳定输出，切实确保数据的安全可靠，需具备分散存储和集中存储相结合的传输策略。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为了跟进最高院在《人民法院信息化建设五年发展规划》2021-2025中关于“全面贯彻自主可控要求，积极开展软硬件产品的融合适配和普及应用，实现关键基础设施和重要业务系统的安全可靠，构建可信、可靠、可控、可管、可持续发展的人民法院信息化体系，稳步提升智慧法院自主化水平。”的要求，庭审系统的软硬件环境需满足国产化的政策要求，在服务端需适应国产化硬件、操作系统，在法官、书记员和当事人的应用上需满足国产化硬件环境客户端的要求，使用国产化浏览器进行系统应用。</w:t>
      </w:r>
      <w:r/>
    </w:p>
    <w:p>
      <w:pPr>
        <w:ind w:firstLine="480"/>
        <w:spacing w:line="360" w:lineRule="auto"/>
        <w:rPr>
          <w:rFonts w:ascii="Times New Roman" w:hAnsi="Times New Roman" w:eastAsia="宋体" w:cs="Times New Roman"/>
          <w:b/>
          <w:sz w:val="28"/>
          <w:szCs w:val="28"/>
        </w:rPr>
      </w:pPr>
      <w:r>
        <w:rPr>
          <w:rFonts w:hint="eastAsia" w:asciiTheme="minorEastAsia" w:hAnsiTheme="minorEastAsia"/>
          <w:sz w:val="24"/>
          <w:szCs w:val="24"/>
        </w:rPr>
        <w:t xml:space="preserve">二、</w:t>
      </w:r>
      <w:r>
        <w:rPr>
          <w:rFonts w:hint="eastAsia" w:ascii="Times New Roman" w:hAnsi="Times New Roman" w:eastAsia="宋体" w:cs="Times New Roman"/>
          <w:b/>
          <w:sz w:val="28"/>
          <w:szCs w:val="28"/>
        </w:rPr>
        <w:t xml:space="preserve">项目现状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目前，连云港市中级人民法院已初步建成覆盖全院的云庭审平台支撑体系，核心系统运行稳定，且已完成与全国法院“一张网”系统的对接，为后续庭审系统的改造建设奠定了一定基础。具体现状如下：</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系统名称：云庭审平台</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建设时间：2024年完成改造</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对接情况：2025年10月全省法院上线全国法院“一张网”系统后，该系统已完成与“一张网”的对接，实现数据互通与业务协同。</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核心功能现状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现有平台已具备完整的庭审能力，包括：</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实时音视频开庭、多方参会、画面切换、主讲控制、静音</w:t>
      </w:r>
      <w:r>
        <w:rPr>
          <w:rFonts w:asciiTheme="minorEastAsia" w:hAnsiTheme="minorEastAsia"/>
          <w:sz w:val="24"/>
          <w:szCs w:val="24"/>
        </w:rPr>
        <w:t xml:space="preserve">/</w:t>
      </w:r>
      <w:r>
        <w:rPr>
          <w:rFonts w:hint="eastAsia" w:asciiTheme="minorEastAsia" w:hAnsiTheme="minorEastAsia"/>
          <w:sz w:val="24"/>
          <w:szCs w:val="24"/>
        </w:rPr>
        <w:t xml:space="preserve">禁言；人脸身份核验、短信</w:t>
      </w:r>
      <w:r>
        <w:rPr>
          <w:rFonts w:asciiTheme="minorEastAsia" w:hAnsiTheme="minorEastAsia"/>
          <w:sz w:val="24"/>
          <w:szCs w:val="24"/>
        </w:rPr>
        <w:t xml:space="preserve">/</w:t>
      </w:r>
      <w:r>
        <w:rPr>
          <w:rFonts w:hint="eastAsia" w:asciiTheme="minorEastAsia" w:hAnsiTheme="minorEastAsia"/>
          <w:sz w:val="24"/>
          <w:szCs w:val="24"/>
        </w:rPr>
        <w:t xml:space="preserve">小程序快速登录、远程签名、电子签章；庭审笔录实时生成、在线编辑、双方确认签字、全程录音录像自动存档；证据材料在线展示、上传、质证、屏幕共享；与全国法院“一张网”系统数据互通，案件信息自动同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技术与部署现状</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网络：运行于法院内网</w:t>
      </w:r>
      <w:r>
        <w:rPr>
          <w:rFonts w:asciiTheme="minorEastAsia" w:hAnsiTheme="minorEastAsia"/>
          <w:sz w:val="24"/>
          <w:szCs w:val="24"/>
        </w:rPr>
        <w:t xml:space="preserve"> + </w:t>
      </w:r>
      <w:r>
        <w:rPr>
          <w:rFonts w:hint="eastAsia" w:asciiTheme="minorEastAsia" w:hAnsiTheme="minorEastAsia"/>
          <w:sz w:val="24"/>
          <w:szCs w:val="24"/>
        </w:rPr>
        <w:t xml:space="preserve">互联网边界安全隔离环境，具备防火墙、安全网关、访问控制等安全防护措施。</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终端：支持科技法庭硬终端、</w:t>
      </w:r>
      <w:r>
        <w:rPr>
          <w:rFonts w:asciiTheme="minorEastAsia" w:hAnsiTheme="minorEastAsia"/>
          <w:sz w:val="24"/>
          <w:szCs w:val="24"/>
        </w:rPr>
        <w:t xml:space="preserve">PC </w:t>
      </w:r>
      <w:r>
        <w:rPr>
          <w:rFonts w:hint="eastAsia" w:asciiTheme="minorEastAsia" w:hAnsiTheme="minorEastAsia"/>
          <w:sz w:val="24"/>
          <w:szCs w:val="24"/>
        </w:rPr>
        <w:t xml:space="preserve">客户端、手机</w:t>
      </w:r>
      <w:r>
        <w:rPr>
          <w:rFonts w:asciiTheme="minorEastAsia" w:hAnsiTheme="minorEastAsia"/>
          <w:sz w:val="24"/>
          <w:szCs w:val="24"/>
        </w:rPr>
        <w:t xml:space="preserve"> App / </w:t>
      </w:r>
      <w:r>
        <w:rPr>
          <w:rFonts w:hint="eastAsia" w:asciiTheme="minorEastAsia" w:hAnsiTheme="minorEastAsia"/>
          <w:sz w:val="24"/>
          <w:szCs w:val="24"/>
        </w:rPr>
        <w:t xml:space="preserve">小程序多端接入。</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协议：采用司法级音视频传输协议，支持高清视频、低延迟、弱网抗丢包能力。</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存储：庭审音视频、笔录、电子文件集中存储、分级备份、全程留痕、不可篡改。</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平台技术协议与标准</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信令协议：</w:t>
      </w:r>
      <w:r>
        <w:rPr>
          <w:rFonts w:asciiTheme="minorEastAsia" w:hAnsiTheme="minorEastAsia"/>
          <w:sz w:val="24"/>
          <w:szCs w:val="24"/>
        </w:rPr>
        <w:t xml:space="preserve">SIP 2.0</w:t>
      </w:r>
      <w:r>
        <w:rPr>
          <w:rFonts w:hint="eastAsia" w:asciiTheme="minorEastAsia" w:hAnsiTheme="minorEastAsia"/>
          <w:sz w:val="24"/>
          <w:szCs w:val="24"/>
        </w:rPr>
        <w:t xml:space="preserve">（法院定制扩展）、</w:t>
      </w:r>
      <w:r>
        <w:rPr>
          <w:rFonts w:asciiTheme="minorEastAsia" w:hAnsiTheme="minorEastAsia"/>
          <w:sz w:val="24"/>
          <w:szCs w:val="24"/>
        </w:rPr>
        <w:t xml:space="preserve">HTTPS/JSON</w:t>
      </w:r>
      <w:r>
        <w:rPr>
          <w:rFonts w:hint="eastAsia" w:asciiTheme="minorEastAsia" w:hAnsiTheme="minorEastAsia"/>
          <w:sz w:val="24"/>
          <w:szCs w:val="24"/>
        </w:rPr>
        <w:t xml:space="preserve">。</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媒体协议：</w:t>
      </w:r>
      <w:r>
        <w:rPr>
          <w:rFonts w:asciiTheme="minorEastAsia" w:hAnsiTheme="minorEastAsia"/>
          <w:sz w:val="24"/>
          <w:szCs w:val="24"/>
        </w:rPr>
        <w:t xml:space="preserve">H.264/H.265</w:t>
      </w:r>
      <w:r>
        <w:rPr>
          <w:rFonts w:hint="eastAsia" w:asciiTheme="minorEastAsia" w:hAnsiTheme="minorEastAsia"/>
          <w:sz w:val="24"/>
          <w:szCs w:val="24"/>
        </w:rPr>
        <w:t xml:space="preserve">、</w:t>
      </w:r>
      <w:r>
        <w:rPr>
          <w:rFonts w:asciiTheme="minorEastAsia" w:hAnsiTheme="minorEastAsia"/>
          <w:sz w:val="24"/>
          <w:szCs w:val="24"/>
        </w:rPr>
        <w:t xml:space="preserve">AAC</w:t>
      </w:r>
      <w:r>
        <w:rPr>
          <w:rFonts w:hint="eastAsia" w:asciiTheme="minorEastAsia" w:hAnsiTheme="minorEastAsia"/>
          <w:sz w:val="24"/>
          <w:szCs w:val="24"/>
        </w:rPr>
        <w:t xml:space="preserve">、</w:t>
      </w:r>
      <w:r>
        <w:rPr>
          <w:rFonts w:asciiTheme="minorEastAsia" w:hAnsiTheme="minorEastAsia"/>
          <w:sz w:val="24"/>
          <w:szCs w:val="24"/>
        </w:rPr>
        <w:t xml:space="preserve">RTMP/RTMPS</w:t>
      </w:r>
      <w:r>
        <w:rPr>
          <w:rFonts w:hint="eastAsia" w:asciiTheme="minorEastAsia" w:hAnsiTheme="minorEastAsia"/>
          <w:sz w:val="24"/>
          <w:szCs w:val="24"/>
        </w:rPr>
        <w:t xml:space="preserve">、</w:t>
      </w:r>
      <w:r>
        <w:rPr>
          <w:rFonts w:asciiTheme="minorEastAsia" w:hAnsiTheme="minorEastAsia"/>
          <w:sz w:val="24"/>
          <w:szCs w:val="24"/>
        </w:rPr>
        <w:t xml:space="preserve">SRTP</w:t>
      </w:r>
      <w:r>
        <w:rPr>
          <w:rFonts w:hint="eastAsia" w:asciiTheme="minorEastAsia" w:hAnsiTheme="minorEastAsia"/>
          <w:sz w:val="24"/>
          <w:szCs w:val="24"/>
        </w:rPr>
        <w:t xml:space="preserve">。</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对接认证：法院统一身份认证、设备序列号绑定、终端白名单、接口密钥（</w:t>
      </w:r>
      <w:r>
        <w:rPr>
          <w:rFonts w:asciiTheme="minorEastAsia" w:hAnsiTheme="minorEastAsia"/>
          <w:sz w:val="24"/>
          <w:szCs w:val="24"/>
        </w:rPr>
        <w:t xml:space="preserve">AppKey+Secret</w:t>
      </w:r>
      <w:r>
        <w:rPr>
          <w:rFonts w:hint="eastAsia" w:asciiTheme="minorEastAsia" w:hAnsiTheme="minorEastAsia"/>
          <w:sz w:val="24"/>
          <w:szCs w:val="24"/>
        </w:rPr>
        <w:t xml:space="preserve">）。</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安全规范：符合最高法在线诉讼规则、等保三级、法院内外网隔离规范、数据不出省、全程留痕可追溯。</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当前运行状态</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平台长期稳定运行、日常开庭量充足，技术保障机制健全。已实现全流程线上办案、阳光司法、全程可追溯，符合最高法在线诉讼规则要求。存在扩展对接需求：需对平台进行升级改造及新增云庭审终端、庭审应用系统与现有平台对接，以进一步提升接入能力、覆盖范围与智能化水平。</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对接背景</w:t>
      </w:r>
      <w:r/>
    </w:p>
    <w:p>
      <w:pPr>
        <w:ind w:firstLine="480"/>
        <w:jc w:val="left"/>
        <w:spacing w:line="360" w:lineRule="auto"/>
        <w:rPr>
          <w:rFonts w:asciiTheme="minorEastAsia" w:hAnsiTheme="minorEastAsia"/>
          <w:sz w:val="24"/>
          <w:szCs w:val="24"/>
        </w:rPr>
      </w:pPr>
      <w:r>
        <w:rPr>
          <w:rFonts w:hint="eastAsia" w:asciiTheme="minorEastAsia" w:hAnsiTheme="minorEastAsia"/>
          <w:sz w:val="24"/>
          <w:szCs w:val="24"/>
        </w:rPr>
        <w:t xml:space="preserve">为进一步提升智慧庭审服务能力，满足更多法庭、更多终端、更多应用系统的接入需求，需在现有云庭审平台基础上，新增云庭审终端及庭审应用系统，并完成与中院现有云庭审平台的接入测试与联调，确保新建终端、新建系统与现有平台无缝兼容、数据互通、业务一致。</w:t>
      </w:r>
      <w:r/>
    </w:p>
    <w:p>
      <w:pPr>
        <w:ind w:firstLine="480"/>
        <w:spacing w:line="360" w:lineRule="auto"/>
        <w:rPr>
          <w:rFonts w:ascii="Times New Roman" w:hAnsi="Times New Roman" w:eastAsia="宋体" w:cs="Times New Roman"/>
          <w:b/>
          <w:sz w:val="28"/>
          <w:szCs w:val="28"/>
        </w:rPr>
      </w:pPr>
      <w:r>
        <w:rPr>
          <w:rFonts w:hint="eastAsia" w:asciiTheme="minorEastAsia" w:hAnsiTheme="minorEastAsia"/>
          <w:sz w:val="24"/>
          <w:szCs w:val="24"/>
        </w:rPr>
        <w:t xml:space="preserve">三、</w:t>
      </w:r>
      <w:r>
        <w:rPr>
          <w:rFonts w:hint="eastAsia" w:ascii="Times New Roman" w:hAnsi="Times New Roman" w:eastAsia="宋体" w:cs="Times New Roman"/>
          <w:b/>
          <w:sz w:val="28"/>
          <w:szCs w:val="28"/>
        </w:rPr>
        <w:t xml:space="preserve">项目建设内容</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科技法庭应用系统升级改造，包括操作系统、庭审应用系统、视频支撑平台。</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科技法庭应用支撑硬件升级改造，包括应用服务器、流媒体服务器。</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科技法庭应用系统从基础架构、UI设计、操作体验、系统流程全面契合“一张网”的设计规范，根据“一张网”提供的数据接口的能力，融入全新的交互理念，达到“效能最大化”的目的。</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在科技法庭的建设上，采用更加轻量化、智能化、智慧化的设备，从音视频采集、人机交互、显示与扩声等设备利用基于网络和标准协议的智能设备，保证了开庭过程的流畅、稳定，同时设备高度集成和高度智能，也减少了在法庭内的辅助设备的投入，可以让所有法院享受到同等同质的售后服务，同一套架构，同一个系统，有效降低偏远法院因为各类原因导致的技术服务弱的问题。</w:t>
      </w:r>
      <w:r/>
    </w:p>
    <w:p>
      <w:pPr>
        <w:ind w:firstLine="480"/>
        <w:spacing w:line="360" w:lineRule="auto"/>
        <w:rPr>
          <w:rFonts w:ascii="Times New Roman" w:hAnsi="Times New Roman" w:eastAsia="宋体" w:cs="Times New Roman"/>
          <w:b/>
          <w:sz w:val="28"/>
          <w:szCs w:val="28"/>
        </w:rPr>
      </w:pPr>
      <w:r>
        <w:rPr>
          <w:rFonts w:hint="eastAsia" w:asciiTheme="minorEastAsia" w:hAnsiTheme="minorEastAsia"/>
          <w:sz w:val="24"/>
          <w:szCs w:val="24"/>
        </w:rPr>
        <w:t xml:space="preserve">四、</w:t>
      </w:r>
      <w:r>
        <w:rPr>
          <w:rFonts w:hint="eastAsia" w:ascii="Times New Roman" w:hAnsi="Times New Roman" w:eastAsia="宋体" w:cs="Times New Roman"/>
          <w:b/>
          <w:sz w:val="28"/>
          <w:szCs w:val="28"/>
        </w:rPr>
        <w:t xml:space="preserve">项目服务技术要求</w:t>
      </w:r>
      <w:r/>
    </w:p>
    <w:p>
      <w:pPr>
        <w:ind w:firstLine="482"/>
        <w:spacing w:line="360" w:lineRule="auto"/>
        <w:rPr>
          <w:rFonts w:asciiTheme="minorEastAsia" w:hAnsiTheme="minorEastAsia"/>
          <w:sz w:val="24"/>
          <w:szCs w:val="24"/>
        </w:rPr>
      </w:pPr>
      <w:r>
        <w:rPr>
          <w:rFonts w:hint="eastAsia" w:ascii="宋体" w:hAnsi="宋体" w:eastAsia="宋体" w:cs="Times New Roman"/>
          <w:b/>
          <w:sz w:val="24"/>
        </w:rPr>
        <w:t xml:space="preserve">4</w:t>
      </w:r>
      <w:r>
        <w:rPr>
          <w:rFonts w:ascii="宋体" w:hAnsi="宋体" w:eastAsia="宋体" w:cs="Times New Roman"/>
          <w:b/>
          <w:sz w:val="24"/>
        </w:rPr>
        <w:t xml:space="preserve">.1</w:t>
      </w:r>
      <w:r>
        <w:rPr>
          <w:rFonts w:hint="eastAsia" w:ascii="宋体" w:hAnsi="宋体" w:eastAsia="宋体" w:cs="Times New Roman"/>
          <w:b/>
          <w:sz w:val="24"/>
        </w:rPr>
        <w:t xml:space="preserve">服务目标</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全市法院科技法庭升级改造，实现智慧法庭的后台管理和流媒体统一管理，为法庭庭审、各个角色提供业务能力支撑；同时实现音视频统一注册、交互和资源协调。</w:t>
      </w:r>
      <w:r/>
    </w:p>
    <w:p>
      <w:pPr>
        <w:ind w:firstLine="480"/>
        <w:spacing w:line="360" w:lineRule="auto"/>
        <w:rPr>
          <w:rFonts w:asciiTheme="minorEastAsia" w:hAnsiTheme="minorEastAsia"/>
          <w:sz w:val="24"/>
          <w:szCs w:val="24"/>
        </w:rPr>
      </w:pPr>
      <w:r>
        <w:rPr>
          <w:rFonts w:hint="eastAsia" w:asciiTheme="minorEastAsia" w:hAnsiTheme="minorEastAsia"/>
          <w:sz w:val="24"/>
          <w:szCs w:val="24"/>
        </w:rPr>
        <w:t xml:space="preserve">基于全国办案办公平台的统一管理的要求下进行建设，结合审判业务，覆盖庭审整个流程，在充分兼容、利旧、有效保护投资的基础上，配置国产化外设与辅材，拓展实现法庭新功能。</w:t>
      </w:r>
      <w:r/>
    </w:p>
    <w:p>
      <w:pPr>
        <w:ind w:firstLine="482"/>
        <w:spacing w:line="360" w:lineRule="auto"/>
        <w:rPr>
          <w:rFonts w:ascii="宋体" w:hAnsi="宋体" w:eastAsia="宋体" w:cs="Times New Roman"/>
          <w:b/>
          <w:sz w:val="24"/>
        </w:rPr>
      </w:pPr>
      <w:r>
        <w:rPr>
          <w:rFonts w:ascii="宋体" w:hAnsi="宋体" w:eastAsia="宋体" w:cs="Times New Roman"/>
          <w:b/>
          <w:sz w:val="24"/>
        </w:rPr>
        <w:t xml:space="preserve">4</w:t>
      </w:r>
      <w:r>
        <w:rPr>
          <w:rFonts w:hint="eastAsia" w:ascii="宋体" w:hAnsi="宋体" w:eastAsia="宋体" w:cs="Times New Roman"/>
          <w:b/>
          <w:sz w:val="24"/>
        </w:rPr>
        <w:t xml:space="preserve">.2项目实施配套货物清单</w:t>
      </w:r>
      <w:r/>
    </w:p>
    <w:tbl>
      <w:tblPr>
        <w:tblStyle w:val="730"/>
        <w:tblW w:w="74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72"/>
        <w:gridCol w:w="941"/>
        <w:gridCol w:w="3909"/>
        <w:gridCol w:w="686"/>
        <w:gridCol w:w="632"/>
        <w:gridCol w:w="863"/>
      </w:tblGrid>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b/>
                <w:bCs/>
                <w:sz w:val="24"/>
                <w:szCs w:val="24"/>
              </w:rPr>
            </w:pPr>
            <w:r>
              <w:rPr>
                <w:rFonts w:cs="宋体" w:asciiTheme="minorEastAsia" w:hAnsiTheme="minorEastAsia"/>
                <w:b/>
                <w:bCs/>
                <w:sz w:val="24"/>
                <w:szCs w:val="24"/>
              </w:rPr>
              <w:t xml:space="preserve">序号</w:t>
            </w:r>
            <w:r/>
          </w:p>
        </w:tc>
        <w:tc>
          <w:tcPr>
            <w:shd w:val="clear" w:color="000000" w:fill="ffffff"/>
            <w:tcW w:w="941" w:type="dxa"/>
            <w:vAlign w:val="center"/>
            <w:textDirection w:val="lrTb"/>
            <w:noWrap w:val="false"/>
          </w:tcPr>
          <w:p>
            <w:pPr>
              <w:jc w:val="center"/>
              <w:widowControl/>
              <w:rPr>
                <w:rFonts w:cs="宋体" w:asciiTheme="minorEastAsia" w:hAnsiTheme="minorEastAsia"/>
                <w:b/>
                <w:bCs/>
                <w:sz w:val="24"/>
                <w:szCs w:val="24"/>
              </w:rPr>
            </w:pPr>
            <w:r>
              <w:rPr>
                <w:rFonts w:cs="宋体" w:asciiTheme="minorEastAsia" w:hAnsiTheme="minorEastAsia"/>
                <w:b/>
                <w:bCs/>
                <w:sz w:val="24"/>
                <w:szCs w:val="24"/>
              </w:rPr>
              <w:t xml:space="preserve">货物（标的）名称</w:t>
            </w:r>
            <w:r/>
          </w:p>
        </w:tc>
        <w:tc>
          <w:tcPr>
            <w:shd w:val="clear" w:color="000000" w:fill="ffffff"/>
            <w:tcW w:w="3908" w:type="dxa"/>
            <w:vAlign w:val="center"/>
            <w:textDirection w:val="lrTb"/>
            <w:noWrap w:val="false"/>
          </w:tcPr>
          <w:p>
            <w:pPr>
              <w:jc w:val="center"/>
              <w:widowControl/>
              <w:rPr>
                <w:rFonts w:cs="宋体" w:asciiTheme="minorEastAsia" w:hAnsiTheme="minorEastAsia"/>
                <w:b/>
                <w:bCs/>
                <w:sz w:val="24"/>
                <w:szCs w:val="24"/>
              </w:rPr>
            </w:pPr>
            <w:r>
              <w:rPr>
                <w:rFonts w:cs="宋体" w:asciiTheme="minorEastAsia" w:hAnsiTheme="minorEastAsia"/>
                <w:b/>
                <w:bCs/>
                <w:sz w:val="24"/>
                <w:szCs w:val="24"/>
              </w:rPr>
              <w:t xml:space="preserve">技术参数及功能指标</w:t>
            </w:r>
            <w:r/>
          </w:p>
        </w:tc>
        <w:tc>
          <w:tcPr>
            <w:shd w:val="clear" w:color="000000" w:fill="ffffff"/>
            <w:tcW w:w="686" w:type="dxa"/>
            <w:vAlign w:val="center"/>
            <w:textDirection w:val="lrTb"/>
            <w:noWrap w:val="false"/>
          </w:tcPr>
          <w:p>
            <w:pPr>
              <w:jc w:val="center"/>
              <w:widowControl/>
              <w:rPr>
                <w:rFonts w:cs="宋体" w:asciiTheme="minorEastAsia" w:hAnsiTheme="minorEastAsia"/>
                <w:b/>
                <w:bCs/>
                <w:sz w:val="24"/>
                <w:szCs w:val="24"/>
              </w:rPr>
            </w:pPr>
            <w:r>
              <w:rPr>
                <w:rFonts w:cs="宋体" w:asciiTheme="minorEastAsia" w:hAnsiTheme="minorEastAsia"/>
                <w:b/>
                <w:bCs/>
                <w:sz w:val="24"/>
                <w:szCs w:val="24"/>
              </w:rPr>
              <w:t xml:space="preserve">数量</w:t>
            </w:r>
            <w:r/>
          </w:p>
        </w:tc>
        <w:tc>
          <w:tcPr>
            <w:shd w:val="clear" w:color="000000" w:fill="ffffff"/>
            <w:tcW w:w="632" w:type="dxa"/>
            <w:vAlign w:val="center"/>
            <w:textDirection w:val="lrTb"/>
            <w:noWrap w:val="false"/>
          </w:tcPr>
          <w:p>
            <w:pPr>
              <w:jc w:val="center"/>
              <w:widowControl/>
              <w:rPr>
                <w:rFonts w:cs="宋体" w:asciiTheme="minorEastAsia" w:hAnsiTheme="minorEastAsia"/>
                <w:b/>
                <w:bCs/>
                <w:sz w:val="24"/>
                <w:szCs w:val="24"/>
              </w:rPr>
            </w:pPr>
            <w:r>
              <w:rPr>
                <w:rFonts w:cs="宋体" w:asciiTheme="minorEastAsia" w:hAnsiTheme="minorEastAsia"/>
                <w:b/>
                <w:bCs/>
                <w:sz w:val="24"/>
                <w:szCs w:val="24"/>
              </w:rPr>
              <w:t xml:space="preserve">单位</w:t>
            </w:r>
            <w:r/>
          </w:p>
        </w:tc>
        <w:tc>
          <w:tcPr>
            <w:shd w:val="clear" w:color="000000" w:fill="ffffff"/>
            <w:tcW w:w="863" w:type="dxa"/>
            <w:vAlign w:val="center"/>
            <w:textDirection w:val="lrTb"/>
            <w:noWrap w:val="false"/>
          </w:tcPr>
          <w:p>
            <w:pPr>
              <w:jc w:val="center"/>
              <w:widowControl/>
              <w:rPr>
                <w:rFonts w:cs="宋体" w:asciiTheme="minorEastAsia" w:hAnsiTheme="minorEastAsia"/>
                <w:b/>
                <w:bCs/>
                <w:sz w:val="24"/>
                <w:szCs w:val="24"/>
              </w:rPr>
            </w:pPr>
            <w:r>
              <w:rPr>
                <w:rFonts w:cs="宋体" w:asciiTheme="minorEastAsia" w:hAnsiTheme="minorEastAsia"/>
                <w:b/>
                <w:bCs/>
                <w:sz w:val="24"/>
                <w:szCs w:val="24"/>
              </w:rPr>
              <w:t xml:space="preserve">备注</w:t>
            </w:r>
            <w:r/>
          </w:p>
        </w:tc>
      </w:tr>
      <w:tr>
        <w:trPr>
          <w:jc w:val="center"/>
          <w:trHeight w:val="10"/>
        </w:trPr>
        <w:tc>
          <w:tcPr>
            <w:gridSpan w:val="3"/>
            <w:shd w:val="clear" w:color="000000" w:fill="ffffff"/>
            <w:tcW w:w="5222"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一、中院庭审系统</w:t>
            </w:r>
            <w:r/>
          </w:p>
        </w:tc>
        <w:tc>
          <w:tcPr>
            <w:shd w:val="clear" w:color="000000" w:fill="ffffff"/>
            <w:tcW w:w="686"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c>
          <w:tcPr>
            <w:shd w:val="clear" w:color="000000" w:fill="ffffff"/>
            <w:tcW w:w="632"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c>
          <w:tcPr>
            <w:shd w:val="clear" w:color="000000" w:fill="ffffff"/>
            <w:tcW w:w="863"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r>
      <w:tr>
        <w:trPr>
          <w:jc w:val="center"/>
          <w:trHeight w:val="10"/>
        </w:trPr>
        <w:tc>
          <w:tcPr>
            <w:gridSpan w:val="3"/>
            <w:shd w:val="clear" w:color="000000" w:fill="ffffff"/>
            <w:tcW w:w="5222"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内网端</w:t>
            </w:r>
            <w:r/>
          </w:p>
        </w:tc>
        <w:tc>
          <w:tcPr>
            <w:shd w:val="clear" w:color="000000" w:fill="ffffff"/>
            <w:tcW w:w="686"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c>
          <w:tcPr>
            <w:shd w:val="clear" w:color="000000" w:fill="ffffff"/>
            <w:tcW w:w="632"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c>
          <w:tcPr>
            <w:shd w:val="clear" w:color="000000" w:fill="ffffff"/>
            <w:tcW w:w="863"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法院内网庭审平台</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一、分布式集群架构与多策略负载均衡能力</w:t>
            </w:r>
            <w:r/>
          </w:p>
          <w:p>
            <w:pPr>
              <w:jc w:val="left"/>
              <w:widowControl/>
              <w:rPr>
                <w:rFonts w:cs="宋体" w:asciiTheme="minorEastAsia" w:hAnsiTheme="minorEastAsia"/>
                <w:sz w:val="24"/>
                <w:szCs w:val="24"/>
              </w:rPr>
            </w:pPr>
            <w:r>
              <w:rPr>
                <w:rFonts w:cs="宋体" w:asciiTheme="minorEastAsia" w:hAnsiTheme="minorEastAsia"/>
                <w:sz w:val="24"/>
                <w:szCs w:val="24"/>
              </w:rPr>
              <w:t xml:space="preserve">两级法院庭审平台整体采用成熟、稳定的分布式集群架构设计，全面支持多节点横向扩展部署，可实现应用服务、业务中间件、数据库、流媒体服务等全平台核心组件的集群化部署与负载均衡调度。平台内置多种流量调度分发算法，支持服务轮询、奇偶IP匹配等主流负载分发策略，可根据预设规则将前端客户端各类庭审业务请求智能、均匀分发至后端不同的服务节点。</w:t>
            </w:r>
            <w:r/>
          </w:p>
          <w:p>
            <w:pPr>
              <w:jc w:val="left"/>
              <w:widowControl/>
              <w:rPr>
                <w:rFonts w:cs="宋体" w:asciiTheme="minorEastAsia" w:hAnsiTheme="minorEastAsia"/>
                <w:sz w:val="24"/>
                <w:szCs w:val="24"/>
              </w:rPr>
            </w:pPr>
            <w:r>
              <w:rPr>
                <w:rFonts w:cs="宋体" w:asciiTheme="minorEastAsia" w:hAnsiTheme="minorEastAsia"/>
                <w:sz w:val="24"/>
                <w:szCs w:val="24"/>
              </w:rPr>
              <w:t xml:space="preserve">通过精细化的负载均衡调度机制，系统可有效解决单节点请求堆积、资源占用过高、业务压力集中等问题，彻底避免单点过载故障。在多法庭同步开庭、海量案件并发访问、庭审音视频并发推拉流等高负载场景下，可动态分摊业务压力，显著提升平台整体并发处理能力、事务吞吐量及业务响应速度，全面满足两级法院大规模、高并发、常态化庭审业务运行需求。</w:t>
            </w:r>
            <w:r/>
          </w:p>
          <w:p>
            <w:pPr>
              <w:jc w:val="left"/>
              <w:widowControl/>
              <w:rPr>
                <w:rFonts w:cs="宋体" w:asciiTheme="minorEastAsia" w:hAnsiTheme="minorEastAsia"/>
                <w:sz w:val="24"/>
                <w:szCs w:val="24"/>
              </w:rPr>
            </w:pPr>
            <w:r>
              <w:rPr>
                <w:rFonts w:cs="宋体" w:asciiTheme="minorEastAsia" w:hAnsiTheme="minorEastAsia"/>
                <w:sz w:val="24"/>
                <w:szCs w:val="24"/>
              </w:rPr>
              <w:t xml:space="preserve">二、节点健康检测与智能路由容灾能力</w:t>
            </w:r>
            <w:r/>
          </w:p>
          <w:p>
            <w:pPr>
              <w:jc w:val="left"/>
              <w:widowControl/>
              <w:rPr>
                <w:rFonts w:cs="宋体" w:asciiTheme="minorEastAsia" w:hAnsiTheme="minorEastAsia"/>
                <w:sz w:val="24"/>
                <w:szCs w:val="24"/>
              </w:rPr>
            </w:pPr>
            <w:r>
              <w:rPr>
                <w:rFonts w:cs="宋体" w:asciiTheme="minorEastAsia" w:hAnsiTheme="minorEastAsia"/>
                <w:sz w:val="24"/>
                <w:szCs w:val="24"/>
              </w:rPr>
              <w:t xml:space="preserve">平台具备完善的服务节点实时健康检查与智能路由切换容灾机制，可7×24小时不间断监测所有后端应用节点、流媒体节点、接口服务节点的运行状态、服务心跳、进程活跃度及负载健康情况，能够精准、快速识别节点宕机、服务卡死、进程异常、网络中断、高负载失效等各类故障状态。</w:t>
            </w:r>
            <w:r/>
          </w:p>
          <w:p>
            <w:pPr>
              <w:jc w:val="left"/>
              <w:widowControl/>
              <w:rPr>
                <w:rFonts w:cs="宋体" w:asciiTheme="minorEastAsia" w:hAnsiTheme="minorEastAsia"/>
                <w:sz w:val="24"/>
                <w:szCs w:val="24"/>
              </w:rPr>
            </w:pPr>
            <w:r>
              <w:rPr>
                <w:rFonts w:cs="宋体" w:asciiTheme="minorEastAsia" w:hAnsiTheme="minorEastAsia"/>
                <w:sz w:val="24"/>
                <w:szCs w:val="24"/>
              </w:rPr>
              <w:t xml:space="preserve">当任意后端服务节点出现异常或宕机故障时，系统可自动触发路由隔离与智能切换策略，实时将故障节点从集群调度列表中剔除，不再向异常节点分发任何新的业务请求，所有新增及存量业务流量自动平滑迁移至正常可用的服务节点。整套切换过程无需人工干预、业务无感知、庭审无中断，有效规避因单节点故障导致的庭审卡顿、业务报错、系统瘫痪等重大问题，全方位保障两级法院庭审平台的高可用性与业务连续性。待故障节点修复重启、状态恢复正常后，系统可自动将其重新纳入集群负载均衡调度体系，实现集群资源自愈与负载重新均衡。</w:t>
            </w:r>
            <w:r/>
          </w:p>
          <w:p>
            <w:pPr>
              <w:jc w:val="left"/>
              <w:widowControl/>
              <w:rPr>
                <w:rFonts w:cs="宋体" w:asciiTheme="minorEastAsia" w:hAnsiTheme="minorEastAsia"/>
                <w:sz w:val="24"/>
                <w:szCs w:val="24"/>
              </w:rPr>
            </w:pPr>
            <w:r>
              <w:rPr>
                <w:rFonts w:cs="宋体" w:asciiTheme="minorEastAsia" w:hAnsiTheme="minorEastAsia"/>
                <w:sz w:val="24"/>
                <w:szCs w:val="24"/>
              </w:rPr>
              <w:t xml:space="preserve">三、一张网适配、主备双活高可用及后台综合管理服务</w:t>
            </w:r>
            <w:r/>
          </w:p>
          <w:p>
            <w:pPr>
              <w:jc w:val="left"/>
              <w:widowControl/>
              <w:rPr>
                <w:rFonts w:cs="宋体" w:asciiTheme="minorEastAsia" w:hAnsiTheme="minorEastAsia"/>
                <w:sz w:val="24"/>
                <w:szCs w:val="24"/>
              </w:rPr>
            </w:pPr>
            <w:r>
              <w:rPr>
                <w:rFonts w:cs="宋体" w:asciiTheme="minorEastAsia" w:hAnsiTheme="minorEastAsia"/>
                <w:sz w:val="24"/>
                <w:szCs w:val="24"/>
              </w:rPr>
              <w:t xml:space="preserve">平台严格遵循 “一张网”建设规范，整体采用标准B/S浏览器架构，适配法院内网统一入口部署模式，支持多终端、多角色、多场景高可用部署应用。系统采用主备双活高可用部署架构，通过主备实例实时同步、故障自动切换机制，彻底规避单点部署风险，全面适配线上庭审、线下庭审、远程互联庭审等多模式庭审业务场景，保障各类庭审业务稳定开展。</w:t>
            </w:r>
            <w:r/>
          </w:p>
          <w:p>
            <w:pPr>
              <w:jc w:val="left"/>
              <w:widowControl/>
              <w:rPr>
                <w:rFonts w:cs="宋体" w:asciiTheme="minorEastAsia" w:hAnsiTheme="minorEastAsia"/>
                <w:sz w:val="24"/>
                <w:szCs w:val="24"/>
              </w:rPr>
            </w:pPr>
            <w:r>
              <w:rPr>
                <w:rFonts w:cs="宋体" w:asciiTheme="minorEastAsia" w:hAnsiTheme="minorEastAsia"/>
                <w:sz w:val="24"/>
                <w:szCs w:val="24"/>
              </w:rPr>
              <w:t xml:space="preserve">平台配套建设一体化后台支撑服务体系，集成全维度庭审业务管理能力，具体包含法庭后台管理、流媒体资源调度管理、庭室信息管理、庭审音视频资源管控、案件全流程管理、系统参数配置管理等核心功能，可覆盖法官、书记员、运维管理员、庭审参与人员等全角色业务支撑需求，为两级法院各类庭审业务开展提供完整、稳定、高效的后台能力支撑。</w:t>
            </w:r>
            <w:r/>
          </w:p>
          <w:p>
            <w:pPr>
              <w:jc w:val="left"/>
              <w:widowControl/>
              <w:rPr>
                <w:rFonts w:cs="宋体" w:asciiTheme="minorEastAsia" w:hAnsiTheme="minorEastAsia"/>
                <w:sz w:val="24"/>
                <w:szCs w:val="24"/>
              </w:rPr>
            </w:pPr>
            <w:r>
              <w:rPr>
                <w:rFonts w:cs="宋体" w:asciiTheme="minorEastAsia" w:hAnsiTheme="minorEastAsia"/>
                <w:sz w:val="24"/>
                <w:szCs w:val="24"/>
              </w:rPr>
              <w:t xml:space="preserve">在售后服务与版本迭代方面，项目交付完成后，提供不少于三年的软件升级优化服务</w:t>
            </w:r>
            <w:r>
              <w:rPr>
                <w:rFonts w:hint="eastAsia" w:cs="宋体" w:asciiTheme="minorEastAsia" w:hAnsiTheme="minorEastAsia"/>
                <w:sz w:val="24"/>
                <w:szCs w:val="24"/>
              </w:rPr>
              <w:t xml:space="preserve">（包含在预算内）</w:t>
            </w:r>
            <w:r>
              <w:rPr>
                <w:rFonts w:cs="宋体" w:asciiTheme="minorEastAsia" w:hAnsiTheme="minorEastAsia"/>
                <w:sz w:val="24"/>
                <w:szCs w:val="24"/>
              </w:rPr>
              <w:t xml:space="preserve">，包含软件产品质量缺陷修复、系统性能优化、功能体验升级、适配司法业务新规优化、系统兼容性改善等持续迭代服务，保障平台长期稳定、高效、贴合法院实际业务使用。</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4</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法院内网庭审平台应用服务器</w:t>
            </w:r>
            <w:r/>
          </w:p>
        </w:tc>
        <w:tc>
          <w:tcPr>
            <w:shd w:val="clear" w:color="000000" w:fill="ffffff"/>
            <w:tcW w:w="3908"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CPU规格：采用鲲鹏、飞腾、海光主流处理器，物理核数</w:t>
            </w:r>
            <w:r>
              <w:rPr>
                <w:rFonts w:ascii="宋体" w:hAnsi="宋体" w:eastAsia="宋体" w:cs="宋体"/>
                <w:sz w:val="24"/>
                <w:szCs w:val="24"/>
              </w:rPr>
              <w:t xml:space="preserve">不低于32核</w:t>
            </w:r>
            <w:r>
              <w:rPr>
                <w:rFonts w:hint="eastAsia" w:ascii="宋体" w:hAnsi="宋体" w:eastAsia="宋体" w:cs="宋体"/>
                <w:sz w:val="24"/>
                <w:szCs w:val="24"/>
              </w:rPr>
              <w:t xml:space="preserve">，</w:t>
            </w:r>
            <w:r>
              <w:rPr>
                <w:rFonts w:ascii="宋体" w:hAnsi="宋体" w:eastAsia="宋体" w:cs="宋体"/>
                <w:sz w:val="24"/>
                <w:szCs w:val="24"/>
              </w:rPr>
              <w:t xml:space="preserve">处理器标准性能，支持通用计算及虚拟化功能，集成整型计算单元、浮点计算单元、内存控制器、I/O模块等基础算力单元</w:t>
            </w:r>
            <w:r>
              <w:rPr>
                <w:rFonts w:hint="eastAsia" w:ascii="宋体" w:hAnsi="宋体" w:eastAsia="宋体" w:cs="宋体"/>
                <w:sz w:val="24"/>
                <w:szCs w:val="24"/>
              </w:rPr>
              <w:t xml:space="preserve">；</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内存规格：</w:t>
            </w:r>
            <w:r>
              <w:rPr>
                <w:rFonts w:ascii="宋体" w:hAnsi="宋体" w:eastAsia="宋体" w:cs="宋体"/>
                <w:sz w:val="24"/>
                <w:szCs w:val="24"/>
              </w:rPr>
              <w:t xml:space="preserve">不低于256GB，支持内存增强型纠错功能，保障数据传输准确性与运行稳定性。</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存储规格：</w:t>
            </w:r>
            <w:r>
              <w:rPr>
                <w:rFonts w:ascii="宋体" w:hAnsi="宋体" w:eastAsia="宋体" w:cs="宋体"/>
                <w:sz w:val="24"/>
                <w:szCs w:val="24"/>
              </w:rPr>
              <w:t xml:space="preserve">配置不少于2块960GB企业级固态硬盘，支持高速读写，适配系统部署、高频业务读写、数据缓存等核心场景。配置不少于4块2TB企业级机械硬盘，满足大容量数据存储、数据备份、归档留存等业务需求。</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网络规格：配备网口数量不少于4个，且网口速率不少于1GE。</w:t>
            </w:r>
            <w:r/>
          </w:p>
          <w:p>
            <w:pPr>
              <w:jc w:val="left"/>
              <w:widowControl/>
              <w:rPr>
                <w:rFonts w:cs="宋体" w:asciiTheme="minorEastAsia" w:hAnsiTheme="minorEastAsia"/>
                <w:sz w:val="24"/>
                <w:szCs w:val="24"/>
              </w:rPr>
            </w:pPr>
            <w:r>
              <w:rPr>
                <w:rFonts w:hint="eastAsia" w:ascii="宋体" w:hAnsi="宋体" w:eastAsia="宋体" w:cs="宋体"/>
                <w:sz w:val="24"/>
                <w:szCs w:val="24"/>
              </w:rPr>
              <w:t xml:space="preserve">电源规格：</w:t>
            </w:r>
            <w:r>
              <w:rPr>
                <w:rFonts w:ascii="宋体" w:hAnsi="宋体" w:eastAsia="宋体" w:cs="宋体"/>
                <w:sz w:val="24"/>
                <w:szCs w:val="24"/>
              </w:rPr>
              <w:t xml:space="preserve">配置不少于2个冗余电源模块，支持热插拔、故障自动切换功能，满足服务器不间断供电需求。</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4</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台</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3</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庭审流媒体服务系统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1、需具备流媒体录播服务，应支持多媒体信号同步录制；</w:t>
            </w:r>
            <w:r>
              <w:rPr>
                <w:rFonts w:cs="宋体" w:asciiTheme="minorEastAsia" w:hAnsiTheme="minorEastAsia"/>
                <w:sz w:val="24"/>
                <w:szCs w:val="24"/>
              </w:rPr>
              <w:br/>
            </w:r>
            <w:r>
              <w:rPr>
                <w:rFonts w:cs="宋体" w:asciiTheme="minorEastAsia" w:hAnsiTheme="minorEastAsia"/>
                <w:sz w:val="24"/>
                <w:szCs w:val="24"/>
              </w:rPr>
              <w:t xml:space="preserve">2、需支持不少于24个高清法庭各路高清编码信号输入存储及直播。</w:t>
            </w:r>
            <w:r>
              <w:rPr>
                <w:rFonts w:cs="宋体" w:asciiTheme="minorEastAsia" w:hAnsiTheme="minorEastAsia"/>
                <w:sz w:val="24"/>
                <w:szCs w:val="24"/>
              </w:rPr>
              <w:br/>
            </w:r>
            <w:r>
              <w:rPr>
                <w:rFonts w:cs="宋体" w:asciiTheme="minorEastAsia" w:hAnsiTheme="minorEastAsia"/>
                <w:sz w:val="24"/>
                <w:szCs w:val="24"/>
              </w:rPr>
              <w:t xml:space="preserve">3、需支持连接远程法庭、远程讯问室，转发远程音视频数据流给庭审终端，并对远程数据流同步录制为单独文件。</w:t>
            </w:r>
            <w:r>
              <w:rPr>
                <w:rFonts w:cs="宋体" w:asciiTheme="minorEastAsia" w:hAnsiTheme="minorEastAsia"/>
                <w:sz w:val="24"/>
                <w:szCs w:val="24"/>
              </w:rPr>
              <w:br/>
            </w:r>
            <w:r>
              <w:rPr>
                <w:rFonts w:cs="宋体" w:asciiTheme="minorEastAsia" w:hAnsiTheme="minorEastAsia"/>
                <w:sz w:val="24"/>
                <w:szCs w:val="24"/>
              </w:rPr>
              <w:t xml:space="preserve">4、需支持对其他法院的庭审直播进行数据流转发，接收其他法院的单路直播流，在本院分发给多电脑观看，减少专网带宽占用。</w:t>
            </w:r>
            <w:r>
              <w:rPr>
                <w:rFonts w:cs="宋体" w:asciiTheme="minorEastAsia" w:hAnsiTheme="minorEastAsia"/>
                <w:sz w:val="24"/>
                <w:szCs w:val="24"/>
              </w:rPr>
              <w:br/>
            </w:r>
            <w:r>
              <w:rPr>
                <w:rFonts w:cs="宋体" w:asciiTheme="minorEastAsia" w:hAnsiTheme="minorEastAsia"/>
                <w:b/>
                <w:bCs/>
                <w:sz w:val="24"/>
                <w:szCs w:val="24"/>
              </w:rPr>
              <w:t xml:space="preserve">▲5、输出格式要求：需符合最高院要求的H.264编码，符合最高院要求的MPEG4文件存放格式；</w:t>
            </w:r>
            <w:r>
              <w:rPr>
                <w:rFonts w:cs="宋体" w:asciiTheme="minorEastAsia" w:hAnsiTheme="minorEastAsia"/>
                <w:sz w:val="24"/>
                <w:szCs w:val="24"/>
              </w:rPr>
              <w:br/>
            </w:r>
            <w:r>
              <w:rPr>
                <w:rFonts w:cs="宋体" w:asciiTheme="minorEastAsia" w:hAnsiTheme="minorEastAsia"/>
                <w:sz w:val="24"/>
                <w:szCs w:val="24"/>
              </w:rPr>
              <w:t xml:space="preserve">6、需实时存储、直播，音视频完全同步，局域网内直播延时不大于200毫秒；</w:t>
            </w:r>
            <w:r>
              <w:rPr>
                <w:rFonts w:cs="宋体" w:asciiTheme="minorEastAsia" w:hAnsiTheme="minorEastAsia"/>
                <w:sz w:val="24"/>
                <w:szCs w:val="24"/>
              </w:rPr>
              <w:br/>
            </w:r>
            <w:r>
              <w:rPr>
                <w:rFonts w:cs="宋体" w:asciiTheme="minorEastAsia" w:hAnsiTheme="minorEastAsia"/>
                <w:sz w:val="24"/>
                <w:szCs w:val="24"/>
              </w:rPr>
              <w:t xml:space="preserve">7、全部采用中文用户操作界面，使用简捷、友好；支持庭审录像叠加庭审实际时间、文字等信息；支持50人同时在线观看直播、点播；同一时间在线人数需支持100人以上高清庭审直播、点播，并保证画面的流畅、稳定；支持多套录播服务器系统负载均衡。</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4</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庭审流媒体服务系统服务器</w:t>
            </w:r>
            <w:r/>
          </w:p>
        </w:tc>
        <w:tc>
          <w:tcPr>
            <w:shd w:val="clear" w:color="000000" w:fill="ffffff"/>
            <w:tcW w:w="3908" w:type="dxa"/>
            <w:vAlign w:val="center"/>
            <w:textDirection w:val="lrTb"/>
            <w:noWrap w:val="false"/>
          </w:tcPr>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CPU规格：采用鲲鹏、飞腾、海光主流处理器，物理核数</w:t>
            </w:r>
            <w:r>
              <w:rPr>
                <w:rFonts w:ascii="宋体" w:hAnsi="宋体" w:eastAsia="宋体" w:cs="宋体"/>
                <w:sz w:val="24"/>
                <w:szCs w:val="24"/>
              </w:rPr>
              <w:t xml:space="preserve">不低于32核</w:t>
            </w:r>
            <w:r>
              <w:rPr>
                <w:rFonts w:hint="eastAsia" w:ascii="宋体" w:hAnsi="宋体" w:eastAsia="宋体" w:cs="宋体"/>
                <w:sz w:val="24"/>
                <w:szCs w:val="24"/>
              </w:rPr>
              <w:t xml:space="preserve">，</w:t>
            </w:r>
            <w:r>
              <w:rPr>
                <w:rFonts w:ascii="宋体" w:hAnsi="宋体" w:eastAsia="宋体" w:cs="宋体"/>
                <w:sz w:val="24"/>
                <w:szCs w:val="24"/>
              </w:rPr>
              <w:t xml:space="preserve">处理器标准性能，支持通用计算及虚拟化功能，集成整型计算单元、浮点计算单元、内存控制器、I/O模块等基础算力单元</w:t>
            </w:r>
            <w:r>
              <w:rPr>
                <w:rFonts w:hint="eastAsia" w:ascii="宋体" w:hAnsi="宋体" w:eastAsia="宋体" w:cs="宋体"/>
                <w:sz w:val="24"/>
                <w:szCs w:val="24"/>
              </w:rPr>
              <w:t xml:space="preserve">；</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内存规格：</w:t>
            </w:r>
            <w:r>
              <w:rPr>
                <w:rFonts w:ascii="宋体" w:hAnsi="宋体" w:eastAsia="宋体" w:cs="宋体"/>
                <w:sz w:val="24"/>
                <w:szCs w:val="24"/>
              </w:rPr>
              <w:t xml:space="preserve">不低于</w:t>
            </w:r>
            <w:r>
              <w:rPr>
                <w:rFonts w:hint="eastAsia" w:ascii="宋体" w:hAnsi="宋体" w:eastAsia="宋体" w:cs="宋体"/>
                <w:sz w:val="24"/>
                <w:szCs w:val="24"/>
              </w:rPr>
              <w:t xml:space="preserve">128</w:t>
            </w:r>
            <w:r>
              <w:rPr>
                <w:rFonts w:ascii="宋体" w:hAnsi="宋体" w:eastAsia="宋体" w:cs="宋体"/>
                <w:sz w:val="24"/>
                <w:szCs w:val="24"/>
              </w:rPr>
              <w:t xml:space="preserve">GB，支持内存增强型纠错功能，保障数据传输准确性与运行稳定性。</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存储规格：</w:t>
            </w:r>
            <w:r>
              <w:rPr>
                <w:rFonts w:ascii="宋体" w:hAnsi="宋体" w:eastAsia="宋体" w:cs="宋体"/>
                <w:sz w:val="24"/>
                <w:szCs w:val="24"/>
              </w:rPr>
              <w:t xml:space="preserve">配置不少于2块960GB企业级固态硬盘，支持高速读写，适配系统部署、高频业务读写、数据缓存等核心场景。配置不少于4块2TB企业级机械硬盘，满足大容量数据存储、数据备份、归档留存等业务需求。</w:t>
            </w:r>
            <w:r/>
          </w:p>
          <w:p>
            <w:pPr>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网络规格：配备网口数量不少于4个，且网口速率不少于1GE。</w:t>
            </w:r>
            <w:r/>
          </w:p>
          <w:p>
            <w:pPr>
              <w:jc w:val="left"/>
              <w:widowControl/>
              <w:rPr>
                <w:rFonts w:cs="宋体" w:asciiTheme="minorEastAsia" w:hAnsiTheme="minorEastAsia"/>
                <w:sz w:val="24"/>
                <w:szCs w:val="24"/>
              </w:rPr>
            </w:pPr>
            <w:r>
              <w:rPr>
                <w:rFonts w:hint="eastAsia" w:ascii="宋体" w:hAnsi="宋体" w:eastAsia="宋体" w:cs="宋体"/>
                <w:sz w:val="24"/>
                <w:szCs w:val="24"/>
              </w:rPr>
              <w:t xml:space="preserve">电源规格：</w:t>
            </w:r>
            <w:r>
              <w:rPr>
                <w:rFonts w:ascii="宋体" w:hAnsi="宋体" w:eastAsia="宋体" w:cs="宋体"/>
                <w:sz w:val="24"/>
                <w:szCs w:val="24"/>
              </w:rPr>
              <w:t xml:space="preserve">配置不少于2个冗余电源模块，支持热插拔、故障自动切换功能，满足服务器不间断供电需求。</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台</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5</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操作系统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ascii="宋体" w:hAnsi="宋体" w:eastAsia="宋体" w:cs="宋体"/>
                <w:sz w:val="24"/>
                <w:szCs w:val="24"/>
              </w:rPr>
              <w:t xml:space="preserve">1.操作系统</w:t>
            </w:r>
            <w:r>
              <w:rPr>
                <w:rFonts w:hint="eastAsia" w:ascii="宋体" w:hAnsi="宋体" w:eastAsia="宋体" w:cs="宋体"/>
                <w:sz w:val="24"/>
                <w:szCs w:val="24"/>
              </w:rPr>
              <w:t xml:space="preserve">：</w:t>
            </w:r>
            <w:r>
              <w:rPr>
                <w:rFonts w:ascii="宋体" w:hAnsi="宋体" w:eastAsia="宋体" w:cs="宋体"/>
                <w:sz w:val="24"/>
                <w:szCs w:val="24"/>
              </w:rPr>
              <w:t xml:space="preserve">支持飞腾、鲲鹏、海光主流</w:t>
            </w:r>
            <w:r>
              <w:rPr>
                <w:rFonts w:hint="eastAsia" w:ascii="宋体" w:hAnsi="宋体" w:eastAsia="宋体" w:cs="宋体"/>
                <w:sz w:val="24"/>
                <w:szCs w:val="24"/>
              </w:rPr>
              <w:t xml:space="preserve">处理器</w:t>
            </w:r>
            <w:r>
              <w:rPr>
                <w:rFonts w:ascii="宋体" w:hAnsi="宋体" w:eastAsia="宋体" w:cs="宋体"/>
                <w:sz w:val="24"/>
                <w:szCs w:val="24"/>
              </w:rPr>
              <w:t xml:space="preserve">。</w:t>
            </w:r>
            <w:r>
              <w:rPr>
                <w:rFonts w:ascii="宋体" w:hAnsi="宋体" w:eastAsia="宋体" w:cs="宋体"/>
                <w:sz w:val="24"/>
                <w:szCs w:val="24"/>
              </w:rPr>
              <w:br/>
            </w:r>
            <w:r>
              <w:rPr>
                <w:rFonts w:ascii="宋体" w:hAnsi="宋体" w:eastAsia="宋体" w:cs="宋体"/>
                <w:sz w:val="24"/>
                <w:szCs w:val="24"/>
              </w:rPr>
              <w:t xml:space="preserve">2.操作系统内核</w:t>
            </w:r>
            <w:r>
              <w:rPr>
                <w:rFonts w:hint="eastAsia" w:ascii="宋体" w:hAnsi="宋体" w:eastAsia="宋体" w:cs="宋体"/>
                <w:sz w:val="24"/>
                <w:szCs w:val="24"/>
              </w:rPr>
              <w:t xml:space="preserve">：不低于</w:t>
            </w:r>
            <w:r>
              <w:rPr>
                <w:rFonts w:ascii="宋体" w:hAnsi="宋体" w:eastAsia="宋体" w:cs="宋体"/>
                <w:sz w:val="24"/>
                <w:szCs w:val="24"/>
              </w:rPr>
              <w:t xml:space="preserve">kernel 4.19稳定版本，支持Ext3、Ext4、GFS2、XFS、NTFS等文件系统，</w:t>
            </w:r>
            <w:r>
              <w:rPr>
                <w:rFonts w:hint="eastAsia" w:ascii="宋体" w:hAnsi="宋体" w:eastAsia="宋体" w:cs="宋体"/>
                <w:sz w:val="24"/>
                <w:szCs w:val="24"/>
                <w:lang w:eastAsia="zh-CN"/>
              </w:rPr>
              <w:t xml:space="preserve">提供适配于操作系统的rpm和deb软件包格式转换工具和模块</w:t>
            </w:r>
            <w:r>
              <w:rPr>
                <w:rFonts w:ascii="宋体" w:hAnsi="宋体" w:eastAsia="宋体" w:cs="宋体"/>
                <w:sz w:val="24"/>
                <w:szCs w:val="24"/>
              </w:rPr>
              <w:t xml:space="preserve">。</w:t>
            </w:r>
            <w:r>
              <w:rPr>
                <w:rFonts w:ascii="宋体" w:hAnsi="宋体" w:eastAsia="宋体" w:cs="宋体"/>
                <w:sz w:val="24"/>
                <w:szCs w:val="24"/>
              </w:rPr>
              <w:br/>
            </w:r>
            <w:r>
              <w:rPr>
                <w:rFonts w:ascii="宋体" w:hAnsi="宋体" w:eastAsia="宋体" w:cs="宋体"/>
                <w:sz w:val="24"/>
                <w:szCs w:val="24"/>
              </w:rPr>
              <w:t xml:space="preserve">3.操作系统软件产品质量管理与质量标准</w:t>
            </w:r>
            <w:r>
              <w:rPr>
                <w:rFonts w:hint="eastAsia" w:ascii="宋体" w:hAnsi="宋体" w:eastAsia="宋体" w:cs="宋体"/>
                <w:sz w:val="24"/>
                <w:szCs w:val="24"/>
              </w:rPr>
              <w:t xml:space="preserve">：</w:t>
            </w:r>
            <w:r>
              <w:rPr>
                <w:rFonts w:ascii="宋体" w:hAnsi="宋体" w:eastAsia="宋体" w:cs="宋体"/>
                <w:sz w:val="24"/>
                <w:szCs w:val="24"/>
              </w:rPr>
              <w:t xml:space="preserve">属于优化级，系统可提供安全增强组件，支持增加三权分立、白名单控制等安全功能，</w:t>
            </w:r>
            <w:r>
              <w:rPr>
                <w:rFonts w:hint="eastAsia" w:ascii="宋体" w:hAnsi="宋体" w:eastAsia="宋体" w:cs="宋体"/>
                <w:sz w:val="24"/>
                <w:szCs w:val="24"/>
                <w:lang w:eastAsia="zh-CN"/>
              </w:rPr>
              <w:t xml:space="preserve">并且可增强至国家的安全保护级别标准，如国家网络安全等级保护三级标准。</w:t>
            </w:r>
            <w:r>
              <w:rPr>
                <w:rFonts w:ascii="宋体" w:hAnsi="宋体" w:eastAsia="宋体" w:cs="宋体"/>
                <w:sz w:val="24"/>
                <w:szCs w:val="24"/>
              </w:rPr>
              <w:br/>
            </w:r>
            <w:r>
              <w:rPr>
                <w:rFonts w:ascii="宋体" w:hAnsi="宋体" w:eastAsia="宋体" w:cs="宋体"/>
                <w:sz w:val="24"/>
                <w:szCs w:val="24"/>
              </w:rPr>
              <w:t xml:space="preserve">4.操作系统</w:t>
            </w:r>
            <w:r>
              <w:rPr>
                <w:rFonts w:hint="eastAsia" w:ascii="宋体" w:hAnsi="宋体" w:eastAsia="宋体" w:cs="宋体"/>
                <w:sz w:val="24"/>
                <w:szCs w:val="24"/>
              </w:rPr>
              <w:t xml:space="preserve">：系统</w:t>
            </w:r>
            <w:r>
              <w:rPr>
                <w:rFonts w:ascii="宋体" w:hAnsi="宋体" w:eastAsia="宋体" w:cs="宋体"/>
                <w:sz w:val="24"/>
                <w:szCs w:val="24"/>
              </w:rPr>
              <w:t xml:space="preserve">支持LSM、可信计算TCM/TPCM、TPM2.0，内置国密算法，支持基于国密算法的加解密应用，支持可信计算。</w:t>
            </w:r>
            <w:r>
              <w:rPr>
                <w:rFonts w:ascii="宋体" w:hAnsi="宋体" w:eastAsia="宋体" w:cs="宋体"/>
                <w:sz w:val="24"/>
                <w:szCs w:val="24"/>
              </w:rPr>
              <w:br/>
            </w:r>
            <w:r>
              <w:rPr>
                <w:rFonts w:ascii="宋体" w:hAnsi="宋体" w:eastAsia="宋体" w:cs="宋体"/>
                <w:sz w:val="24"/>
                <w:szCs w:val="24"/>
              </w:rPr>
              <w:t xml:space="preserve">5.</w:t>
            </w:r>
            <w:r>
              <w:rPr>
                <w:rFonts w:hint="eastAsia" w:ascii="宋体" w:hAnsi="宋体" w:eastAsia="宋体" w:cs="宋体"/>
                <w:sz w:val="24"/>
                <w:szCs w:val="24"/>
              </w:rPr>
              <w:t xml:space="preserve">隔离保护：</w:t>
            </w:r>
            <w:r>
              <w:rPr>
                <w:rFonts w:hint="eastAsia" w:ascii="宋体" w:hAnsi="宋体" w:eastAsia="宋体" w:cs="宋体"/>
                <w:sz w:val="24"/>
                <w:szCs w:val="24"/>
                <w:lang w:eastAsia="zh-CN"/>
              </w:rPr>
              <w:t xml:space="preserve">系统提供私有数据隔离保护技术，通过该技术包括管理员在内的任何其他用户都不能进行非授权访问</w:t>
            </w:r>
            <w:r>
              <w:rPr>
                <w:rFonts w:ascii="宋体" w:hAnsi="宋体" w:eastAsia="宋体" w:cs="宋体"/>
                <w:sz w:val="24"/>
                <w:szCs w:val="24"/>
              </w:rPr>
              <w:br/>
            </w:r>
            <w:r>
              <w:rPr>
                <w:rFonts w:ascii="宋体" w:hAnsi="宋体" w:eastAsia="宋体" w:cs="宋体"/>
                <w:sz w:val="24"/>
                <w:szCs w:val="24"/>
              </w:rPr>
              <w:t xml:space="preserve">6.</w:t>
            </w:r>
            <w:r>
              <w:rPr>
                <w:rFonts w:hint="eastAsia" w:ascii="宋体" w:hAnsi="宋体" w:eastAsia="宋体" w:cs="宋体"/>
                <w:sz w:val="24"/>
                <w:szCs w:val="24"/>
              </w:rPr>
              <w:t xml:space="preserve">访问控制：系统</w:t>
            </w:r>
            <w:r>
              <w:rPr>
                <w:rFonts w:ascii="宋体" w:hAnsi="宋体" w:eastAsia="宋体" w:cs="宋体"/>
                <w:sz w:val="24"/>
                <w:szCs w:val="24"/>
              </w:rPr>
              <w:t xml:space="preserve">可支持强制访问控制，并可提供多种强制访问控制联合加载，包括SELINUX、APPARMOR等。</w:t>
            </w:r>
            <w:r>
              <w:rPr>
                <w:rFonts w:ascii="宋体" w:hAnsi="宋体" w:eastAsia="宋体" w:cs="宋体"/>
                <w:sz w:val="24"/>
                <w:szCs w:val="24"/>
              </w:rPr>
              <w:br/>
            </w:r>
            <w:r>
              <w:rPr>
                <w:rFonts w:ascii="宋体" w:hAnsi="宋体" w:eastAsia="宋体" w:cs="宋体"/>
                <w:sz w:val="24"/>
                <w:szCs w:val="24"/>
              </w:rPr>
              <w:t xml:space="preserve">7.</w:t>
            </w:r>
            <w:r>
              <w:rPr>
                <w:rFonts w:hint="eastAsia" w:ascii="宋体" w:hAnsi="宋体" w:eastAsia="宋体" w:cs="宋体"/>
                <w:sz w:val="24"/>
                <w:szCs w:val="24"/>
              </w:rPr>
              <w:t xml:space="preserve">防御技术：</w:t>
            </w:r>
            <w:r>
              <w:rPr>
                <w:rFonts w:hint="eastAsia" w:ascii="宋体" w:hAnsi="宋体" w:eastAsia="宋体" w:cs="宋体"/>
                <w:sz w:val="24"/>
                <w:szCs w:val="24"/>
                <w:lang w:eastAsia="zh-CN"/>
              </w:rPr>
              <w:t xml:space="preserve">系统提供安全底层机制主动防御技术，保障系统级的内生安全，提供执行控制、文件保护、内核模块保护</w:t>
            </w:r>
            <w:r>
              <w:rPr>
                <w:rFonts w:ascii="宋体" w:hAnsi="宋体" w:eastAsia="宋体" w:cs="宋体"/>
                <w:sz w:val="24"/>
                <w:szCs w:val="24"/>
              </w:rPr>
              <w:t xml:space="preserve">。</w:t>
            </w:r>
            <w:r>
              <w:rPr>
                <w:rFonts w:ascii="宋体" w:hAnsi="宋体" w:eastAsia="宋体" w:cs="宋体"/>
                <w:sz w:val="24"/>
                <w:szCs w:val="24"/>
              </w:rPr>
              <w:br/>
            </w:r>
            <w:r>
              <w:rPr>
                <w:rFonts w:ascii="宋体" w:hAnsi="宋体" w:eastAsia="宋体" w:cs="宋体"/>
                <w:sz w:val="24"/>
                <w:szCs w:val="24"/>
              </w:rPr>
              <w:t xml:space="preserve">8.</w:t>
            </w:r>
            <w:r>
              <w:rPr>
                <w:rFonts w:hint="eastAsia" w:ascii="宋体" w:hAnsi="宋体" w:eastAsia="宋体" w:cs="宋体"/>
                <w:sz w:val="24"/>
                <w:szCs w:val="24"/>
              </w:rPr>
              <w:t xml:space="preserve">网络协议：</w:t>
            </w:r>
            <w:r>
              <w:rPr>
                <w:rFonts w:ascii="宋体" w:hAnsi="宋体" w:eastAsia="宋体" w:cs="宋体"/>
                <w:sz w:val="24"/>
                <w:szCs w:val="24"/>
              </w:rPr>
              <w:t xml:space="preserve">支持HTTP、FTP、VNC、TCP、UDP、IP、FTP、DNS、NFS、NTP、DHCP、SSH等多种网络协议。</w:t>
            </w:r>
            <w:r>
              <w:rPr>
                <w:rFonts w:ascii="宋体" w:hAnsi="宋体" w:eastAsia="宋体" w:cs="宋体"/>
                <w:sz w:val="24"/>
                <w:szCs w:val="24"/>
              </w:rPr>
              <w:br/>
            </w:r>
            <w:r>
              <w:rPr>
                <w:rFonts w:ascii="宋体" w:hAnsi="宋体" w:eastAsia="宋体" w:cs="宋体"/>
                <w:sz w:val="24"/>
                <w:szCs w:val="24"/>
              </w:rPr>
              <w:t xml:space="preserve">9.</w:t>
            </w:r>
            <w:r>
              <w:rPr>
                <w:rFonts w:hint="eastAsia" w:ascii="宋体" w:hAnsi="宋体" w:eastAsia="宋体" w:cs="宋体"/>
                <w:sz w:val="24"/>
                <w:szCs w:val="24"/>
              </w:rPr>
              <w:t xml:space="preserve">常用工具和集成开发环境：系统</w:t>
            </w:r>
            <w:r>
              <w:rPr>
                <w:rFonts w:ascii="宋体" w:hAnsi="宋体" w:eastAsia="宋体" w:cs="宋体"/>
                <w:sz w:val="24"/>
                <w:szCs w:val="24"/>
              </w:rPr>
              <w:t xml:space="preserve">提供服务配置和管理、进程管理、网络管理、资源管理和监控、文件共享、系统更新、备份还原等服务器常用工具和集成开发环境。</w:t>
            </w:r>
            <w:r>
              <w:rPr>
                <w:rFonts w:ascii="宋体" w:hAnsi="宋体" w:eastAsia="宋体" w:cs="宋体"/>
                <w:sz w:val="24"/>
                <w:szCs w:val="24"/>
              </w:rPr>
              <w:br/>
            </w:r>
            <w:r>
              <w:rPr>
                <w:rFonts w:ascii="宋体" w:hAnsi="宋体" w:eastAsia="宋体" w:cs="宋体"/>
                <w:sz w:val="24"/>
                <w:szCs w:val="24"/>
              </w:rPr>
              <w:t xml:space="preserve">10.</w:t>
            </w:r>
            <w:r>
              <w:rPr>
                <w:rFonts w:hint="eastAsia" w:ascii="宋体" w:hAnsi="宋体" w:eastAsia="宋体" w:cs="宋体"/>
                <w:sz w:val="24"/>
                <w:szCs w:val="24"/>
              </w:rPr>
              <w:t xml:space="preserve">日志收集：</w:t>
            </w:r>
            <w:r>
              <w:rPr>
                <w:rFonts w:ascii="宋体" w:hAnsi="宋体" w:eastAsia="宋体" w:cs="宋体"/>
                <w:sz w:val="24"/>
                <w:szCs w:val="24"/>
              </w:rPr>
              <w:t xml:space="preserve">系统提供图形化人机操作UI界面，提供刷新功能。提供图形化日志收集工具，可以收集系统日志、内核日志、启动日志、应用日志等，提供按时间周期和日志级别的过滤功能，并可导出日志文件。</w:t>
            </w:r>
            <w:r>
              <w:rPr>
                <w:rFonts w:ascii="宋体" w:hAnsi="宋体" w:eastAsia="宋体" w:cs="宋体"/>
                <w:sz w:val="24"/>
                <w:szCs w:val="24"/>
              </w:rPr>
              <w:br/>
            </w:r>
            <w:r>
              <w:rPr>
                <w:rFonts w:ascii="宋体" w:hAnsi="宋体" w:eastAsia="宋体" w:cs="宋体"/>
                <w:sz w:val="24"/>
                <w:szCs w:val="24"/>
              </w:rPr>
              <w:t xml:space="preserve">11.</w:t>
            </w:r>
            <w:r>
              <w:rPr>
                <w:rFonts w:hint="eastAsia" w:ascii="宋体" w:hAnsi="宋体" w:eastAsia="宋体" w:cs="宋体"/>
                <w:sz w:val="24"/>
                <w:szCs w:val="24"/>
              </w:rPr>
              <w:t xml:space="preserve">主流硬件兼容性：</w:t>
            </w:r>
            <w:r>
              <w:rPr>
                <w:rFonts w:ascii="宋体" w:hAnsi="宋体" w:eastAsia="宋体" w:cs="宋体"/>
                <w:sz w:val="24"/>
                <w:szCs w:val="24"/>
              </w:rPr>
              <w:t xml:space="preserve">操作系统兼容国内外主流的服务器、存储、板卡等硬件产品，包括华为、长城、百信、曙光、浪潮或等同。</w:t>
            </w:r>
            <w:r>
              <w:rPr>
                <w:rFonts w:ascii="宋体" w:hAnsi="宋体" w:eastAsia="宋体" w:cs="宋体"/>
                <w:sz w:val="24"/>
                <w:szCs w:val="24"/>
              </w:rPr>
              <w:br/>
            </w:r>
            <w:r>
              <w:rPr>
                <w:rFonts w:ascii="宋体" w:hAnsi="宋体" w:eastAsia="宋体" w:cs="宋体"/>
                <w:sz w:val="24"/>
                <w:szCs w:val="24"/>
              </w:rPr>
              <w:t xml:space="preserve">12.</w:t>
            </w:r>
            <w:r>
              <w:rPr>
                <w:rFonts w:hint="eastAsia" w:ascii="宋体" w:hAnsi="宋体" w:eastAsia="宋体" w:cs="宋体"/>
                <w:sz w:val="24"/>
                <w:szCs w:val="24"/>
              </w:rPr>
              <w:t xml:space="preserve">主流软件兼容性：</w:t>
            </w:r>
            <w:r>
              <w:rPr>
                <w:rFonts w:ascii="宋体" w:hAnsi="宋体" w:eastAsia="宋体" w:cs="宋体"/>
                <w:sz w:val="24"/>
                <w:szCs w:val="24"/>
              </w:rPr>
              <w:t xml:space="preserve">系统具有良好的应用支持能力，具有良好的数据库软件兼容性，兼容国产和开源主流的数据库软件产品，包括：人大金仓、达梦、神通、南大通用、PostgreSQL、Mysql等。</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6</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6</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庭审应用系统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1、具备功能：为法官、书记员、当事人提供应用服务，包含排期管理、音视频连接与控制、庭审录音录像、笔录制作、笔录同步、笔录校对、语音播报、共享屏幕、刻录打印、本地示证等功能 ，支持无书记员庭审模式，支持远程庭审、互联网庭审</w:t>
            </w:r>
            <w:r>
              <w:rPr>
                <w:rFonts w:cs="宋体" w:asciiTheme="minorEastAsia" w:hAnsiTheme="minorEastAsia"/>
                <w:sz w:val="24"/>
                <w:szCs w:val="24"/>
              </w:rPr>
              <w:br/>
            </w:r>
            <w:r>
              <w:rPr>
                <w:rFonts w:cs="宋体" w:asciiTheme="minorEastAsia" w:hAnsiTheme="minorEastAsia"/>
                <w:i/>
                <w:iCs/>
                <w:sz w:val="24"/>
                <w:szCs w:val="24"/>
                <w:u w:val="single"/>
              </w:rPr>
              <w:t xml:space="preserve">2、支持对庭审中法官、书记员、当事人等各项应用功能提供信创环境的适配服务（投标</w:t>
            </w:r>
            <w:r>
              <w:rPr>
                <w:rFonts w:hint="eastAsia" w:cs="宋体" w:asciiTheme="minorEastAsia" w:hAnsiTheme="minorEastAsia"/>
                <w:i/>
                <w:iCs/>
                <w:sz w:val="24"/>
                <w:szCs w:val="24"/>
                <w:u w:val="single"/>
              </w:rPr>
              <w:t xml:space="preserve">文件中</w:t>
            </w:r>
            <w:r>
              <w:rPr>
                <w:rFonts w:cs="宋体" w:asciiTheme="minorEastAsia" w:hAnsiTheme="minorEastAsia"/>
                <w:i/>
                <w:iCs/>
                <w:sz w:val="24"/>
                <w:szCs w:val="24"/>
                <w:u w:val="single"/>
              </w:rPr>
              <w:t xml:space="preserve">提供承诺函</w:t>
            </w:r>
            <w:r>
              <w:rPr>
                <w:rFonts w:hint="eastAsia" w:cs="宋体" w:asciiTheme="minorEastAsia" w:hAnsiTheme="minorEastAsia"/>
                <w:i/>
                <w:iCs/>
                <w:sz w:val="24"/>
                <w:szCs w:val="24"/>
                <w:u w:val="single"/>
                <w:lang w:val="en-US" w:eastAsia="zh-CN"/>
              </w:rPr>
              <w:t xml:space="preserve">并加盖投标人公章</w:t>
            </w:r>
            <w:r>
              <w:rPr>
                <w:rFonts w:hint="eastAsia" w:cs="宋体" w:asciiTheme="minorEastAsia" w:hAnsiTheme="minorEastAsia"/>
                <w:i/>
                <w:iCs/>
                <w:sz w:val="24"/>
                <w:szCs w:val="24"/>
                <w:u w:val="single"/>
              </w:rPr>
              <w:t xml:space="preserve">，格式自拟</w:t>
            </w:r>
            <w:r>
              <w:rPr>
                <w:rFonts w:cs="宋体" w:asciiTheme="minorEastAsia" w:hAnsiTheme="minorEastAsia"/>
                <w:i/>
                <w:iCs/>
                <w:sz w:val="24"/>
                <w:szCs w:val="24"/>
                <w:u w:val="single"/>
              </w:rPr>
              <w:t xml:space="preserve">）</w:t>
            </w:r>
            <w:r>
              <w:rPr>
                <w:rFonts w:cs="宋体" w:asciiTheme="minorEastAsia" w:hAnsiTheme="minorEastAsia"/>
                <w:sz w:val="24"/>
                <w:szCs w:val="24"/>
              </w:rPr>
              <w:br/>
            </w:r>
            <w:r>
              <w:rPr>
                <w:rFonts w:cs="宋体" w:asciiTheme="minorEastAsia" w:hAnsiTheme="minorEastAsia"/>
                <w:sz w:val="24"/>
                <w:szCs w:val="24"/>
              </w:rPr>
              <w:t xml:space="preserve">3、支持自动生成笔录模板，支持添加各类案件审理所需的笔录模板。</w:t>
            </w:r>
            <w:r>
              <w:rPr>
                <w:rFonts w:cs="宋体" w:asciiTheme="minorEastAsia" w:hAnsiTheme="minorEastAsia"/>
                <w:sz w:val="24"/>
                <w:szCs w:val="24"/>
              </w:rPr>
              <w:br/>
            </w:r>
            <w:r>
              <w:rPr>
                <w:rFonts w:cs="宋体" w:asciiTheme="minorEastAsia" w:hAnsiTheme="minorEastAsia"/>
                <w:b/>
                <w:bCs/>
                <w:sz w:val="24"/>
                <w:szCs w:val="24"/>
              </w:rPr>
              <w:t xml:space="preserve">▲4、支持灵活选择笔录模板，自动生成笔录纲要，支持书记员直接使用或进一步完善笔录，能够正确处理异常的笔录内容，能够完成笔录预设；（</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w:t>
            </w:r>
            <w:r>
              <w:rPr>
                <w:rFonts w:cs="宋体" w:asciiTheme="minorEastAsia" w:hAnsiTheme="minorEastAsia"/>
                <w:sz w:val="24"/>
                <w:szCs w:val="24"/>
              </w:rPr>
              <w:br/>
            </w:r>
            <w:r>
              <w:rPr>
                <w:rFonts w:cs="宋体" w:asciiTheme="minorEastAsia" w:hAnsiTheme="minorEastAsia"/>
                <w:b/>
                <w:bCs/>
                <w:sz w:val="24"/>
                <w:szCs w:val="24"/>
              </w:rPr>
              <w:t xml:space="preserve">▲5、支持庭审系统软硬件的自动检测； （</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w:t>
            </w:r>
            <w:r>
              <w:rPr>
                <w:rFonts w:cs="宋体" w:asciiTheme="minorEastAsia" w:hAnsiTheme="minorEastAsia"/>
                <w:sz w:val="24"/>
                <w:szCs w:val="24"/>
              </w:rPr>
              <w:br/>
            </w:r>
            <w:r>
              <w:rPr>
                <w:rFonts w:cs="宋体" w:asciiTheme="minorEastAsia" w:hAnsiTheme="minorEastAsia"/>
                <w:sz w:val="24"/>
                <w:szCs w:val="24"/>
              </w:rPr>
              <w:t xml:space="preserve">6、支持自动播报法庭纪律，播报男女声可选且内容可定制；</w:t>
            </w:r>
            <w:r>
              <w:rPr>
                <w:rFonts w:cs="宋体" w:asciiTheme="minorEastAsia" w:hAnsiTheme="minorEastAsia"/>
                <w:sz w:val="24"/>
                <w:szCs w:val="24"/>
              </w:rPr>
              <w:br/>
            </w:r>
            <w:r>
              <w:rPr>
                <w:rFonts w:cs="宋体" w:asciiTheme="minorEastAsia" w:hAnsiTheme="minorEastAsia"/>
                <w:b/>
                <w:bCs/>
                <w:sz w:val="24"/>
                <w:szCs w:val="24"/>
              </w:rPr>
              <w:t xml:space="preserve">▲7、支持通过语音识别辅助生产笔录内容；（</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w:t>
            </w:r>
            <w:r>
              <w:rPr>
                <w:rFonts w:cs="宋体" w:asciiTheme="minorEastAsia" w:hAnsiTheme="minorEastAsia"/>
                <w:b/>
                <w:bCs/>
                <w:sz w:val="24"/>
                <w:szCs w:val="24"/>
              </w:rPr>
              <w:br/>
            </w:r>
            <w:r>
              <w:rPr>
                <w:rFonts w:cs="宋体" w:asciiTheme="minorEastAsia" w:hAnsiTheme="minorEastAsia"/>
                <w:b/>
                <w:bCs/>
                <w:sz w:val="24"/>
                <w:szCs w:val="24"/>
              </w:rPr>
              <w:t xml:space="preserve">▲8、支持实时对庭审音视频进行光盘刻录，支持庭审结束后对庭审音视频进行光盘刻录；（</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w:t>
            </w:r>
            <w:r>
              <w:rPr>
                <w:rFonts w:cs="宋体" w:asciiTheme="minorEastAsia" w:hAnsiTheme="minorEastAsia"/>
                <w:sz w:val="24"/>
                <w:szCs w:val="24"/>
              </w:rPr>
              <w:t xml:space="preserve">9、支持法官、书记员、当事人应用系统间的数据交互。 </w:t>
            </w:r>
            <w:r>
              <w:rPr>
                <w:rFonts w:cs="宋体" w:asciiTheme="minorEastAsia" w:hAnsiTheme="minorEastAsia"/>
                <w:sz w:val="24"/>
                <w:szCs w:val="24"/>
              </w:rPr>
              <w:br/>
            </w:r>
            <w:r>
              <w:rPr>
                <w:rFonts w:cs="宋体" w:asciiTheme="minorEastAsia" w:hAnsiTheme="minorEastAsia"/>
                <w:sz w:val="24"/>
                <w:szCs w:val="24"/>
              </w:rPr>
              <w:t xml:space="preserve">10、智慧庭审系统在庭后阶段支持笔录校对功能，支持笔录正文、庭审录像和语音识别记录三者联动，辅助进行笔录内容校对确认。</w:t>
            </w:r>
            <w:r>
              <w:rPr>
                <w:rFonts w:cs="宋体" w:asciiTheme="minorEastAsia" w:hAnsiTheme="minorEastAsia"/>
                <w:sz w:val="24"/>
                <w:szCs w:val="24"/>
              </w:rPr>
              <w:br/>
            </w:r>
            <w:r>
              <w:rPr>
                <w:rFonts w:cs="宋体" w:asciiTheme="minorEastAsia" w:hAnsiTheme="minorEastAsia"/>
                <w:b/>
                <w:bCs/>
                <w:sz w:val="24"/>
                <w:szCs w:val="24"/>
              </w:rPr>
              <w:t xml:space="preserve">▲11、智慧庭审系统需具备与安全平台的兼容性测试，且能够防止 CSRF/XSS 攻击漏洞，防止木马后门攻击检查、防止 SQL 注入攻击漏洞。（</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w:t>
            </w:r>
            <w:r>
              <w:rPr>
                <w:rFonts w:cs="宋体" w:asciiTheme="minorEastAsia" w:hAnsiTheme="minorEastAsia"/>
                <w:b/>
                <w:bCs/>
                <w:sz w:val="24"/>
                <w:szCs w:val="24"/>
              </w:rPr>
              <w:br/>
            </w:r>
            <w:r>
              <w:rPr>
                <w:rFonts w:cs="宋体" w:asciiTheme="minorEastAsia" w:hAnsiTheme="minorEastAsia"/>
                <w:sz w:val="24"/>
                <w:szCs w:val="24"/>
              </w:rPr>
              <w:t xml:space="preserve">12、 支持电子签名系统：针对笔录等文书文件提供电子签名服务， 支持本地签名板签名和互联网端签名，支持每页签、尾页签、指定位置签等多种签名模式，支持实时查看签名图片，并支持拖动位置、删除 、重签等操作，支持签名文件导出。</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30</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gridSpan w:val="3"/>
            <w:shd w:val="clear" w:color="000000" w:fill="ffffff"/>
            <w:tcW w:w="5222"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外网端</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两级法院互联网庭审平台</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1、两级法院互联网庭审平台满足管理系统内多个互联网音视频交互网关，满足两级法院高清法庭实现互联网开庭能力。</w:t>
            </w:r>
            <w:r>
              <w:rPr>
                <w:rFonts w:cs="宋体" w:asciiTheme="minorEastAsia" w:hAnsiTheme="minorEastAsia"/>
                <w:sz w:val="24"/>
                <w:szCs w:val="24"/>
              </w:rPr>
              <w:br/>
            </w:r>
            <w:r>
              <w:rPr>
                <w:rFonts w:cs="宋体" w:asciiTheme="minorEastAsia" w:hAnsiTheme="minorEastAsia"/>
                <w:sz w:val="24"/>
                <w:szCs w:val="24"/>
              </w:rPr>
              <w:t xml:space="preserve">2、支持用户登录认证、在线状态管理，排期等数据的获取、回传交互，以及相关数据管理。 </w:t>
            </w:r>
            <w:r>
              <w:rPr>
                <w:rFonts w:cs="宋体" w:asciiTheme="minorEastAsia" w:hAnsiTheme="minorEastAsia"/>
                <w:sz w:val="24"/>
                <w:szCs w:val="24"/>
              </w:rPr>
              <w:br/>
            </w:r>
            <w:r>
              <w:rPr>
                <w:rFonts w:cs="宋体" w:asciiTheme="minorEastAsia" w:hAnsiTheme="minorEastAsia"/>
                <w:sz w:val="24"/>
                <w:szCs w:val="24"/>
              </w:rPr>
              <w:t xml:space="preserve">3、系统能够和内网庭审平台进行无缝对接，获取排期等流程性信息；能够将数字法庭处获取的排期信息传递给当事人的功能；能够根据排期新建或管理用户的功能；能够对用户的在线，离线等状态的管理功能；</w:t>
            </w:r>
            <w:r>
              <w:rPr>
                <w:rFonts w:cs="宋体" w:asciiTheme="minorEastAsia" w:hAnsiTheme="minorEastAsia"/>
                <w:sz w:val="24"/>
                <w:szCs w:val="24"/>
              </w:rPr>
              <w:br/>
            </w:r>
            <w:r>
              <w:rPr>
                <w:rFonts w:cs="宋体" w:asciiTheme="minorEastAsia" w:hAnsiTheme="minorEastAsia"/>
                <w:sz w:val="24"/>
                <w:szCs w:val="24"/>
              </w:rPr>
              <w:t xml:space="preserve">4、当事人登录时能够向其发送动态验证码的生成及登录过程的验证；具备消息控制和传递功能；</w:t>
            </w:r>
            <w:r>
              <w:rPr>
                <w:rFonts w:cs="宋体" w:asciiTheme="minorEastAsia" w:hAnsiTheme="minorEastAsia"/>
                <w:sz w:val="24"/>
                <w:szCs w:val="24"/>
              </w:rPr>
              <w:br/>
            </w:r>
            <w:r>
              <w:rPr>
                <w:rFonts w:cs="宋体" w:asciiTheme="minorEastAsia" w:hAnsiTheme="minorEastAsia"/>
                <w:sz w:val="24"/>
                <w:szCs w:val="24"/>
              </w:rPr>
              <w:t xml:space="preserve">5、具备处理网关、各当事人之间的消息控制和传递能力；具备消息代理功能，负责与安全网关沟通。</w:t>
            </w:r>
            <w:r>
              <w:rPr>
                <w:rFonts w:cs="宋体" w:asciiTheme="minorEastAsia" w:hAnsiTheme="minorEastAsia"/>
                <w:sz w:val="24"/>
                <w:szCs w:val="24"/>
              </w:rPr>
              <w:br/>
            </w:r>
            <w:r>
              <w:rPr>
                <w:rFonts w:cs="宋体" w:asciiTheme="minorEastAsia" w:hAnsiTheme="minorEastAsia"/>
                <w:i/>
                <w:iCs/>
                <w:sz w:val="24"/>
                <w:szCs w:val="24"/>
                <w:u w:val="single"/>
              </w:rPr>
              <w:t xml:space="preserve">6、含所需的数据交互、音视频交互等配套设备，</w:t>
            </w:r>
            <w:r>
              <w:rPr>
                <w:rFonts w:hint="eastAsia" w:cs="宋体" w:asciiTheme="minorEastAsia" w:hAnsiTheme="minorEastAsia"/>
                <w:i/>
                <w:iCs/>
                <w:sz w:val="24"/>
                <w:szCs w:val="24"/>
                <w:u w:val="single"/>
              </w:rPr>
              <w:t xml:space="preserve">采购人</w:t>
            </w:r>
            <w:r>
              <w:rPr>
                <w:rFonts w:cs="宋体" w:asciiTheme="minorEastAsia" w:hAnsiTheme="minorEastAsia"/>
                <w:i/>
                <w:iCs/>
                <w:sz w:val="24"/>
                <w:szCs w:val="24"/>
                <w:u w:val="single"/>
              </w:rPr>
              <w:t xml:space="preserve">不再提供，且需满足最高、省高、本院等网络安全建设标准；（投标</w:t>
            </w:r>
            <w:r>
              <w:rPr>
                <w:rFonts w:hint="eastAsia" w:cs="宋体" w:asciiTheme="minorEastAsia" w:hAnsiTheme="minorEastAsia"/>
                <w:i/>
                <w:iCs/>
                <w:sz w:val="24"/>
                <w:szCs w:val="24"/>
                <w:u w:val="single"/>
              </w:rPr>
              <w:t xml:space="preserve">文件中</w:t>
            </w:r>
            <w:r>
              <w:rPr>
                <w:rFonts w:cs="宋体" w:asciiTheme="minorEastAsia" w:hAnsiTheme="minorEastAsia"/>
                <w:i/>
                <w:iCs/>
                <w:sz w:val="24"/>
                <w:szCs w:val="24"/>
                <w:u w:val="single"/>
              </w:rPr>
              <w:t xml:space="preserve">提供承诺函</w:t>
            </w:r>
            <w:r>
              <w:rPr>
                <w:rFonts w:hint="eastAsia" w:cs="宋体" w:asciiTheme="minorEastAsia" w:hAnsiTheme="minorEastAsia"/>
                <w:i/>
                <w:iCs/>
                <w:sz w:val="24"/>
                <w:szCs w:val="24"/>
                <w:u w:val="single"/>
                <w:lang w:val="en-US" w:eastAsia="zh-CN"/>
              </w:rPr>
              <w:t xml:space="preserve">并加盖投标人公章</w:t>
            </w:r>
            <w:r>
              <w:rPr>
                <w:rFonts w:hint="eastAsia" w:cs="宋体" w:asciiTheme="minorEastAsia" w:hAnsiTheme="minorEastAsia"/>
                <w:i/>
                <w:iCs/>
                <w:sz w:val="24"/>
                <w:szCs w:val="24"/>
                <w:u w:val="single"/>
              </w:rPr>
              <w:t xml:space="preserve">，格式自拟</w:t>
            </w:r>
            <w:r>
              <w:rPr>
                <w:rFonts w:cs="宋体" w:asciiTheme="minorEastAsia" w:hAnsiTheme="minorEastAsia"/>
                <w:i/>
                <w:iCs/>
                <w:sz w:val="24"/>
                <w:szCs w:val="24"/>
                <w:u w:val="single"/>
              </w:rPr>
              <w:t xml:space="preserve">）</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台</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两级法院互联网庭审平台应用服务器</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CPU规格：采用鲲鹏、飞腾、海光主流处理器，物理核数</w:t>
            </w:r>
            <w:r>
              <w:rPr>
                <w:rFonts w:cs="宋体" w:asciiTheme="minorEastAsia" w:hAnsiTheme="minorEastAsia"/>
                <w:sz w:val="24"/>
                <w:szCs w:val="24"/>
              </w:rPr>
              <w:t xml:space="preserve">不低于32核</w:t>
            </w:r>
            <w:r>
              <w:rPr>
                <w:rFonts w:hint="eastAsia" w:cs="宋体" w:asciiTheme="minorEastAsia" w:hAnsiTheme="minorEastAsia"/>
                <w:sz w:val="24"/>
                <w:szCs w:val="24"/>
              </w:rPr>
              <w:t xml:space="preserve">，</w:t>
            </w:r>
            <w:r>
              <w:rPr>
                <w:rFonts w:cs="宋体" w:asciiTheme="minorEastAsia" w:hAnsiTheme="minorEastAsia"/>
                <w:sz w:val="24"/>
                <w:szCs w:val="24"/>
              </w:rPr>
              <w:t xml:space="preserve">处理器标准性能，支持通用计算及虚拟化功能，集成整型计算单元、浮点计算单元、内存控制器、I/O模块等基础算力单元</w:t>
            </w:r>
            <w:r>
              <w:rPr>
                <w:rFonts w:hint="eastAsia" w:cs="宋体" w:asciiTheme="minorEastAsia" w:hAnsiTheme="minorEastAsia"/>
                <w:sz w:val="24"/>
                <w:szCs w:val="24"/>
              </w:rPr>
              <w:t xml:space="preserve">；</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内存规格：</w:t>
            </w:r>
            <w:r>
              <w:rPr>
                <w:rFonts w:cs="宋体" w:asciiTheme="minorEastAsia" w:hAnsiTheme="minorEastAsia"/>
                <w:sz w:val="24"/>
                <w:szCs w:val="24"/>
              </w:rPr>
              <w:t xml:space="preserve">不低于</w:t>
            </w:r>
            <w:r>
              <w:rPr>
                <w:rFonts w:hint="eastAsia" w:cs="宋体" w:asciiTheme="minorEastAsia" w:hAnsiTheme="minorEastAsia"/>
                <w:sz w:val="24"/>
                <w:szCs w:val="24"/>
              </w:rPr>
              <w:t xml:space="preserve">128</w:t>
            </w:r>
            <w:r>
              <w:rPr>
                <w:rFonts w:cs="宋体" w:asciiTheme="minorEastAsia" w:hAnsiTheme="minorEastAsia"/>
                <w:sz w:val="24"/>
                <w:szCs w:val="24"/>
              </w:rPr>
              <w:t xml:space="preserve">GB，支持内存增强型纠错功能，保障数据传输准确性与运行稳定性。</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存储规格：</w:t>
            </w:r>
            <w:r>
              <w:rPr>
                <w:rFonts w:cs="宋体" w:asciiTheme="minorEastAsia" w:hAnsiTheme="minorEastAsia"/>
                <w:sz w:val="24"/>
                <w:szCs w:val="24"/>
              </w:rPr>
              <w:t xml:space="preserve">配置不少于2块960GB企业级固态硬盘，支持高速读写，适配系统部署、高频业务读写、数据缓存等核心场景。配置不少于4块2TB企业级机械硬盘，满足大容量数据存储、数据备份、归档留存等业务需求。</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网络规格：配备网口数量不少于4个，且网口速率不少于1GE。</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电源规格：</w:t>
            </w:r>
            <w:r>
              <w:rPr>
                <w:rFonts w:cs="宋体" w:asciiTheme="minorEastAsia" w:hAnsiTheme="minorEastAsia"/>
                <w:sz w:val="24"/>
                <w:szCs w:val="24"/>
              </w:rPr>
              <w:t xml:space="preserve">配置不少于2个冗余电源模块，支持热插拔、故障自动切换功能，满足服务器不间断供电需求。</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台</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3</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操作系统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ascii="宋体" w:hAnsi="宋体" w:eastAsia="宋体" w:cs="宋体"/>
                <w:sz w:val="24"/>
                <w:szCs w:val="24"/>
              </w:rPr>
              <w:t xml:space="preserve">1.操作系统</w:t>
            </w:r>
            <w:r>
              <w:rPr>
                <w:rFonts w:hint="eastAsia" w:ascii="宋体" w:hAnsi="宋体" w:eastAsia="宋体" w:cs="宋体"/>
                <w:sz w:val="24"/>
                <w:szCs w:val="24"/>
              </w:rPr>
              <w:t xml:space="preserve">：</w:t>
            </w:r>
            <w:r>
              <w:rPr>
                <w:rFonts w:ascii="宋体" w:hAnsi="宋体" w:eastAsia="宋体" w:cs="宋体"/>
                <w:sz w:val="24"/>
                <w:szCs w:val="24"/>
              </w:rPr>
              <w:t xml:space="preserve">支持飞腾、鲲鹏、海光主流</w:t>
            </w:r>
            <w:r>
              <w:rPr>
                <w:rFonts w:hint="eastAsia" w:ascii="宋体" w:hAnsi="宋体" w:eastAsia="宋体" w:cs="宋体"/>
                <w:sz w:val="24"/>
                <w:szCs w:val="24"/>
              </w:rPr>
              <w:t xml:space="preserve">处理器</w:t>
            </w:r>
            <w:r>
              <w:rPr>
                <w:rFonts w:ascii="宋体" w:hAnsi="宋体" w:eastAsia="宋体" w:cs="宋体"/>
                <w:sz w:val="24"/>
                <w:szCs w:val="24"/>
              </w:rPr>
              <w:t xml:space="preserve">。</w:t>
            </w:r>
            <w:r>
              <w:rPr>
                <w:rFonts w:ascii="宋体" w:hAnsi="宋体" w:eastAsia="宋体" w:cs="宋体"/>
                <w:sz w:val="24"/>
                <w:szCs w:val="24"/>
              </w:rPr>
              <w:br/>
            </w:r>
            <w:r>
              <w:rPr>
                <w:rFonts w:ascii="宋体" w:hAnsi="宋体" w:eastAsia="宋体" w:cs="宋体"/>
                <w:sz w:val="24"/>
                <w:szCs w:val="24"/>
              </w:rPr>
              <w:t xml:space="preserve">2.操作系统内核</w:t>
            </w:r>
            <w:r>
              <w:rPr>
                <w:rFonts w:hint="eastAsia" w:ascii="宋体" w:hAnsi="宋体" w:eastAsia="宋体" w:cs="宋体"/>
                <w:sz w:val="24"/>
                <w:szCs w:val="24"/>
              </w:rPr>
              <w:t xml:space="preserve">：不低于</w:t>
            </w:r>
            <w:r>
              <w:rPr>
                <w:rFonts w:ascii="宋体" w:hAnsi="宋体" w:eastAsia="宋体" w:cs="宋体"/>
                <w:sz w:val="24"/>
                <w:szCs w:val="24"/>
              </w:rPr>
              <w:t xml:space="preserve">kernel 4.19稳定版本，支持Ext3、Ext4、GFS2、XFS、NTFS等文件系统，</w:t>
            </w:r>
            <w:r>
              <w:rPr>
                <w:rFonts w:hint="eastAsia" w:ascii="宋体" w:hAnsi="宋体" w:eastAsia="宋体" w:cs="宋体"/>
                <w:sz w:val="24"/>
                <w:szCs w:val="24"/>
                <w:lang w:eastAsia="zh-CN"/>
              </w:rPr>
              <w:t xml:space="preserve">提供适配于操作系统的rpm和deb软件包格式转换工具和模块</w:t>
            </w:r>
            <w:r>
              <w:rPr>
                <w:rFonts w:ascii="宋体" w:hAnsi="宋体" w:eastAsia="宋体" w:cs="宋体"/>
                <w:sz w:val="24"/>
                <w:szCs w:val="24"/>
              </w:rPr>
              <w:t xml:space="preserve">。</w:t>
            </w:r>
            <w:r>
              <w:rPr>
                <w:rFonts w:ascii="宋体" w:hAnsi="宋体" w:eastAsia="宋体" w:cs="宋体"/>
                <w:sz w:val="24"/>
                <w:szCs w:val="24"/>
              </w:rPr>
              <w:br/>
            </w:r>
            <w:r>
              <w:rPr>
                <w:rFonts w:ascii="宋体" w:hAnsi="宋体" w:eastAsia="宋体" w:cs="宋体"/>
                <w:sz w:val="24"/>
                <w:szCs w:val="24"/>
              </w:rPr>
              <w:t xml:space="preserve">3.操作系统软件产品质量管理与质量标准</w:t>
            </w:r>
            <w:r>
              <w:rPr>
                <w:rFonts w:hint="eastAsia" w:ascii="宋体" w:hAnsi="宋体" w:eastAsia="宋体" w:cs="宋体"/>
                <w:sz w:val="24"/>
                <w:szCs w:val="24"/>
              </w:rPr>
              <w:t xml:space="preserve">：</w:t>
            </w:r>
            <w:r>
              <w:rPr>
                <w:rFonts w:ascii="宋体" w:hAnsi="宋体" w:eastAsia="宋体" w:cs="宋体"/>
                <w:sz w:val="24"/>
                <w:szCs w:val="24"/>
              </w:rPr>
              <w:t xml:space="preserve">属于优化级，系统可提供安全增强组件，支持增加三权分立、白名单控制等安全功能，</w:t>
            </w:r>
            <w:r>
              <w:rPr>
                <w:rFonts w:hint="eastAsia" w:ascii="宋体" w:hAnsi="宋体" w:eastAsia="宋体" w:cs="宋体"/>
                <w:sz w:val="24"/>
                <w:szCs w:val="24"/>
                <w:lang w:eastAsia="zh-CN"/>
              </w:rPr>
              <w:t xml:space="preserve">并且可增强至国家的安全保护级别标准，如国家网络安全等级保护三级标准。</w:t>
            </w:r>
            <w:r>
              <w:rPr>
                <w:rFonts w:ascii="宋体" w:hAnsi="宋体" w:eastAsia="宋体" w:cs="宋体"/>
                <w:sz w:val="24"/>
                <w:szCs w:val="24"/>
              </w:rPr>
              <w:br/>
            </w:r>
            <w:r>
              <w:rPr>
                <w:rFonts w:ascii="宋体" w:hAnsi="宋体" w:eastAsia="宋体" w:cs="宋体"/>
                <w:sz w:val="24"/>
                <w:szCs w:val="24"/>
              </w:rPr>
              <w:t xml:space="preserve">4.操作系统</w:t>
            </w:r>
            <w:r>
              <w:rPr>
                <w:rFonts w:hint="eastAsia" w:ascii="宋体" w:hAnsi="宋体" w:eastAsia="宋体" w:cs="宋体"/>
                <w:sz w:val="24"/>
                <w:szCs w:val="24"/>
              </w:rPr>
              <w:t xml:space="preserve">：系统</w:t>
            </w:r>
            <w:r>
              <w:rPr>
                <w:rFonts w:ascii="宋体" w:hAnsi="宋体" w:eastAsia="宋体" w:cs="宋体"/>
                <w:sz w:val="24"/>
                <w:szCs w:val="24"/>
              </w:rPr>
              <w:t xml:space="preserve">支持LSM、可信计算TCM/TPCM、TPM2.0，内置国密算法，支持基于国密算法的加解密应用，支持可信计算。</w:t>
            </w:r>
            <w:r>
              <w:rPr>
                <w:rFonts w:ascii="宋体" w:hAnsi="宋体" w:eastAsia="宋体" w:cs="宋体"/>
                <w:sz w:val="24"/>
                <w:szCs w:val="24"/>
              </w:rPr>
              <w:br/>
            </w:r>
            <w:r>
              <w:rPr>
                <w:rFonts w:ascii="宋体" w:hAnsi="宋体" w:eastAsia="宋体" w:cs="宋体"/>
                <w:sz w:val="24"/>
                <w:szCs w:val="24"/>
              </w:rPr>
              <w:t xml:space="preserve">5.</w:t>
            </w:r>
            <w:r>
              <w:rPr>
                <w:rFonts w:hint="eastAsia" w:ascii="宋体" w:hAnsi="宋体" w:eastAsia="宋体" w:cs="宋体"/>
                <w:sz w:val="24"/>
                <w:szCs w:val="24"/>
              </w:rPr>
              <w:t xml:space="preserve">隔离保护：</w:t>
            </w:r>
            <w:r>
              <w:rPr>
                <w:rFonts w:hint="eastAsia" w:ascii="宋体" w:hAnsi="宋体" w:eastAsia="宋体" w:cs="宋体"/>
                <w:sz w:val="24"/>
                <w:szCs w:val="24"/>
                <w:lang w:eastAsia="zh-CN"/>
              </w:rPr>
              <w:t xml:space="preserve">系统提供私有数据隔离保护技术，通过该技术包括管理员在内的任何其他用户都不能进行非授权访问</w:t>
            </w:r>
            <w:r>
              <w:rPr>
                <w:rFonts w:ascii="宋体" w:hAnsi="宋体" w:eastAsia="宋体" w:cs="宋体"/>
                <w:sz w:val="24"/>
                <w:szCs w:val="24"/>
              </w:rPr>
              <w:br/>
            </w:r>
            <w:r>
              <w:rPr>
                <w:rFonts w:ascii="宋体" w:hAnsi="宋体" w:eastAsia="宋体" w:cs="宋体"/>
                <w:sz w:val="24"/>
                <w:szCs w:val="24"/>
              </w:rPr>
              <w:t xml:space="preserve">6.</w:t>
            </w:r>
            <w:r>
              <w:rPr>
                <w:rFonts w:hint="eastAsia" w:ascii="宋体" w:hAnsi="宋体" w:eastAsia="宋体" w:cs="宋体"/>
                <w:sz w:val="24"/>
                <w:szCs w:val="24"/>
              </w:rPr>
              <w:t xml:space="preserve">访问控制：系统</w:t>
            </w:r>
            <w:r>
              <w:rPr>
                <w:rFonts w:ascii="宋体" w:hAnsi="宋体" w:eastAsia="宋体" w:cs="宋体"/>
                <w:sz w:val="24"/>
                <w:szCs w:val="24"/>
              </w:rPr>
              <w:t xml:space="preserve">可支持强制访问控制，并可提供多种强制访问控制联合加载，包括SELINUX、APPARMOR等。</w:t>
            </w:r>
            <w:r>
              <w:rPr>
                <w:rFonts w:ascii="宋体" w:hAnsi="宋体" w:eastAsia="宋体" w:cs="宋体"/>
                <w:sz w:val="24"/>
                <w:szCs w:val="24"/>
              </w:rPr>
              <w:br/>
            </w:r>
            <w:r>
              <w:rPr>
                <w:rFonts w:ascii="宋体" w:hAnsi="宋体" w:eastAsia="宋体" w:cs="宋体"/>
                <w:sz w:val="24"/>
                <w:szCs w:val="24"/>
              </w:rPr>
              <w:t xml:space="preserve">7.</w:t>
            </w:r>
            <w:r>
              <w:rPr>
                <w:rFonts w:hint="eastAsia" w:ascii="宋体" w:hAnsi="宋体" w:eastAsia="宋体" w:cs="宋体"/>
                <w:sz w:val="24"/>
                <w:szCs w:val="24"/>
              </w:rPr>
              <w:t xml:space="preserve">防御技术：</w:t>
            </w:r>
            <w:r>
              <w:rPr>
                <w:rFonts w:hint="eastAsia" w:ascii="宋体" w:hAnsi="宋体" w:eastAsia="宋体" w:cs="宋体"/>
                <w:sz w:val="24"/>
                <w:szCs w:val="24"/>
                <w:lang w:eastAsia="zh-CN"/>
              </w:rPr>
              <w:t xml:space="preserve">系统提供安全底层机制主动防御技术，保障系统级的内生安全，提供执行控制、文件保护、内核模块保护</w:t>
            </w:r>
            <w:r>
              <w:rPr>
                <w:rFonts w:ascii="宋体" w:hAnsi="宋体" w:eastAsia="宋体" w:cs="宋体"/>
                <w:sz w:val="24"/>
                <w:szCs w:val="24"/>
              </w:rPr>
              <w:t xml:space="preserve">。</w:t>
            </w:r>
            <w:r>
              <w:rPr>
                <w:rFonts w:ascii="宋体" w:hAnsi="宋体" w:eastAsia="宋体" w:cs="宋体"/>
                <w:sz w:val="24"/>
                <w:szCs w:val="24"/>
              </w:rPr>
              <w:br/>
            </w:r>
            <w:r>
              <w:rPr>
                <w:rFonts w:ascii="宋体" w:hAnsi="宋体" w:eastAsia="宋体" w:cs="宋体"/>
                <w:sz w:val="24"/>
                <w:szCs w:val="24"/>
              </w:rPr>
              <w:t xml:space="preserve">8.</w:t>
            </w:r>
            <w:r>
              <w:rPr>
                <w:rFonts w:hint="eastAsia" w:ascii="宋体" w:hAnsi="宋体" w:eastAsia="宋体" w:cs="宋体"/>
                <w:sz w:val="24"/>
                <w:szCs w:val="24"/>
              </w:rPr>
              <w:t xml:space="preserve">网络协议：</w:t>
            </w:r>
            <w:r>
              <w:rPr>
                <w:rFonts w:ascii="宋体" w:hAnsi="宋体" w:eastAsia="宋体" w:cs="宋体"/>
                <w:sz w:val="24"/>
                <w:szCs w:val="24"/>
              </w:rPr>
              <w:t xml:space="preserve">支持HTTP、FTP、VNC、TCP、UDP、IP、FTP、DNS、NFS、NTP、DHCP、SSH等多种网络协议。</w:t>
            </w:r>
            <w:r>
              <w:rPr>
                <w:rFonts w:ascii="宋体" w:hAnsi="宋体" w:eastAsia="宋体" w:cs="宋体"/>
                <w:sz w:val="24"/>
                <w:szCs w:val="24"/>
              </w:rPr>
              <w:br/>
            </w:r>
            <w:r>
              <w:rPr>
                <w:rFonts w:ascii="宋体" w:hAnsi="宋体" w:eastAsia="宋体" w:cs="宋体"/>
                <w:sz w:val="24"/>
                <w:szCs w:val="24"/>
              </w:rPr>
              <w:t xml:space="preserve">9.</w:t>
            </w:r>
            <w:r>
              <w:rPr>
                <w:rFonts w:hint="eastAsia" w:ascii="宋体" w:hAnsi="宋体" w:eastAsia="宋体" w:cs="宋体"/>
                <w:sz w:val="24"/>
                <w:szCs w:val="24"/>
              </w:rPr>
              <w:t xml:space="preserve">常用工具和集成开发环境：系统</w:t>
            </w:r>
            <w:r>
              <w:rPr>
                <w:rFonts w:ascii="宋体" w:hAnsi="宋体" w:eastAsia="宋体" w:cs="宋体"/>
                <w:sz w:val="24"/>
                <w:szCs w:val="24"/>
              </w:rPr>
              <w:t xml:space="preserve">提供服务配置和管理、进程管理、网络管理、资源管理和监控、文件共享、系统更新、备份还原等服务器常用工具和集成开发环境。</w:t>
            </w:r>
            <w:r>
              <w:rPr>
                <w:rFonts w:ascii="宋体" w:hAnsi="宋体" w:eastAsia="宋体" w:cs="宋体"/>
                <w:sz w:val="24"/>
                <w:szCs w:val="24"/>
              </w:rPr>
              <w:br/>
            </w:r>
            <w:r>
              <w:rPr>
                <w:rFonts w:ascii="宋体" w:hAnsi="宋体" w:eastAsia="宋体" w:cs="宋体"/>
                <w:sz w:val="24"/>
                <w:szCs w:val="24"/>
              </w:rPr>
              <w:t xml:space="preserve">10.</w:t>
            </w:r>
            <w:r>
              <w:rPr>
                <w:rFonts w:hint="eastAsia" w:ascii="宋体" w:hAnsi="宋体" w:eastAsia="宋体" w:cs="宋体"/>
                <w:sz w:val="24"/>
                <w:szCs w:val="24"/>
              </w:rPr>
              <w:t xml:space="preserve">日志收集：</w:t>
            </w:r>
            <w:r>
              <w:rPr>
                <w:rFonts w:ascii="宋体" w:hAnsi="宋体" w:eastAsia="宋体" w:cs="宋体"/>
                <w:sz w:val="24"/>
                <w:szCs w:val="24"/>
              </w:rPr>
              <w:t xml:space="preserve">系统提供图形化人机操作UI界面，提供刷新功能。提供图形化日志收集工具，可以收集系统日志、内核日志、启动日志、应用日志等，提供按时间周期和日志级别的过滤功能，并可导出日志文件。</w:t>
            </w:r>
            <w:r>
              <w:rPr>
                <w:rFonts w:ascii="宋体" w:hAnsi="宋体" w:eastAsia="宋体" w:cs="宋体"/>
                <w:sz w:val="24"/>
                <w:szCs w:val="24"/>
              </w:rPr>
              <w:br/>
            </w:r>
            <w:r>
              <w:rPr>
                <w:rFonts w:ascii="宋体" w:hAnsi="宋体" w:eastAsia="宋体" w:cs="宋体"/>
                <w:sz w:val="24"/>
                <w:szCs w:val="24"/>
              </w:rPr>
              <w:t xml:space="preserve">11.</w:t>
            </w:r>
            <w:r>
              <w:rPr>
                <w:rFonts w:hint="eastAsia" w:ascii="宋体" w:hAnsi="宋体" w:eastAsia="宋体" w:cs="宋体"/>
                <w:sz w:val="24"/>
                <w:szCs w:val="24"/>
              </w:rPr>
              <w:t xml:space="preserve">主流硬件兼容性：</w:t>
            </w:r>
            <w:r>
              <w:rPr>
                <w:rFonts w:ascii="宋体" w:hAnsi="宋体" w:eastAsia="宋体" w:cs="宋体"/>
                <w:sz w:val="24"/>
                <w:szCs w:val="24"/>
              </w:rPr>
              <w:t xml:space="preserve">操作系统兼容国内外主流的服务器、存储、板卡等硬件产品，包括华为、长城、百信、曙光、浪潮或等同。</w:t>
            </w:r>
            <w:r>
              <w:rPr>
                <w:rFonts w:ascii="宋体" w:hAnsi="宋体" w:eastAsia="宋体" w:cs="宋体"/>
                <w:sz w:val="24"/>
                <w:szCs w:val="24"/>
              </w:rPr>
              <w:br/>
            </w:r>
            <w:r>
              <w:rPr>
                <w:rFonts w:ascii="宋体" w:hAnsi="宋体" w:eastAsia="宋体" w:cs="宋体"/>
                <w:sz w:val="24"/>
                <w:szCs w:val="24"/>
              </w:rPr>
              <w:t xml:space="preserve">12.</w:t>
            </w:r>
            <w:r>
              <w:rPr>
                <w:rFonts w:hint="eastAsia" w:ascii="宋体" w:hAnsi="宋体" w:eastAsia="宋体" w:cs="宋体"/>
                <w:sz w:val="24"/>
                <w:szCs w:val="24"/>
              </w:rPr>
              <w:t xml:space="preserve">主流软件兼容性：</w:t>
            </w:r>
            <w:r>
              <w:rPr>
                <w:rFonts w:ascii="宋体" w:hAnsi="宋体" w:eastAsia="宋体" w:cs="宋体"/>
                <w:sz w:val="24"/>
                <w:szCs w:val="24"/>
              </w:rPr>
              <w:t xml:space="preserve">系统具有良好的应用支持能力，具有良好的数据库软件兼容性，兼容国产和开源主流的数据库软件产品，包括：人大金仓、达梦、神通、南大通用、PostgreSQL、Mysql等。</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4</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互联网庭审应用系统</w:t>
            </w:r>
            <w:r/>
          </w:p>
        </w:tc>
        <w:tc>
          <w:tcPr>
            <w:shd w:val="clear" w:color="000000" w:fill="ffffff"/>
            <w:tcW w:w="3908" w:type="dxa"/>
            <w:vAlign w:val="center"/>
            <w:textDirection w:val="lrTb"/>
            <w:noWrap w:val="false"/>
          </w:tcPr>
          <w:p>
            <w:pPr>
              <w:jc w:val="left"/>
              <w:widowControl/>
              <w:rPr>
                <w:rFonts w:hint="eastAsia" w:cs="宋体" w:asciiTheme="minorEastAsia" w:hAnsiTheme="minorEastAsia" w:eastAsiaTheme="minorEastAsia"/>
                <w:sz w:val="24"/>
                <w:szCs w:val="24"/>
                <w:lang w:eastAsia="zh-CN"/>
              </w:rPr>
            </w:pPr>
            <w:r>
              <w:rPr>
                <w:rFonts w:cs="宋体" w:asciiTheme="minorEastAsia" w:hAnsiTheme="minorEastAsia"/>
                <w:sz w:val="24"/>
                <w:szCs w:val="24"/>
              </w:rPr>
              <w:t xml:space="preserve">1、支持30间法庭互联网庭审，并发数不低于16路（即支持同时互联网庭审法庭数量不低于16间法庭）</w:t>
            </w:r>
            <w:r>
              <w:rPr>
                <w:rFonts w:cs="宋体" w:asciiTheme="minorEastAsia" w:hAnsiTheme="minorEastAsia"/>
                <w:sz w:val="24"/>
                <w:szCs w:val="24"/>
              </w:rPr>
              <w:br/>
            </w:r>
            <w:r>
              <w:rPr>
                <w:rFonts w:cs="宋体" w:asciiTheme="minorEastAsia" w:hAnsiTheme="minorEastAsia"/>
                <w:sz w:val="24"/>
                <w:szCs w:val="24"/>
              </w:rPr>
              <w:t xml:space="preserve">2、应具备支持多种平台安装部署方式，如PC客户端、手机端应用等；</w:t>
            </w:r>
            <w:r>
              <w:rPr>
                <w:rFonts w:cs="宋体" w:asciiTheme="minorEastAsia" w:hAnsiTheme="minorEastAsia"/>
                <w:sz w:val="24"/>
                <w:szCs w:val="24"/>
              </w:rPr>
              <w:br/>
            </w:r>
            <w:r>
              <w:rPr>
                <w:rFonts w:cs="宋体" w:asciiTheme="minorEastAsia" w:hAnsiTheme="minorEastAsia"/>
                <w:sz w:val="24"/>
                <w:szCs w:val="24"/>
              </w:rPr>
              <w:t xml:space="preserve">3、支持对当事人身份的核验，当事人应可通过多种方式登录系统；</w:t>
            </w:r>
            <w:r>
              <w:rPr>
                <w:rFonts w:cs="宋体" w:asciiTheme="minorEastAsia" w:hAnsiTheme="minorEastAsia"/>
                <w:sz w:val="24"/>
                <w:szCs w:val="24"/>
              </w:rPr>
              <w:br/>
            </w:r>
            <w:r>
              <w:rPr>
                <w:rFonts w:cs="宋体" w:asciiTheme="minorEastAsia" w:hAnsiTheme="minorEastAsia"/>
                <w:sz w:val="24"/>
                <w:szCs w:val="24"/>
              </w:rPr>
              <w:t xml:space="preserve">4、在获得法官同意后，当事人应可主动加入庭审，并具备明显的文字提醒；</w:t>
            </w:r>
            <w:r>
              <w:rPr>
                <w:rFonts w:cs="宋体" w:asciiTheme="minorEastAsia" w:hAnsiTheme="minorEastAsia"/>
                <w:sz w:val="24"/>
                <w:szCs w:val="24"/>
              </w:rPr>
              <w:br/>
            </w:r>
            <w:r>
              <w:rPr>
                <w:rFonts w:cs="宋体" w:asciiTheme="minorEastAsia" w:hAnsiTheme="minorEastAsia"/>
                <w:sz w:val="24"/>
                <w:szCs w:val="24"/>
              </w:rPr>
              <w:t xml:space="preserve">5、系统应可展示用户所有案件的相关信息，并支持对某一案件信息详情的查看；</w:t>
            </w:r>
            <w:r>
              <w:rPr>
                <w:rFonts w:cs="宋体" w:asciiTheme="minorEastAsia" w:hAnsiTheme="minorEastAsia"/>
                <w:sz w:val="24"/>
                <w:szCs w:val="24"/>
              </w:rPr>
              <w:br/>
            </w:r>
            <w:r>
              <w:rPr>
                <w:rFonts w:cs="宋体" w:asciiTheme="minorEastAsia" w:hAnsiTheme="minorEastAsia"/>
                <w:sz w:val="24"/>
                <w:szCs w:val="24"/>
              </w:rPr>
              <w:t xml:space="preserve">6、支持当事人实时查看各方音视频画面，并保证信息传递质量；</w:t>
            </w:r>
            <w:r>
              <w:rPr>
                <w:rFonts w:cs="宋体" w:asciiTheme="minorEastAsia" w:hAnsiTheme="minorEastAsia"/>
                <w:sz w:val="24"/>
                <w:szCs w:val="24"/>
              </w:rPr>
              <w:br/>
            </w:r>
            <w:r>
              <w:rPr>
                <w:rFonts w:cs="宋体" w:asciiTheme="minorEastAsia" w:hAnsiTheme="minorEastAsia"/>
                <w:sz w:val="24"/>
                <w:szCs w:val="24"/>
              </w:rPr>
              <w:t xml:space="preserve">7、在庭审过程中，支持当事人对笔录的实时查看；</w:t>
            </w:r>
            <w:r>
              <w:rPr>
                <w:rFonts w:cs="宋体" w:asciiTheme="minorEastAsia" w:hAnsiTheme="minorEastAsia"/>
                <w:sz w:val="24"/>
                <w:szCs w:val="24"/>
              </w:rPr>
              <w:br/>
            </w:r>
            <w:r>
              <w:rPr>
                <w:rFonts w:cs="宋体" w:asciiTheme="minorEastAsia" w:hAnsiTheme="minorEastAsia"/>
                <w:sz w:val="24"/>
                <w:szCs w:val="24"/>
              </w:rPr>
              <w:t xml:space="preserve">8、在书记员控制下，可完成对完整笔录的查看及电子签名工作，并实现对笔录文件进行回传；</w:t>
            </w:r>
            <w:r>
              <w:rPr>
                <w:rFonts w:cs="宋体" w:asciiTheme="minorEastAsia" w:hAnsiTheme="minorEastAsia"/>
                <w:sz w:val="24"/>
                <w:szCs w:val="24"/>
              </w:rPr>
              <w:br/>
            </w:r>
            <w:r>
              <w:rPr>
                <w:rFonts w:cs="宋体" w:asciiTheme="minorEastAsia" w:hAnsiTheme="minorEastAsia"/>
                <w:sz w:val="24"/>
                <w:szCs w:val="24"/>
              </w:rPr>
              <w:t xml:space="preserve">9、客户端有多个摄像头，系统应支持自动选择适当的设备；</w:t>
            </w:r>
            <w:r>
              <w:rPr>
                <w:rFonts w:cs="宋体" w:asciiTheme="minorEastAsia" w:hAnsiTheme="minorEastAsia"/>
                <w:sz w:val="24"/>
                <w:szCs w:val="24"/>
              </w:rPr>
              <w:br/>
            </w:r>
            <w:r>
              <w:rPr>
                <w:rFonts w:cs="宋体" w:asciiTheme="minorEastAsia" w:hAnsiTheme="minorEastAsia"/>
                <w:sz w:val="24"/>
                <w:szCs w:val="24"/>
              </w:rPr>
              <w:t xml:space="preserve">10、为保证当事人案件信息的完整性，系统应支持对证据文件的共享及对当事人屏幕的共享。</w:t>
            </w:r>
            <w:r>
              <w:rPr>
                <w:rFonts w:cs="宋体" w:asciiTheme="minorEastAsia" w:hAnsiTheme="minorEastAsia"/>
                <w:sz w:val="24"/>
                <w:szCs w:val="24"/>
              </w:rPr>
              <w:br/>
            </w:r>
            <w:r>
              <w:rPr>
                <w:rFonts w:cs="宋体" w:asciiTheme="minorEastAsia" w:hAnsiTheme="minorEastAsia"/>
                <w:sz w:val="24"/>
                <w:szCs w:val="24"/>
              </w:rPr>
              <w:t xml:space="preserve">11、支持对方远程参与视频庭审，能够支持8路画面。</w:t>
            </w:r>
            <w:r>
              <w:rPr>
                <w:rFonts w:cs="宋体" w:asciiTheme="minorEastAsia" w:hAnsiTheme="minorEastAsia"/>
                <w:sz w:val="24"/>
                <w:szCs w:val="24"/>
              </w:rPr>
              <w:br/>
            </w:r>
            <w:r>
              <w:rPr>
                <w:rFonts w:cs="宋体" w:asciiTheme="minorEastAsia" w:hAnsiTheme="minorEastAsia"/>
                <w:b/>
                <w:bCs/>
                <w:sz w:val="24"/>
                <w:szCs w:val="24"/>
              </w:rPr>
              <w:t xml:space="preserve">▲12、能够屏蔽用户的误操作，用户有误操作时，系统不失效，不丢失数据；能够判断数据的有效性，屏蔽非法数据，给出提示信息。（</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w:t>
            </w:r>
            <w:r>
              <w:rPr>
                <w:rFonts w:cs="宋体" w:asciiTheme="minorEastAsia" w:hAnsiTheme="minorEastAsia"/>
                <w:b/>
                <w:bCs/>
                <w:sz w:val="24"/>
                <w:szCs w:val="24"/>
              </w:rPr>
              <w:br/>
            </w:r>
            <w:r>
              <w:rPr>
                <w:rFonts w:cs="宋体" w:asciiTheme="minorEastAsia" w:hAnsiTheme="minorEastAsia"/>
                <w:b/>
                <w:bCs/>
                <w:sz w:val="24"/>
                <w:szCs w:val="24"/>
              </w:rPr>
              <w:t xml:space="preserve">▲13、能够依据用户角色访问相关的信息和数据；能够保证数据在传输过程中加密。（</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w:t>
            </w:r>
            <w:r>
              <w:rPr>
                <w:rFonts w:cs="宋体" w:asciiTheme="minorEastAsia" w:hAnsiTheme="minorEastAsia"/>
                <w:b/>
                <w:bCs/>
                <w:sz w:val="24"/>
                <w:szCs w:val="24"/>
              </w:rPr>
              <w:br/>
            </w:r>
            <w:r>
              <w:rPr>
                <w:rFonts w:cs="宋体" w:asciiTheme="minorEastAsia" w:hAnsiTheme="minorEastAsia"/>
                <w:b/>
                <w:bCs/>
                <w:sz w:val="24"/>
                <w:szCs w:val="24"/>
              </w:rPr>
              <w:t xml:space="preserve">▲14、能够防止SQL注入漏洞攻击，能够防止CSRF漏洞攻击，能够防止XSS漏洞攻击，能够防止木马后门攻击，能够防止命令行漏洞攻击，能够保证系统中输入超长字符不失效。（</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w:t>
            </w:r>
            <w:r>
              <w:rPr>
                <w:rFonts w:cs="宋体" w:asciiTheme="minorEastAsia" w:hAnsiTheme="minorEastAsia"/>
                <w:b/>
                <w:bCs/>
                <w:sz w:val="24"/>
                <w:szCs w:val="24"/>
              </w:rPr>
              <w:br/>
            </w:r>
            <w:r>
              <w:rPr>
                <w:rFonts w:cs="宋体" w:asciiTheme="minorEastAsia" w:hAnsiTheme="minorEastAsia"/>
                <w:b/>
                <w:bCs/>
                <w:sz w:val="24"/>
                <w:szCs w:val="24"/>
              </w:rPr>
              <w:t xml:space="preserve">▲15、</w:t>
            </w:r>
            <w:r>
              <w:rPr>
                <w:rFonts w:hint="eastAsia" w:cs="宋体" w:asciiTheme="minorEastAsia" w:hAnsiTheme="minorEastAsia"/>
                <w:b/>
                <w:bCs/>
                <w:sz w:val="24"/>
                <w:szCs w:val="24"/>
                <w:lang w:eastAsia="zh-CN"/>
              </w:rPr>
              <w:t xml:space="preserve">能够提供登录模块对用户进行身份标识和鉴别，正确的用户信息能够登录，错误的用户信息不能登录。</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30</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gridSpan w:val="3"/>
            <w:shd w:val="clear" w:color="000000" w:fill="ffffff"/>
            <w:tcW w:w="5222"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二、灌南法院庭审系统</w:t>
            </w:r>
            <w:r/>
          </w:p>
        </w:tc>
        <w:tc>
          <w:tcPr>
            <w:shd w:val="clear" w:color="000000" w:fill="ffffff"/>
            <w:tcW w:w="686"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c>
          <w:tcPr>
            <w:shd w:val="clear" w:color="000000" w:fill="ffffff"/>
            <w:tcW w:w="632"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c>
          <w:tcPr>
            <w:shd w:val="clear" w:color="000000" w:fill="ffffff"/>
            <w:tcW w:w="863" w:type="dxa"/>
            <w:vAlign w:val="center"/>
            <w:textDirection w:val="lrTb"/>
            <w:noWrap w:val="false"/>
          </w:tcPr>
          <w:p>
            <w:pPr>
              <w:jc w:val="lef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庭审流媒体服务系统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1、需具备流媒体录播服务，应支持多媒体信号同步录制；</w:t>
            </w:r>
            <w:r>
              <w:rPr>
                <w:rFonts w:cs="宋体" w:asciiTheme="minorEastAsia" w:hAnsiTheme="minorEastAsia"/>
                <w:sz w:val="24"/>
                <w:szCs w:val="24"/>
              </w:rPr>
              <w:br/>
            </w:r>
            <w:r>
              <w:rPr>
                <w:rFonts w:cs="宋体" w:asciiTheme="minorEastAsia" w:hAnsiTheme="minorEastAsia"/>
                <w:sz w:val="24"/>
                <w:szCs w:val="24"/>
              </w:rPr>
              <w:t xml:space="preserve">2、需支持不少于24个高清法庭各路高清编码信号输入存储及直播。</w:t>
            </w:r>
            <w:r>
              <w:rPr>
                <w:rFonts w:cs="宋体" w:asciiTheme="minorEastAsia" w:hAnsiTheme="minorEastAsia"/>
                <w:sz w:val="24"/>
                <w:szCs w:val="24"/>
              </w:rPr>
              <w:br/>
            </w:r>
            <w:r>
              <w:rPr>
                <w:rFonts w:cs="宋体" w:asciiTheme="minorEastAsia" w:hAnsiTheme="minorEastAsia"/>
                <w:sz w:val="24"/>
                <w:szCs w:val="24"/>
              </w:rPr>
              <w:t xml:space="preserve">3、需支持连接远程法庭、远程讯问室，转发远程音视频数据流给庭审终端，并对远程数据流同步录制为单独文件。</w:t>
            </w:r>
            <w:r>
              <w:rPr>
                <w:rFonts w:cs="宋体" w:asciiTheme="minorEastAsia" w:hAnsiTheme="minorEastAsia"/>
                <w:sz w:val="24"/>
                <w:szCs w:val="24"/>
              </w:rPr>
              <w:br/>
            </w:r>
            <w:r>
              <w:rPr>
                <w:rFonts w:cs="宋体" w:asciiTheme="minorEastAsia" w:hAnsiTheme="minorEastAsia"/>
                <w:sz w:val="24"/>
                <w:szCs w:val="24"/>
              </w:rPr>
              <w:t xml:space="preserve">4、需支持对其他法院的庭审直播进行数据流转发，接收其他法院的单路直播流，在本院分发给多电脑观看，减少专网带宽占用。</w:t>
            </w:r>
            <w:r>
              <w:rPr>
                <w:rFonts w:cs="宋体" w:asciiTheme="minorEastAsia" w:hAnsiTheme="minorEastAsia"/>
                <w:sz w:val="24"/>
                <w:szCs w:val="24"/>
              </w:rPr>
              <w:br/>
            </w:r>
            <w:r>
              <w:rPr>
                <w:rFonts w:cs="宋体" w:asciiTheme="minorEastAsia" w:hAnsiTheme="minorEastAsia"/>
                <w:sz w:val="24"/>
                <w:szCs w:val="24"/>
              </w:rPr>
              <w:t xml:space="preserve">5、输出格式要求：需符合最高院要求的H.264编码，符合最高院要求的MPEG4文件存放格式；</w:t>
            </w:r>
            <w:r>
              <w:rPr>
                <w:rFonts w:cs="宋体" w:asciiTheme="minorEastAsia" w:hAnsiTheme="minorEastAsia"/>
                <w:sz w:val="24"/>
                <w:szCs w:val="24"/>
              </w:rPr>
              <w:br/>
            </w:r>
            <w:r>
              <w:rPr>
                <w:rFonts w:cs="宋体" w:asciiTheme="minorEastAsia" w:hAnsiTheme="minorEastAsia"/>
                <w:sz w:val="24"/>
                <w:szCs w:val="24"/>
              </w:rPr>
              <w:t xml:space="preserve">6、需实时存储、直播，音视频完全同步，局域网内直播延时不大于200毫秒；</w:t>
            </w:r>
            <w:r>
              <w:rPr>
                <w:rFonts w:cs="宋体" w:asciiTheme="minorEastAsia" w:hAnsiTheme="minorEastAsia"/>
                <w:sz w:val="24"/>
                <w:szCs w:val="24"/>
              </w:rPr>
              <w:br/>
            </w:r>
            <w:r>
              <w:rPr>
                <w:rFonts w:cs="宋体" w:asciiTheme="minorEastAsia" w:hAnsiTheme="minorEastAsia"/>
                <w:sz w:val="24"/>
                <w:szCs w:val="24"/>
              </w:rPr>
              <w:t xml:space="preserve">7、全部采用中文用户操作界面，使用简捷、友好；支持庭审录像叠加庭审实际时间、文字等信息；支持50人同时在线观看直播、点播；同一时间在线人数需支持100人以上高清庭审直播、点播，并保证画面的流畅、稳定；支持多套录播服务器系统负载均衡。</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庭审流媒体服务系统服务器</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CPU规格：采用鲲鹏、飞腾、海光主流处理器，物理核数</w:t>
            </w:r>
            <w:r>
              <w:rPr>
                <w:rFonts w:cs="宋体" w:asciiTheme="minorEastAsia" w:hAnsiTheme="minorEastAsia"/>
                <w:sz w:val="24"/>
                <w:szCs w:val="24"/>
              </w:rPr>
              <w:t xml:space="preserve">不低于32核</w:t>
            </w:r>
            <w:r>
              <w:rPr>
                <w:rFonts w:hint="eastAsia" w:cs="宋体" w:asciiTheme="minorEastAsia" w:hAnsiTheme="minorEastAsia"/>
                <w:sz w:val="24"/>
                <w:szCs w:val="24"/>
              </w:rPr>
              <w:t xml:space="preserve">，</w:t>
            </w:r>
            <w:r>
              <w:rPr>
                <w:rFonts w:cs="宋体" w:asciiTheme="minorEastAsia" w:hAnsiTheme="minorEastAsia"/>
                <w:sz w:val="24"/>
                <w:szCs w:val="24"/>
              </w:rPr>
              <w:t xml:space="preserve">处理器标准性能，支持通用计算及虚拟化功能，集成整型计算单元、浮点计算单元、内存控制器、I/O模块等基础算力单元</w:t>
            </w:r>
            <w:r>
              <w:rPr>
                <w:rFonts w:hint="eastAsia" w:cs="宋体" w:asciiTheme="minorEastAsia" w:hAnsiTheme="minorEastAsia"/>
                <w:sz w:val="24"/>
                <w:szCs w:val="24"/>
              </w:rPr>
              <w:t xml:space="preserve">；</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内存规格：</w:t>
            </w:r>
            <w:r>
              <w:rPr>
                <w:rFonts w:cs="宋体" w:asciiTheme="minorEastAsia" w:hAnsiTheme="minorEastAsia"/>
                <w:sz w:val="24"/>
                <w:szCs w:val="24"/>
              </w:rPr>
              <w:t xml:space="preserve">不低于</w:t>
            </w:r>
            <w:r>
              <w:rPr>
                <w:rFonts w:hint="eastAsia" w:cs="宋体" w:asciiTheme="minorEastAsia" w:hAnsiTheme="minorEastAsia"/>
                <w:sz w:val="24"/>
                <w:szCs w:val="24"/>
              </w:rPr>
              <w:t xml:space="preserve">128</w:t>
            </w:r>
            <w:r>
              <w:rPr>
                <w:rFonts w:cs="宋体" w:asciiTheme="minorEastAsia" w:hAnsiTheme="minorEastAsia"/>
                <w:sz w:val="24"/>
                <w:szCs w:val="24"/>
              </w:rPr>
              <w:t xml:space="preserve">GB，支持内存增强型纠错功能，保障数据传输准确性与运行稳定性。</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存储规格：</w:t>
            </w:r>
            <w:r>
              <w:rPr>
                <w:rFonts w:cs="宋体" w:asciiTheme="minorEastAsia" w:hAnsiTheme="minorEastAsia"/>
                <w:sz w:val="24"/>
                <w:szCs w:val="24"/>
              </w:rPr>
              <w:t xml:space="preserve">配置不少于2块960GB企业级固态硬盘，支持高速读写，适配系统部署、高频业务读写、数据缓存等核心场景。配置不少于4块2TB企业级机械硬盘，满足大容量数据存储、数据备份、归档留存等业务需求。</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网络规格：配备网口数量不少于4个，且网口速率不少于1GE。</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电源规格：</w:t>
            </w:r>
            <w:r>
              <w:rPr>
                <w:rFonts w:cs="宋体" w:asciiTheme="minorEastAsia" w:hAnsiTheme="minorEastAsia"/>
                <w:sz w:val="24"/>
                <w:szCs w:val="24"/>
              </w:rPr>
              <w:t xml:space="preserve">配置不少于2个冗余电源模块，支持热插拔、故障自动切换功能，满足服务器不间断供电需求。</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3</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操作系统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ascii="宋体" w:hAnsi="宋体" w:eastAsia="宋体" w:cs="宋体"/>
                <w:sz w:val="24"/>
                <w:szCs w:val="24"/>
              </w:rPr>
              <w:t xml:space="preserve">1.操作系统</w:t>
            </w:r>
            <w:r>
              <w:rPr>
                <w:rFonts w:hint="eastAsia" w:ascii="宋体" w:hAnsi="宋体" w:eastAsia="宋体" w:cs="宋体"/>
                <w:sz w:val="24"/>
                <w:szCs w:val="24"/>
              </w:rPr>
              <w:t xml:space="preserve">：</w:t>
            </w:r>
            <w:r>
              <w:rPr>
                <w:rFonts w:ascii="宋体" w:hAnsi="宋体" w:eastAsia="宋体" w:cs="宋体"/>
                <w:sz w:val="24"/>
                <w:szCs w:val="24"/>
              </w:rPr>
              <w:t xml:space="preserve">支持飞腾、鲲鹏、海光主流</w:t>
            </w:r>
            <w:r>
              <w:rPr>
                <w:rFonts w:hint="eastAsia" w:ascii="宋体" w:hAnsi="宋体" w:eastAsia="宋体" w:cs="宋体"/>
                <w:sz w:val="24"/>
                <w:szCs w:val="24"/>
              </w:rPr>
              <w:t xml:space="preserve">处理器</w:t>
            </w:r>
            <w:r>
              <w:rPr>
                <w:rFonts w:ascii="宋体" w:hAnsi="宋体" w:eastAsia="宋体" w:cs="宋体"/>
                <w:sz w:val="24"/>
                <w:szCs w:val="24"/>
              </w:rPr>
              <w:t xml:space="preserve">。</w:t>
            </w:r>
            <w:r>
              <w:rPr>
                <w:rFonts w:ascii="宋体" w:hAnsi="宋体" w:eastAsia="宋体" w:cs="宋体"/>
                <w:sz w:val="24"/>
                <w:szCs w:val="24"/>
              </w:rPr>
              <w:br/>
            </w:r>
            <w:r>
              <w:rPr>
                <w:rFonts w:ascii="宋体" w:hAnsi="宋体" w:eastAsia="宋体" w:cs="宋体"/>
                <w:sz w:val="24"/>
                <w:szCs w:val="24"/>
              </w:rPr>
              <w:t xml:space="preserve">2.操作系统内核</w:t>
            </w:r>
            <w:r>
              <w:rPr>
                <w:rFonts w:hint="eastAsia" w:ascii="宋体" w:hAnsi="宋体" w:eastAsia="宋体" w:cs="宋体"/>
                <w:sz w:val="24"/>
                <w:szCs w:val="24"/>
              </w:rPr>
              <w:t xml:space="preserve">：不低于</w:t>
            </w:r>
            <w:r>
              <w:rPr>
                <w:rFonts w:ascii="宋体" w:hAnsi="宋体" w:eastAsia="宋体" w:cs="宋体"/>
                <w:sz w:val="24"/>
                <w:szCs w:val="24"/>
              </w:rPr>
              <w:t xml:space="preserve">kernel 4.19稳定版本，支持Ext3、Ext4、GFS2、XFS、NTFS等文件系统，</w:t>
            </w:r>
            <w:r>
              <w:rPr>
                <w:rFonts w:hint="eastAsia" w:ascii="宋体" w:hAnsi="宋体" w:eastAsia="宋体" w:cs="宋体"/>
                <w:sz w:val="24"/>
                <w:szCs w:val="24"/>
                <w:lang w:eastAsia="zh-CN"/>
              </w:rPr>
              <w:t xml:space="preserve">提供适配于操作系统的rpm和deb软件包格式转换工具和模块</w:t>
            </w:r>
            <w:r>
              <w:rPr>
                <w:rFonts w:ascii="宋体" w:hAnsi="宋体" w:eastAsia="宋体" w:cs="宋体"/>
                <w:sz w:val="24"/>
                <w:szCs w:val="24"/>
              </w:rPr>
              <w:t xml:space="preserve">。</w:t>
            </w:r>
            <w:r>
              <w:rPr>
                <w:rFonts w:ascii="宋体" w:hAnsi="宋体" w:eastAsia="宋体" w:cs="宋体"/>
                <w:sz w:val="24"/>
                <w:szCs w:val="24"/>
              </w:rPr>
              <w:br/>
            </w:r>
            <w:r>
              <w:rPr>
                <w:rFonts w:ascii="宋体" w:hAnsi="宋体" w:eastAsia="宋体" w:cs="宋体"/>
                <w:sz w:val="24"/>
                <w:szCs w:val="24"/>
              </w:rPr>
              <w:t xml:space="preserve">3.操作系统软件产品质量管理与质量标准</w:t>
            </w:r>
            <w:r>
              <w:rPr>
                <w:rFonts w:hint="eastAsia" w:ascii="宋体" w:hAnsi="宋体" w:eastAsia="宋体" w:cs="宋体"/>
                <w:sz w:val="24"/>
                <w:szCs w:val="24"/>
              </w:rPr>
              <w:t xml:space="preserve">：</w:t>
            </w:r>
            <w:r>
              <w:rPr>
                <w:rFonts w:ascii="宋体" w:hAnsi="宋体" w:eastAsia="宋体" w:cs="宋体"/>
                <w:sz w:val="24"/>
                <w:szCs w:val="24"/>
              </w:rPr>
              <w:t xml:space="preserve">属于优化级，系统可提供安全增强组件，支持增加三权分立、白名单控制等安全功能，</w:t>
            </w:r>
            <w:r>
              <w:rPr>
                <w:rFonts w:hint="eastAsia" w:ascii="宋体" w:hAnsi="宋体" w:eastAsia="宋体" w:cs="宋体"/>
                <w:sz w:val="24"/>
                <w:szCs w:val="24"/>
                <w:lang w:eastAsia="zh-CN"/>
              </w:rPr>
              <w:t xml:space="preserve">并且可增强至国家的安全保护级别标准，如国家网络安全等级保护三级标准。</w:t>
            </w:r>
            <w:r>
              <w:rPr>
                <w:rFonts w:ascii="宋体" w:hAnsi="宋体" w:eastAsia="宋体" w:cs="宋体"/>
                <w:sz w:val="24"/>
                <w:szCs w:val="24"/>
              </w:rPr>
              <w:br/>
            </w:r>
            <w:r>
              <w:rPr>
                <w:rFonts w:ascii="宋体" w:hAnsi="宋体" w:eastAsia="宋体" w:cs="宋体"/>
                <w:sz w:val="24"/>
                <w:szCs w:val="24"/>
              </w:rPr>
              <w:t xml:space="preserve">4.操作系统</w:t>
            </w:r>
            <w:r>
              <w:rPr>
                <w:rFonts w:hint="eastAsia" w:ascii="宋体" w:hAnsi="宋体" w:eastAsia="宋体" w:cs="宋体"/>
                <w:sz w:val="24"/>
                <w:szCs w:val="24"/>
              </w:rPr>
              <w:t xml:space="preserve">：系统</w:t>
            </w:r>
            <w:r>
              <w:rPr>
                <w:rFonts w:ascii="宋体" w:hAnsi="宋体" w:eastAsia="宋体" w:cs="宋体"/>
                <w:sz w:val="24"/>
                <w:szCs w:val="24"/>
              </w:rPr>
              <w:t xml:space="preserve">支持LSM、可信计算TCM/TPCM、TPM2.0，内置国密算法，支持基于国密算法的加解密应用，支持可信计算。</w:t>
            </w:r>
            <w:r>
              <w:rPr>
                <w:rFonts w:ascii="宋体" w:hAnsi="宋体" w:eastAsia="宋体" w:cs="宋体"/>
                <w:sz w:val="24"/>
                <w:szCs w:val="24"/>
              </w:rPr>
              <w:br/>
            </w:r>
            <w:r>
              <w:rPr>
                <w:rFonts w:ascii="宋体" w:hAnsi="宋体" w:eastAsia="宋体" w:cs="宋体"/>
                <w:sz w:val="24"/>
                <w:szCs w:val="24"/>
              </w:rPr>
              <w:t xml:space="preserve">5.</w:t>
            </w:r>
            <w:r>
              <w:rPr>
                <w:rFonts w:hint="eastAsia" w:ascii="宋体" w:hAnsi="宋体" w:eastAsia="宋体" w:cs="宋体"/>
                <w:sz w:val="24"/>
                <w:szCs w:val="24"/>
              </w:rPr>
              <w:t xml:space="preserve">隔离保护：</w:t>
            </w:r>
            <w:r>
              <w:rPr>
                <w:rFonts w:hint="eastAsia" w:ascii="宋体" w:hAnsi="宋体" w:eastAsia="宋体" w:cs="宋体"/>
                <w:sz w:val="24"/>
                <w:szCs w:val="24"/>
                <w:lang w:eastAsia="zh-CN"/>
              </w:rPr>
              <w:t xml:space="preserve">系统提供私有数据隔离保护技术，通过该技术包括管理员在内的任何其他用户都不能进行非授权访问</w:t>
            </w:r>
            <w:r>
              <w:rPr>
                <w:rFonts w:ascii="宋体" w:hAnsi="宋体" w:eastAsia="宋体" w:cs="宋体"/>
                <w:sz w:val="24"/>
                <w:szCs w:val="24"/>
              </w:rPr>
              <w:br/>
            </w:r>
            <w:r>
              <w:rPr>
                <w:rFonts w:ascii="宋体" w:hAnsi="宋体" w:eastAsia="宋体" w:cs="宋体"/>
                <w:sz w:val="24"/>
                <w:szCs w:val="24"/>
              </w:rPr>
              <w:t xml:space="preserve">6.</w:t>
            </w:r>
            <w:r>
              <w:rPr>
                <w:rFonts w:hint="eastAsia" w:ascii="宋体" w:hAnsi="宋体" w:eastAsia="宋体" w:cs="宋体"/>
                <w:sz w:val="24"/>
                <w:szCs w:val="24"/>
              </w:rPr>
              <w:t xml:space="preserve">访问控制：系统</w:t>
            </w:r>
            <w:r>
              <w:rPr>
                <w:rFonts w:ascii="宋体" w:hAnsi="宋体" w:eastAsia="宋体" w:cs="宋体"/>
                <w:sz w:val="24"/>
                <w:szCs w:val="24"/>
              </w:rPr>
              <w:t xml:space="preserve">可支持强制访问控制，并可提供多种强制访问控制联合加载，包括SELINUX、APPARMOR等。</w:t>
            </w:r>
            <w:r>
              <w:rPr>
                <w:rFonts w:ascii="宋体" w:hAnsi="宋体" w:eastAsia="宋体" w:cs="宋体"/>
                <w:sz w:val="24"/>
                <w:szCs w:val="24"/>
              </w:rPr>
              <w:br/>
            </w:r>
            <w:r>
              <w:rPr>
                <w:rFonts w:ascii="宋体" w:hAnsi="宋体" w:eastAsia="宋体" w:cs="宋体"/>
                <w:sz w:val="24"/>
                <w:szCs w:val="24"/>
              </w:rPr>
              <w:t xml:space="preserve">7.</w:t>
            </w:r>
            <w:r>
              <w:rPr>
                <w:rFonts w:hint="eastAsia" w:ascii="宋体" w:hAnsi="宋体" w:eastAsia="宋体" w:cs="宋体"/>
                <w:sz w:val="24"/>
                <w:szCs w:val="24"/>
              </w:rPr>
              <w:t xml:space="preserve">防御技术：</w:t>
            </w:r>
            <w:r>
              <w:rPr>
                <w:rFonts w:hint="eastAsia" w:ascii="宋体" w:hAnsi="宋体" w:eastAsia="宋体" w:cs="宋体"/>
                <w:sz w:val="24"/>
                <w:szCs w:val="24"/>
                <w:lang w:eastAsia="zh-CN"/>
              </w:rPr>
              <w:t xml:space="preserve">系统提供安全底层机制主动防御技术，保障系统级的内生安全，提供执行控制、文件保护、内核模块保护</w:t>
            </w:r>
            <w:r>
              <w:rPr>
                <w:rFonts w:ascii="宋体" w:hAnsi="宋体" w:eastAsia="宋体" w:cs="宋体"/>
                <w:sz w:val="24"/>
                <w:szCs w:val="24"/>
              </w:rPr>
              <w:t xml:space="preserve">。</w:t>
            </w:r>
            <w:r>
              <w:rPr>
                <w:rFonts w:ascii="宋体" w:hAnsi="宋体" w:eastAsia="宋体" w:cs="宋体"/>
                <w:sz w:val="24"/>
                <w:szCs w:val="24"/>
              </w:rPr>
              <w:br/>
            </w:r>
            <w:r>
              <w:rPr>
                <w:rFonts w:ascii="宋体" w:hAnsi="宋体" w:eastAsia="宋体" w:cs="宋体"/>
                <w:sz w:val="24"/>
                <w:szCs w:val="24"/>
              </w:rPr>
              <w:t xml:space="preserve">8.</w:t>
            </w:r>
            <w:r>
              <w:rPr>
                <w:rFonts w:hint="eastAsia" w:ascii="宋体" w:hAnsi="宋体" w:eastAsia="宋体" w:cs="宋体"/>
                <w:sz w:val="24"/>
                <w:szCs w:val="24"/>
              </w:rPr>
              <w:t xml:space="preserve">网络协议：</w:t>
            </w:r>
            <w:r>
              <w:rPr>
                <w:rFonts w:ascii="宋体" w:hAnsi="宋体" w:eastAsia="宋体" w:cs="宋体"/>
                <w:sz w:val="24"/>
                <w:szCs w:val="24"/>
              </w:rPr>
              <w:t xml:space="preserve">支持HTTP、FTP、VNC、TCP、UDP、IP、FTP、DNS、NFS、NTP、DHCP、SSH等多种网络协议。</w:t>
            </w:r>
            <w:r>
              <w:rPr>
                <w:rFonts w:ascii="宋体" w:hAnsi="宋体" w:eastAsia="宋体" w:cs="宋体"/>
                <w:sz w:val="24"/>
                <w:szCs w:val="24"/>
              </w:rPr>
              <w:br/>
            </w:r>
            <w:r>
              <w:rPr>
                <w:rFonts w:ascii="宋体" w:hAnsi="宋体" w:eastAsia="宋体" w:cs="宋体"/>
                <w:sz w:val="24"/>
                <w:szCs w:val="24"/>
              </w:rPr>
              <w:t xml:space="preserve">9.</w:t>
            </w:r>
            <w:r>
              <w:rPr>
                <w:rFonts w:hint="eastAsia" w:ascii="宋体" w:hAnsi="宋体" w:eastAsia="宋体" w:cs="宋体"/>
                <w:sz w:val="24"/>
                <w:szCs w:val="24"/>
              </w:rPr>
              <w:t xml:space="preserve">常用工具和集成开发环境：系统</w:t>
            </w:r>
            <w:r>
              <w:rPr>
                <w:rFonts w:ascii="宋体" w:hAnsi="宋体" w:eastAsia="宋体" w:cs="宋体"/>
                <w:sz w:val="24"/>
                <w:szCs w:val="24"/>
              </w:rPr>
              <w:t xml:space="preserve">提供服务配置和管理、进程管理、网络管理、资源管理和监控、文件共享、系统更新、备份还原等服务器常用工具和集成开发环境。</w:t>
            </w:r>
            <w:r>
              <w:rPr>
                <w:rFonts w:ascii="宋体" w:hAnsi="宋体" w:eastAsia="宋体" w:cs="宋体"/>
                <w:sz w:val="24"/>
                <w:szCs w:val="24"/>
              </w:rPr>
              <w:br/>
            </w:r>
            <w:r>
              <w:rPr>
                <w:rFonts w:ascii="宋体" w:hAnsi="宋体" w:eastAsia="宋体" w:cs="宋体"/>
                <w:sz w:val="24"/>
                <w:szCs w:val="24"/>
              </w:rPr>
              <w:t xml:space="preserve">10.</w:t>
            </w:r>
            <w:r>
              <w:rPr>
                <w:rFonts w:hint="eastAsia" w:ascii="宋体" w:hAnsi="宋体" w:eastAsia="宋体" w:cs="宋体"/>
                <w:sz w:val="24"/>
                <w:szCs w:val="24"/>
              </w:rPr>
              <w:t xml:space="preserve">日志收集：</w:t>
            </w:r>
            <w:r>
              <w:rPr>
                <w:rFonts w:ascii="宋体" w:hAnsi="宋体" w:eastAsia="宋体" w:cs="宋体"/>
                <w:sz w:val="24"/>
                <w:szCs w:val="24"/>
              </w:rPr>
              <w:t xml:space="preserve">系统提供图形化人机操作UI界面，提供刷新功能。提供图形化日志收集工具，可以收集系统日志、内核日志、启动日志、应用日志等，提供按时间周期和日志级别的过滤功能，并可导出日志文件。</w:t>
            </w:r>
            <w:r>
              <w:rPr>
                <w:rFonts w:ascii="宋体" w:hAnsi="宋体" w:eastAsia="宋体" w:cs="宋体"/>
                <w:sz w:val="24"/>
                <w:szCs w:val="24"/>
              </w:rPr>
              <w:br/>
            </w:r>
            <w:r>
              <w:rPr>
                <w:rFonts w:ascii="宋体" w:hAnsi="宋体" w:eastAsia="宋体" w:cs="宋体"/>
                <w:sz w:val="24"/>
                <w:szCs w:val="24"/>
              </w:rPr>
              <w:t xml:space="preserve">11.</w:t>
            </w:r>
            <w:r>
              <w:rPr>
                <w:rFonts w:hint="eastAsia" w:ascii="宋体" w:hAnsi="宋体" w:eastAsia="宋体" w:cs="宋体"/>
                <w:sz w:val="24"/>
                <w:szCs w:val="24"/>
              </w:rPr>
              <w:t xml:space="preserve">主流硬件兼容性：</w:t>
            </w:r>
            <w:r>
              <w:rPr>
                <w:rFonts w:ascii="宋体" w:hAnsi="宋体" w:eastAsia="宋体" w:cs="宋体"/>
                <w:sz w:val="24"/>
                <w:szCs w:val="24"/>
              </w:rPr>
              <w:t xml:space="preserve">操作系统兼容国内外主流的服务器、存储、板卡等硬件产品，包括华为、长城、百信、曙光、浪潮或等同。</w:t>
            </w:r>
            <w:r>
              <w:rPr>
                <w:rFonts w:ascii="宋体" w:hAnsi="宋体" w:eastAsia="宋体" w:cs="宋体"/>
                <w:sz w:val="24"/>
                <w:szCs w:val="24"/>
              </w:rPr>
              <w:br/>
            </w:r>
            <w:r>
              <w:rPr>
                <w:rFonts w:ascii="宋体" w:hAnsi="宋体" w:eastAsia="宋体" w:cs="宋体"/>
                <w:sz w:val="24"/>
                <w:szCs w:val="24"/>
              </w:rPr>
              <w:t xml:space="preserve">12.</w:t>
            </w:r>
            <w:r>
              <w:rPr>
                <w:rFonts w:hint="eastAsia" w:ascii="宋体" w:hAnsi="宋体" w:eastAsia="宋体" w:cs="宋体"/>
                <w:sz w:val="24"/>
                <w:szCs w:val="24"/>
              </w:rPr>
              <w:t xml:space="preserve">主流软件兼容性：</w:t>
            </w:r>
            <w:r>
              <w:rPr>
                <w:rFonts w:ascii="宋体" w:hAnsi="宋体" w:eastAsia="宋体" w:cs="宋体"/>
                <w:sz w:val="24"/>
                <w:szCs w:val="24"/>
              </w:rPr>
              <w:t xml:space="preserve">系统具有良好的应用支持能力，具有良好的数据库软件兼容性，兼容国产和开源主流的数据库软件产品，包括：人大金仓、达梦、神通、南大通用、PostgreSQL、Mysql等。</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4</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庭审应用系统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1、具备功能：为法官、书记员、当事人提供应用服务，包含排期管理、音视频连接与控制、庭审录音录像、笔录制作、笔录同步、笔录校对、语音播报、共享屏幕、刻录打印、本地示证等功能 ，支持无书记员庭审模式，支持远程庭审、互联网庭审</w:t>
            </w:r>
            <w:r>
              <w:rPr>
                <w:rFonts w:cs="宋体" w:asciiTheme="minorEastAsia" w:hAnsiTheme="minorEastAsia"/>
                <w:sz w:val="24"/>
                <w:szCs w:val="24"/>
              </w:rPr>
              <w:br/>
            </w:r>
            <w:r>
              <w:rPr>
                <w:rFonts w:cs="宋体" w:asciiTheme="minorEastAsia" w:hAnsiTheme="minorEastAsia"/>
                <w:sz w:val="24"/>
                <w:szCs w:val="24"/>
              </w:rPr>
              <w:t xml:space="preserve">2、支持对庭审中法官、书记员、当事人等各项应用功能提供信创环境的适配服务。</w:t>
            </w:r>
            <w:r>
              <w:rPr>
                <w:rFonts w:cs="宋体" w:asciiTheme="minorEastAsia" w:hAnsiTheme="minorEastAsia"/>
                <w:sz w:val="24"/>
                <w:szCs w:val="24"/>
              </w:rPr>
              <w:br/>
            </w:r>
            <w:r>
              <w:rPr>
                <w:rFonts w:cs="宋体" w:asciiTheme="minorEastAsia" w:hAnsiTheme="minorEastAsia"/>
                <w:sz w:val="24"/>
                <w:szCs w:val="24"/>
              </w:rPr>
              <w:t xml:space="preserve">3、支持自动生成笔录模板，支持添加各类案件审理所需的笔录模板。</w:t>
            </w:r>
            <w:r>
              <w:rPr>
                <w:rFonts w:cs="宋体" w:asciiTheme="minorEastAsia" w:hAnsiTheme="minorEastAsia"/>
                <w:sz w:val="24"/>
                <w:szCs w:val="24"/>
              </w:rPr>
              <w:br/>
            </w:r>
            <w:r>
              <w:rPr>
                <w:rFonts w:cs="宋体" w:asciiTheme="minorEastAsia" w:hAnsiTheme="minorEastAsia"/>
                <w:sz w:val="24"/>
                <w:szCs w:val="24"/>
              </w:rPr>
              <w:t xml:space="preserve">4、支持灵活选择笔录模板，自动生成笔录纲要，支持书记员直接使用或进一步完善笔录，能够正确处理异常的笔录内容，能够完成笔录预设；</w:t>
            </w:r>
            <w:r>
              <w:rPr>
                <w:rFonts w:cs="宋体" w:asciiTheme="minorEastAsia" w:hAnsiTheme="minorEastAsia"/>
                <w:sz w:val="24"/>
                <w:szCs w:val="24"/>
              </w:rPr>
              <w:br/>
            </w:r>
            <w:r>
              <w:rPr>
                <w:rFonts w:cs="宋体" w:asciiTheme="minorEastAsia" w:hAnsiTheme="minorEastAsia"/>
                <w:sz w:val="24"/>
                <w:szCs w:val="24"/>
              </w:rPr>
              <w:t xml:space="preserve">5、支持庭审系统软硬件的自动检测； </w:t>
            </w:r>
            <w:r>
              <w:rPr>
                <w:rFonts w:cs="宋体" w:asciiTheme="minorEastAsia" w:hAnsiTheme="minorEastAsia"/>
                <w:sz w:val="24"/>
                <w:szCs w:val="24"/>
              </w:rPr>
              <w:br/>
            </w:r>
            <w:r>
              <w:rPr>
                <w:rFonts w:cs="宋体" w:asciiTheme="minorEastAsia" w:hAnsiTheme="minorEastAsia"/>
                <w:sz w:val="24"/>
                <w:szCs w:val="24"/>
              </w:rPr>
              <w:t xml:space="preserve">6、支持自动播报法庭纪律，播报男女声可选且内容可定制；</w:t>
            </w:r>
            <w:r>
              <w:rPr>
                <w:rFonts w:cs="宋体" w:asciiTheme="minorEastAsia" w:hAnsiTheme="minorEastAsia"/>
                <w:sz w:val="24"/>
                <w:szCs w:val="24"/>
              </w:rPr>
              <w:br/>
            </w:r>
            <w:r>
              <w:rPr>
                <w:rFonts w:cs="宋体" w:asciiTheme="minorEastAsia" w:hAnsiTheme="minorEastAsia"/>
                <w:sz w:val="24"/>
                <w:szCs w:val="24"/>
              </w:rPr>
              <w:t xml:space="preserve">7、支持通过语音识别辅助生产笔录内容；</w:t>
            </w:r>
            <w:r>
              <w:rPr>
                <w:rFonts w:cs="宋体" w:asciiTheme="minorEastAsia" w:hAnsiTheme="minorEastAsia"/>
                <w:sz w:val="24"/>
                <w:szCs w:val="24"/>
              </w:rPr>
              <w:br/>
            </w:r>
            <w:r>
              <w:rPr>
                <w:rFonts w:cs="宋体" w:asciiTheme="minorEastAsia" w:hAnsiTheme="minorEastAsia"/>
                <w:sz w:val="24"/>
                <w:szCs w:val="24"/>
              </w:rPr>
              <w:t xml:space="preserve">8、支持实时对庭审音视频进行光盘刻录，支持庭审结束后对庭审音视频进行光盘刻录；</w:t>
            </w:r>
            <w:r>
              <w:rPr>
                <w:rFonts w:cs="宋体" w:asciiTheme="minorEastAsia" w:hAnsiTheme="minorEastAsia"/>
                <w:sz w:val="24"/>
                <w:szCs w:val="24"/>
              </w:rPr>
              <w:br/>
            </w:r>
            <w:r>
              <w:rPr>
                <w:rFonts w:cs="宋体" w:asciiTheme="minorEastAsia" w:hAnsiTheme="minorEastAsia"/>
                <w:sz w:val="24"/>
                <w:szCs w:val="24"/>
              </w:rPr>
              <w:t xml:space="preserve">9、支持法官、书记员、当事人应用系统间的数据交互。 </w:t>
            </w:r>
            <w:r>
              <w:rPr>
                <w:rFonts w:cs="宋体" w:asciiTheme="minorEastAsia" w:hAnsiTheme="minorEastAsia"/>
                <w:sz w:val="24"/>
                <w:szCs w:val="24"/>
              </w:rPr>
              <w:br/>
            </w:r>
            <w:r>
              <w:rPr>
                <w:rFonts w:cs="宋体" w:asciiTheme="minorEastAsia" w:hAnsiTheme="minorEastAsia"/>
                <w:sz w:val="24"/>
                <w:szCs w:val="24"/>
              </w:rPr>
              <w:t xml:space="preserve">10、智慧庭审系统在庭后阶段支持笔录校对功能，支持笔录正文、庭审录像和语音识别记录三者联动，辅助进行笔录内容校对确认。</w:t>
            </w:r>
            <w:r>
              <w:rPr>
                <w:rFonts w:cs="宋体" w:asciiTheme="minorEastAsia" w:hAnsiTheme="minorEastAsia"/>
                <w:sz w:val="24"/>
                <w:szCs w:val="24"/>
              </w:rPr>
              <w:br/>
            </w:r>
            <w:r>
              <w:rPr>
                <w:rFonts w:cs="宋体" w:asciiTheme="minorEastAsia" w:hAnsiTheme="minorEastAsia"/>
                <w:sz w:val="24"/>
                <w:szCs w:val="24"/>
              </w:rPr>
              <w:t xml:space="preserve">11、智慧庭审系统需具备与安全平台的兼容性测试，且能够防止 CSRF/XSS 攻击漏洞，防止木马后门攻击检查、防止 SQL 注入攻击漏洞。</w:t>
            </w:r>
            <w:r>
              <w:rPr>
                <w:rFonts w:cs="宋体" w:asciiTheme="minorEastAsia" w:hAnsiTheme="minorEastAsia"/>
                <w:sz w:val="24"/>
                <w:szCs w:val="24"/>
              </w:rPr>
              <w:br/>
            </w:r>
            <w:r>
              <w:rPr>
                <w:rFonts w:cs="宋体" w:asciiTheme="minorEastAsia" w:hAnsiTheme="minorEastAsia"/>
                <w:sz w:val="24"/>
                <w:szCs w:val="24"/>
              </w:rPr>
              <w:t xml:space="preserve">12、 支持电子签名系统：针对笔录等文书文件提供电子签名服务， 支持本地签名板签名和互联网端签名，支持每页签、尾页签、指定位置签等多种签名模式，支持实时查看签名图片，并支持拖动位置、删除 、重签等操作，支持签名文件导出。</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20</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5</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互联网庭审应用系统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1、支持</w:t>
            </w:r>
            <w:r>
              <w:rPr>
                <w:rFonts w:hint="eastAsia" w:cs="宋体" w:asciiTheme="minorEastAsia" w:hAnsiTheme="minorEastAsia"/>
                <w:sz w:val="24"/>
                <w:szCs w:val="24"/>
              </w:rPr>
              <w:t xml:space="preserve">2</w:t>
            </w:r>
            <w:r>
              <w:rPr>
                <w:rFonts w:cs="宋体" w:asciiTheme="minorEastAsia" w:hAnsiTheme="minorEastAsia"/>
                <w:sz w:val="24"/>
                <w:szCs w:val="24"/>
              </w:rPr>
              <w:t xml:space="preserve">0间法庭互联网庭审，并发数不低于</w:t>
            </w:r>
            <w:r>
              <w:rPr>
                <w:rFonts w:hint="eastAsia" w:cs="宋体" w:asciiTheme="minorEastAsia" w:hAnsiTheme="minorEastAsia"/>
                <w:sz w:val="24"/>
                <w:szCs w:val="24"/>
              </w:rPr>
              <w:t xml:space="preserve">8</w:t>
            </w:r>
            <w:r>
              <w:rPr>
                <w:rFonts w:cs="宋体" w:asciiTheme="minorEastAsia" w:hAnsiTheme="minorEastAsia"/>
                <w:sz w:val="24"/>
                <w:szCs w:val="24"/>
              </w:rPr>
              <w:t xml:space="preserve">路（即支持同时互联网庭审法庭数量不低于</w:t>
            </w:r>
            <w:r>
              <w:rPr>
                <w:rFonts w:hint="eastAsia" w:cs="宋体" w:asciiTheme="minorEastAsia" w:hAnsiTheme="minorEastAsia"/>
                <w:sz w:val="24"/>
                <w:szCs w:val="24"/>
              </w:rPr>
              <w:t xml:space="preserve">8</w:t>
            </w:r>
            <w:r>
              <w:rPr>
                <w:rFonts w:cs="宋体" w:asciiTheme="minorEastAsia" w:hAnsiTheme="minorEastAsia"/>
                <w:sz w:val="24"/>
                <w:szCs w:val="24"/>
              </w:rPr>
              <w:t xml:space="preserve">间法庭）</w:t>
            </w:r>
            <w:r>
              <w:rPr>
                <w:rFonts w:cs="宋体" w:asciiTheme="minorEastAsia" w:hAnsiTheme="minorEastAsia"/>
                <w:sz w:val="24"/>
                <w:szCs w:val="24"/>
              </w:rPr>
              <w:br/>
            </w:r>
            <w:r>
              <w:rPr>
                <w:rFonts w:cs="宋体" w:asciiTheme="minorEastAsia" w:hAnsiTheme="minorEastAsia"/>
                <w:sz w:val="24"/>
                <w:szCs w:val="24"/>
              </w:rPr>
              <w:t xml:space="preserve">2、应具备支持多种平台安装部署方式，如PC客户端、手机端应用等；</w:t>
            </w:r>
            <w:r>
              <w:rPr>
                <w:rFonts w:cs="宋体" w:asciiTheme="minorEastAsia" w:hAnsiTheme="minorEastAsia"/>
                <w:sz w:val="24"/>
                <w:szCs w:val="24"/>
              </w:rPr>
              <w:br/>
            </w:r>
            <w:r>
              <w:rPr>
                <w:rFonts w:cs="宋体" w:asciiTheme="minorEastAsia" w:hAnsiTheme="minorEastAsia"/>
                <w:sz w:val="24"/>
                <w:szCs w:val="24"/>
              </w:rPr>
              <w:t xml:space="preserve">3、支持对当事人身份的核验，当事人应可通过多种方式登录系统；</w:t>
            </w:r>
            <w:r>
              <w:rPr>
                <w:rFonts w:cs="宋体" w:asciiTheme="minorEastAsia" w:hAnsiTheme="minorEastAsia"/>
                <w:sz w:val="24"/>
                <w:szCs w:val="24"/>
              </w:rPr>
              <w:br/>
            </w:r>
            <w:r>
              <w:rPr>
                <w:rFonts w:cs="宋体" w:asciiTheme="minorEastAsia" w:hAnsiTheme="minorEastAsia"/>
                <w:sz w:val="24"/>
                <w:szCs w:val="24"/>
              </w:rPr>
              <w:t xml:space="preserve">4、在获得法官同意后，当事人应可主动加入庭审，并具备明显的文字提醒；</w:t>
            </w:r>
            <w:r>
              <w:rPr>
                <w:rFonts w:cs="宋体" w:asciiTheme="minorEastAsia" w:hAnsiTheme="minorEastAsia"/>
                <w:sz w:val="24"/>
                <w:szCs w:val="24"/>
              </w:rPr>
              <w:br/>
            </w:r>
            <w:r>
              <w:rPr>
                <w:rFonts w:cs="宋体" w:asciiTheme="minorEastAsia" w:hAnsiTheme="minorEastAsia"/>
                <w:sz w:val="24"/>
                <w:szCs w:val="24"/>
              </w:rPr>
              <w:t xml:space="preserve">5、系统应可展示用户所有案件的相关信息，并支持对某一案件信息详情的查看；</w:t>
            </w:r>
            <w:r>
              <w:rPr>
                <w:rFonts w:cs="宋体" w:asciiTheme="minorEastAsia" w:hAnsiTheme="minorEastAsia"/>
                <w:sz w:val="24"/>
                <w:szCs w:val="24"/>
              </w:rPr>
              <w:br/>
            </w:r>
            <w:r>
              <w:rPr>
                <w:rFonts w:cs="宋体" w:asciiTheme="minorEastAsia" w:hAnsiTheme="minorEastAsia"/>
                <w:sz w:val="24"/>
                <w:szCs w:val="24"/>
              </w:rPr>
              <w:t xml:space="preserve">6、支持当事人实时查看各方音视频画面，并保证信息传递质量；</w:t>
            </w:r>
            <w:r>
              <w:rPr>
                <w:rFonts w:cs="宋体" w:asciiTheme="minorEastAsia" w:hAnsiTheme="minorEastAsia"/>
                <w:sz w:val="24"/>
                <w:szCs w:val="24"/>
              </w:rPr>
              <w:br/>
            </w:r>
            <w:r>
              <w:rPr>
                <w:rFonts w:cs="宋体" w:asciiTheme="minorEastAsia" w:hAnsiTheme="minorEastAsia"/>
                <w:sz w:val="24"/>
                <w:szCs w:val="24"/>
              </w:rPr>
              <w:t xml:space="preserve">7、在庭审过程中，支持当事人对笔录的实时查看；</w:t>
            </w:r>
            <w:r>
              <w:rPr>
                <w:rFonts w:cs="宋体" w:asciiTheme="minorEastAsia" w:hAnsiTheme="minorEastAsia"/>
                <w:sz w:val="24"/>
                <w:szCs w:val="24"/>
              </w:rPr>
              <w:br/>
            </w:r>
            <w:r>
              <w:rPr>
                <w:rFonts w:cs="宋体" w:asciiTheme="minorEastAsia" w:hAnsiTheme="minorEastAsia"/>
                <w:sz w:val="24"/>
                <w:szCs w:val="24"/>
              </w:rPr>
              <w:t xml:space="preserve">8、在书记员控制下，可完成对完整笔录的查看及电子签名工作，并实现对笔录文件进行回传；</w:t>
            </w:r>
            <w:r>
              <w:rPr>
                <w:rFonts w:cs="宋体" w:asciiTheme="minorEastAsia" w:hAnsiTheme="minorEastAsia"/>
                <w:sz w:val="24"/>
                <w:szCs w:val="24"/>
              </w:rPr>
              <w:br/>
            </w:r>
            <w:r>
              <w:rPr>
                <w:rFonts w:cs="宋体" w:asciiTheme="minorEastAsia" w:hAnsiTheme="minorEastAsia"/>
                <w:sz w:val="24"/>
                <w:szCs w:val="24"/>
              </w:rPr>
              <w:t xml:space="preserve">9、客户端有多个摄像头，系统应支持自动选择适当的设备；</w:t>
            </w:r>
            <w:r>
              <w:rPr>
                <w:rFonts w:cs="宋体" w:asciiTheme="minorEastAsia" w:hAnsiTheme="minorEastAsia"/>
                <w:sz w:val="24"/>
                <w:szCs w:val="24"/>
              </w:rPr>
              <w:br/>
            </w:r>
            <w:r>
              <w:rPr>
                <w:rFonts w:cs="宋体" w:asciiTheme="minorEastAsia" w:hAnsiTheme="minorEastAsia"/>
                <w:sz w:val="24"/>
                <w:szCs w:val="24"/>
              </w:rPr>
              <w:t xml:space="preserve">10、为保证当事人案件信息的完整性，系统应支持对证据文件的共享及对当事人屏幕的共享。</w:t>
            </w:r>
            <w:r>
              <w:rPr>
                <w:rFonts w:cs="宋体" w:asciiTheme="minorEastAsia" w:hAnsiTheme="minorEastAsia"/>
                <w:sz w:val="24"/>
                <w:szCs w:val="24"/>
              </w:rPr>
              <w:br/>
            </w:r>
            <w:r>
              <w:rPr>
                <w:rFonts w:cs="宋体" w:asciiTheme="minorEastAsia" w:hAnsiTheme="minorEastAsia"/>
                <w:sz w:val="24"/>
                <w:szCs w:val="24"/>
              </w:rPr>
              <w:t xml:space="preserve">11、支持对方远程参与视频庭审，能够支持8路画面。</w:t>
            </w:r>
            <w:r>
              <w:rPr>
                <w:rFonts w:cs="宋体" w:asciiTheme="minorEastAsia" w:hAnsiTheme="minorEastAsia"/>
                <w:sz w:val="24"/>
                <w:szCs w:val="24"/>
              </w:rPr>
              <w:br/>
            </w:r>
            <w:r>
              <w:rPr>
                <w:rFonts w:cs="宋体" w:asciiTheme="minorEastAsia" w:hAnsiTheme="minorEastAsia"/>
                <w:sz w:val="24"/>
                <w:szCs w:val="24"/>
              </w:rPr>
              <w:t xml:space="preserve">12、能够屏蔽用户的误操作，用户有误操作时，系统不失效，不丢失数据；能够判断数据的有效性，屏蔽非法数据，给出提示信息。</w:t>
            </w:r>
            <w:r>
              <w:rPr>
                <w:rFonts w:cs="宋体" w:asciiTheme="minorEastAsia" w:hAnsiTheme="minorEastAsia"/>
                <w:sz w:val="24"/>
                <w:szCs w:val="24"/>
              </w:rPr>
              <w:br/>
            </w:r>
            <w:r>
              <w:rPr>
                <w:rFonts w:cs="宋体" w:asciiTheme="minorEastAsia" w:hAnsiTheme="minorEastAsia"/>
                <w:sz w:val="24"/>
                <w:szCs w:val="24"/>
              </w:rPr>
              <w:t xml:space="preserve">13、能够依据用户角色访问相关的信息和数据；能够保证数据在传输过程中加密。</w:t>
            </w:r>
            <w:r>
              <w:rPr>
                <w:rFonts w:cs="宋体" w:asciiTheme="minorEastAsia" w:hAnsiTheme="minorEastAsia"/>
                <w:sz w:val="24"/>
                <w:szCs w:val="24"/>
              </w:rPr>
              <w:br/>
            </w:r>
            <w:r>
              <w:rPr>
                <w:rFonts w:cs="宋体" w:asciiTheme="minorEastAsia" w:hAnsiTheme="minorEastAsia"/>
                <w:sz w:val="24"/>
                <w:szCs w:val="24"/>
              </w:rPr>
              <w:t xml:space="preserve">14、能够防止SQL注入漏洞攻击，能够防止CSRF漏洞攻击，能够防止XSS漏洞攻击，能够防止木马后门攻击，能够防止命令行漏洞攻击，能够保证系统中输入超长字符不失效。</w:t>
            </w:r>
            <w:r>
              <w:rPr>
                <w:rFonts w:cs="宋体" w:asciiTheme="minorEastAsia" w:hAnsiTheme="minorEastAsia"/>
                <w:sz w:val="24"/>
                <w:szCs w:val="24"/>
              </w:rPr>
              <w:br/>
            </w:r>
            <w:r>
              <w:rPr>
                <w:rFonts w:cs="宋体" w:asciiTheme="minorEastAsia" w:hAnsiTheme="minorEastAsia"/>
                <w:sz w:val="24"/>
                <w:szCs w:val="24"/>
              </w:rPr>
              <w:t xml:space="preserve">15、能够提供登录模块对用户进行身份标识和鉴别，正确的用户信息能够登录，错误的用户信息不能登录。</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20</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gridSpan w:val="3"/>
            <w:shd w:val="clear" w:color="000000" w:fill="ffffff"/>
            <w:tcW w:w="5222"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三、东海法院庭审系统</w:t>
            </w:r>
            <w:r/>
          </w:p>
        </w:tc>
        <w:tc>
          <w:tcPr>
            <w:shd w:val="clear" w:color="000000" w:fill="ffffff"/>
            <w:tcW w:w="686"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c>
          <w:tcPr>
            <w:shd w:val="clear" w:color="000000" w:fill="ffffff"/>
            <w:tcW w:w="632"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c>
          <w:tcPr>
            <w:shd w:val="clear" w:color="000000" w:fill="ffffff"/>
            <w:tcW w:w="863" w:type="dxa"/>
            <w:vAlign w:val="center"/>
            <w:textDirection w:val="lrTb"/>
            <w:noWrap w:val="false"/>
          </w:tcPr>
          <w:p>
            <w:pPr>
              <w:jc w:val="lef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电子随心签系统</w:t>
            </w:r>
            <w:r/>
          </w:p>
        </w:tc>
        <w:tc>
          <w:tcPr>
            <w:shd w:val="clear" w:color="000000" w:fill="ffffff"/>
            <w:tcW w:w="3908" w:type="dxa"/>
            <w:vAlign w:val="center"/>
            <w:textDirection w:val="lrTb"/>
            <w:noWrap w:val="false"/>
          </w:tcPr>
          <w:p>
            <w:pPr>
              <w:jc w:val="lef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1、针对笔录等文书文件提供电子签名服务</w:t>
            </w:r>
            <w:r>
              <w:rPr>
                <w:rFonts w:cs="宋体" w:asciiTheme="minorEastAsia" w:hAnsiTheme="minorEastAsia"/>
                <w:color w:val="000000"/>
                <w:sz w:val="24"/>
                <w:szCs w:val="24"/>
              </w:rPr>
              <w:br/>
            </w:r>
            <w:r>
              <w:rPr>
                <w:rFonts w:cs="宋体" w:asciiTheme="minorEastAsia" w:hAnsiTheme="minorEastAsia"/>
                <w:color w:val="000000"/>
                <w:sz w:val="24"/>
                <w:szCs w:val="24"/>
              </w:rPr>
              <w:t xml:space="preserve">2、支持本地签名板签名和互联网端签名</w:t>
            </w:r>
            <w:r>
              <w:rPr>
                <w:rFonts w:cs="宋体" w:asciiTheme="minorEastAsia" w:hAnsiTheme="minorEastAsia"/>
                <w:color w:val="000000"/>
                <w:sz w:val="24"/>
                <w:szCs w:val="24"/>
              </w:rPr>
              <w:br/>
            </w:r>
            <w:r>
              <w:rPr>
                <w:rFonts w:cs="宋体" w:asciiTheme="minorEastAsia" w:hAnsiTheme="minorEastAsia"/>
                <w:color w:val="000000"/>
                <w:sz w:val="24"/>
                <w:szCs w:val="24"/>
              </w:rPr>
              <w:t xml:space="preserve">3、支持每页签、尾页签、指定位置签等多种签名模式</w:t>
            </w:r>
            <w:r>
              <w:rPr>
                <w:rFonts w:cs="宋体" w:asciiTheme="minorEastAsia" w:hAnsiTheme="minorEastAsia"/>
                <w:color w:val="000000"/>
                <w:sz w:val="24"/>
                <w:szCs w:val="24"/>
              </w:rPr>
              <w:br/>
            </w:r>
            <w:r>
              <w:rPr>
                <w:rFonts w:cs="宋体" w:asciiTheme="minorEastAsia" w:hAnsiTheme="minorEastAsia"/>
                <w:color w:val="000000"/>
                <w:sz w:val="24"/>
                <w:szCs w:val="24"/>
              </w:rPr>
              <w:t xml:space="preserve">4、支持实时查看签名图片，并支持拖动位置、删除 、重签等操作</w:t>
            </w:r>
            <w:r>
              <w:rPr>
                <w:rFonts w:cs="宋体" w:asciiTheme="minorEastAsia" w:hAnsiTheme="minorEastAsia"/>
                <w:color w:val="000000"/>
                <w:sz w:val="24"/>
                <w:szCs w:val="24"/>
              </w:rPr>
              <w:br/>
            </w:r>
            <w:r>
              <w:rPr>
                <w:rFonts w:cs="宋体" w:asciiTheme="minorEastAsia" w:hAnsiTheme="minorEastAsia"/>
                <w:color w:val="000000"/>
                <w:sz w:val="24"/>
                <w:szCs w:val="24"/>
              </w:rPr>
              <w:t xml:space="preserve">5、支持签名文件导出</w:t>
            </w:r>
            <w:r/>
          </w:p>
        </w:tc>
        <w:tc>
          <w:tcPr>
            <w:shd w:val="clear" w:color="000000" w:fill="ffffff"/>
            <w:tcW w:w="686"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19</w:t>
            </w:r>
            <w:r/>
          </w:p>
        </w:tc>
        <w:tc>
          <w:tcPr>
            <w:shd w:val="clear" w:color="000000" w:fill="ffffff"/>
            <w:tcW w:w="632"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电子签字捺印终端</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1、跟中控系统兼容（满足定制开发）</w:t>
            </w:r>
            <w:r>
              <w:rPr>
                <w:rFonts w:cs="宋体" w:asciiTheme="minorEastAsia" w:hAnsiTheme="minorEastAsia"/>
                <w:sz w:val="24"/>
                <w:szCs w:val="24"/>
              </w:rPr>
              <w:br/>
            </w:r>
            <w:r>
              <w:rPr>
                <w:rFonts w:cs="宋体" w:asciiTheme="minorEastAsia" w:hAnsiTheme="minorEastAsia"/>
                <w:sz w:val="24"/>
                <w:szCs w:val="24"/>
              </w:rPr>
              <w:t xml:space="preserve">2、</w:t>
            </w:r>
            <w:r>
              <w:rPr>
                <w:rFonts w:hint="eastAsia" w:cs="宋体" w:asciiTheme="minorEastAsia" w:hAnsiTheme="minorEastAsia"/>
                <w:sz w:val="24"/>
                <w:szCs w:val="24"/>
                <w:lang w:eastAsia="zh-CN"/>
              </w:rPr>
              <w:t xml:space="preserve">处理器性能不低于四核架构， 运行内存不低于2G，存储不低于16G，配备10.1英寸电容电磁双控屏，符合公安部标准的指纹识别模块， 1/3 CMOS，1920*1080@30fps，200W高清图像传感器鱼眼摄像头，带镜头畸变矫正芯片。</w:t>
            </w:r>
            <w:r>
              <w:rPr>
                <w:rFonts w:cs="宋体" w:asciiTheme="minorEastAsia" w:hAnsiTheme="minorEastAsia"/>
                <w:sz w:val="24"/>
                <w:szCs w:val="24"/>
              </w:rPr>
              <w:t xml:space="preserve">。</w:t>
            </w:r>
            <w:r>
              <w:rPr>
                <w:rFonts w:cs="宋体" w:asciiTheme="minorEastAsia" w:hAnsiTheme="minorEastAsia"/>
                <w:sz w:val="24"/>
                <w:szCs w:val="24"/>
              </w:rPr>
              <w:br/>
            </w:r>
            <w:r>
              <w:rPr>
                <w:rFonts w:cs="宋体" w:asciiTheme="minorEastAsia" w:hAnsiTheme="minorEastAsia"/>
                <w:sz w:val="24"/>
                <w:szCs w:val="24"/>
              </w:rPr>
              <w:t xml:space="preserve">3、可自动采集当事人签署过程，证实本人自愿签署该文件，作为辅助凭证。</w:t>
            </w:r>
            <w:r/>
          </w:p>
        </w:tc>
        <w:tc>
          <w:tcPr>
            <w:shd w:val="clear" w:color="000000" w:fill="ffffff"/>
            <w:tcW w:w="686"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19</w:t>
            </w:r>
            <w:r/>
          </w:p>
        </w:tc>
        <w:tc>
          <w:tcPr>
            <w:shd w:val="clear" w:color="000000" w:fill="ffffff"/>
            <w:tcW w:w="632"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3</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庭审应用系统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1、具备功能：为法官、书记员、当事人提供应用服务，包含排期管理、音视频连接与控制、庭审录音录像、笔录制作、笔录同步、笔录校对、语音播报、共享屏幕、刻录打印、本地示证等功能 ，支持无书记员庭审模式，支持远程庭审、互联网庭审</w:t>
            </w:r>
            <w:r>
              <w:rPr>
                <w:rFonts w:cs="宋体" w:asciiTheme="minorEastAsia" w:hAnsiTheme="minorEastAsia"/>
                <w:sz w:val="24"/>
                <w:szCs w:val="24"/>
              </w:rPr>
              <w:br/>
            </w:r>
            <w:r>
              <w:rPr>
                <w:rFonts w:cs="宋体" w:asciiTheme="minorEastAsia" w:hAnsiTheme="minorEastAsia"/>
                <w:sz w:val="24"/>
                <w:szCs w:val="24"/>
              </w:rPr>
              <w:t xml:space="preserve">2、支持对庭审中法官、书记员、当事人等各项应用功能提供信创环境的适配服务。</w:t>
            </w:r>
            <w:r>
              <w:rPr>
                <w:rFonts w:cs="宋体" w:asciiTheme="minorEastAsia" w:hAnsiTheme="minorEastAsia"/>
                <w:sz w:val="24"/>
                <w:szCs w:val="24"/>
              </w:rPr>
              <w:br/>
            </w:r>
            <w:r>
              <w:rPr>
                <w:rFonts w:cs="宋体" w:asciiTheme="minorEastAsia" w:hAnsiTheme="minorEastAsia"/>
                <w:sz w:val="24"/>
                <w:szCs w:val="24"/>
              </w:rPr>
              <w:t xml:space="preserve">3、支持自动生成笔录模板，支持添加各类案件审理所需的笔录模板。</w:t>
            </w:r>
            <w:r>
              <w:rPr>
                <w:rFonts w:cs="宋体" w:asciiTheme="minorEastAsia" w:hAnsiTheme="minorEastAsia"/>
                <w:sz w:val="24"/>
                <w:szCs w:val="24"/>
              </w:rPr>
              <w:br/>
            </w:r>
            <w:r>
              <w:rPr>
                <w:rFonts w:cs="宋体" w:asciiTheme="minorEastAsia" w:hAnsiTheme="minorEastAsia"/>
                <w:sz w:val="24"/>
                <w:szCs w:val="24"/>
              </w:rPr>
              <w:t xml:space="preserve">4、支持灵活选择笔录模板，自动生成笔录纲要，支持书记员直接使用或进一步完善笔录，能够正确处理异常的笔录内容，能够完成笔录预设；</w:t>
            </w:r>
            <w:r>
              <w:rPr>
                <w:rFonts w:cs="宋体" w:asciiTheme="minorEastAsia" w:hAnsiTheme="minorEastAsia"/>
                <w:sz w:val="24"/>
                <w:szCs w:val="24"/>
              </w:rPr>
              <w:br/>
            </w:r>
            <w:r>
              <w:rPr>
                <w:rFonts w:cs="宋体" w:asciiTheme="minorEastAsia" w:hAnsiTheme="minorEastAsia"/>
                <w:sz w:val="24"/>
                <w:szCs w:val="24"/>
              </w:rPr>
              <w:t xml:space="preserve">5、支持庭审系统软硬件的自动检测； </w:t>
            </w:r>
            <w:r>
              <w:rPr>
                <w:rFonts w:cs="宋体" w:asciiTheme="minorEastAsia" w:hAnsiTheme="minorEastAsia"/>
                <w:sz w:val="24"/>
                <w:szCs w:val="24"/>
              </w:rPr>
              <w:br/>
            </w:r>
            <w:r>
              <w:rPr>
                <w:rFonts w:cs="宋体" w:asciiTheme="minorEastAsia" w:hAnsiTheme="minorEastAsia"/>
                <w:sz w:val="24"/>
                <w:szCs w:val="24"/>
              </w:rPr>
              <w:t xml:space="preserve">6、支持自动播报法庭纪律，播报男女声可选且内容可定制；</w:t>
            </w:r>
            <w:r>
              <w:rPr>
                <w:rFonts w:cs="宋体" w:asciiTheme="minorEastAsia" w:hAnsiTheme="minorEastAsia"/>
                <w:sz w:val="24"/>
                <w:szCs w:val="24"/>
              </w:rPr>
              <w:br/>
            </w:r>
            <w:r>
              <w:rPr>
                <w:rFonts w:cs="宋体" w:asciiTheme="minorEastAsia" w:hAnsiTheme="minorEastAsia"/>
                <w:sz w:val="24"/>
                <w:szCs w:val="24"/>
              </w:rPr>
              <w:t xml:space="preserve">7、支持通过语音识别辅助生产笔录内容；</w:t>
            </w:r>
            <w:r>
              <w:rPr>
                <w:rFonts w:cs="宋体" w:asciiTheme="minorEastAsia" w:hAnsiTheme="minorEastAsia"/>
                <w:sz w:val="24"/>
                <w:szCs w:val="24"/>
              </w:rPr>
              <w:br/>
            </w:r>
            <w:r>
              <w:rPr>
                <w:rFonts w:cs="宋体" w:asciiTheme="minorEastAsia" w:hAnsiTheme="minorEastAsia"/>
                <w:sz w:val="24"/>
                <w:szCs w:val="24"/>
              </w:rPr>
              <w:t xml:space="preserve">8、支持实时对庭审音视频进行光盘刻录，支持庭审结束后对庭审音视频进行光盘刻录；</w:t>
            </w:r>
            <w:r>
              <w:rPr>
                <w:rFonts w:cs="宋体" w:asciiTheme="minorEastAsia" w:hAnsiTheme="minorEastAsia"/>
                <w:sz w:val="24"/>
                <w:szCs w:val="24"/>
              </w:rPr>
              <w:br/>
            </w:r>
            <w:r>
              <w:rPr>
                <w:rFonts w:cs="宋体" w:asciiTheme="minorEastAsia" w:hAnsiTheme="minorEastAsia"/>
                <w:sz w:val="24"/>
                <w:szCs w:val="24"/>
              </w:rPr>
              <w:t xml:space="preserve">9、支持法官、书记员、当事人应用系统间的数据交互。 </w:t>
            </w:r>
            <w:r>
              <w:rPr>
                <w:rFonts w:cs="宋体" w:asciiTheme="minorEastAsia" w:hAnsiTheme="minorEastAsia"/>
                <w:sz w:val="24"/>
                <w:szCs w:val="24"/>
              </w:rPr>
              <w:br/>
            </w:r>
            <w:r>
              <w:rPr>
                <w:rFonts w:cs="宋体" w:asciiTheme="minorEastAsia" w:hAnsiTheme="minorEastAsia"/>
                <w:sz w:val="24"/>
                <w:szCs w:val="24"/>
              </w:rPr>
              <w:t xml:space="preserve">10、智慧庭审系统在庭后阶段支持笔录校对功能，支持笔录正文、庭审录像和语音识别记录三者联动，辅助进行笔录内容校对确认。</w:t>
            </w:r>
            <w:r>
              <w:rPr>
                <w:rFonts w:cs="宋体" w:asciiTheme="minorEastAsia" w:hAnsiTheme="minorEastAsia"/>
                <w:sz w:val="24"/>
                <w:szCs w:val="24"/>
              </w:rPr>
              <w:br/>
            </w:r>
            <w:r>
              <w:rPr>
                <w:rFonts w:cs="宋体" w:asciiTheme="minorEastAsia" w:hAnsiTheme="minorEastAsia"/>
                <w:sz w:val="24"/>
                <w:szCs w:val="24"/>
              </w:rPr>
              <w:t xml:space="preserve">11、智慧庭审系统需具备与安全平台的兼容性测试，且能够防止 CSRF/XSS 攻击漏洞，防止木马后门攻击检查、防止 SQL 注入攻击漏洞。</w:t>
            </w:r>
            <w:r>
              <w:rPr>
                <w:rFonts w:cs="宋体" w:asciiTheme="minorEastAsia" w:hAnsiTheme="minorEastAsia"/>
                <w:sz w:val="24"/>
                <w:szCs w:val="24"/>
              </w:rPr>
              <w:br/>
            </w:r>
            <w:r>
              <w:rPr>
                <w:rFonts w:cs="宋体" w:asciiTheme="minorEastAsia" w:hAnsiTheme="minorEastAsia"/>
                <w:sz w:val="24"/>
                <w:szCs w:val="24"/>
              </w:rPr>
              <w:t xml:space="preserve">12、 支持电子签名系统：针对笔录等文书文件提供电子签名服务， 支持本地签名板签名和互联网端签名，支持每页签、尾页签、指定位置签等多种签名模式，支持实时查看签名图片，并支持拖动位置、删除 、重签等操作，支持签名文件导出。</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40</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4</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互联网庭审应用系统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1、支持</w:t>
            </w:r>
            <w:r>
              <w:rPr>
                <w:rFonts w:hint="eastAsia" w:cs="宋体" w:asciiTheme="minorEastAsia" w:hAnsiTheme="minorEastAsia"/>
                <w:sz w:val="24"/>
                <w:szCs w:val="24"/>
              </w:rPr>
              <w:t xml:space="preserve">4</w:t>
            </w:r>
            <w:r>
              <w:rPr>
                <w:rFonts w:cs="宋体" w:asciiTheme="minorEastAsia" w:hAnsiTheme="minorEastAsia"/>
                <w:sz w:val="24"/>
                <w:szCs w:val="24"/>
              </w:rPr>
              <w:t xml:space="preserve">0间法庭互联网庭审，并发数不低于</w:t>
            </w:r>
            <w:r>
              <w:rPr>
                <w:rFonts w:hint="eastAsia" w:cs="宋体" w:asciiTheme="minorEastAsia" w:hAnsiTheme="minorEastAsia"/>
                <w:sz w:val="24"/>
                <w:szCs w:val="24"/>
              </w:rPr>
              <w:t xml:space="preserve">12</w:t>
            </w:r>
            <w:r>
              <w:rPr>
                <w:rFonts w:cs="宋体" w:asciiTheme="minorEastAsia" w:hAnsiTheme="minorEastAsia"/>
                <w:sz w:val="24"/>
                <w:szCs w:val="24"/>
              </w:rPr>
              <w:t xml:space="preserve">路（即支持同时互联网庭审法庭数量不低于</w:t>
            </w:r>
            <w:r>
              <w:rPr>
                <w:rFonts w:hint="eastAsia" w:cs="宋体" w:asciiTheme="minorEastAsia" w:hAnsiTheme="minorEastAsia"/>
                <w:sz w:val="24"/>
                <w:szCs w:val="24"/>
              </w:rPr>
              <w:t xml:space="preserve">12</w:t>
            </w:r>
            <w:r>
              <w:rPr>
                <w:rFonts w:cs="宋体" w:asciiTheme="minorEastAsia" w:hAnsiTheme="minorEastAsia"/>
                <w:sz w:val="24"/>
                <w:szCs w:val="24"/>
              </w:rPr>
              <w:t xml:space="preserve">间法庭）</w:t>
            </w:r>
            <w:r>
              <w:rPr>
                <w:rFonts w:cs="宋体" w:asciiTheme="minorEastAsia" w:hAnsiTheme="minorEastAsia"/>
                <w:sz w:val="24"/>
                <w:szCs w:val="24"/>
              </w:rPr>
              <w:br/>
            </w:r>
            <w:r>
              <w:rPr>
                <w:rFonts w:cs="宋体" w:asciiTheme="minorEastAsia" w:hAnsiTheme="minorEastAsia"/>
                <w:sz w:val="24"/>
                <w:szCs w:val="24"/>
              </w:rPr>
              <w:t xml:space="preserve">2、应具备支持多种平台安装部署方式，如PC客户端、手机端应用等；</w:t>
            </w:r>
            <w:r>
              <w:rPr>
                <w:rFonts w:cs="宋体" w:asciiTheme="minorEastAsia" w:hAnsiTheme="minorEastAsia"/>
                <w:sz w:val="24"/>
                <w:szCs w:val="24"/>
              </w:rPr>
              <w:br/>
            </w:r>
            <w:r>
              <w:rPr>
                <w:rFonts w:cs="宋体" w:asciiTheme="minorEastAsia" w:hAnsiTheme="minorEastAsia"/>
                <w:sz w:val="24"/>
                <w:szCs w:val="24"/>
              </w:rPr>
              <w:t xml:space="preserve">3、支持对当事人身份的核验，当事人应可通过多种方式登录系统；</w:t>
            </w:r>
            <w:r>
              <w:rPr>
                <w:rFonts w:cs="宋体" w:asciiTheme="minorEastAsia" w:hAnsiTheme="minorEastAsia"/>
                <w:sz w:val="24"/>
                <w:szCs w:val="24"/>
              </w:rPr>
              <w:br/>
            </w:r>
            <w:r>
              <w:rPr>
                <w:rFonts w:cs="宋体" w:asciiTheme="minorEastAsia" w:hAnsiTheme="minorEastAsia"/>
                <w:sz w:val="24"/>
                <w:szCs w:val="24"/>
              </w:rPr>
              <w:t xml:space="preserve">4、在获得法官同意后，当事人应可主动加入庭审，并具备明显的文字提醒；</w:t>
            </w:r>
            <w:r>
              <w:rPr>
                <w:rFonts w:cs="宋体" w:asciiTheme="minorEastAsia" w:hAnsiTheme="minorEastAsia"/>
                <w:sz w:val="24"/>
                <w:szCs w:val="24"/>
              </w:rPr>
              <w:br/>
            </w:r>
            <w:r>
              <w:rPr>
                <w:rFonts w:cs="宋体" w:asciiTheme="minorEastAsia" w:hAnsiTheme="minorEastAsia"/>
                <w:sz w:val="24"/>
                <w:szCs w:val="24"/>
              </w:rPr>
              <w:t xml:space="preserve">5、系统应可展示用户所有案件的相关信息，并支持对某一案件信息详情的查看；</w:t>
            </w:r>
            <w:r>
              <w:rPr>
                <w:rFonts w:cs="宋体" w:asciiTheme="minorEastAsia" w:hAnsiTheme="minorEastAsia"/>
                <w:sz w:val="24"/>
                <w:szCs w:val="24"/>
              </w:rPr>
              <w:br/>
            </w:r>
            <w:r>
              <w:rPr>
                <w:rFonts w:cs="宋体" w:asciiTheme="minorEastAsia" w:hAnsiTheme="minorEastAsia"/>
                <w:sz w:val="24"/>
                <w:szCs w:val="24"/>
              </w:rPr>
              <w:t xml:space="preserve">6、支持当事人实时查看各方音视频画面，并保证信息传递质量；</w:t>
            </w:r>
            <w:r>
              <w:rPr>
                <w:rFonts w:cs="宋体" w:asciiTheme="minorEastAsia" w:hAnsiTheme="minorEastAsia"/>
                <w:sz w:val="24"/>
                <w:szCs w:val="24"/>
              </w:rPr>
              <w:br/>
            </w:r>
            <w:r>
              <w:rPr>
                <w:rFonts w:cs="宋体" w:asciiTheme="minorEastAsia" w:hAnsiTheme="minorEastAsia"/>
                <w:sz w:val="24"/>
                <w:szCs w:val="24"/>
              </w:rPr>
              <w:t xml:space="preserve">7、在庭审过程中，支持当事人对笔录的实时查看；</w:t>
            </w:r>
            <w:r>
              <w:rPr>
                <w:rFonts w:cs="宋体" w:asciiTheme="minorEastAsia" w:hAnsiTheme="minorEastAsia"/>
                <w:sz w:val="24"/>
                <w:szCs w:val="24"/>
              </w:rPr>
              <w:br/>
            </w:r>
            <w:r>
              <w:rPr>
                <w:rFonts w:cs="宋体" w:asciiTheme="minorEastAsia" w:hAnsiTheme="minorEastAsia"/>
                <w:sz w:val="24"/>
                <w:szCs w:val="24"/>
              </w:rPr>
              <w:t xml:space="preserve">8、在书记员控制下，可完成对完整笔录的查看及电子签名工作，并实现对笔录文件进行回传；</w:t>
            </w:r>
            <w:r>
              <w:rPr>
                <w:rFonts w:cs="宋体" w:asciiTheme="minorEastAsia" w:hAnsiTheme="minorEastAsia"/>
                <w:sz w:val="24"/>
                <w:szCs w:val="24"/>
              </w:rPr>
              <w:br/>
            </w:r>
            <w:r>
              <w:rPr>
                <w:rFonts w:cs="宋体" w:asciiTheme="minorEastAsia" w:hAnsiTheme="minorEastAsia"/>
                <w:sz w:val="24"/>
                <w:szCs w:val="24"/>
              </w:rPr>
              <w:t xml:space="preserve">9、客户端有多个摄像头，系统应支持自动选择适当的设备；</w:t>
            </w:r>
            <w:r>
              <w:rPr>
                <w:rFonts w:cs="宋体" w:asciiTheme="minorEastAsia" w:hAnsiTheme="minorEastAsia"/>
                <w:sz w:val="24"/>
                <w:szCs w:val="24"/>
              </w:rPr>
              <w:br/>
            </w:r>
            <w:r>
              <w:rPr>
                <w:rFonts w:cs="宋体" w:asciiTheme="minorEastAsia" w:hAnsiTheme="minorEastAsia"/>
                <w:sz w:val="24"/>
                <w:szCs w:val="24"/>
              </w:rPr>
              <w:t xml:space="preserve">10、为保证当事人案件信息的完整性，系统应支持对证据文件的共享及对当事人屏幕的共享。</w:t>
            </w:r>
            <w:r>
              <w:rPr>
                <w:rFonts w:cs="宋体" w:asciiTheme="minorEastAsia" w:hAnsiTheme="minorEastAsia"/>
                <w:sz w:val="24"/>
                <w:szCs w:val="24"/>
              </w:rPr>
              <w:br/>
            </w:r>
            <w:r>
              <w:rPr>
                <w:rFonts w:cs="宋体" w:asciiTheme="minorEastAsia" w:hAnsiTheme="minorEastAsia"/>
                <w:sz w:val="24"/>
                <w:szCs w:val="24"/>
              </w:rPr>
              <w:t xml:space="preserve">11、支持对方远程参与视频庭审，能够支持8路画面。</w:t>
            </w:r>
            <w:r>
              <w:rPr>
                <w:rFonts w:cs="宋体" w:asciiTheme="minorEastAsia" w:hAnsiTheme="minorEastAsia"/>
                <w:sz w:val="24"/>
                <w:szCs w:val="24"/>
              </w:rPr>
              <w:br/>
            </w:r>
            <w:r>
              <w:rPr>
                <w:rFonts w:cs="宋体" w:asciiTheme="minorEastAsia" w:hAnsiTheme="minorEastAsia"/>
                <w:sz w:val="24"/>
                <w:szCs w:val="24"/>
              </w:rPr>
              <w:t xml:space="preserve">12、能够屏蔽用户的误操作，用户有误操作时，系统不失效，不丢失数据；能够判断数据的有效性，屏蔽非法数据，给出提示信息。</w:t>
            </w:r>
            <w:r>
              <w:rPr>
                <w:rFonts w:cs="宋体" w:asciiTheme="minorEastAsia" w:hAnsiTheme="minorEastAsia"/>
                <w:sz w:val="24"/>
                <w:szCs w:val="24"/>
              </w:rPr>
              <w:br/>
            </w:r>
            <w:r>
              <w:rPr>
                <w:rFonts w:cs="宋体" w:asciiTheme="minorEastAsia" w:hAnsiTheme="minorEastAsia"/>
                <w:sz w:val="24"/>
                <w:szCs w:val="24"/>
              </w:rPr>
              <w:t xml:space="preserve">13、能够依据用户角色访问相关的信息和数据；能够保证数据在传输过程中加密。</w:t>
            </w:r>
            <w:r>
              <w:rPr>
                <w:rFonts w:cs="宋体" w:asciiTheme="minorEastAsia" w:hAnsiTheme="minorEastAsia"/>
                <w:sz w:val="24"/>
                <w:szCs w:val="24"/>
              </w:rPr>
              <w:br/>
            </w:r>
            <w:r>
              <w:rPr>
                <w:rFonts w:cs="宋体" w:asciiTheme="minorEastAsia" w:hAnsiTheme="minorEastAsia"/>
                <w:sz w:val="24"/>
                <w:szCs w:val="24"/>
              </w:rPr>
              <w:t xml:space="preserve">14、能够防止SQL注入漏洞攻击，能够防止CSRF漏洞攻击，能够防止XSS漏洞攻击，能够防止木马后门攻击，能够防止命令行漏洞攻击，能够保证系统中输入超长字符不失效。</w:t>
            </w:r>
            <w:r>
              <w:rPr>
                <w:rFonts w:cs="宋体" w:asciiTheme="minorEastAsia" w:hAnsiTheme="minorEastAsia"/>
                <w:sz w:val="24"/>
                <w:szCs w:val="24"/>
              </w:rPr>
              <w:br/>
            </w:r>
            <w:r>
              <w:rPr>
                <w:rFonts w:cs="宋体" w:asciiTheme="minorEastAsia" w:hAnsiTheme="minorEastAsia"/>
                <w:sz w:val="24"/>
                <w:szCs w:val="24"/>
              </w:rPr>
              <w:t xml:space="preserve">15、能够提供登录模块对用户进行身份标识和鉴别，正确的用户信息能够登录，错误的用户信息不能登录。</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40</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gridSpan w:val="3"/>
            <w:shd w:val="clear" w:color="000000" w:fill="ffffff"/>
            <w:tcW w:w="5222"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四、灌云法院庭审系统</w:t>
            </w:r>
            <w:r/>
          </w:p>
        </w:tc>
        <w:tc>
          <w:tcPr>
            <w:shd w:val="clear" w:color="000000" w:fill="ffffff"/>
            <w:tcW w:w="686"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c>
          <w:tcPr>
            <w:shd w:val="clear" w:color="000000" w:fill="ffffff"/>
            <w:tcW w:w="632"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c>
          <w:tcPr>
            <w:shd w:val="clear" w:color="000000" w:fill="ffffff"/>
            <w:tcW w:w="863" w:type="dxa"/>
            <w:vAlign w:val="center"/>
            <w:textDirection w:val="lrTb"/>
            <w:noWrap w:val="false"/>
          </w:tcPr>
          <w:p>
            <w:pPr>
              <w:jc w:val="lef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庭审流媒体服务系统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1、需具备流媒体录播服务，应支持多媒体信号同步录制；</w:t>
            </w:r>
            <w:r/>
          </w:p>
          <w:p>
            <w:pPr>
              <w:jc w:val="left"/>
              <w:widowControl/>
              <w:rPr>
                <w:rFonts w:cs="宋体" w:asciiTheme="minorEastAsia" w:hAnsiTheme="minorEastAsia"/>
                <w:sz w:val="24"/>
                <w:szCs w:val="24"/>
              </w:rPr>
            </w:pPr>
            <w:r>
              <w:rPr>
                <w:rFonts w:cs="宋体" w:asciiTheme="minorEastAsia" w:hAnsiTheme="minorEastAsia"/>
                <w:sz w:val="24"/>
                <w:szCs w:val="24"/>
              </w:rPr>
              <w:br w:type="page" w:clear="all"/>
            </w:r>
            <w:r>
              <w:rPr>
                <w:rFonts w:cs="宋体" w:asciiTheme="minorEastAsia" w:hAnsiTheme="minorEastAsia"/>
                <w:sz w:val="24"/>
                <w:szCs w:val="24"/>
              </w:rPr>
              <w:t xml:space="preserve">2、需支持不少于24个高清法庭各路高清编码信号输入存储及直播。</w:t>
            </w:r>
            <w:r>
              <w:rPr>
                <w:rFonts w:cs="宋体" w:asciiTheme="minorEastAsia" w:hAnsiTheme="minorEastAsia"/>
                <w:sz w:val="24"/>
                <w:szCs w:val="24"/>
              </w:rPr>
              <w:br w:type="page" w:clear="all"/>
            </w:r>
            <w:r>
              <w:rPr>
                <w:rFonts w:cs="宋体" w:asciiTheme="minorEastAsia" w:hAnsiTheme="minorEastAsia"/>
                <w:sz w:val="24"/>
                <w:szCs w:val="24"/>
              </w:rPr>
              <w:t xml:space="preserve">3、需支持连接远程法庭、远程讯问室，转发远程音视频数据流给庭审终端，并对远程数据流同步录制为单独文件。</w:t>
            </w:r>
            <w:r/>
          </w:p>
          <w:p>
            <w:pPr>
              <w:jc w:val="left"/>
              <w:widowControl/>
              <w:rPr>
                <w:rFonts w:cs="宋体" w:asciiTheme="minorEastAsia" w:hAnsiTheme="minorEastAsia"/>
                <w:sz w:val="24"/>
                <w:szCs w:val="24"/>
              </w:rPr>
            </w:pPr>
            <w:r>
              <w:rPr>
                <w:rFonts w:cs="宋体" w:asciiTheme="minorEastAsia" w:hAnsiTheme="minorEastAsia"/>
                <w:sz w:val="24"/>
                <w:szCs w:val="24"/>
              </w:rPr>
              <w:br w:type="page" w:clear="all"/>
            </w:r>
            <w:r>
              <w:rPr>
                <w:rFonts w:cs="宋体" w:asciiTheme="minorEastAsia" w:hAnsiTheme="minorEastAsia"/>
                <w:sz w:val="24"/>
                <w:szCs w:val="24"/>
              </w:rPr>
              <w:t xml:space="preserve">4、需支持对其他法院的庭审直播进行数据流转发，接收其他法院的单路直播流，在本院分发给多电脑观看，减少专网带宽占用。</w:t>
            </w:r>
            <w:r/>
          </w:p>
          <w:p>
            <w:pPr>
              <w:jc w:val="left"/>
              <w:widowControl/>
              <w:rPr>
                <w:rFonts w:cs="宋体" w:asciiTheme="minorEastAsia" w:hAnsiTheme="minorEastAsia"/>
                <w:sz w:val="24"/>
                <w:szCs w:val="24"/>
              </w:rPr>
            </w:pPr>
            <w:r>
              <w:rPr>
                <w:rFonts w:cs="宋体" w:asciiTheme="minorEastAsia" w:hAnsiTheme="minorEastAsia"/>
                <w:sz w:val="24"/>
                <w:szCs w:val="24"/>
              </w:rPr>
              <w:br w:type="page" w:clear="all"/>
            </w:r>
            <w:r>
              <w:rPr>
                <w:rFonts w:cs="宋体" w:asciiTheme="minorEastAsia" w:hAnsiTheme="minorEastAsia"/>
                <w:sz w:val="24"/>
                <w:szCs w:val="24"/>
              </w:rPr>
              <w:t xml:space="preserve">5、输出格式要求：需符合最高院要求的H.264编码，符合最高院要求的MPEG4文件存放格式；</w:t>
            </w:r>
            <w:r>
              <w:rPr>
                <w:rFonts w:cs="宋体" w:asciiTheme="minorEastAsia" w:hAnsiTheme="minorEastAsia"/>
                <w:sz w:val="24"/>
                <w:szCs w:val="24"/>
              </w:rPr>
              <w:br w:type="page" w:clear="all"/>
            </w:r>
            <w:r/>
          </w:p>
          <w:p>
            <w:pPr>
              <w:jc w:val="left"/>
              <w:widowControl/>
              <w:rPr>
                <w:rFonts w:cs="宋体" w:asciiTheme="minorEastAsia" w:hAnsiTheme="minorEastAsia"/>
                <w:sz w:val="24"/>
                <w:szCs w:val="24"/>
              </w:rPr>
            </w:pPr>
            <w:r>
              <w:rPr>
                <w:rFonts w:cs="宋体" w:asciiTheme="minorEastAsia" w:hAnsiTheme="minorEastAsia"/>
                <w:sz w:val="24"/>
                <w:szCs w:val="24"/>
              </w:rPr>
              <w:t xml:space="preserve">6、需实时存储、直播，音视频完全同步，局域网内直播延时不大于200毫秒；</w:t>
            </w:r>
            <w:r/>
          </w:p>
          <w:p>
            <w:pPr>
              <w:jc w:val="left"/>
              <w:widowControl/>
              <w:rPr>
                <w:rFonts w:cs="宋体" w:asciiTheme="minorEastAsia" w:hAnsiTheme="minorEastAsia"/>
                <w:sz w:val="24"/>
                <w:szCs w:val="24"/>
              </w:rPr>
            </w:pPr>
            <w:r>
              <w:rPr>
                <w:rFonts w:cs="宋体" w:asciiTheme="minorEastAsia" w:hAnsiTheme="minorEastAsia"/>
                <w:sz w:val="24"/>
                <w:szCs w:val="24"/>
              </w:rPr>
              <w:br w:type="page" w:clear="all"/>
            </w:r>
            <w:r>
              <w:rPr>
                <w:rFonts w:cs="宋体" w:asciiTheme="minorEastAsia" w:hAnsiTheme="minorEastAsia"/>
                <w:sz w:val="24"/>
                <w:szCs w:val="24"/>
              </w:rPr>
              <w:t xml:space="preserve">7、全部采用中文用户操作界面，使用简捷、友好；支持庭审录像叠加庭审实际时间、文字等信息；支持50人同时在线观看直播、点播；同一时间在线人数需支持100人以上高清庭审直播、点播，并保证画面的流畅、稳定；支持多套录播服务器系统负载均衡。</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庭审流媒体服务系统服务器</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CPU规格：采用鲲鹏、飞腾、海光主流处理器，物理核数</w:t>
            </w:r>
            <w:r>
              <w:rPr>
                <w:rFonts w:cs="宋体" w:asciiTheme="minorEastAsia" w:hAnsiTheme="minorEastAsia"/>
                <w:sz w:val="24"/>
                <w:szCs w:val="24"/>
              </w:rPr>
              <w:t xml:space="preserve">不低于32核</w:t>
            </w:r>
            <w:r>
              <w:rPr>
                <w:rFonts w:hint="eastAsia" w:cs="宋体" w:asciiTheme="minorEastAsia" w:hAnsiTheme="minorEastAsia"/>
                <w:sz w:val="24"/>
                <w:szCs w:val="24"/>
              </w:rPr>
              <w:t xml:space="preserve">，</w:t>
            </w:r>
            <w:r>
              <w:rPr>
                <w:rFonts w:cs="宋体" w:asciiTheme="minorEastAsia" w:hAnsiTheme="minorEastAsia"/>
                <w:sz w:val="24"/>
                <w:szCs w:val="24"/>
              </w:rPr>
              <w:t xml:space="preserve">处理器标准性能，支持通用计算及虚拟化功能，集成整型计算单元、浮点计算单元、内存控制器、I/O模块等基础算力单元</w:t>
            </w:r>
            <w:r>
              <w:rPr>
                <w:rFonts w:hint="eastAsia" w:cs="宋体" w:asciiTheme="minorEastAsia" w:hAnsiTheme="minorEastAsia"/>
                <w:sz w:val="24"/>
                <w:szCs w:val="24"/>
              </w:rPr>
              <w:t xml:space="preserve">；</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内存规格：</w:t>
            </w:r>
            <w:r>
              <w:rPr>
                <w:rFonts w:cs="宋体" w:asciiTheme="minorEastAsia" w:hAnsiTheme="minorEastAsia"/>
                <w:sz w:val="24"/>
                <w:szCs w:val="24"/>
              </w:rPr>
              <w:t xml:space="preserve">不低于</w:t>
            </w:r>
            <w:r>
              <w:rPr>
                <w:rFonts w:hint="eastAsia" w:cs="宋体" w:asciiTheme="minorEastAsia" w:hAnsiTheme="minorEastAsia"/>
                <w:sz w:val="24"/>
                <w:szCs w:val="24"/>
              </w:rPr>
              <w:t xml:space="preserve">128</w:t>
            </w:r>
            <w:r>
              <w:rPr>
                <w:rFonts w:cs="宋体" w:asciiTheme="minorEastAsia" w:hAnsiTheme="minorEastAsia"/>
                <w:sz w:val="24"/>
                <w:szCs w:val="24"/>
              </w:rPr>
              <w:t xml:space="preserve">GB，支持内存增强型纠错功能，保障数据传输准确性与运行稳定性。</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存储规格：</w:t>
            </w:r>
            <w:r>
              <w:rPr>
                <w:rFonts w:cs="宋体" w:asciiTheme="minorEastAsia" w:hAnsiTheme="minorEastAsia"/>
                <w:sz w:val="24"/>
                <w:szCs w:val="24"/>
              </w:rPr>
              <w:t xml:space="preserve">配置不少于2块960GB企业级固态硬盘，支持高速读写，适配系统部署、高频业务读写、数据缓存等核心场景。配置不少于4块2TB企业级机械硬盘，满足大容量数据存储、数据备份、归档留存等业务需求。</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网络规格：配备网口数量不少于4个，且网口速率不少于1GE。</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电源规格：</w:t>
            </w:r>
            <w:r>
              <w:rPr>
                <w:rFonts w:cs="宋体" w:asciiTheme="minorEastAsia" w:hAnsiTheme="minorEastAsia"/>
                <w:sz w:val="24"/>
                <w:szCs w:val="24"/>
              </w:rPr>
              <w:t xml:space="preserve">配置不少于2个冗余电源模块，支持热插拔、故障自动切换功能，满足服务器不间断供电需求。</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hint="eastAsia" w:cs="宋体" w:asciiTheme="minorEastAsia" w:hAnsiTheme="minorEastAsia"/>
                <w:sz w:val="24"/>
                <w:szCs w:val="24"/>
              </w:rPr>
              <w:t xml:space="preserve">3</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操作系统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1.操作系统：支持飞腾、鲲鹏、海光主流处理器。</w:t>
            </w:r>
            <w:r>
              <w:rPr>
                <w:rFonts w:hint="eastAsia" w:cs="宋体" w:asciiTheme="minorEastAsia" w:hAnsiTheme="minorEastAsia"/>
                <w:sz w:val="24"/>
                <w:szCs w:val="24"/>
              </w:rPr>
              <w:br/>
            </w:r>
            <w:r>
              <w:rPr>
                <w:rFonts w:hint="eastAsia" w:cs="宋体" w:asciiTheme="minorEastAsia" w:hAnsiTheme="minorEastAsia"/>
                <w:sz w:val="24"/>
                <w:szCs w:val="24"/>
              </w:rPr>
              <w:t xml:space="preserve">2.操作系统内核：不低于kernel 4.19稳定版本，支持Ext3、Ext4、GFS2、XFS、NTFS等文件系统，</w:t>
            </w:r>
            <w:r>
              <w:rPr>
                <w:rFonts w:hint="eastAsia" w:cs="宋体" w:asciiTheme="minorEastAsia" w:hAnsiTheme="minorEastAsia"/>
                <w:sz w:val="24"/>
                <w:szCs w:val="24"/>
                <w:lang w:eastAsia="zh-CN"/>
              </w:rPr>
              <w:t xml:space="preserve">提供适配于操作系统的rpm和deb软件包格式转换工具和模块</w:t>
            </w:r>
            <w:r>
              <w:rPr>
                <w:rFonts w:hint="eastAsia" w:cs="宋体" w:asciiTheme="minorEastAsia" w:hAnsiTheme="minorEastAsia"/>
                <w:sz w:val="24"/>
                <w:szCs w:val="24"/>
              </w:rPr>
              <w:t xml:space="preserve">。</w:t>
            </w:r>
            <w:r>
              <w:rPr>
                <w:rFonts w:hint="eastAsia" w:cs="宋体" w:asciiTheme="minorEastAsia" w:hAnsiTheme="minorEastAsia"/>
                <w:sz w:val="24"/>
                <w:szCs w:val="24"/>
              </w:rPr>
              <w:br/>
            </w:r>
            <w:r>
              <w:rPr>
                <w:rFonts w:hint="eastAsia" w:cs="宋体" w:asciiTheme="minorEastAsia" w:hAnsiTheme="minorEastAsia"/>
                <w:sz w:val="24"/>
                <w:szCs w:val="24"/>
              </w:rPr>
              <w:t xml:space="preserve">3.操作系统软件产品质量管理与质量标准：属于优化级，系统可提供安全增强组件，支持增加三权分立、白名单控制等安全功能，</w:t>
            </w:r>
            <w:r>
              <w:rPr>
                <w:rFonts w:hint="eastAsia" w:cs="宋体" w:asciiTheme="minorEastAsia" w:hAnsiTheme="minorEastAsia"/>
                <w:sz w:val="24"/>
                <w:szCs w:val="24"/>
                <w:lang w:eastAsia="zh-CN"/>
              </w:rPr>
              <w:t xml:space="preserve">并且可增强至国家的安全保护级别标准，如国家网络安全等级保护三级标准。</w:t>
            </w:r>
            <w:r>
              <w:rPr>
                <w:rFonts w:hint="eastAsia" w:cs="宋体" w:asciiTheme="minorEastAsia" w:hAnsiTheme="minorEastAsia"/>
                <w:sz w:val="24"/>
                <w:szCs w:val="24"/>
              </w:rPr>
              <w:br/>
            </w:r>
            <w:r>
              <w:rPr>
                <w:rFonts w:hint="eastAsia" w:cs="宋体" w:asciiTheme="minorEastAsia" w:hAnsiTheme="minorEastAsia"/>
                <w:sz w:val="24"/>
                <w:szCs w:val="24"/>
              </w:rPr>
              <w:t xml:space="preserve">4.操作系统：系统支持LSM、可信计算TCM/TPCM、TPM2.0，内置国密算法，支持基于国密算法的加解密应用，支持可信计算。</w:t>
            </w:r>
            <w:r>
              <w:rPr>
                <w:rFonts w:hint="eastAsia" w:cs="宋体" w:asciiTheme="minorEastAsia" w:hAnsiTheme="minorEastAsia"/>
                <w:sz w:val="24"/>
                <w:szCs w:val="24"/>
              </w:rPr>
              <w:br/>
            </w:r>
            <w:r>
              <w:rPr>
                <w:rFonts w:hint="eastAsia" w:cs="宋体" w:asciiTheme="minorEastAsia" w:hAnsiTheme="minorEastAsia"/>
                <w:sz w:val="24"/>
                <w:szCs w:val="24"/>
              </w:rPr>
              <w:t xml:space="preserve">5.隔离保护：</w:t>
            </w:r>
            <w:r>
              <w:rPr>
                <w:rFonts w:hint="eastAsia" w:cs="宋体" w:asciiTheme="minorEastAsia" w:hAnsiTheme="minorEastAsia"/>
                <w:sz w:val="24"/>
                <w:szCs w:val="24"/>
                <w:lang w:eastAsia="zh-CN"/>
              </w:rPr>
              <w:t xml:space="preserve">系统提供私有数据隔离保护技术，通过该技术包括管理员在内的任何其他用户都不能进行非授权访问</w:t>
            </w:r>
            <w:r>
              <w:rPr>
                <w:rFonts w:hint="eastAsia" w:cs="宋体" w:asciiTheme="minorEastAsia" w:hAnsiTheme="minorEastAsia"/>
                <w:sz w:val="24"/>
                <w:szCs w:val="24"/>
              </w:rPr>
              <w:br/>
            </w:r>
            <w:r>
              <w:rPr>
                <w:rFonts w:hint="eastAsia" w:cs="宋体" w:asciiTheme="minorEastAsia" w:hAnsiTheme="minorEastAsia"/>
                <w:sz w:val="24"/>
                <w:szCs w:val="24"/>
              </w:rPr>
              <w:t xml:space="preserve">6.访问控制：系统可支持强制访问控制，并可提供多种强制访问控制联合加载，包括SELINUX、APPARMOR等。</w:t>
            </w:r>
            <w:r>
              <w:rPr>
                <w:rFonts w:hint="eastAsia" w:cs="宋体" w:asciiTheme="minorEastAsia" w:hAnsiTheme="minorEastAsia"/>
                <w:sz w:val="24"/>
                <w:szCs w:val="24"/>
              </w:rPr>
              <w:br/>
            </w:r>
            <w:r>
              <w:rPr>
                <w:rFonts w:hint="eastAsia" w:cs="宋体" w:asciiTheme="minorEastAsia" w:hAnsiTheme="minorEastAsia"/>
                <w:sz w:val="24"/>
                <w:szCs w:val="24"/>
              </w:rPr>
              <w:t xml:space="preserve">7.防御技术：</w:t>
            </w:r>
            <w:r>
              <w:rPr>
                <w:rFonts w:hint="eastAsia" w:cs="宋体" w:asciiTheme="minorEastAsia" w:hAnsiTheme="minorEastAsia"/>
                <w:sz w:val="24"/>
                <w:szCs w:val="24"/>
                <w:lang w:eastAsia="zh-CN"/>
              </w:rPr>
              <w:t xml:space="preserve">系统提供安全底层机制主动防御技术，保障系统级的内生安全，提供执行控制、文件保护、内核模块保护</w:t>
            </w:r>
            <w:r>
              <w:rPr>
                <w:rFonts w:hint="eastAsia" w:cs="宋体" w:asciiTheme="minorEastAsia" w:hAnsiTheme="minorEastAsia"/>
                <w:sz w:val="24"/>
                <w:szCs w:val="24"/>
              </w:rPr>
              <w:t xml:space="preserve">。</w:t>
            </w:r>
            <w:r>
              <w:rPr>
                <w:rFonts w:hint="eastAsia" w:cs="宋体" w:asciiTheme="minorEastAsia" w:hAnsiTheme="minorEastAsia"/>
                <w:sz w:val="24"/>
                <w:szCs w:val="24"/>
              </w:rPr>
              <w:br/>
            </w:r>
            <w:r>
              <w:rPr>
                <w:rFonts w:hint="eastAsia" w:cs="宋体" w:asciiTheme="minorEastAsia" w:hAnsiTheme="minorEastAsia"/>
                <w:sz w:val="24"/>
                <w:szCs w:val="24"/>
              </w:rPr>
              <w:t xml:space="preserve">8.网络协议：支持HTTP、FTP、VNC、TCP、UDP、IP、FTP、DNS、NFS、NTP、DHCP、SSH等多种网络协议。</w:t>
            </w:r>
            <w:r>
              <w:rPr>
                <w:rFonts w:hint="eastAsia" w:cs="宋体" w:asciiTheme="minorEastAsia" w:hAnsiTheme="minorEastAsia"/>
                <w:sz w:val="24"/>
                <w:szCs w:val="24"/>
              </w:rPr>
              <w:br/>
            </w:r>
            <w:r>
              <w:rPr>
                <w:rFonts w:hint="eastAsia" w:cs="宋体" w:asciiTheme="minorEastAsia" w:hAnsiTheme="minorEastAsia"/>
                <w:sz w:val="24"/>
                <w:szCs w:val="24"/>
              </w:rPr>
              <w:t xml:space="preserve">9.常用工具和集成开发环境：系统提供服务配置和管理、进程管理、网络管理、资源管理和监控、文件共享、系统更新、备份还原等服务器常用工具和集成开发环境。</w:t>
            </w:r>
            <w:r>
              <w:rPr>
                <w:rFonts w:hint="eastAsia" w:cs="宋体" w:asciiTheme="minorEastAsia" w:hAnsiTheme="minorEastAsia"/>
                <w:sz w:val="24"/>
                <w:szCs w:val="24"/>
              </w:rPr>
              <w:br/>
            </w:r>
            <w:r>
              <w:rPr>
                <w:rFonts w:hint="eastAsia" w:cs="宋体" w:asciiTheme="minorEastAsia" w:hAnsiTheme="minorEastAsia"/>
                <w:sz w:val="24"/>
                <w:szCs w:val="24"/>
              </w:rPr>
              <w:t xml:space="preserve">10.日志收集：系统提供图形化人机操作UI界面，提供刷新功能。提供图形化日志收集工具，可以收集系统日志、内核日志、启动日志、应用日志等，提供按时间周期和日志级别的过滤功能，并可导出日志文件。</w:t>
            </w:r>
            <w:r>
              <w:rPr>
                <w:rFonts w:hint="eastAsia" w:cs="宋体" w:asciiTheme="minorEastAsia" w:hAnsiTheme="minorEastAsia"/>
                <w:sz w:val="24"/>
                <w:szCs w:val="24"/>
              </w:rPr>
              <w:br/>
            </w:r>
            <w:r>
              <w:rPr>
                <w:rFonts w:hint="eastAsia" w:cs="宋体" w:asciiTheme="minorEastAsia" w:hAnsiTheme="minorEastAsia"/>
                <w:sz w:val="24"/>
                <w:szCs w:val="24"/>
              </w:rPr>
              <w:t xml:space="preserve">11.主流硬件兼容性：操作系统兼容国内外主流的服务器、存储、板卡等硬件产品，包括华为、长城、百信、曙光、浪潮或等同。</w:t>
            </w:r>
            <w:r>
              <w:rPr>
                <w:rFonts w:hint="eastAsia" w:cs="宋体" w:asciiTheme="minorEastAsia" w:hAnsiTheme="minorEastAsia"/>
                <w:sz w:val="24"/>
                <w:szCs w:val="24"/>
              </w:rPr>
              <w:br/>
            </w:r>
            <w:r>
              <w:rPr>
                <w:rFonts w:hint="eastAsia" w:cs="宋体" w:asciiTheme="minorEastAsia" w:hAnsiTheme="minorEastAsia"/>
                <w:sz w:val="24"/>
                <w:szCs w:val="24"/>
              </w:rPr>
              <w:t xml:space="preserve">12.主流软件兼容性：系统具有良好的应用支持能力，具有良好的数据库软件兼容性，兼容国产和开源主流的数据库软件产品，包括：人大金仓、达梦、神通、南大通用、PostgreSQL、Mysql等。</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gridSpan w:val="3"/>
            <w:shd w:val="clear" w:color="000000" w:fill="ffffff"/>
            <w:tcW w:w="5222"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法庭建设</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云法庭终端</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1、标准19英寸机箱，不大于1U电信级架构设计；</w:t>
            </w:r>
            <w:r>
              <w:rPr>
                <w:rFonts w:cs="宋体" w:asciiTheme="minorEastAsia" w:hAnsiTheme="minorEastAsia"/>
                <w:sz w:val="24"/>
                <w:szCs w:val="24"/>
              </w:rPr>
              <w:br/>
            </w:r>
            <w:r>
              <w:rPr>
                <w:rFonts w:cs="宋体" w:asciiTheme="minorEastAsia" w:hAnsiTheme="minorEastAsia"/>
                <w:sz w:val="24"/>
                <w:szCs w:val="24"/>
              </w:rPr>
              <w:t xml:space="preserve">2</w:t>
            </w:r>
            <w:r>
              <w:rPr>
                <w:rFonts w:hint="eastAsia" w:cs="宋体" w:asciiTheme="minorEastAsia" w:hAnsiTheme="minorEastAsia"/>
                <w:sz w:val="24"/>
                <w:szCs w:val="24"/>
              </w:rPr>
              <w:t xml:space="preserve">、</w:t>
            </w:r>
            <w:r>
              <w:rPr>
                <w:rFonts w:cs="宋体" w:asciiTheme="minorEastAsia" w:hAnsiTheme="minorEastAsia"/>
                <w:sz w:val="24"/>
                <w:szCs w:val="24"/>
              </w:rPr>
              <w:t xml:space="preserve">采用国产架构</w:t>
            </w:r>
            <w:r>
              <w:rPr>
                <w:rFonts w:hint="eastAsia" w:cs="宋体" w:asciiTheme="minorEastAsia" w:hAnsiTheme="minorEastAsia"/>
                <w:sz w:val="24"/>
                <w:szCs w:val="24"/>
              </w:rPr>
              <w:t xml:space="preserve">芯片</w:t>
            </w:r>
            <w:r>
              <w:rPr>
                <w:rFonts w:cs="宋体" w:asciiTheme="minorEastAsia" w:hAnsiTheme="minorEastAsia"/>
                <w:sz w:val="24"/>
                <w:szCs w:val="24"/>
              </w:rPr>
              <w:br/>
            </w:r>
            <w:r>
              <w:rPr>
                <w:rFonts w:cs="宋体" w:asciiTheme="minorEastAsia" w:hAnsiTheme="minorEastAsia"/>
                <w:sz w:val="24"/>
                <w:szCs w:val="24"/>
              </w:rPr>
              <w:t xml:space="preserve">3、采用嵌入式操作系统，免受病毒、黑客的入侵和攻击；</w:t>
            </w:r>
            <w:r>
              <w:rPr>
                <w:rFonts w:cs="宋体" w:asciiTheme="minorEastAsia" w:hAnsiTheme="minorEastAsia"/>
                <w:sz w:val="24"/>
                <w:szCs w:val="24"/>
              </w:rPr>
              <w:br/>
            </w:r>
            <w:r>
              <w:rPr>
                <w:rFonts w:cs="宋体" w:asciiTheme="minorEastAsia" w:hAnsiTheme="minorEastAsia"/>
                <w:sz w:val="24"/>
                <w:szCs w:val="24"/>
              </w:rPr>
              <w:t xml:space="preserve">4、支持7×24小时运行；</w:t>
            </w:r>
            <w:r>
              <w:rPr>
                <w:rFonts w:cs="宋体" w:asciiTheme="minorEastAsia" w:hAnsiTheme="minorEastAsia"/>
                <w:sz w:val="24"/>
                <w:szCs w:val="24"/>
              </w:rPr>
              <w:br/>
            </w:r>
            <w:r>
              <w:rPr>
                <w:rFonts w:cs="宋体" w:asciiTheme="minorEastAsia" w:hAnsiTheme="minorEastAsia"/>
                <w:b/>
                <w:bCs/>
                <w:sz w:val="24"/>
                <w:szCs w:val="24"/>
              </w:rPr>
              <w:t xml:space="preserve">▲5、离线状态下，主机仍可开庭运行，进行脱机庭审录音录像、法庭控制操作；（</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w:t>
            </w:r>
            <w:r>
              <w:rPr>
                <w:rFonts w:cs="宋体" w:asciiTheme="minorEastAsia" w:hAnsiTheme="minorEastAsia"/>
                <w:b/>
                <w:bCs/>
                <w:sz w:val="24"/>
                <w:szCs w:val="24"/>
              </w:rPr>
              <w:br/>
            </w:r>
            <w:r>
              <w:rPr>
                <w:rFonts w:cs="宋体" w:asciiTheme="minorEastAsia" w:hAnsiTheme="minorEastAsia"/>
                <w:b/>
                <w:bCs/>
                <w:sz w:val="24"/>
                <w:szCs w:val="24"/>
              </w:rPr>
              <w:t xml:space="preserve">6、≥2路HDMI视频输入接口，支持4K、1920×1080、1280×720、1024×768，支持音频同步输入；</w:t>
            </w:r>
            <w:r>
              <w:rPr>
                <w:rFonts w:cs="宋体" w:asciiTheme="minorEastAsia" w:hAnsiTheme="minorEastAsia"/>
                <w:b/>
                <w:bCs/>
                <w:sz w:val="24"/>
                <w:szCs w:val="24"/>
              </w:rPr>
              <w:br/>
            </w:r>
            <w:r>
              <w:rPr>
                <w:rFonts w:cs="宋体" w:asciiTheme="minorEastAsia" w:hAnsiTheme="minorEastAsia"/>
                <w:sz w:val="24"/>
                <w:szCs w:val="24"/>
              </w:rPr>
              <w:t xml:space="preserve">7、≥2路HDMI视频输出接口，支持4K分辨率，支持音频同步输出；</w:t>
            </w:r>
            <w:r>
              <w:rPr>
                <w:rFonts w:cs="宋体" w:asciiTheme="minorEastAsia" w:hAnsiTheme="minorEastAsia"/>
                <w:sz w:val="24"/>
                <w:szCs w:val="24"/>
              </w:rPr>
              <w:br/>
            </w:r>
            <w:r>
              <w:rPr>
                <w:rFonts w:cs="宋体" w:asciiTheme="minorEastAsia" w:hAnsiTheme="minorEastAsia"/>
                <w:sz w:val="24"/>
                <w:szCs w:val="24"/>
              </w:rPr>
              <w:t xml:space="preserve">8、≥12路MIC/LINE话筒音频输入，带48V幻象供电；≥4路立体声证据音频输入；≥4路平衡线路音频输出；≥2通道100W音频功放输出，连接庭审扩声音箱；</w:t>
            </w:r>
            <w:r>
              <w:rPr>
                <w:rFonts w:cs="宋体" w:asciiTheme="minorEastAsia" w:hAnsiTheme="minorEastAsia"/>
                <w:sz w:val="24"/>
                <w:szCs w:val="24"/>
              </w:rPr>
              <w:br/>
            </w:r>
            <w:r>
              <w:rPr>
                <w:rFonts w:cs="宋体" w:asciiTheme="minorEastAsia" w:hAnsiTheme="minorEastAsia"/>
                <w:sz w:val="24"/>
                <w:szCs w:val="24"/>
              </w:rPr>
              <w:t xml:space="preserve">9、≥支持5路千兆RJ45网口，用于网络编码摄像机接入，支持POE供电；</w:t>
            </w:r>
            <w:r>
              <w:rPr>
                <w:rFonts w:cs="宋体" w:asciiTheme="minorEastAsia" w:hAnsiTheme="minorEastAsia"/>
                <w:sz w:val="24"/>
                <w:szCs w:val="24"/>
              </w:rPr>
              <w:br/>
            </w:r>
            <w:r>
              <w:rPr>
                <w:rFonts w:cs="宋体" w:asciiTheme="minorEastAsia" w:hAnsiTheme="minorEastAsia"/>
                <w:sz w:val="24"/>
                <w:szCs w:val="24"/>
              </w:rPr>
              <w:t xml:space="preserve">10、≥2路USB接口、1路TYPE-C接口，可外挂U盘、光驱等外围存储设备；</w:t>
            </w:r>
            <w:r>
              <w:rPr>
                <w:rFonts w:cs="宋体" w:asciiTheme="minorEastAsia" w:hAnsiTheme="minorEastAsia"/>
                <w:sz w:val="24"/>
                <w:szCs w:val="24"/>
              </w:rPr>
              <w:br/>
            </w:r>
            <w:r>
              <w:rPr>
                <w:rFonts w:cs="宋体" w:asciiTheme="minorEastAsia" w:hAnsiTheme="minorEastAsia"/>
                <w:sz w:val="24"/>
                <w:szCs w:val="24"/>
              </w:rPr>
              <w:t xml:space="preserve">11、≥1路RS485/422、1路RS232可编程控制接口，连接控制面板、电源控制器、摄像机等外围控制设备；</w:t>
            </w:r>
            <w:r>
              <w:rPr>
                <w:rFonts w:cs="宋体" w:asciiTheme="minorEastAsia" w:hAnsiTheme="minorEastAsia"/>
                <w:sz w:val="24"/>
                <w:szCs w:val="24"/>
              </w:rPr>
              <w:br/>
            </w:r>
            <w:r>
              <w:rPr>
                <w:rFonts w:cs="宋体" w:asciiTheme="minorEastAsia" w:hAnsiTheme="minorEastAsia"/>
                <w:sz w:val="24"/>
                <w:szCs w:val="24"/>
              </w:rPr>
              <w:t xml:space="preserve">12、支持可编程软中控功能，用户可自定义一键式开庭、闭庭、远程庭审、本地庭审等场景调用和设备控制；</w:t>
            </w:r>
            <w:r>
              <w:rPr>
                <w:rFonts w:cs="宋体" w:asciiTheme="minorEastAsia" w:hAnsiTheme="minorEastAsia"/>
                <w:sz w:val="24"/>
                <w:szCs w:val="24"/>
              </w:rPr>
              <w:br/>
            </w:r>
            <w:r>
              <w:rPr>
                <w:rFonts w:cs="宋体" w:asciiTheme="minorEastAsia" w:hAnsiTheme="minorEastAsia"/>
                <w:sz w:val="24"/>
                <w:szCs w:val="24"/>
              </w:rPr>
              <w:t xml:space="preserve">13、内置自动混音、反馈抑制、噪声消除，回声消除、分组混音多种音频处理功能设置；内置≥20×24音频混音矩阵，支持语音激励功能；</w:t>
            </w:r>
            <w:r>
              <w:rPr>
                <w:rFonts w:cs="宋体" w:asciiTheme="minorEastAsia" w:hAnsiTheme="minorEastAsia"/>
                <w:sz w:val="24"/>
                <w:szCs w:val="24"/>
              </w:rPr>
              <w:br/>
            </w:r>
            <w:r>
              <w:rPr>
                <w:rFonts w:cs="宋体" w:asciiTheme="minorEastAsia" w:hAnsiTheme="minorEastAsia"/>
                <w:b/>
                <w:bCs/>
                <w:sz w:val="24"/>
                <w:szCs w:val="24"/>
              </w:rPr>
              <w:t xml:space="preserve">▲14、支持所有话筒独立音频PCM编码，无需专门配置声卡音频编码设备即可实现语音转写；（</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w:t>
            </w:r>
            <w:r>
              <w:rPr>
                <w:rFonts w:cs="宋体" w:asciiTheme="minorEastAsia" w:hAnsiTheme="minorEastAsia"/>
                <w:sz w:val="24"/>
                <w:szCs w:val="24"/>
              </w:rPr>
              <w:br/>
            </w:r>
            <w:r>
              <w:rPr>
                <w:rFonts w:cs="宋体" w:asciiTheme="minorEastAsia" w:hAnsiTheme="minorEastAsia"/>
                <w:sz w:val="24"/>
                <w:szCs w:val="24"/>
              </w:rPr>
              <w:t xml:space="preserve">15、支持不少于8路1080P或2路4K分辨率视频编码能力，支持H.265/H.264编解码；</w:t>
            </w:r>
            <w:r>
              <w:rPr>
                <w:rFonts w:cs="宋体" w:asciiTheme="minorEastAsia" w:hAnsiTheme="minorEastAsia"/>
                <w:sz w:val="24"/>
                <w:szCs w:val="24"/>
              </w:rPr>
              <w:br/>
            </w:r>
            <w:r>
              <w:rPr>
                <w:rFonts w:cs="宋体" w:asciiTheme="minorEastAsia" w:hAnsiTheme="minorEastAsia"/>
                <w:b/>
                <w:bCs/>
                <w:sz w:val="24"/>
                <w:szCs w:val="24"/>
              </w:rPr>
              <w:t xml:space="preserve">▲16、支持≥16路音频编码，支持AAC、G711、PCM音频编解码协议；（</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w:t>
            </w:r>
            <w:r>
              <w:rPr>
                <w:rFonts w:cs="宋体" w:asciiTheme="minorEastAsia" w:hAnsiTheme="minorEastAsia"/>
                <w:sz w:val="24"/>
                <w:szCs w:val="24"/>
              </w:rPr>
              <w:br/>
            </w:r>
            <w:r>
              <w:rPr>
                <w:rFonts w:cs="宋体" w:asciiTheme="minorEastAsia" w:hAnsiTheme="minorEastAsia"/>
                <w:sz w:val="24"/>
                <w:szCs w:val="24"/>
              </w:rPr>
              <w:t xml:space="preserve">17、支持标准H.323视频通话协议，与第三方设备互联互通；</w:t>
            </w:r>
            <w:r>
              <w:rPr>
                <w:rFonts w:cs="宋体" w:asciiTheme="minorEastAsia" w:hAnsiTheme="minorEastAsia"/>
                <w:sz w:val="24"/>
                <w:szCs w:val="24"/>
              </w:rPr>
              <w:br/>
            </w:r>
            <w:r>
              <w:rPr>
                <w:rFonts w:cs="宋体" w:asciiTheme="minorEastAsia" w:hAnsiTheme="minorEastAsia"/>
                <w:b/>
                <w:bCs/>
                <w:sz w:val="24"/>
                <w:szCs w:val="24"/>
              </w:rPr>
              <w:t xml:space="preserve">▲18、支持RTSP、RTMP、HTTPS流媒体音视频传输协议；（</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w:t>
            </w:r>
            <w:r>
              <w:rPr>
                <w:rFonts w:cs="宋体" w:asciiTheme="minorEastAsia" w:hAnsiTheme="minorEastAsia"/>
                <w:sz w:val="24"/>
                <w:szCs w:val="24"/>
              </w:rPr>
              <w:br/>
            </w:r>
            <w:r>
              <w:rPr>
                <w:rFonts w:cs="宋体" w:asciiTheme="minorEastAsia" w:hAnsiTheme="minorEastAsia"/>
                <w:b/>
                <w:bCs/>
                <w:sz w:val="24"/>
                <w:szCs w:val="24"/>
              </w:rPr>
              <w:t xml:space="preserve">▲19、内置证人远程出庭保护功能，支持证人画面马赛克处理，声音变声处理；（</w:t>
            </w:r>
            <w:r>
              <w:rPr>
                <w:rFonts w:hint="eastAsia" w:cs="宋体" w:asciiTheme="minorEastAsia" w:hAnsiTheme="minorEastAsia"/>
                <w:b/>
                <w:bCs/>
                <w:sz w:val="24"/>
                <w:szCs w:val="24"/>
              </w:rPr>
              <w:t xml:space="preserve">投标文件中提供国家认可的第三方检测机构出具的检测报告并加盖投标人公章，测试报告中需体现此功能</w:t>
            </w:r>
            <w:r>
              <w:rPr>
                <w:rFonts w:cs="宋体" w:asciiTheme="minorEastAsia" w:hAnsiTheme="minorEastAsia"/>
                <w:b/>
                <w:bCs/>
                <w:sz w:val="24"/>
                <w:szCs w:val="24"/>
              </w:rPr>
              <w:t xml:space="preserve">） </w:t>
            </w:r>
            <w:r>
              <w:rPr>
                <w:rFonts w:cs="宋体" w:asciiTheme="minorEastAsia" w:hAnsiTheme="minorEastAsia"/>
                <w:sz w:val="24"/>
                <w:szCs w:val="24"/>
              </w:rPr>
              <w:br/>
            </w:r>
            <w:r>
              <w:rPr>
                <w:rFonts w:cs="宋体" w:asciiTheme="minorEastAsia" w:hAnsiTheme="minorEastAsia"/>
                <w:sz w:val="24"/>
                <w:szCs w:val="24"/>
              </w:rPr>
              <w:t xml:space="preserve">20、内置≥2T储存硬盘，满足法庭本地实时备份存储庭审录音录像，文件格式MP4。</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庭审应用系统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1、具备功能：为法官、书记员、当事人提供应用服务，包含排期管理、音视频连接与控制、庭审录音录像、笔录制作、笔录同步、笔录校对、语音播报、共享屏幕、刻录打印、本地示证等功能 ，支持无书记员庭审模式，支持远程庭审、互联网庭审</w:t>
            </w:r>
            <w:r>
              <w:rPr>
                <w:rFonts w:cs="宋体" w:asciiTheme="minorEastAsia" w:hAnsiTheme="minorEastAsia"/>
                <w:sz w:val="24"/>
                <w:szCs w:val="24"/>
              </w:rPr>
              <w:br/>
            </w:r>
            <w:r>
              <w:rPr>
                <w:rFonts w:cs="宋体" w:asciiTheme="minorEastAsia" w:hAnsiTheme="minorEastAsia"/>
                <w:sz w:val="24"/>
                <w:szCs w:val="24"/>
              </w:rPr>
              <w:t xml:space="preserve">2、支持对庭审中法官、书记员、当事人等各项应用功能提供信创环境的适配服务。</w:t>
            </w:r>
            <w:r>
              <w:rPr>
                <w:rFonts w:cs="宋体" w:asciiTheme="minorEastAsia" w:hAnsiTheme="minorEastAsia"/>
                <w:sz w:val="24"/>
                <w:szCs w:val="24"/>
              </w:rPr>
              <w:br/>
            </w:r>
            <w:r>
              <w:rPr>
                <w:rFonts w:cs="宋体" w:asciiTheme="minorEastAsia" w:hAnsiTheme="minorEastAsia"/>
                <w:sz w:val="24"/>
                <w:szCs w:val="24"/>
              </w:rPr>
              <w:t xml:space="preserve">3、支持自动生成笔录模板，支持添加各类案件审理所需的笔录模板。</w:t>
            </w:r>
            <w:r>
              <w:rPr>
                <w:rFonts w:cs="宋体" w:asciiTheme="minorEastAsia" w:hAnsiTheme="minorEastAsia"/>
                <w:sz w:val="24"/>
                <w:szCs w:val="24"/>
              </w:rPr>
              <w:br/>
            </w:r>
            <w:r>
              <w:rPr>
                <w:rFonts w:cs="宋体" w:asciiTheme="minorEastAsia" w:hAnsiTheme="minorEastAsia"/>
                <w:sz w:val="24"/>
                <w:szCs w:val="24"/>
              </w:rPr>
              <w:t xml:space="preserve">4、支持灵活选择笔录模板，自动生成笔录纲要，支持书记员直接使用或进一步完善笔录，能够正确处理异常的笔录内容，能够完成笔录预设；</w:t>
            </w:r>
            <w:r>
              <w:rPr>
                <w:rFonts w:cs="宋体" w:asciiTheme="minorEastAsia" w:hAnsiTheme="minorEastAsia"/>
                <w:sz w:val="24"/>
                <w:szCs w:val="24"/>
              </w:rPr>
              <w:br/>
            </w:r>
            <w:r>
              <w:rPr>
                <w:rFonts w:cs="宋体" w:asciiTheme="minorEastAsia" w:hAnsiTheme="minorEastAsia"/>
                <w:sz w:val="24"/>
                <w:szCs w:val="24"/>
              </w:rPr>
              <w:t xml:space="preserve">5、支持庭审系统软硬件的自动检测； </w:t>
            </w:r>
            <w:r>
              <w:rPr>
                <w:rFonts w:cs="宋体" w:asciiTheme="minorEastAsia" w:hAnsiTheme="minorEastAsia"/>
                <w:sz w:val="24"/>
                <w:szCs w:val="24"/>
              </w:rPr>
              <w:br/>
            </w:r>
            <w:r>
              <w:rPr>
                <w:rFonts w:cs="宋体" w:asciiTheme="minorEastAsia" w:hAnsiTheme="minorEastAsia"/>
                <w:sz w:val="24"/>
                <w:szCs w:val="24"/>
              </w:rPr>
              <w:t xml:space="preserve">6、支持自动播报法庭纪律，播报男女声可选且内容可定制；</w:t>
            </w:r>
            <w:r>
              <w:rPr>
                <w:rFonts w:cs="宋体" w:asciiTheme="minorEastAsia" w:hAnsiTheme="minorEastAsia"/>
                <w:sz w:val="24"/>
                <w:szCs w:val="24"/>
              </w:rPr>
              <w:br/>
            </w:r>
            <w:r>
              <w:rPr>
                <w:rFonts w:cs="宋体" w:asciiTheme="minorEastAsia" w:hAnsiTheme="minorEastAsia"/>
                <w:sz w:val="24"/>
                <w:szCs w:val="24"/>
              </w:rPr>
              <w:t xml:space="preserve">7、支持通过语音识别辅助生产笔录内容；</w:t>
            </w:r>
            <w:r>
              <w:rPr>
                <w:rFonts w:cs="宋体" w:asciiTheme="minorEastAsia" w:hAnsiTheme="minorEastAsia"/>
                <w:sz w:val="24"/>
                <w:szCs w:val="24"/>
              </w:rPr>
              <w:br/>
            </w:r>
            <w:r>
              <w:rPr>
                <w:rFonts w:cs="宋体" w:asciiTheme="minorEastAsia" w:hAnsiTheme="minorEastAsia"/>
                <w:sz w:val="24"/>
                <w:szCs w:val="24"/>
              </w:rPr>
              <w:t xml:space="preserve">8、支持实时对庭审音视频进行光盘刻录，支持庭审结束后对庭审音视频进行光盘刻录；</w:t>
            </w:r>
            <w:r>
              <w:rPr>
                <w:rFonts w:cs="宋体" w:asciiTheme="minorEastAsia" w:hAnsiTheme="minorEastAsia"/>
                <w:sz w:val="24"/>
                <w:szCs w:val="24"/>
              </w:rPr>
              <w:br/>
            </w:r>
            <w:r>
              <w:rPr>
                <w:rFonts w:cs="宋体" w:asciiTheme="minorEastAsia" w:hAnsiTheme="minorEastAsia"/>
                <w:sz w:val="24"/>
                <w:szCs w:val="24"/>
              </w:rPr>
              <w:t xml:space="preserve">9、支持法官、书记员、当事人应用系统间的数据交互。 </w:t>
            </w:r>
            <w:r>
              <w:rPr>
                <w:rFonts w:cs="宋体" w:asciiTheme="minorEastAsia" w:hAnsiTheme="minorEastAsia"/>
                <w:sz w:val="24"/>
                <w:szCs w:val="24"/>
              </w:rPr>
              <w:br/>
            </w:r>
            <w:r>
              <w:rPr>
                <w:rFonts w:cs="宋体" w:asciiTheme="minorEastAsia" w:hAnsiTheme="minorEastAsia"/>
                <w:sz w:val="24"/>
                <w:szCs w:val="24"/>
              </w:rPr>
              <w:t xml:space="preserve">10、智慧庭审系统在庭后阶段支持笔录校对功能，支持笔录正文、庭审录像和语音识别记录三者联动，辅助进行笔录内容校对确认。</w:t>
            </w:r>
            <w:r>
              <w:rPr>
                <w:rFonts w:cs="宋体" w:asciiTheme="minorEastAsia" w:hAnsiTheme="minorEastAsia"/>
                <w:sz w:val="24"/>
                <w:szCs w:val="24"/>
              </w:rPr>
              <w:br/>
            </w:r>
            <w:r>
              <w:rPr>
                <w:rFonts w:cs="宋体" w:asciiTheme="minorEastAsia" w:hAnsiTheme="minorEastAsia"/>
                <w:sz w:val="24"/>
                <w:szCs w:val="24"/>
              </w:rPr>
              <w:t xml:space="preserve">11、智慧庭审系统需具备与安全平台的兼容性测试，且能够防止 CSRF/XSS 攻击漏洞，防止木马后门攻击检查、防止 SQL 注入攻击漏洞。</w:t>
            </w:r>
            <w:r>
              <w:rPr>
                <w:rFonts w:cs="宋体" w:asciiTheme="minorEastAsia" w:hAnsiTheme="minorEastAsia"/>
                <w:sz w:val="24"/>
                <w:szCs w:val="24"/>
              </w:rPr>
              <w:br/>
            </w:r>
            <w:r>
              <w:rPr>
                <w:rFonts w:cs="宋体" w:asciiTheme="minorEastAsia" w:hAnsiTheme="minorEastAsia"/>
                <w:sz w:val="24"/>
                <w:szCs w:val="24"/>
              </w:rPr>
              <w:t xml:space="preserve">12、 支持电子签名系统：针对笔录等文书文件提供电子签名服务， 支持本地签名板签名和互联网端签名，支持每页签、尾页签、指定位置签等多种签名模式，支持实时查看签名图片，并支持拖动位置、删除 、重签等操作，支持签名文件导出。</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3</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电子随心签系统</w:t>
            </w:r>
            <w:r/>
          </w:p>
        </w:tc>
        <w:tc>
          <w:tcPr>
            <w:shd w:val="clear" w:color="000000" w:fill="ffffff"/>
            <w:tcW w:w="3908" w:type="dxa"/>
            <w:vAlign w:val="center"/>
            <w:textDirection w:val="lrTb"/>
            <w:noWrap w:val="false"/>
          </w:tcPr>
          <w:p>
            <w:pPr>
              <w:jc w:val="lef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1、针对笔录等文书文件提供电子签名服务</w:t>
            </w:r>
            <w:r>
              <w:rPr>
                <w:rFonts w:cs="宋体" w:asciiTheme="minorEastAsia" w:hAnsiTheme="minorEastAsia"/>
                <w:color w:val="000000"/>
                <w:sz w:val="24"/>
                <w:szCs w:val="24"/>
              </w:rPr>
              <w:br/>
            </w:r>
            <w:r>
              <w:rPr>
                <w:rFonts w:cs="宋体" w:asciiTheme="minorEastAsia" w:hAnsiTheme="minorEastAsia"/>
                <w:color w:val="000000"/>
                <w:sz w:val="24"/>
                <w:szCs w:val="24"/>
              </w:rPr>
              <w:t xml:space="preserve">2、支持本地签名板签名和互联网端签名</w:t>
            </w:r>
            <w:r>
              <w:rPr>
                <w:rFonts w:cs="宋体" w:asciiTheme="minorEastAsia" w:hAnsiTheme="minorEastAsia"/>
                <w:color w:val="000000"/>
                <w:sz w:val="24"/>
                <w:szCs w:val="24"/>
              </w:rPr>
              <w:br/>
            </w:r>
            <w:r>
              <w:rPr>
                <w:rFonts w:cs="宋体" w:asciiTheme="minorEastAsia" w:hAnsiTheme="minorEastAsia"/>
                <w:color w:val="000000"/>
                <w:sz w:val="24"/>
                <w:szCs w:val="24"/>
              </w:rPr>
              <w:t xml:space="preserve">3、支持每页签、尾页签、指定位置签等多种签名模式</w:t>
            </w:r>
            <w:r>
              <w:rPr>
                <w:rFonts w:cs="宋体" w:asciiTheme="minorEastAsia" w:hAnsiTheme="minorEastAsia"/>
                <w:color w:val="000000"/>
                <w:sz w:val="24"/>
                <w:szCs w:val="24"/>
              </w:rPr>
              <w:br/>
            </w:r>
            <w:r>
              <w:rPr>
                <w:rFonts w:cs="宋体" w:asciiTheme="minorEastAsia" w:hAnsiTheme="minorEastAsia"/>
                <w:color w:val="000000"/>
                <w:sz w:val="24"/>
                <w:szCs w:val="24"/>
              </w:rPr>
              <w:t xml:space="preserve">4、支持实时查看签名图片，并支持拖动位置、删除 、重签等操作</w:t>
            </w:r>
            <w:r>
              <w:rPr>
                <w:rFonts w:cs="宋体" w:asciiTheme="minorEastAsia" w:hAnsiTheme="minorEastAsia"/>
                <w:color w:val="000000"/>
                <w:sz w:val="24"/>
                <w:szCs w:val="24"/>
              </w:rPr>
              <w:br/>
            </w:r>
            <w:r>
              <w:rPr>
                <w:rFonts w:cs="宋体" w:asciiTheme="minorEastAsia" w:hAnsiTheme="minorEastAsia"/>
                <w:color w:val="000000"/>
                <w:sz w:val="24"/>
                <w:szCs w:val="24"/>
              </w:rPr>
              <w:t xml:space="preserve">5、支持签名文件导出</w:t>
            </w:r>
            <w:r/>
          </w:p>
        </w:tc>
        <w:tc>
          <w:tcPr>
            <w:shd w:val="clear" w:color="000000" w:fill="ffffff"/>
            <w:tcW w:w="686"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632"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4</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电子签字捺印终端</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1、跟中控系统兼容（满足定制开发）</w:t>
            </w:r>
            <w:r>
              <w:rPr>
                <w:rFonts w:cs="宋体" w:asciiTheme="minorEastAsia" w:hAnsiTheme="minorEastAsia"/>
                <w:sz w:val="24"/>
                <w:szCs w:val="24"/>
              </w:rPr>
              <w:br/>
            </w:r>
            <w:r>
              <w:rPr>
                <w:rFonts w:cs="宋体" w:asciiTheme="minorEastAsia" w:hAnsiTheme="minorEastAsia"/>
                <w:sz w:val="24"/>
                <w:szCs w:val="24"/>
              </w:rPr>
              <w:t xml:space="preserve">2、</w:t>
            </w:r>
            <w:r>
              <w:rPr>
                <w:rFonts w:hint="eastAsia" w:cs="宋体" w:asciiTheme="minorEastAsia" w:hAnsiTheme="minorEastAsia"/>
                <w:sz w:val="24"/>
                <w:szCs w:val="24"/>
                <w:lang w:eastAsia="zh-CN"/>
              </w:rPr>
              <w:t xml:space="preserve">处理器性能不低于四核架构， 运行内存不低于2G，存储不低于16G，配备10.1英寸电容电磁双控屏，符合公安部标准的指纹识别模块， 1/3 CMOS，1920*1080@30fps，200W高清图像传感器鱼眼摄像头，带镜头畸变矫正芯片。</w:t>
            </w:r>
            <w:r>
              <w:rPr>
                <w:rFonts w:cs="宋体" w:asciiTheme="minorEastAsia" w:hAnsiTheme="minorEastAsia"/>
                <w:sz w:val="24"/>
                <w:szCs w:val="24"/>
              </w:rPr>
              <w:t xml:space="preserve">。</w:t>
            </w:r>
            <w:r>
              <w:rPr>
                <w:rFonts w:cs="宋体" w:asciiTheme="minorEastAsia" w:hAnsiTheme="minorEastAsia"/>
                <w:sz w:val="24"/>
                <w:szCs w:val="24"/>
              </w:rPr>
              <w:br/>
            </w:r>
            <w:r>
              <w:rPr>
                <w:rFonts w:cs="宋体" w:asciiTheme="minorEastAsia" w:hAnsiTheme="minorEastAsia"/>
                <w:sz w:val="24"/>
                <w:szCs w:val="24"/>
              </w:rPr>
              <w:t xml:space="preserve">3、可自动采集当事人签署过程，证实本人自愿签署该文件，作为辅助凭证。</w:t>
            </w:r>
            <w:r/>
          </w:p>
        </w:tc>
        <w:tc>
          <w:tcPr>
            <w:shd w:val="clear" w:color="000000" w:fill="ffffff"/>
            <w:tcW w:w="686"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632"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gridSpan w:val="3"/>
            <w:shd w:val="clear" w:color="000000" w:fill="ffffff"/>
            <w:tcW w:w="5222"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法庭改造</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庭审应用系统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1、具备功能：为法官、书记员、当事人提供应用服务，包含排期管理、音视频连接与控制、庭审录音录像、笔录制作、笔录同步、笔录校对、语音播报、共享屏幕、刻录打印、本地示证等功能 ，支持无书记员庭审模式，支持远程庭审、互联网庭审</w:t>
            </w:r>
            <w:r>
              <w:rPr>
                <w:rFonts w:cs="宋体" w:asciiTheme="minorEastAsia" w:hAnsiTheme="minorEastAsia"/>
                <w:sz w:val="24"/>
                <w:szCs w:val="24"/>
              </w:rPr>
              <w:br/>
            </w:r>
            <w:r>
              <w:rPr>
                <w:rFonts w:cs="宋体" w:asciiTheme="minorEastAsia" w:hAnsiTheme="minorEastAsia"/>
                <w:sz w:val="24"/>
                <w:szCs w:val="24"/>
              </w:rPr>
              <w:t xml:space="preserve">2、支持对庭审中法官、书记员、当事人等各项应用功能提供信创环境的适配服务。</w:t>
            </w:r>
            <w:r>
              <w:rPr>
                <w:rFonts w:cs="宋体" w:asciiTheme="minorEastAsia" w:hAnsiTheme="minorEastAsia"/>
                <w:sz w:val="24"/>
                <w:szCs w:val="24"/>
              </w:rPr>
              <w:br/>
            </w:r>
            <w:r>
              <w:rPr>
                <w:rFonts w:cs="宋体" w:asciiTheme="minorEastAsia" w:hAnsiTheme="minorEastAsia"/>
                <w:sz w:val="24"/>
                <w:szCs w:val="24"/>
              </w:rPr>
              <w:t xml:space="preserve">3、支持自动生成笔录模板，支持添加各类案件审理所需的笔录模板。</w:t>
            </w:r>
            <w:r>
              <w:rPr>
                <w:rFonts w:cs="宋体" w:asciiTheme="minorEastAsia" w:hAnsiTheme="minorEastAsia"/>
                <w:sz w:val="24"/>
                <w:szCs w:val="24"/>
              </w:rPr>
              <w:br/>
            </w:r>
            <w:r>
              <w:rPr>
                <w:rFonts w:cs="宋体" w:asciiTheme="minorEastAsia" w:hAnsiTheme="minorEastAsia"/>
                <w:sz w:val="24"/>
                <w:szCs w:val="24"/>
              </w:rPr>
              <w:t xml:space="preserve">4、支持灵活选择笔录模板，自动生成笔录纲要，支持书记员直接使用或进一步完善笔录，能够正确处理异常的笔录内容，能够完成笔录预设；</w:t>
            </w:r>
            <w:r>
              <w:rPr>
                <w:rFonts w:cs="宋体" w:asciiTheme="minorEastAsia" w:hAnsiTheme="minorEastAsia"/>
                <w:sz w:val="24"/>
                <w:szCs w:val="24"/>
              </w:rPr>
              <w:br/>
            </w:r>
            <w:r>
              <w:rPr>
                <w:rFonts w:cs="宋体" w:asciiTheme="minorEastAsia" w:hAnsiTheme="minorEastAsia"/>
                <w:sz w:val="24"/>
                <w:szCs w:val="24"/>
              </w:rPr>
              <w:t xml:space="preserve">5、支持庭审系统软硬件的自动检测； </w:t>
            </w:r>
            <w:r>
              <w:rPr>
                <w:rFonts w:cs="宋体" w:asciiTheme="minorEastAsia" w:hAnsiTheme="minorEastAsia"/>
                <w:sz w:val="24"/>
                <w:szCs w:val="24"/>
              </w:rPr>
              <w:br/>
            </w:r>
            <w:r>
              <w:rPr>
                <w:rFonts w:cs="宋体" w:asciiTheme="minorEastAsia" w:hAnsiTheme="minorEastAsia"/>
                <w:sz w:val="24"/>
                <w:szCs w:val="24"/>
              </w:rPr>
              <w:t xml:space="preserve">6、支持自动播报法庭纪律，播报男女声可选且内容可定制；</w:t>
            </w:r>
            <w:r>
              <w:rPr>
                <w:rFonts w:cs="宋体" w:asciiTheme="minorEastAsia" w:hAnsiTheme="minorEastAsia"/>
                <w:sz w:val="24"/>
                <w:szCs w:val="24"/>
              </w:rPr>
              <w:br/>
            </w:r>
            <w:r>
              <w:rPr>
                <w:rFonts w:cs="宋体" w:asciiTheme="minorEastAsia" w:hAnsiTheme="minorEastAsia"/>
                <w:sz w:val="24"/>
                <w:szCs w:val="24"/>
              </w:rPr>
              <w:t xml:space="preserve">7、支持通过语音识别辅助生产笔录内容；</w:t>
            </w:r>
            <w:r>
              <w:rPr>
                <w:rFonts w:cs="宋体" w:asciiTheme="minorEastAsia" w:hAnsiTheme="minorEastAsia"/>
                <w:sz w:val="24"/>
                <w:szCs w:val="24"/>
              </w:rPr>
              <w:br/>
            </w:r>
            <w:r>
              <w:rPr>
                <w:rFonts w:cs="宋体" w:asciiTheme="minorEastAsia" w:hAnsiTheme="minorEastAsia"/>
                <w:sz w:val="24"/>
                <w:szCs w:val="24"/>
              </w:rPr>
              <w:t xml:space="preserve">8、支持实时对庭审音视频进行光盘刻录，支持庭审结束后对庭审音视频进行光盘刻录；</w:t>
            </w:r>
            <w:r>
              <w:rPr>
                <w:rFonts w:cs="宋体" w:asciiTheme="minorEastAsia" w:hAnsiTheme="minorEastAsia"/>
                <w:sz w:val="24"/>
                <w:szCs w:val="24"/>
              </w:rPr>
              <w:br/>
            </w:r>
            <w:r>
              <w:rPr>
                <w:rFonts w:cs="宋体" w:asciiTheme="minorEastAsia" w:hAnsiTheme="minorEastAsia"/>
                <w:sz w:val="24"/>
                <w:szCs w:val="24"/>
              </w:rPr>
              <w:t xml:space="preserve">9、支持法官、书记员、当事人应用系统间的数据交互。 </w:t>
            </w:r>
            <w:r>
              <w:rPr>
                <w:rFonts w:cs="宋体" w:asciiTheme="minorEastAsia" w:hAnsiTheme="minorEastAsia"/>
                <w:sz w:val="24"/>
                <w:szCs w:val="24"/>
              </w:rPr>
              <w:br/>
            </w:r>
            <w:r>
              <w:rPr>
                <w:rFonts w:cs="宋体" w:asciiTheme="minorEastAsia" w:hAnsiTheme="minorEastAsia"/>
                <w:sz w:val="24"/>
                <w:szCs w:val="24"/>
              </w:rPr>
              <w:t xml:space="preserve">10、智慧庭审系统在庭后阶段支持笔录校对功能，支持笔录正文、庭审录像和语音识别记录三者联动，辅助进行笔录内容校对确认。</w:t>
            </w:r>
            <w:r>
              <w:rPr>
                <w:rFonts w:cs="宋体" w:asciiTheme="minorEastAsia" w:hAnsiTheme="minorEastAsia"/>
                <w:sz w:val="24"/>
                <w:szCs w:val="24"/>
              </w:rPr>
              <w:br/>
            </w:r>
            <w:r>
              <w:rPr>
                <w:rFonts w:cs="宋体" w:asciiTheme="minorEastAsia" w:hAnsiTheme="minorEastAsia"/>
                <w:sz w:val="24"/>
                <w:szCs w:val="24"/>
              </w:rPr>
              <w:t xml:space="preserve">11、智慧庭审系统需具备与安全平台的兼容性测试，且能够防止 CSRF/XSS 攻击漏洞，防止木马后门攻击检查、防止 SQL 注入攻击漏洞。</w:t>
            </w:r>
            <w:r>
              <w:rPr>
                <w:rFonts w:cs="宋体" w:asciiTheme="minorEastAsia" w:hAnsiTheme="minorEastAsia"/>
                <w:sz w:val="24"/>
                <w:szCs w:val="24"/>
              </w:rPr>
              <w:br/>
            </w:r>
            <w:r>
              <w:rPr>
                <w:rFonts w:cs="宋体" w:asciiTheme="minorEastAsia" w:hAnsiTheme="minorEastAsia"/>
                <w:sz w:val="24"/>
                <w:szCs w:val="24"/>
              </w:rPr>
              <w:t xml:space="preserve">12、 支持电子签名系统：针对笔录等文书文件提供电子签名服务， 支持本地签名板签名和互联网端签名，支持每页签、尾页签、指定位置签等多种签名模式，支持实时查看签名图片，并支持拖动位置、删除 、重签等操作，支持签名文件导出。</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互联网庭审应用系统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1、支持</w:t>
            </w:r>
            <w:r>
              <w:rPr>
                <w:rFonts w:hint="eastAsia" w:cs="宋体" w:asciiTheme="minorEastAsia" w:hAnsiTheme="minorEastAsia"/>
                <w:sz w:val="24"/>
                <w:szCs w:val="24"/>
              </w:rPr>
              <w:t xml:space="preserve">1</w:t>
            </w:r>
            <w:r>
              <w:rPr>
                <w:rFonts w:cs="宋体" w:asciiTheme="minorEastAsia" w:hAnsiTheme="minorEastAsia"/>
                <w:sz w:val="24"/>
                <w:szCs w:val="24"/>
              </w:rPr>
              <w:t xml:space="preserve">间法庭互联网庭审，并发数不低于</w:t>
            </w:r>
            <w:r>
              <w:rPr>
                <w:rFonts w:hint="eastAsia" w:cs="宋体" w:asciiTheme="minorEastAsia" w:hAnsiTheme="minorEastAsia"/>
                <w:sz w:val="24"/>
                <w:szCs w:val="24"/>
              </w:rPr>
              <w:t xml:space="preserve">1</w:t>
            </w:r>
            <w:r>
              <w:rPr>
                <w:rFonts w:cs="宋体" w:asciiTheme="minorEastAsia" w:hAnsiTheme="minorEastAsia"/>
                <w:sz w:val="24"/>
                <w:szCs w:val="24"/>
              </w:rPr>
              <w:t xml:space="preserve">路（即支持同时互联网庭审法庭数量不低于</w:t>
            </w:r>
            <w:r>
              <w:rPr>
                <w:rFonts w:hint="eastAsia" w:cs="宋体" w:asciiTheme="minorEastAsia" w:hAnsiTheme="minorEastAsia"/>
                <w:sz w:val="24"/>
                <w:szCs w:val="24"/>
              </w:rPr>
              <w:t xml:space="preserve">1</w:t>
            </w:r>
            <w:r>
              <w:rPr>
                <w:rFonts w:cs="宋体" w:asciiTheme="minorEastAsia" w:hAnsiTheme="minorEastAsia"/>
                <w:sz w:val="24"/>
                <w:szCs w:val="24"/>
              </w:rPr>
              <w:t xml:space="preserve">间法庭）</w:t>
            </w:r>
            <w:r>
              <w:rPr>
                <w:rFonts w:cs="宋体" w:asciiTheme="minorEastAsia" w:hAnsiTheme="minorEastAsia"/>
                <w:sz w:val="24"/>
                <w:szCs w:val="24"/>
              </w:rPr>
              <w:br/>
            </w:r>
            <w:r>
              <w:rPr>
                <w:rFonts w:cs="宋体" w:asciiTheme="minorEastAsia" w:hAnsiTheme="minorEastAsia"/>
                <w:sz w:val="24"/>
                <w:szCs w:val="24"/>
              </w:rPr>
              <w:t xml:space="preserve">2、应具备支持多种平台安装部署方式，如PC客户端、手机端应用等；</w:t>
            </w:r>
            <w:r>
              <w:rPr>
                <w:rFonts w:cs="宋体" w:asciiTheme="minorEastAsia" w:hAnsiTheme="minorEastAsia"/>
                <w:sz w:val="24"/>
                <w:szCs w:val="24"/>
              </w:rPr>
              <w:br/>
            </w:r>
            <w:r>
              <w:rPr>
                <w:rFonts w:cs="宋体" w:asciiTheme="minorEastAsia" w:hAnsiTheme="minorEastAsia"/>
                <w:sz w:val="24"/>
                <w:szCs w:val="24"/>
              </w:rPr>
              <w:t xml:space="preserve">3、支持对当事人身份的核验，当事人应可通过多种方式登录系统；</w:t>
            </w:r>
            <w:r>
              <w:rPr>
                <w:rFonts w:cs="宋体" w:asciiTheme="minorEastAsia" w:hAnsiTheme="minorEastAsia"/>
                <w:sz w:val="24"/>
                <w:szCs w:val="24"/>
              </w:rPr>
              <w:br/>
            </w:r>
            <w:r>
              <w:rPr>
                <w:rFonts w:cs="宋体" w:asciiTheme="minorEastAsia" w:hAnsiTheme="minorEastAsia"/>
                <w:sz w:val="24"/>
                <w:szCs w:val="24"/>
              </w:rPr>
              <w:t xml:space="preserve">4、在获得法官同意后，当事人应可主动加入庭审，并具备明显的文字提醒；</w:t>
            </w:r>
            <w:r>
              <w:rPr>
                <w:rFonts w:cs="宋体" w:asciiTheme="minorEastAsia" w:hAnsiTheme="minorEastAsia"/>
                <w:sz w:val="24"/>
                <w:szCs w:val="24"/>
              </w:rPr>
              <w:br/>
            </w:r>
            <w:r>
              <w:rPr>
                <w:rFonts w:cs="宋体" w:asciiTheme="minorEastAsia" w:hAnsiTheme="minorEastAsia"/>
                <w:sz w:val="24"/>
                <w:szCs w:val="24"/>
              </w:rPr>
              <w:t xml:space="preserve">5、系统应可展示用户所有案件的相关信息，并支持对某一案件信息详情的查看；</w:t>
            </w:r>
            <w:r>
              <w:rPr>
                <w:rFonts w:cs="宋体" w:asciiTheme="minorEastAsia" w:hAnsiTheme="minorEastAsia"/>
                <w:sz w:val="24"/>
                <w:szCs w:val="24"/>
              </w:rPr>
              <w:br/>
            </w:r>
            <w:r>
              <w:rPr>
                <w:rFonts w:cs="宋体" w:asciiTheme="minorEastAsia" w:hAnsiTheme="minorEastAsia"/>
                <w:sz w:val="24"/>
                <w:szCs w:val="24"/>
              </w:rPr>
              <w:t xml:space="preserve">6、支持当事人实时查看各方音视频画面，并保证信息传递质量；</w:t>
            </w:r>
            <w:r>
              <w:rPr>
                <w:rFonts w:cs="宋体" w:asciiTheme="minorEastAsia" w:hAnsiTheme="minorEastAsia"/>
                <w:sz w:val="24"/>
                <w:szCs w:val="24"/>
              </w:rPr>
              <w:br/>
            </w:r>
            <w:r>
              <w:rPr>
                <w:rFonts w:cs="宋体" w:asciiTheme="minorEastAsia" w:hAnsiTheme="minorEastAsia"/>
                <w:sz w:val="24"/>
                <w:szCs w:val="24"/>
              </w:rPr>
              <w:t xml:space="preserve">7、在庭审过程中，支持当事人对笔录的实时查看；</w:t>
            </w:r>
            <w:r>
              <w:rPr>
                <w:rFonts w:cs="宋体" w:asciiTheme="minorEastAsia" w:hAnsiTheme="minorEastAsia"/>
                <w:sz w:val="24"/>
                <w:szCs w:val="24"/>
              </w:rPr>
              <w:br/>
            </w:r>
            <w:r>
              <w:rPr>
                <w:rFonts w:cs="宋体" w:asciiTheme="minorEastAsia" w:hAnsiTheme="minorEastAsia"/>
                <w:sz w:val="24"/>
                <w:szCs w:val="24"/>
              </w:rPr>
              <w:t xml:space="preserve">8、在书记员控制下，可完成对完整笔录的查看及电子签名工作，并实现对笔录文件进行回传；</w:t>
            </w:r>
            <w:r>
              <w:rPr>
                <w:rFonts w:cs="宋体" w:asciiTheme="minorEastAsia" w:hAnsiTheme="minorEastAsia"/>
                <w:sz w:val="24"/>
                <w:szCs w:val="24"/>
              </w:rPr>
              <w:br/>
            </w:r>
            <w:r>
              <w:rPr>
                <w:rFonts w:cs="宋体" w:asciiTheme="minorEastAsia" w:hAnsiTheme="minorEastAsia"/>
                <w:sz w:val="24"/>
                <w:szCs w:val="24"/>
              </w:rPr>
              <w:t xml:space="preserve">9、客户端有多个摄像头，系统应支持自动选择适当的设备；</w:t>
            </w:r>
            <w:r>
              <w:rPr>
                <w:rFonts w:cs="宋体" w:asciiTheme="minorEastAsia" w:hAnsiTheme="minorEastAsia"/>
                <w:sz w:val="24"/>
                <w:szCs w:val="24"/>
              </w:rPr>
              <w:br/>
            </w:r>
            <w:r>
              <w:rPr>
                <w:rFonts w:cs="宋体" w:asciiTheme="minorEastAsia" w:hAnsiTheme="minorEastAsia"/>
                <w:sz w:val="24"/>
                <w:szCs w:val="24"/>
              </w:rPr>
              <w:t xml:space="preserve">10、为保证当事人案件信息的完整性，系统应支持对证据文件的共享及对当事人屏幕的共享。</w:t>
            </w:r>
            <w:r>
              <w:rPr>
                <w:rFonts w:cs="宋体" w:asciiTheme="minorEastAsia" w:hAnsiTheme="minorEastAsia"/>
                <w:sz w:val="24"/>
                <w:szCs w:val="24"/>
              </w:rPr>
              <w:br/>
            </w:r>
            <w:r>
              <w:rPr>
                <w:rFonts w:cs="宋体" w:asciiTheme="minorEastAsia" w:hAnsiTheme="minorEastAsia"/>
                <w:sz w:val="24"/>
                <w:szCs w:val="24"/>
              </w:rPr>
              <w:t xml:space="preserve">11、支持对方远程参与视频庭审，能够支持8路画面。</w:t>
            </w:r>
            <w:r>
              <w:rPr>
                <w:rFonts w:cs="宋体" w:asciiTheme="minorEastAsia" w:hAnsiTheme="minorEastAsia"/>
                <w:sz w:val="24"/>
                <w:szCs w:val="24"/>
              </w:rPr>
              <w:br/>
            </w:r>
            <w:r>
              <w:rPr>
                <w:rFonts w:cs="宋体" w:asciiTheme="minorEastAsia" w:hAnsiTheme="minorEastAsia"/>
                <w:sz w:val="24"/>
                <w:szCs w:val="24"/>
              </w:rPr>
              <w:t xml:space="preserve">12、能够屏蔽用户的误操作，用户有误操作时，系统不失效，不丢失数据；能够判断数据的有效性，屏蔽非法数据，给出提示信息。</w:t>
            </w:r>
            <w:r>
              <w:rPr>
                <w:rFonts w:cs="宋体" w:asciiTheme="minorEastAsia" w:hAnsiTheme="minorEastAsia"/>
                <w:sz w:val="24"/>
                <w:szCs w:val="24"/>
              </w:rPr>
              <w:br/>
            </w:r>
            <w:r>
              <w:rPr>
                <w:rFonts w:cs="宋体" w:asciiTheme="minorEastAsia" w:hAnsiTheme="minorEastAsia"/>
                <w:sz w:val="24"/>
                <w:szCs w:val="24"/>
              </w:rPr>
              <w:t xml:space="preserve">13、能够依据用户角色访问相关的信息和数据；能够保证数据在传输过程中加密。</w:t>
            </w:r>
            <w:r>
              <w:rPr>
                <w:rFonts w:cs="宋体" w:asciiTheme="minorEastAsia" w:hAnsiTheme="minorEastAsia"/>
                <w:sz w:val="24"/>
                <w:szCs w:val="24"/>
              </w:rPr>
              <w:br/>
            </w:r>
            <w:r>
              <w:rPr>
                <w:rFonts w:cs="宋体" w:asciiTheme="minorEastAsia" w:hAnsiTheme="minorEastAsia"/>
                <w:sz w:val="24"/>
                <w:szCs w:val="24"/>
              </w:rPr>
              <w:t xml:space="preserve">14、能够防止SQL注入漏洞攻击，能够防止CSRF漏洞攻击，能够防止XSS漏洞攻击，能够防止木马后门攻击，能够防止命令行漏洞攻击，能够保证系统中输入超长字符不失效。</w:t>
            </w:r>
            <w:r>
              <w:rPr>
                <w:rFonts w:cs="宋体" w:asciiTheme="minorEastAsia" w:hAnsiTheme="minorEastAsia"/>
                <w:sz w:val="24"/>
                <w:szCs w:val="24"/>
              </w:rPr>
              <w:br/>
            </w:r>
            <w:r>
              <w:rPr>
                <w:rFonts w:cs="宋体" w:asciiTheme="minorEastAsia" w:hAnsiTheme="minorEastAsia"/>
                <w:sz w:val="24"/>
                <w:szCs w:val="24"/>
              </w:rPr>
              <w:t xml:space="preserve">15、能够提供登录模块对用户进行身份标识和鉴别，正确的用户信息能够登录，错误的用户信息不能登录。</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gridSpan w:val="3"/>
            <w:shd w:val="clear" w:color="000000" w:fill="ffffff"/>
            <w:tcW w:w="5222"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五、开发区法院庭审系统</w:t>
            </w:r>
            <w:r/>
          </w:p>
        </w:tc>
        <w:tc>
          <w:tcPr>
            <w:shd w:val="clear" w:color="000000" w:fill="ffffff"/>
            <w:tcW w:w="686"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c>
          <w:tcPr>
            <w:shd w:val="clear" w:color="000000" w:fill="ffffff"/>
            <w:tcW w:w="632" w:type="dxa"/>
            <w:vAlign w:val="center"/>
            <w:textDirection w:val="lrTb"/>
            <w:noWrap w:val="false"/>
          </w:tcPr>
          <w:p>
            <w:pPr>
              <w:jc w:val="left"/>
              <w:widowControl/>
              <w:rPr>
                <w:rFonts w:cs="宋体" w:asciiTheme="minorEastAsia" w:hAnsiTheme="minorEastAsia"/>
                <w:b/>
                <w:bCs/>
                <w:sz w:val="24"/>
                <w:szCs w:val="24"/>
              </w:rPr>
            </w:pPr>
            <w:r>
              <w:rPr>
                <w:rFonts w:cs="宋体" w:asciiTheme="minorEastAsia" w:hAnsiTheme="minorEastAsia"/>
                <w:b/>
                <w:bCs/>
                <w:sz w:val="24"/>
                <w:szCs w:val="24"/>
              </w:rPr>
              <w:t xml:space="preserve">　</w:t>
            </w:r>
            <w:r/>
          </w:p>
        </w:tc>
        <w:tc>
          <w:tcPr>
            <w:shd w:val="clear" w:color="000000" w:fill="ffffff"/>
            <w:tcW w:w="863" w:type="dxa"/>
            <w:vAlign w:val="center"/>
            <w:textDirection w:val="lrTb"/>
            <w:noWrap w:val="false"/>
          </w:tcPr>
          <w:p>
            <w:pPr>
              <w:jc w:val="lef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庭审流媒体服务系统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1、需具备流媒体录播服务，应支持多媒体信号同步录制；</w:t>
            </w:r>
            <w:r>
              <w:rPr>
                <w:rFonts w:cs="宋体" w:asciiTheme="minorEastAsia" w:hAnsiTheme="minorEastAsia"/>
                <w:sz w:val="24"/>
                <w:szCs w:val="24"/>
              </w:rPr>
              <w:br/>
            </w:r>
            <w:r>
              <w:rPr>
                <w:rFonts w:cs="宋体" w:asciiTheme="minorEastAsia" w:hAnsiTheme="minorEastAsia"/>
                <w:sz w:val="24"/>
                <w:szCs w:val="24"/>
              </w:rPr>
              <w:t xml:space="preserve">2、需支持不少于24个高清法庭各路高清编码信号输入存储及直播。</w:t>
            </w:r>
            <w:r>
              <w:rPr>
                <w:rFonts w:cs="宋体" w:asciiTheme="minorEastAsia" w:hAnsiTheme="minorEastAsia"/>
                <w:sz w:val="24"/>
                <w:szCs w:val="24"/>
              </w:rPr>
              <w:br/>
            </w:r>
            <w:r>
              <w:rPr>
                <w:rFonts w:cs="宋体" w:asciiTheme="minorEastAsia" w:hAnsiTheme="minorEastAsia"/>
                <w:sz w:val="24"/>
                <w:szCs w:val="24"/>
              </w:rPr>
              <w:t xml:space="preserve">3、需支持连接远程法庭、远程讯问室，转发远程音视频数据流给庭审终端，并对远程数据流同步录制为单独文件。</w:t>
            </w:r>
            <w:r>
              <w:rPr>
                <w:rFonts w:cs="宋体" w:asciiTheme="minorEastAsia" w:hAnsiTheme="minorEastAsia"/>
                <w:sz w:val="24"/>
                <w:szCs w:val="24"/>
              </w:rPr>
              <w:br/>
            </w:r>
            <w:r>
              <w:rPr>
                <w:rFonts w:cs="宋体" w:asciiTheme="minorEastAsia" w:hAnsiTheme="minorEastAsia"/>
                <w:sz w:val="24"/>
                <w:szCs w:val="24"/>
              </w:rPr>
              <w:t xml:space="preserve">4、需支持对其他法院的庭审直播进行数据流转发，接收其他法院的单路直播流，在本院分发给多电脑观看，减少专网带宽占用。</w:t>
            </w:r>
            <w:r>
              <w:rPr>
                <w:rFonts w:cs="宋体" w:asciiTheme="minorEastAsia" w:hAnsiTheme="minorEastAsia"/>
                <w:sz w:val="24"/>
                <w:szCs w:val="24"/>
              </w:rPr>
              <w:br/>
            </w:r>
            <w:r>
              <w:rPr>
                <w:rFonts w:cs="宋体" w:asciiTheme="minorEastAsia" w:hAnsiTheme="minorEastAsia"/>
                <w:sz w:val="24"/>
                <w:szCs w:val="24"/>
              </w:rPr>
              <w:t xml:space="preserve">5、输出格式要求：需符合最高院要求的H.264编码，符合最高院要求的MPEG4文件存放格式；</w:t>
            </w:r>
            <w:r>
              <w:rPr>
                <w:rFonts w:cs="宋体" w:asciiTheme="minorEastAsia" w:hAnsiTheme="minorEastAsia"/>
                <w:sz w:val="24"/>
                <w:szCs w:val="24"/>
              </w:rPr>
              <w:br/>
            </w:r>
            <w:r>
              <w:rPr>
                <w:rFonts w:cs="宋体" w:asciiTheme="minorEastAsia" w:hAnsiTheme="minorEastAsia"/>
                <w:sz w:val="24"/>
                <w:szCs w:val="24"/>
              </w:rPr>
              <w:t xml:space="preserve">6、需实时存储、直播，音视频完全同步，局域网内直播延时不大于200毫秒；</w:t>
            </w:r>
            <w:r>
              <w:rPr>
                <w:rFonts w:cs="宋体" w:asciiTheme="minorEastAsia" w:hAnsiTheme="minorEastAsia"/>
                <w:sz w:val="24"/>
                <w:szCs w:val="24"/>
              </w:rPr>
              <w:br/>
            </w:r>
            <w:r>
              <w:rPr>
                <w:rFonts w:cs="宋体" w:asciiTheme="minorEastAsia" w:hAnsiTheme="minorEastAsia"/>
                <w:sz w:val="24"/>
                <w:szCs w:val="24"/>
              </w:rPr>
              <w:t xml:space="preserve">7、全部采用中文用户操作界面，使用简捷、友好；支持庭审录像叠加庭审实际时间、文字等信息；支持50人同时在线观看直播、点播；同一时间在线人数需支持100人以上高清庭审直播、点播，并保证画面的流畅、稳定；支持多套录播服务器系统负载均衡。</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庭审流媒体服务系统服务器</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CPU规格：采用鲲鹏、飞腾、海光主流处理器，物理核数</w:t>
            </w:r>
            <w:r>
              <w:rPr>
                <w:rFonts w:cs="宋体" w:asciiTheme="minorEastAsia" w:hAnsiTheme="minorEastAsia"/>
                <w:sz w:val="24"/>
                <w:szCs w:val="24"/>
              </w:rPr>
              <w:t xml:space="preserve">不低于32核</w:t>
            </w:r>
            <w:r>
              <w:rPr>
                <w:rFonts w:hint="eastAsia" w:cs="宋体" w:asciiTheme="minorEastAsia" w:hAnsiTheme="minorEastAsia"/>
                <w:sz w:val="24"/>
                <w:szCs w:val="24"/>
              </w:rPr>
              <w:t xml:space="preserve">，</w:t>
            </w:r>
            <w:r>
              <w:rPr>
                <w:rFonts w:cs="宋体" w:asciiTheme="minorEastAsia" w:hAnsiTheme="minorEastAsia"/>
                <w:sz w:val="24"/>
                <w:szCs w:val="24"/>
              </w:rPr>
              <w:t xml:space="preserve">处理器标准性能，支持通用计算及虚拟化功能，集成整型计算单元、浮点计算单元、内存控制器、I/O模块等基础算力单元</w:t>
            </w:r>
            <w:r>
              <w:rPr>
                <w:rFonts w:hint="eastAsia" w:cs="宋体" w:asciiTheme="minorEastAsia" w:hAnsiTheme="minorEastAsia"/>
                <w:sz w:val="24"/>
                <w:szCs w:val="24"/>
              </w:rPr>
              <w:t xml:space="preserve">；</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内存规格：</w:t>
            </w:r>
            <w:r>
              <w:rPr>
                <w:rFonts w:cs="宋体" w:asciiTheme="minorEastAsia" w:hAnsiTheme="minorEastAsia"/>
                <w:sz w:val="24"/>
                <w:szCs w:val="24"/>
              </w:rPr>
              <w:t xml:space="preserve">不低于</w:t>
            </w:r>
            <w:r>
              <w:rPr>
                <w:rFonts w:hint="eastAsia" w:cs="宋体" w:asciiTheme="minorEastAsia" w:hAnsiTheme="minorEastAsia"/>
                <w:sz w:val="24"/>
                <w:szCs w:val="24"/>
              </w:rPr>
              <w:t xml:space="preserve">128</w:t>
            </w:r>
            <w:r>
              <w:rPr>
                <w:rFonts w:cs="宋体" w:asciiTheme="minorEastAsia" w:hAnsiTheme="minorEastAsia"/>
                <w:sz w:val="24"/>
                <w:szCs w:val="24"/>
              </w:rPr>
              <w:t xml:space="preserve">GB，支持内存增强型纠错功能，保障数据传输准确性与运行稳定性。</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存储规格：</w:t>
            </w:r>
            <w:r>
              <w:rPr>
                <w:rFonts w:cs="宋体" w:asciiTheme="minorEastAsia" w:hAnsiTheme="minorEastAsia"/>
                <w:sz w:val="24"/>
                <w:szCs w:val="24"/>
              </w:rPr>
              <w:t xml:space="preserve">配置不少于2块960GB企业级固态硬盘，支持高速读写，适配系统部署、高频业务读写、数据缓存等核心场景。配置不少于4块2TB企业级机械硬盘，满足大容量数据存储、数据备份、归档留存等业务需求。</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网络规格：配备网口数量不少于4个，且网口速率不少于1GE。</w:t>
            </w:r>
            <w:r/>
          </w:p>
          <w:p>
            <w:pPr>
              <w:jc w:val="left"/>
              <w:widowControl/>
              <w:rPr>
                <w:rFonts w:cs="宋体" w:asciiTheme="minorEastAsia" w:hAnsiTheme="minorEastAsia"/>
                <w:sz w:val="24"/>
                <w:szCs w:val="24"/>
              </w:rPr>
            </w:pPr>
            <w:r>
              <w:rPr>
                <w:rFonts w:hint="eastAsia" w:cs="宋体" w:asciiTheme="minorEastAsia" w:hAnsiTheme="minorEastAsia"/>
                <w:sz w:val="24"/>
                <w:szCs w:val="24"/>
              </w:rPr>
              <w:t xml:space="preserve">电源规格：</w:t>
            </w:r>
            <w:r>
              <w:rPr>
                <w:rFonts w:cs="宋体" w:asciiTheme="minorEastAsia" w:hAnsiTheme="minorEastAsia"/>
                <w:sz w:val="24"/>
                <w:szCs w:val="24"/>
              </w:rPr>
              <w:t xml:space="preserve">配置不少于2个冗余电源模块，支持热插拔、故障自动切换功能，满足服务器不间断供电需求。</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3</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操作系统</w:t>
            </w:r>
            <w:r/>
          </w:p>
        </w:tc>
        <w:tc>
          <w:tcPr>
            <w:shd w:val="clear" w:color="000000" w:fill="ffffff"/>
            <w:tcW w:w="3908" w:type="dxa"/>
            <w:vAlign w:val="center"/>
            <w:textDirection w:val="lrTb"/>
            <w:noWrap w:val="false"/>
          </w:tcPr>
          <w:p>
            <w:pPr>
              <w:jc w:val="left"/>
              <w:widowControl/>
              <w:rPr>
                <w:rFonts w:ascii="宋体" w:hAnsi="宋体" w:eastAsia="宋体" w:cs="宋体"/>
                <w:szCs w:val="21"/>
              </w:rPr>
            </w:pPr>
            <w:r>
              <w:rPr>
                <w:rFonts w:cs="宋体" w:asciiTheme="minorEastAsia" w:hAnsiTheme="minorEastAsia"/>
                <w:sz w:val="24"/>
                <w:szCs w:val="24"/>
              </w:rPr>
              <w:t xml:space="preserve">1.操作系统</w:t>
            </w:r>
            <w:r>
              <w:rPr>
                <w:rFonts w:hint="eastAsia" w:cs="宋体" w:asciiTheme="minorEastAsia" w:hAnsiTheme="minorEastAsia"/>
                <w:sz w:val="24"/>
                <w:szCs w:val="24"/>
              </w:rPr>
              <w:t xml:space="preserve">：</w:t>
            </w:r>
            <w:r>
              <w:rPr>
                <w:rFonts w:cs="宋体" w:asciiTheme="minorEastAsia" w:hAnsiTheme="minorEastAsia"/>
                <w:sz w:val="24"/>
                <w:szCs w:val="24"/>
              </w:rPr>
              <w:t xml:space="preserve">支持飞腾、鲲鹏、海光主流</w:t>
            </w:r>
            <w:r>
              <w:rPr>
                <w:rFonts w:hint="eastAsia" w:cs="宋体" w:asciiTheme="minorEastAsia" w:hAnsiTheme="minorEastAsia"/>
                <w:sz w:val="24"/>
                <w:szCs w:val="24"/>
              </w:rPr>
              <w:t xml:space="preserve">处理器</w:t>
            </w:r>
            <w:r>
              <w:rPr>
                <w:rFonts w:cs="宋体" w:asciiTheme="minorEastAsia" w:hAnsiTheme="minorEastAsia"/>
                <w:sz w:val="24"/>
                <w:szCs w:val="24"/>
              </w:rPr>
              <w:t xml:space="preserve">。</w:t>
            </w:r>
            <w:r>
              <w:rPr>
                <w:rFonts w:cs="宋体" w:asciiTheme="minorEastAsia" w:hAnsiTheme="minorEastAsia"/>
                <w:sz w:val="24"/>
                <w:szCs w:val="24"/>
              </w:rPr>
              <w:br/>
            </w:r>
            <w:r>
              <w:rPr>
                <w:rFonts w:cs="宋体" w:asciiTheme="minorEastAsia" w:hAnsiTheme="minorEastAsia"/>
                <w:sz w:val="24"/>
                <w:szCs w:val="24"/>
              </w:rPr>
              <w:t xml:space="preserve">2.操作系统内核</w:t>
            </w:r>
            <w:r>
              <w:rPr>
                <w:rFonts w:hint="eastAsia" w:cs="宋体" w:asciiTheme="minorEastAsia" w:hAnsiTheme="minorEastAsia"/>
                <w:sz w:val="24"/>
                <w:szCs w:val="24"/>
              </w:rPr>
              <w:t xml:space="preserve">：不低于</w:t>
            </w:r>
            <w:r>
              <w:rPr>
                <w:rFonts w:cs="宋体" w:asciiTheme="minorEastAsia" w:hAnsiTheme="minorEastAsia"/>
                <w:sz w:val="24"/>
                <w:szCs w:val="24"/>
              </w:rPr>
              <w:t xml:space="preserve">kernel 4.19稳定版本，支持Ext3、Ext4、GFS2、XFS、NTFS等文件系统，</w:t>
            </w:r>
            <w:r>
              <w:rPr>
                <w:rFonts w:hint="eastAsia" w:cs="宋体" w:asciiTheme="minorEastAsia" w:hAnsiTheme="minorEastAsia"/>
                <w:sz w:val="24"/>
                <w:szCs w:val="24"/>
                <w:lang w:eastAsia="zh-CN"/>
              </w:rPr>
              <w:t xml:space="preserve">提供适配于操作系统的rpm和deb软件包格式转换工具和模块</w:t>
            </w:r>
            <w:r>
              <w:rPr>
                <w:rFonts w:cs="宋体" w:asciiTheme="minorEastAsia" w:hAnsiTheme="minorEastAsia"/>
                <w:sz w:val="24"/>
                <w:szCs w:val="24"/>
              </w:rPr>
              <w:t xml:space="preserve">。</w:t>
            </w:r>
            <w:r>
              <w:rPr>
                <w:rFonts w:cs="宋体" w:asciiTheme="minorEastAsia" w:hAnsiTheme="minorEastAsia"/>
                <w:sz w:val="24"/>
                <w:szCs w:val="24"/>
              </w:rPr>
              <w:br/>
            </w:r>
            <w:r>
              <w:rPr>
                <w:rFonts w:cs="宋体" w:asciiTheme="minorEastAsia" w:hAnsiTheme="minorEastAsia"/>
                <w:sz w:val="24"/>
                <w:szCs w:val="24"/>
              </w:rPr>
              <w:t xml:space="preserve">3.操作系统软件产品质量管理与质量标准</w:t>
            </w:r>
            <w:r>
              <w:rPr>
                <w:rFonts w:hint="eastAsia" w:cs="宋体" w:asciiTheme="minorEastAsia" w:hAnsiTheme="minorEastAsia"/>
                <w:sz w:val="24"/>
                <w:szCs w:val="24"/>
              </w:rPr>
              <w:t xml:space="preserve">：</w:t>
            </w:r>
            <w:r>
              <w:rPr>
                <w:rFonts w:cs="宋体" w:asciiTheme="minorEastAsia" w:hAnsiTheme="minorEastAsia"/>
                <w:sz w:val="24"/>
                <w:szCs w:val="24"/>
              </w:rPr>
              <w:t xml:space="preserve">属于优化级，系统可提供安全增强组件，支持增加三权分立、白名单控制等安全功能，</w:t>
            </w:r>
            <w:r>
              <w:rPr>
                <w:rFonts w:hint="eastAsia" w:cs="宋体" w:asciiTheme="minorEastAsia" w:hAnsiTheme="minorEastAsia"/>
                <w:sz w:val="24"/>
                <w:szCs w:val="24"/>
                <w:lang w:eastAsia="zh-CN"/>
              </w:rPr>
              <w:t xml:space="preserve">并且可增强至国家的安全保护级别标准，如国家网络安全等级保护三级标准。</w:t>
            </w:r>
            <w:r>
              <w:rPr>
                <w:rFonts w:cs="宋体" w:asciiTheme="minorEastAsia" w:hAnsiTheme="minorEastAsia"/>
                <w:sz w:val="24"/>
                <w:szCs w:val="24"/>
              </w:rPr>
              <w:br/>
            </w:r>
            <w:r>
              <w:rPr>
                <w:rFonts w:cs="宋体" w:asciiTheme="minorEastAsia" w:hAnsiTheme="minorEastAsia"/>
                <w:sz w:val="24"/>
                <w:szCs w:val="24"/>
              </w:rPr>
              <w:t xml:space="preserve">4.操作系统</w:t>
            </w:r>
            <w:r>
              <w:rPr>
                <w:rFonts w:hint="eastAsia" w:cs="宋体" w:asciiTheme="minorEastAsia" w:hAnsiTheme="minorEastAsia"/>
                <w:sz w:val="24"/>
                <w:szCs w:val="24"/>
              </w:rPr>
              <w:t xml:space="preserve">：系统</w:t>
            </w:r>
            <w:r>
              <w:rPr>
                <w:rFonts w:cs="宋体" w:asciiTheme="minorEastAsia" w:hAnsiTheme="minorEastAsia"/>
                <w:sz w:val="24"/>
                <w:szCs w:val="24"/>
              </w:rPr>
              <w:t xml:space="preserve">支持LSM、可信计算TCM/TPCM、TPM2.0，内置国密算法，支持基于国密算法的加解密应用，支持可信计算。</w:t>
            </w:r>
            <w:r>
              <w:rPr>
                <w:rFonts w:cs="宋体" w:asciiTheme="minorEastAsia" w:hAnsiTheme="minorEastAsia"/>
                <w:sz w:val="24"/>
                <w:szCs w:val="24"/>
              </w:rPr>
              <w:br/>
            </w:r>
            <w:r>
              <w:rPr>
                <w:rFonts w:cs="宋体" w:asciiTheme="minorEastAsia" w:hAnsiTheme="minorEastAsia"/>
                <w:sz w:val="24"/>
                <w:szCs w:val="24"/>
              </w:rPr>
              <w:t xml:space="preserve">5.</w:t>
            </w:r>
            <w:r>
              <w:rPr>
                <w:rFonts w:hint="eastAsia" w:cs="宋体" w:asciiTheme="minorEastAsia" w:hAnsiTheme="minorEastAsia"/>
                <w:sz w:val="24"/>
                <w:szCs w:val="24"/>
              </w:rPr>
              <w:t xml:space="preserve">隔离保护：</w:t>
            </w:r>
            <w:r>
              <w:rPr>
                <w:rFonts w:hint="eastAsia" w:cs="宋体" w:asciiTheme="minorEastAsia" w:hAnsiTheme="minorEastAsia"/>
                <w:sz w:val="24"/>
                <w:szCs w:val="24"/>
                <w:lang w:eastAsia="zh-CN"/>
              </w:rPr>
              <w:t xml:space="preserve">系统提供私有数据隔离保护技术，通过该技术包括管理员在内的任何其他用户都不能进行非授权访问</w:t>
            </w:r>
            <w:r>
              <w:rPr>
                <w:rFonts w:cs="宋体" w:asciiTheme="minorEastAsia" w:hAnsiTheme="minorEastAsia"/>
                <w:sz w:val="24"/>
                <w:szCs w:val="24"/>
              </w:rPr>
              <w:br/>
            </w:r>
            <w:r>
              <w:rPr>
                <w:rFonts w:cs="宋体" w:asciiTheme="minorEastAsia" w:hAnsiTheme="minorEastAsia"/>
                <w:sz w:val="24"/>
                <w:szCs w:val="24"/>
              </w:rPr>
              <w:t xml:space="preserve">6.</w:t>
            </w:r>
            <w:r>
              <w:rPr>
                <w:rFonts w:hint="eastAsia" w:cs="宋体" w:asciiTheme="minorEastAsia" w:hAnsiTheme="minorEastAsia"/>
                <w:sz w:val="24"/>
                <w:szCs w:val="24"/>
              </w:rPr>
              <w:t xml:space="preserve">访问控制：系统</w:t>
            </w:r>
            <w:r>
              <w:rPr>
                <w:rFonts w:cs="宋体" w:asciiTheme="minorEastAsia" w:hAnsiTheme="minorEastAsia"/>
                <w:sz w:val="24"/>
                <w:szCs w:val="24"/>
              </w:rPr>
              <w:t xml:space="preserve">可支持强制访问控制，并可提供多种强制访问控制联合加载，包括SELINUX、APPARMOR等。</w:t>
            </w:r>
            <w:r>
              <w:rPr>
                <w:rFonts w:cs="宋体" w:asciiTheme="minorEastAsia" w:hAnsiTheme="minorEastAsia"/>
                <w:sz w:val="24"/>
                <w:szCs w:val="24"/>
              </w:rPr>
              <w:br/>
            </w:r>
            <w:r>
              <w:rPr>
                <w:rFonts w:cs="宋体" w:asciiTheme="minorEastAsia" w:hAnsiTheme="minorEastAsia"/>
                <w:sz w:val="24"/>
                <w:szCs w:val="24"/>
              </w:rPr>
              <w:t xml:space="preserve">7.</w:t>
            </w:r>
            <w:r>
              <w:rPr>
                <w:rFonts w:hint="eastAsia" w:cs="宋体" w:asciiTheme="minorEastAsia" w:hAnsiTheme="minorEastAsia"/>
                <w:sz w:val="24"/>
                <w:szCs w:val="24"/>
              </w:rPr>
              <w:t xml:space="preserve">防御技术：</w:t>
            </w:r>
            <w:r>
              <w:rPr>
                <w:rFonts w:hint="eastAsia" w:cs="宋体" w:asciiTheme="minorEastAsia" w:hAnsiTheme="minorEastAsia"/>
                <w:sz w:val="24"/>
                <w:szCs w:val="24"/>
                <w:lang w:eastAsia="zh-CN"/>
              </w:rPr>
              <w:t xml:space="preserve">系统提供安全底层机制主动防御技术，保障系统级的内生安全，提供执行控制、文件保护、内核模块保护</w:t>
            </w:r>
            <w:r>
              <w:rPr>
                <w:rFonts w:cs="宋体" w:asciiTheme="minorEastAsia" w:hAnsiTheme="minorEastAsia"/>
                <w:sz w:val="24"/>
                <w:szCs w:val="24"/>
              </w:rPr>
              <w:t xml:space="preserve">。</w:t>
            </w:r>
            <w:r>
              <w:rPr>
                <w:rFonts w:cs="宋体" w:asciiTheme="minorEastAsia" w:hAnsiTheme="minorEastAsia"/>
                <w:sz w:val="24"/>
                <w:szCs w:val="24"/>
              </w:rPr>
              <w:br/>
            </w:r>
            <w:r>
              <w:rPr>
                <w:rFonts w:cs="宋体" w:asciiTheme="minorEastAsia" w:hAnsiTheme="minorEastAsia"/>
                <w:sz w:val="24"/>
                <w:szCs w:val="24"/>
              </w:rPr>
              <w:t xml:space="preserve">8.</w:t>
            </w:r>
            <w:r>
              <w:rPr>
                <w:rFonts w:hint="eastAsia" w:cs="宋体" w:asciiTheme="minorEastAsia" w:hAnsiTheme="minorEastAsia"/>
                <w:sz w:val="24"/>
                <w:szCs w:val="24"/>
              </w:rPr>
              <w:t xml:space="preserve">网络协议：</w:t>
            </w:r>
            <w:r>
              <w:rPr>
                <w:rFonts w:cs="宋体" w:asciiTheme="minorEastAsia" w:hAnsiTheme="minorEastAsia"/>
                <w:sz w:val="24"/>
                <w:szCs w:val="24"/>
              </w:rPr>
              <w:t xml:space="preserve">支持HTTP、FTP、VNC、TCP、UDP、IP、FTP、DNS、NFS、NTP、DHCP、SSH等多种网络协议。</w:t>
            </w:r>
            <w:r>
              <w:rPr>
                <w:rFonts w:cs="宋体" w:asciiTheme="minorEastAsia" w:hAnsiTheme="minorEastAsia"/>
                <w:sz w:val="24"/>
                <w:szCs w:val="24"/>
              </w:rPr>
              <w:br/>
            </w:r>
            <w:r>
              <w:rPr>
                <w:rFonts w:cs="宋体" w:asciiTheme="minorEastAsia" w:hAnsiTheme="minorEastAsia"/>
                <w:sz w:val="24"/>
                <w:szCs w:val="24"/>
              </w:rPr>
              <w:t xml:space="preserve">9.</w:t>
            </w:r>
            <w:r>
              <w:rPr>
                <w:rFonts w:hint="eastAsia" w:cs="宋体" w:asciiTheme="minorEastAsia" w:hAnsiTheme="minorEastAsia"/>
                <w:sz w:val="24"/>
                <w:szCs w:val="24"/>
              </w:rPr>
              <w:t xml:space="preserve">常用工具和集成开发环境：系统</w:t>
            </w:r>
            <w:r>
              <w:rPr>
                <w:rFonts w:cs="宋体" w:asciiTheme="minorEastAsia" w:hAnsiTheme="minorEastAsia"/>
                <w:sz w:val="24"/>
                <w:szCs w:val="24"/>
              </w:rPr>
              <w:t xml:space="preserve">提供服务配置和管理、进程管理、网络管理、资源管理和监控、文件共享、系统更新、备份还原等服务器常用工具和集成开发环境。</w:t>
            </w:r>
            <w:r>
              <w:rPr>
                <w:rFonts w:cs="宋体" w:asciiTheme="minorEastAsia" w:hAnsiTheme="minorEastAsia"/>
                <w:sz w:val="24"/>
                <w:szCs w:val="24"/>
              </w:rPr>
              <w:br/>
            </w:r>
            <w:r>
              <w:rPr>
                <w:rFonts w:cs="宋体" w:asciiTheme="minorEastAsia" w:hAnsiTheme="minorEastAsia"/>
                <w:sz w:val="24"/>
                <w:szCs w:val="24"/>
              </w:rPr>
              <w:t xml:space="preserve">10.</w:t>
            </w:r>
            <w:r>
              <w:rPr>
                <w:rFonts w:hint="eastAsia" w:cs="宋体" w:asciiTheme="minorEastAsia" w:hAnsiTheme="minorEastAsia"/>
                <w:sz w:val="24"/>
                <w:szCs w:val="24"/>
              </w:rPr>
              <w:t xml:space="preserve">日志收集：</w:t>
            </w:r>
            <w:r>
              <w:rPr>
                <w:rFonts w:cs="宋体" w:asciiTheme="minorEastAsia" w:hAnsiTheme="minorEastAsia"/>
                <w:sz w:val="24"/>
                <w:szCs w:val="24"/>
              </w:rPr>
              <w:t xml:space="preserve">系统提供图形化人机操作UI界面，提供刷新功能。提供图形化日志收集工具，可以收集系统日志、内核日志、启动日志、应用日志等，提供按时间周期和日志级别的过滤功能，并可导出日志文件。</w:t>
            </w:r>
            <w:r>
              <w:rPr>
                <w:rFonts w:cs="宋体" w:asciiTheme="minorEastAsia" w:hAnsiTheme="minorEastAsia"/>
                <w:sz w:val="24"/>
                <w:szCs w:val="24"/>
              </w:rPr>
              <w:br/>
            </w:r>
            <w:r>
              <w:rPr>
                <w:rFonts w:cs="宋体" w:asciiTheme="minorEastAsia" w:hAnsiTheme="minorEastAsia"/>
                <w:sz w:val="24"/>
                <w:szCs w:val="24"/>
              </w:rPr>
              <w:t xml:space="preserve">11.</w:t>
            </w:r>
            <w:r>
              <w:rPr>
                <w:rFonts w:hint="eastAsia" w:cs="宋体" w:asciiTheme="minorEastAsia" w:hAnsiTheme="minorEastAsia"/>
                <w:sz w:val="24"/>
                <w:szCs w:val="24"/>
              </w:rPr>
              <w:t xml:space="preserve">主流硬件兼容性：</w:t>
            </w:r>
            <w:r>
              <w:rPr>
                <w:rFonts w:cs="宋体" w:asciiTheme="minorEastAsia" w:hAnsiTheme="minorEastAsia"/>
                <w:sz w:val="24"/>
                <w:szCs w:val="24"/>
              </w:rPr>
              <w:t xml:space="preserve">操作系统兼容国内外主流的服务器、存储、板卡等硬件产品，包括华为、长城、百信、曙光、浪潮或等同。</w:t>
            </w:r>
            <w:r>
              <w:rPr>
                <w:rFonts w:cs="宋体" w:asciiTheme="minorEastAsia" w:hAnsiTheme="minorEastAsia"/>
                <w:sz w:val="24"/>
                <w:szCs w:val="24"/>
              </w:rPr>
              <w:br/>
            </w:r>
            <w:r>
              <w:rPr>
                <w:rFonts w:cs="宋体" w:asciiTheme="minorEastAsia" w:hAnsiTheme="minorEastAsia"/>
                <w:sz w:val="24"/>
                <w:szCs w:val="24"/>
              </w:rPr>
              <w:t xml:space="preserve">12.</w:t>
            </w:r>
            <w:r>
              <w:rPr>
                <w:rFonts w:hint="eastAsia" w:cs="宋体" w:asciiTheme="minorEastAsia" w:hAnsiTheme="minorEastAsia"/>
                <w:sz w:val="24"/>
                <w:szCs w:val="24"/>
              </w:rPr>
              <w:t xml:space="preserve">主流软件兼容性：</w:t>
            </w:r>
            <w:r>
              <w:rPr>
                <w:rFonts w:cs="宋体" w:asciiTheme="minorEastAsia" w:hAnsiTheme="minorEastAsia"/>
                <w:sz w:val="24"/>
                <w:szCs w:val="24"/>
              </w:rPr>
              <w:t xml:space="preserve">系统具有良好的应用支持能力，具有良好的数据库软件兼容性，兼容国产和开源主流的数据库软件产品，包括：人大金仓、达梦、神通、南大通用、PostgreSQL、Mysql等。</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　</w:t>
            </w:r>
            <w:r/>
          </w:p>
        </w:tc>
      </w:tr>
      <w:tr>
        <w:trPr>
          <w:jc w:val="center"/>
          <w:trHeight w:val="10"/>
        </w:trPr>
        <w:tc>
          <w:tcPr>
            <w:gridSpan w:val="3"/>
            <w:shd w:val="clear" w:color="000000" w:fill="ffffff"/>
            <w:tcW w:w="5222"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法庭建设</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记录硬件终端</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1.摄像头：单目摄像头。</w:t>
            </w:r>
            <w:r>
              <w:rPr>
                <w:rFonts w:cs="宋体" w:asciiTheme="minorEastAsia" w:hAnsiTheme="minorEastAsia"/>
                <w:sz w:val="24"/>
                <w:szCs w:val="24"/>
              </w:rPr>
              <w:br/>
            </w:r>
            <w:r>
              <w:rPr>
                <w:rFonts w:cs="宋体" w:asciiTheme="minorEastAsia" w:hAnsiTheme="minorEastAsia"/>
                <w:sz w:val="24"/>
                <w:szCs w:val="24"/>
              </w:rPr>
              <w:t xml:space="preserve">2.分辨率：≥1920*1080。</w:t>
            </w:r>
            <w:r>
              <w:rPr>
                <w:rFonts w:cs="宋体" w:asciiTheme="minorEastAsia" w:hAnsiTheme="minorEastAsia"/>
                <w:sz w:val="24"/>
                <w:szCs w:val="24"/>
              </w:rPr>
              <w:br/>
            </w:r>
            <w:r>
              <w:rPr>
                <w:rFonts w:cs="宋体" w:asciiTheme="minorEastAsia" w:hAnsiTheme="minorEastAsia"/>
                <w:sz w:val="24"/>
                <w:szCs w:val="24"/>
              </w:rPr>
              <w:t xml:space="preserve">3.自动对焦：支持，可视角度：大于等于65°。</w:t>
            </w:r>
            <w:r>
              <w:rPr>
                <w:rFonts w:cs="宋体" w:asciiTheme="minorEastAsia" w:hAnsiTheme="minorEastAsia"/>
                <w:sz w:val="24"/>
                <w:szCs w:val="24"/>
              </w:rPr>
              <w:br/>
            </w:r>
            <w:r>
              <w:rPr>
                <w:rFonts w:cs="宋体" w:asciiTheme="minorEastAsia" w:hAnsiTheme="minorEastAsia"/>
                <w:sz w:val="24"/>
                <w:szCs w:val="24"/>
              </w:rPr>
              <w:t xml:space="preserve">4.UVC协议：支持。</w:t>
            </w:r>
            <w:r>
              <w:rPr>
                <w:rFonts w:cs="宋体" w:asciiTheme="minorEastAsia" w:hAnsiTheme="minorEastAsia"/>
                <w:sz w:val="24"/>
                <w:szCs w:val="24"/>
              </w:rPr>
              <w:br/>
            </w:r>
            <w:r>
              <w:rPr>
                <w:rFonts w:cs="宋体" w:asciiTheme="minorEastAsia" w:hAnsiTheme="minorEastAsia"/>
                <w:sz w:val="24"/>
                <w:szCs w:val="24"/>
              </w:rPr>
              <w:t xml:space="preserve">5.指纹仪：半导体电容传感器，指纹有效图像尺寸：12.8*18mm，指纹采集器窗口面积：32*20mm，分辨率：500 DPI，采集速度：≥ 6帧/秒 。</w:t>
            </w:r>
            <w:r>
              <w:rPr>
                <w:rFonts w:cs="宋体" w:asciiTheme="minorEastAsia" w:hAnsiTheme="minorEastAsia"/>
                <w:sz w:val="24"/>
                <w:szCs w:val="24"/>
              </w:rPr>
              <w:br/>
            </w:r>
            <w:r>
              <w:rPr>
                <w:rFonts w:cs="宋体" w:asciiTheme="minorEastAsia" w:hAnsiTheme="minorEastAsia"/>
                <w:sz w:val="24"/>
                <w:szCs w:val="24"/>
              </w:rPr>
              <w:t xml:space="preserve">6.身份证读卡器：</w:t>
            </w:r>
            <w:r>
              <w:rPr>
                <w:rFonts w:cs="宋体" w:asciiTheme="minorEastAsia" w:hAnsiTheme="minorEastAsia"/>
                <w:sz w:val="24"/>
                <w:szCs w:val="24"/>
              </w:rPr>
              <w:br/>
            </w:r>
            <w:r>
              <w:rPr>
                <w:rFonts w:cs="宋体" w:asciiTheme="minorEastAsia" w:hAnsiTheme="minorEastAsia"/>
                <w:sz w:val="24"/>
                <w:szCs w:val="24"/>
              </w:rPr>
              <w:t xml:space="preserve">蜂鸣器：支持，通讯方式：支持USB、RS232C两种通信方式，最大感应距离约50mm，感应区面积约70*70mm，卡片与感应区平面最大张角：约70度，读取距离≥ 5cm，读卡时间：≤ 1秒，具有掉电、过流、过压、短路保护功能；</w:t>
            </w:r>
            <w:r>
              <w:rPr>
                <w:rFonts w:cs="宋体" w:asciiTheme="minorEastAsia" w:hAnsiTheme="minorEastAsia"/>
                <w:sz w:val="24"/>
                <w:szCs w:val="24"/>
              </w:rPr>
              <w:br/>
            </w:r>
            <w:r>
              <w:rPr>
                <w:rFonts w:cs="宋体" w:asciiTheme="minorEastAsia" w:hAnsiTheme="minorEastAsia"/>
                <w:sz w:val="24"/>
                <w:szCs w:val="24"/>
              </w:rPr>
              <w:t xml:space="preserve">7.触摸屏：IPS触控显示屏，尺寸：约27英寸，屏幕比例：16:9，面板类型：3H硬化图层防炫光，响应时间：≤7ms，分辨率：≥1920x1080，可视角度：≥178°，屏幕亮度：250cd/m²，LED背光：是，支持手与笔同时动作，精准度 &lt; 0.4mm，触控：支持五点触控。</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台</w:t>
            </w:r>
            <w:r/>
          </w:p>
        </w:tc>
        <w:tc>
          <w:tcPr>
            <w:shd w:val="clear" w:color="000000" w:fill="ffffff"/>
            <w:tcW w:w="863"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云法庭终端</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1、标准19英寸机箱，不大于1U电信级架构设计；</w:t>
            </w:r>
            <w:r/>
          </w:p>
          <w:p>
            <w:pPr>
              <w:jc w:val="left"/>
              <w:widowControl/>
              <w:rPr>
                <w:rFonts w:cs="宋体" w:asciiTheme="minorEastAsia" w:hAnsiTheme="minorEastAsia"/>
                <w:sz w:val="24"/>
                <w:szCs w:val="24"/>
              </w:rPr>
            </w:pPr>
            <w:r>
              <w:rPr>
                <w:rFonts w:cs="宋体" w:asciiTheme="minorEastAsia" w:hAnsiTheme="minorEastAsia"/>
                <w:sz w:val="24"/>
                <w:szCs w:val="24"/>
              </w:rPr>
              <w:t xml:space="preserve">2</w:t>
            </w:r>
            <w:r>
              <w:rPr>
                <w:rFonts w:hint="eastAsia" w:cs="宋体" w:asciiTheme="minorEastAsia" w:hAnsiTheme="minorEastAsia"/>
                <w:sz w:val="24"/>
                <w:szCs w:val="24"/>
              </w:rPr>
              <w:t xml:space="preserve">、</w:t>
            </w:r>
            <w:r>
              <w:rPr>
                <w:rFonts w:cs="宋体" w:asciiTheme="minorEastAsia" w:hAnsiTheme="minorEastAsia"/>
                <w:sz w:val="24"/>
                <w:szCs w:val="24"/>
              </w:rPr>
              <w:t xml:space="preserve">采用国产架构</w:t>
            </w:r>
            <w:r>
              <w:rPr>
                <w:rFonts w:hint="eastAsia" w:cs="宋体" w:asciiTheme="minorEastAsia" w:hAnsiTheme="minorEastAsia"/>
                <w:sz w:val="24"/>
                <w:szCs w:val="24"/>
              </w:rPr>
              <w:t xml:space="preserve">芯片</w:t>
            </w:r>
            <w:r>
              <w:rPr>
                <w:rFonts w:cs="宋体" w:asciiTheme="minorEastAsia" w:hAnsiTheme="minorEastAsia"/>
                <w:sz w:val="24"/>
                <w:szCs w:val="24"/>
              </w:rPr>
              <w:br/>
            </w:r>
            <w:r>
              <w:rPr>
                <w:rFonts w:cs="宋体" w:asciiTheme="minorEastAsia" w:hAnsiTheme="minorEastAsia"/>
                <w:sz w:val="24"/>
                <w:szCs w:val="24"/>
              </w:rPr>
              <w:t xml:space="preserve">3、采用嵌入式操作系统，免受病毒、黑客的入侵和攻击；</w:t>
            </w:r>
            <w:r>
              <w:rPr>
                <w:rFonts w:cs="宋体" w:asciiTheme="minorEastAsia" w:hAnsiTheme="minorEastAsia"/>
                <w:sz w:val="24"/>
                <w:szCs w:val="24"/>
              </w:rPr>
              <w:br/>
            </w:r>
            <w:r>
              <w:rPr>
                <w:rFonts w:cs="宋体" w:asciiTheme="minorEastAsia" w:hAnsiTheme="minorEastAsia"/>
                <w:sz w:val="24"/>
                <w:szCs w:val="24"/>
              </w:rPr>
              <w:t xml:space="preserve">4、支持7×24小时运行；</w:t>
            </w:r>
            <w:r>
              <w:rPr>
                <w:rFonts w:cs="宋体" w:asciiTheme="minorEastAsia" w:hAnsiTheme="minorEastAsia"/>
                <w:sz w:val="24"/>
                <w:szCs w:val="24"/>
              </w:rPr>
              <w:br/>
            </w:r>
            <w:r>
              <w:rPr>
                <w:rFonts w:cs="宋体" w:asciiTheme="minorEastAsia" w:hAnsiTheme="minorEastAsia"/>
                <w:sz w:val="24"/>
                <w:szCs w:val="24"/>
              </w:rPr>
              <w:t xml:space="preserve">5、离线状态下，主机仍可开庭运行，进行脱机庭审录音录像、法庭控制操作；</w:t>
            </w:r>
            <w:r>
              <w:rPr>
                <w:rFonts w:cs="宋体" w:asciiTheme="minorEastAsia" w:hAnsiTheme="minorEastAsia"/>
                <w:sz w:val="24"/>
                <w:szCs w:val="24"/>
              </w:rPr>
              <w:br/>
            </w:r>
            <w:r>
              <w:rPr>
                <w:rFonts w:cs="宋体" w:asciiTheme="minorEastAsia" w:hAnsiTheme="minorEastAsia"/>
                <w:sz w:val="24"/>
                <w:szCs w:val="24"/>
              </w:rPr>
              <w:t xml:space="preserve">6、≥2路HDMI视频输入接口，支持4K、1920×1080、1280×720、1024×768，支持音频同步输入；</w:t>
            </w:r>
            <w:r>
              <w:rPr>
                <w:rFonts w:cs="宋体" w:asciiTheme="minorEastAsia" w:hAnsiTheme="minorEastAsia"/>
                <w:sz w:val="24"/>
                <w:szCs w:val="24"/>
              </w:rPr>
              <w:br/>
            </w:r>
            <w:r>
              <w:rPr>
                <w:rFonts w:cs="宋体" w:asciiTheme="minorEastAsia" w:hAnsiTheme="minorEastAsia"/>
                <w:sz w:val="24"/>
                <w:szCs w:val="24"/>
              </w:rPr>
              <w:t xml:space="preserve">7、≥2路HDMI视频输出接口，支持4K分辨率，支持音频同步输出；</w:t>
            </w:r>
            <w:r>
              <w:rPr>
                <w:rFonts w:cs="宋体" w:asciiTheme="minorEastAsia" w:hAnsiTheme="minorEastAsia"/>
                <w:sz w:val="24"/>
                <w:szCs w:val="24"/>
              </w:rPr>
              <w:br/>
            </w:r>
            <w:r>
              <w:rPr>
                <w:rFonts w:cs="宋体" w:asciiTheme="minorEastAsia" w:hAnsiTheme="minorEastAsia"/>
                <w:sz w:val="24"/>
                <w:szCs w:val="24"/>
              </w:rPr>
              <w:t xml:space="preserve">8、≥12路MIC/LINE话筒音频输入，带48V幻象供电；≥4路立体声证据音频输入；≥4路平衡线路音频输出；≥2通道100W音频功放输出，连接庭审扩声音箱；</w:t>
            </w:r>
            <w:r>
              <w:rPr>
                <w:rFonts w:cs="宋体" w:asciiTheme="minorEastAsia" w:hAnsiTheme="minorEastAsia"/>
                <w:sz w:val="24"/>
                <w:szCs w:val="24"/>
              </w:rPr>
              <w:br/>
            </w:r>
            <w:r>
              <w:rPr>
                <w:rFonts w:cs="宋体" w:asciiTheme="minorEastAsia" w:hAnsiTheme="minorEastAsia"/>
                <w:sz w:val="24"/>
                <w:szCs w:val="24"/>
              </w:rPr>
              <w:t xml:space="preserve">9、≥支持5路千兆RJ45网口，用于网络编码摄像机接入，支持POE供电；</w:t>
            </w:r>
            <w:r>
              <w:rPr>
                <w:rFonts w:cs="宋体" w:asciiTheme="minorEastAsia" w:hAnsiTheme="minorEastAsia"/>
                <w:sz w:val="24"/>
                <w:szCs w:val="24"/>
              </w:rPr>
              <w:br/>
            </w:r>
            <w:r>
              <w:rPr>
                <w:rFonts w:cs="宋体" w:asciiTheme="minorEastAsia" w:hAnsiTheme="minorEastAsia"/>
                <w:sz w:val="24"/>
                <w:szCs w:val="24"/>
              </w:rPr>
              <w:t xml:space="preserve">10、≥2路USB接口、1路TYPE-C接口，可外挂U盘、光驱等外围存储设备；</w:t>
            </w:r>
            <w:r>
              <w:rPr>
                <w:rFonts w:cs="宋体" w:asciiTheme="minorEastAsia" w:hAnsiTheme="minorEastAsia"/>
                <w:sz w:val="24"/>
                <w:szCs w:val="24"/>
              </w:rPr>
              <w:br/>
            </w:r>
            <w:r>
              <w:rPr>
                <w:rFonts w:cs="宋体" w:asciiTheme="minorEastAsia" w:hAnsiTheme="minorEastAsia"/>
                <w:sz w:val="24"/>
                <w:szCs w:val="24"/>
              </w:rPr>
              <w:t xml:space="preserve">11、≥1路RS485/422、1路RS232可编程控制接口，连接控制面板、电源控制器、摄像机等外围控制设备；</w:t>
            </w:r>
            <w:r>
              <w:rPr>
                <w:rFonts w:cs="宋体" w:asciiTheme="minorEastAsia" w:hAnsiTheme="minorEastAsia"/>
                <w:sz w:val="24"/>
                <w:szCs w:val="24"/>
              </w:rPr>
              <w:br/>
            </w:r>
            <w:r>
              <w:rPr>
                <w:rFonts w:cs="宋体" w:asciiTheme="minorEastAsia" w:hAnsiTheme="minorEastAsia"/>
                <w:sz w:val="24"/>
                <w:szCs w:val="24"/>
              </w:rPr>
              <w:t xml:space="preserve">12、支持可编程软中控功能，用户可自定义一键式开庭、闭庭、远程庭审、本地庭审等场景调用和设备控制；</w:t>
            </w:r>
            <w:r>
              <w:rPr>
                <w:rFonts w:cs="宋体" w:asciiTheme="minorEastAsia" w:hAnsiTheme="minorEastAsia"/>
                <w:sz w:val="24"/>
                <w:szCs w:val="24"/>
              </w:rPr>
              <w:br/>
            </w:r>
            <w:r>
              <w:rPr>
                <w:rFonts w:cs="宋体" w:asciiTheme="minorEastAsia" w:hAnsiTheme="minorEastAsia"/>
                <w:sz w:val="24"/>
                <w:szCs w:val="24"/>
              </w:rPr>
              <w:t xml:space="preserve">13、内置自动混音、反馈抑制、噪声消除，回声消除、分组混音多种音频处理功能设置；内置≥20×24音频混音矩阵，支持语音激励功能；</w:t>
            </w:r>
            <w:r>
              <w:rPr>
                <w:rFonts w:cs="宋体" w:asciiTheme="minorEastAsia" w:hAnsiTheme="minorEastAsia"/>
                <w:sz w:val="24"/>
                <w:szCs w:val="24"/>
              </w:rPr>
              <w:br/>
            </w:r>
            <w:r>
              <w:rPr>
                <w:rFonts w:cs="宋体" w:asciiTheme="minorEastAsia" w:hAnsiTheme="minorEastAsia"/>
                <w:sz w:val="24"/>
                <w:szCs w:val="24"/>
              </w:rPr>
              <w:t xml:space="preserve">14、支持所有话筒独立音频PCM编码，无需专门配置声卡音频编码设备即可实现语音转写；</w:t>
            </w:r>
            <w:r>
              <w:rPr>
                <w:rFonts w:cs="宋体" w:asciiTheme="minorEastAsia" w:hAnsiTheme="minorEastAsia"/>
                <w:sz w:val="24"/>
                <w:szCs w:val="24"/>
              </w:rPr>
              <w:br/>
            </w:r>
            <w:r>
              <w:rPr>
                <w:rFonts w:cs="宋体" w:asciiTheme="minorEastAsia" w:hAnsiTheme="minorEastAsia"/>
                <w:sz w:val="24"/>
                <w:szCs w:val="24"/>
              </w:rPr>
              <w:t xml:space="preserve">15、支持不少于8路1080P或2路4K分辨率视频编码能力，支持H.265/H.264编解码；</w:t>
            </w:r>
            <w:r>
              <w:rPr>
                <w:rFonts w:cs="宋体" w:asciiTheme="minorEastAsia" w:hAnsiTheme="minorEastAsia"/>
                <w:sz w:val="24"/>
                <w:szCs w:val="24"/>
              </w:rPr>
              <w:br/>
            </w:r>
            <w:r>
              <w:rPr>
                <w:rFonts w:cs="宋体" w:asciiTheme="minorEastAsia" w:hAnsiTheme="minorEastAsia"/>
                <w:sz w:val="24"/>
                <w:szCs w:val="24"/>
              </w:rPr>
              <w:t xml:space="preserve">16、支持≥16路音频编码，支持AAC、G711、PCM音频编解码协议；</w:t>
            </w:r>
            <w:r>
              <w:rPr>
                <w:rFonts w:cs="宋体" w:asciiTheme="minorEastAsia" w:hAnsiTheme="minorEastAsia"/>
                <w:sz w:val="24"/>
                <w:szCs w:val="24"/>
              </w:rPr>
              <w:br/>
            </w:r>
            <w:r>
              <w:rPr>
                <w:rFonts w:cs="宋体" w:asciiTheme="minorEastAsia" w:hAnsiTheme="minorEastAsia"/>
                <w:sz w:val="24"/>
                <w:szCs w:val="24"/>
              </w:rPr>
              <w:t xml:space="preserve">17、支持标准H.323视频通话协议，与第三方设备互联互通；</w:t>
            </w:r>
            <w:r>
              <w:rPr>
                <w:rFonts w:cs="宋体" w:asciiTheme="minorEastAsia" w:hAnsiTheme="minorEastAsia"/>
                <w:sz w:val="24"/>
                <w:szCs w:val="24"/>
              </w:rPr>
              <w:br/>
            </w:r>
            <w:r>
              <w:rPr>
                <w:rFonts w:cs="宋体" w:asciiTheme="minorEastAsia" w:hAnsiTheme="minorEastAsia"/>
                <w:sz w:val="24"/>
                <w:szCs w:val="24"/>
              </w:rPr>
              <w:t xml:space="preserve">18、支持RTSP、RTMP、HTTPS流媒体音视频传输协议；</w:t>
            </w:r>
            <w:r>
              <w:rPr>
                <w:rFonts w:cs="宋体" w:asciiTheme="minorEastAsia" w:hAnsiTheme="minorEastAsia"/>
                <w:sz w:val="24"/>
                <w:szCs w:val="24"/>
              </w:rPr>
              <w:br/>
            </w:r>
            <w:r>
              <w:rPr>
                <w:rFonts w:cs="宋体" w:asciiTheme="minorEastAsia" w:hAnsiTheme="minorEastAsia"/>
                <w:sz w:val="24"/>
                <w:szCs w:val="24"/>
              </w:rPr>
              <w:t xml:space="preserve">19、内置证人远程出庭保护功能，支持证人画面马赛克处理，声音变声处理；</w:t>
            </w:r>
            <w:r>
              <w:rPr>
                <w:rFonts w:cs="宋体" w:asciiTheme="minorEastAsia" w:hAnsiTheme="minorEastAsia"/>
                <w:sz w:val="24"/>
                <w:szCs w:val="24"/>
              </w:rPr>
              <w:br/>
            </w:r>
            <w:r>
              <w:rPr>
                <w:rFonts w:cs="宋体" w:asciiTheme="minorEastAsia" w:hAnsiTheme="minorEastAsia"/>
                <w:sz w:val="24"/>
                <w:szCs w:val="24"/>
              </w:rPr>
              <w:t xml:space="preserve">20、内置≥2T储存硬盘，满足法庭本地实时备份存储庭审录音录像，文件格式MP4。</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3</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庭审应用系统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1、具备功能：为法官、书记员、当事人提供应用服务，包含排期管理、音视频连接与控制、庭审录音录像、笔录制作、笔录同步、笔录校对、语音播报、共享屏幕、刻录打印、本地示证等功能 ，支持无书记员庭审模式，支持远程庭审、互联网庭审</w:t>
            </w:r>
            <w:r>
              <w:rPr>
                <w:rFonts w:cs="宋体" w:asciiTheme="minorEastAsia" w:hAnsiTheme="minorEastAsia"/>
                <w:sz w:val="24"/>
                <w:szCs w:val="24"/>
              </w:rPr>
              <w:br/>
            </w:r>
            <w:r>
              <w:rPr>
                <w:rFonts w:cs="宋体" w:asciiTheme="minorEastAsia" w:hAnsiTheme="minorEastAsia"/>
                <w:sz w:val="24"/>
                <w:szCs w:val="24"/>
              </w:rPr>
              <w:t xml:space="preserve">2、支持对庭审中法官、书记员、当事人等各项应用功能提供信创环境的适配服务。</w:t>
            </w:r>
            <w:r>
              <w:rPr>
                <w:rFonts w:cs="宋体" w:asciiTheme="minorEastAsia" w:hAnsiTheme="minorEastAsia"/>
                <w:sz w:val="24"/>
                <w:szCs w:val="24"/>
              </w:rPr>
              <w:br/>
            </w:r>
            <w:r>
              <w:rPr>
                <w:rFonts w:cs="宋体" w:asciiTheme="minorEastAsia" w:hAnsiTheme="minorEastAsia"/>
                <w:sz w:val="24"/>
                <w:szCs w:val="24"/>
              </w:rPr>
              <w:t xml:space="preserve">3、支持自动生成笔录模板，支持添加各类案件审理所需的笔录模板。</w:t>
            </w:r>
            <w:r>
              <w:rPr>
                <w:rFonts w:cs="宋体" w:asciiTheme="minorEastAsia" w:hAnsiTheme="minorEastAsia"/>
                <w:sz w:val="24"/>
                <w:szCs w:val="24"/>
              </w:rPr>
              <w:br/>
            </w:r>
            <w:r>
              <w:rPr>
                <w:rFonts w:cs="宋体" w:asciiTheme="minorEastAsia" w:hAnsiTheme="minorEastAsia"/>
                <w:sz w:val="24"/>
                <w:szCs w:val="24"/>
              </w:rPr>
              <w:t xml:space="preserve">4、支持灵活选择笔录模板，自动生成笔录纲要，支持书记员直接使用或进一步完善笔录，能够正确处理异常的笔录内容，能够完成笔录预设；</w:t>
            </w:r>
            <w:r>
              <w:rPr>
                <w:rFonts w:cs="宋体" w:asciiTheme="minorEastAsia" w:hAnsiTheme="minorEastAsia"/>
                <w:sz w:val="24"/>
                <w:szCs w:val="24"/>
              </w:rPr>
              <w:br/>
            </w:r>
            <w:r>
              <w:rPr>
                <w:rFonts w:cs="宋体" w:asciiTheme="minorEastAsia" w:hAnsiTheme="minorEastAsia"/>
                <w:sz w:val="24"/>
                <w:szCs w:val="24"/>
              </w:rPr>
              <w:t xml:space="preserve">5、支持庭审系统软硬件的自动检测； </w:t>
            </w:r>
            <w:r>
              <w:rPr>
                <w:rFonts w:cs="宋体" w:asciiTheme="minorEastAsia" w:hAnsiTheme="minorEastAsia"/>
                <w:sz w:val="24"/>
                <w:szCs w:val="24"/>
              </w:rPr>
              <w:br/>
            </w:r>
            <w:r>
              <w:rPr>
                <w:rFonts w:cs="宋体" w:asciiTheme="minorEastAsia" w:hAnsiTheme="minorEastAsia"/>
                <w:sz w:val="24"/>
                <w:szCs w:val="24"/>
              </w:rPr>
              <w:t xml:space="preserve">6、支持自动播报法庭纪律，播报男女声可选且内容可定制；</w:t>
            </w:r>
            <w:r>
              <w:rPr>
                <w:rFonts w:cs="宋体" w:asciiTheme="minorEastAsia" w:hAnsiTheme="minorEastAsia"/>
                <w:sz w:val="24"/>
                <w:szCs w:val="24"/>
              </w:rPr>
              <w:br/>
            </w:r>
            <w:r>
              <w:rPr>
                <w:rFonts w:cs="宋体" w:asciiTheme="minorEastAsia" w:hAnsiTheme="minorEastAsia"/>
                <w:sz w:val="24"/>
                <w:szCs w:val="24"/>
              </w:rPr>
              <w:t xml:space="preserve">7、支持通过语音识别辅助生产笔录内容；</w:t>
            </w:r>
            <w:r>
              <w:rPr>
                <w:rFonts w:cs="宋体" w:asciiTheme="minorEastAsia" w:hAnsiTheme="minorEastAsia"/>
                <w:sz w:val="24"/>
                <w:szCs w:val="24"/>
              </w:rPr>
              <w:br/>
            </w:r>
            <w:r>
              <w:rPr>
                <w:rFonts w:cs="宋体" w:asciiTheme="minorEastAsia" w:hAnsiTheme="minorEastAsia"/>
                <w:sz w:val="24"/>
                <w:szCs w:val="24"/>
              </w:rPr>
              <w:t xml:space="preserve">8、支持实时对庭审音视频进行光盘刻录，支持庭审结束后对庭审音视频进行光盘刻录；</w:t>
            </w:r>
            <w:r>
              <w:rPr>
                <w:rFonts w:cs="宋体" w:asciiTheme="minorEastAsia" w:hAnsiTheme="minorEastAsia"/>
                <w:sz w:val="24"/>
                <w:szCs w:val="24"/>
              </w:rPr>
              <w:br/>
            </w:r>
            <w:r>
              <w:rPr>
                <w:rFonts w:cs="宋体" w:asciiTheme="minorEastAsia" w:hAnsiTheme="minorEastAsia"/>
                <w:sz w:val="24"/>
                <w:szCs w:val="24"/>
              </w:rPr>
              <w:t xml:space="preserve">9、支持法官、书记员、当事人应用系统间的数据交互。 </w:t>
            </w:r>
            <w:r>
              <w:rPr>
                <w:rFonts w:cs="宋体" w:asciiTheme="minorEastAsia" w:hAnsiTheme="minorEastAsia"/>
                <w:sz w:val="24"/>
                <w:szCs w:val="24"/>
              </w:rPr>
              <w:br/>
            </w:r>
            <w:r>
              <w:rPr>
                <w:rFonts w:cs="宋体" w:asciiTheme="minorEastAsia" w:hAnsiTheme="minorEastAsia"/>
                <w:sz w:val="24"/>
                <w:szCs w:val="24"/>
              </w:rPr>
              <w:t xml:space="preserve">10、智慧庭审系统在庭后阶段支持笔录校对功能，支持笔录正文、庭审录像和语音识别记录三者联动，辅助进行笔录内容校对确认。</w:t>
            </w:r>
            <w:r>
              <w:rPr>
                <w:rFonts w:cs="宋体" w:asciiTheme="minorEastAsia" w:hAnsiTheme="minorEastAsia"/>
                <w:sz w:val="24"/>
                <w:szCs w:val="24"/>
              </w:rPr>
              <w:br/>
            </w:r>
            <w:r>
              <w:rPr>
                <w:rFonts w:cs="宋体" w:asciiTheme="minorEastAsia" w:hAnsiTheme="minorEastAsia"/>
                <w:sz w:val="24"/>
                <w:szCs w:val="24"/>
              </w:rPr>
              <w:t xml:space="preserve">11、智慧庭审系统需具备与安全平台的兼容性测试，且能够防止 CSRF/XSS 攻击漏洞，防止木马后门攻击检查、防止 SQL 注入攻击漏洞。</w:t>
            </w:r>
            <w:r>
              <w:rPr>
                <w:rFonts w:cs="宋体" w:asciiTheme="minorEastAsia" w:hAnsiTheme="minorEastAsia"/>
                <w:sz w:val="24"/>
                <w:szCs w:val="24"/>
              </w:rPr>
              <w:br/>
            </w:r>
            <w:r>
              <w:rPr>
                <w:rFonts w:cs="宋体" w:asciiTheme="minorEastAsia" w:hAnsiTheme="minorEastAsia"/>
                <w:sz w:val="24"/>
                <w:szCs w:val="24"/>
              </w:rPr>
              <w:t xml:space="preserve">12、 支持电子签名系统：针对笔录等文书文件提供电子签名服务， 支持本地签名板签名和互联网端签名，支持每页签、尾页签、指定位置签等多种签名模式，支持实时查看签名图片，并支持拖动位置、删除 、重签等操作，支持签名文件导出。</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4</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电子随心签系统</w:t>
            </w:r>
            <w:r/>
          </w:p>
        </w:tc>
        <w:tc>
          <w:tcPr>
            <w:shd w:val="clear" w:color="000000" w:fill="ffffff"/>
            <w:tcW w:w="3908" w:type="dxa"/>
            <w:vAlign w:val="center"/>
            <w:textDirection w:val="lrTb"/>
            <w:noWrap w:val="false"/>
          </w:tcPr>
          <w:p>
            <w:pPr>
              <w:jc w:val="left"/>
              <w:widowControl/>
              <w:rPr>
                <w:rFonts w:cs="宋体" w:asciiTheme="minorEastAsia" w:hAnsiTheme="minorEastAsia"/>
                <w:color w:val="000000"/>
                <w:sz w:val="24"/>
                <w:szCs w:val="24"/>
              </w:rPr>
            </w:pPr>
            <w:r>
              <w:rPr>
                <w:rFonts w:cs="宋体" w:asciiTheme="minorEastAsia" w:hAnsiTheme="minorEastAsia"/>
                <w:color w:val="000000"/>
                <w:sz w:val="24"/>
                <w:szCs w:val="24"/>
              </w:rPr>
              <w:t xml:space="preserve">1、针对笔录等文书文件提供电子签名服务</w:t>
            </w:r>
            <w:r>
              <w:rPr>
                <w:rFonts w:cs="宋体" w:asciiTheme="minorEastAsia" w:hAnsiTheme="minorEastAsia"/>
                <w:color w:val="000000"/>
                <w:sz w:val="24"/>
                <w:szCs w:val="24"/>
              </w:rPr>
              <w:br/>
            </w:r>
            <w:r>
              <w:rPr>
                <w:rFonts w:cs="宋体" w:asciiTheme="minorEastAsia" w:hAnsiTheme="minorEastAsia"/>
                <w:color w:val="000000"/>
                <w:sz w:val="24"/>
                <w:szCs w:val="24"/>
              </w:rPr>
              <w:t xml:space="preserve">2、支持本地签名板签名和互联网端签名</w:t>
            </w:r>
            <w:r>
              <w:rPr>
                <w:rFonts w:cs="宋体" w:asciiTheme="minorEastAsia" w:hAnsiTheme="minorEastAsia"/>
                <w:color w:val="000000"/>
                <w:sz w:val="24"/>
                <w:szCs w:val="24"/>
              </w:rPr>
              <w:br/>
            </w:r>
            <w:r>
              <w:rPr>
                <w:rFonts w:cs="宋体" w:asciiTheme="minorEastAsia" w:hAnsiTheme="minorEastAsia"/>
                <w:color w:val="000000"/>
                <w:sz w:val="24"/>
                <w:szCs w:val="24"/>
              </w:rPr>
              <w:t xml:space="preserve">3、支持每页签、尾页签、指定位置签等多种签名模式</w:t>
            </w:r>
            <w:r>
              <w:rPr>
                <w:rFonts w:cs="宋体" w:asciiTheme="minorEastAsia" w:hAnsiTheme="minorEastAsia"/>
                <w:color w:val="000000"/>
                <w:sz w:val="24"/>
                <w:szCs w:val="24"/>
              </w:rPr>
              <w:br/>
            </w:r>
            <w:r>
              <w:rPr>
                <w:rFonts w:cs="宋体" w:asciiTheme="minorEastAsia" w:hAnsiTheme="minorEastAsia"/>
                <w:color w:val="000000"/>
                <w:sz w:val="24"/>
                <w:szCs w:val="24"/>
              </w:rPr>
              <w:t xml:space="preserve">4、支持实时查看签名图片，并支持拖动位置、删除 、重签等操作</w:t>
            </w:r>
            <w:r>
              <w:rPr>
                <w:rFonts w:cs="宋体" w:asciiTheme="minorEastAsia" w:hAnsiTheme="minorEastAsia"/>
                <w:color w:val="000000"/>
                <w:sz w:val="24"/>
                <w:szCs w:val="24"/>
              </w:rPr>
              <w:br/>
            </w:r>
            <w:r>
              <w:rPr>
                <w:rFonts w:cs="宋体" w:asciiTheme="minorEastAsia" w:hAnsiTheme="minorEastAsia"/>
                <w:color w:val="000000"/>
                <w:sz w:val="24"/>
                <w:szCs w:val="24"/>
              </w:rPr>
              <w:t xml:space="preserve">5、支持签名文件导出</w:t>
            </w:r>
            <w:r/>
          </w:p>
        </w:tc>
        <w:tc>
          <w:tcPr>
            <w:shd w:val="clear" w:color="000000" w:fill="ffffff"/>
            <w:tcW w:w="686"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6</w:t>
            </w:r>
            <w:r/>
          </w:p>
        </w:tc>
        <w:tc>
          <w:tcPr>
            <w:shd w:val="clear" w:color="000000" w:fill="ffffff"/>
            <w:tcW w:w="632"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5</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电子签字捺印终端</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1、跟中控系统兼容（满足定制开发）</w:t>
            </w:r>
            <w:r>
              <w:rPr>
                <w:rFonts w:cs="宋体" w:asciiTheme="minorEastAsia" w:hAnsiTheme="minorEastAsia"/>
                <w:sz w:val="24"/>
                <w:szCs w:val="24"/>
              </w:rPr>
              <w:br/>
            </w:r>
            <w:r>
              <w:rPr>
                <w:rFonts w:cs="宋体" w:asciiTheme="minorEastAsia" w:hAnsiTheme="minorEastAsia"/>
                <w:sz w:val="24"/>
                <w:szCs w:val="24"/>
              </w:rPr>
              <w:t xml:space="preserve">2、</w:t>
            </w:r>
            <w:r>
              <w:rPr>
                <w:rFonts w:hint="eastAsia" w:cs="宋体" w:asciiTheme="minorEastAsia" w:hAnsiTheme="minorEastAsia"/>
                <w:sz w:val="24"/>
                <w:szCs w:val="24"/>
                <w:lang w:eastAsia="zh-CN"/>
              </w:rPr>
              <w:t xml:space="preserve">处理器性能不低于四核架构， 运行内存不低于2G，存储不低于16G，配备10.1英寸电容电磁双控屏，符合公安部标准的指纹识别模块， 1/3 CMOS，1920*1080@30fps，200W高清图像传感器鱼眼摄像头，带镜头畸变矫正芯片。</w:t>
            </w:r>
            <w:r>
              <w:rPr>
                <w:rFonts w:cs="宋体" w:asciiTheme="minorEastAsia" w:hAnsiTheme="minorEastAsia"/>
                <w:sz w:val="24"/>
                <w:szCs w:val="24"/>
              </w:rPr>
              <w:t xml:space="preserve">。</w:t>
            </w:r>
            <w:r>
              <w:rPr>
                <w:rFonts w:cs="宋体" w:asciiTheme="minorEastAsia" w:hAnsiTheme="minorEastAsia"/>
                <w:sz w:val="24"/>
                <w:szCs w:val="24"/>
              </w:rPr>
              <w:br/>
            </w:r>
            <w:r>
              <w:rPr>
                <w:rFonts w:cs="宋体" w:asciiTheme="minorEastAsia" w:hAnsiTheme="minorEastAsia"/>
                <w:sz w:val="24"/>
                <w:szCs w:val="24"/>
              </w:rPr>
              <w:t xml:space="preserve">3、可自动采集当事人签署过程，证实本人自愿签署该文件，作为辅助凭证。</w:t>
            </w:r>
            <w:r/>
          </w:p>
        </w:tc>
        <w:tc>
          <w:tcPr>
            <w:shd w:val="clear" w:color="000000" w:fill="ffffff"/>
            <w:tcW w:w="686"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6</w:t>
            </w:r>
            <w:r/>
          </w:p>
        </w:tc>
        <w:tc>
          <w:tcPr>
            <w:shd w:val="clear" w:color="000000" w:fill="ffffff"/>
            <w:tcW w:w="632" w:type="dxa"/>
            <w:vAlign w:val="center"/>
            <w:textDirection w:val="lrTb"/>
            <w:noWrap/>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gridSpan w:val="3"/>
            <w:shd w:val="clear" w:color="000000" w:fill="ffffff"/>
            <w:tcW w:w="5222"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法庭改造</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1</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庭审应用系统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1、具备功能：为法官、书记员、当事人提供应用服务，包含排期管理、音视频连接与控制、庭审录音录像、笔录制作、笔录同步、笔录校对、语音播报、共享屏幕、刻录打印、本地示证等功能 ，支持无书记员庭审模式，支持远程庭审、互联网庭审</w:t>
            </w:r>
            <w:r>
              <w:rPr>
                <w:rFonts w:cs="宋体" w:asciiTheme="minorEastAsia" w:hAnsiTheme="minorEastAsia"/>
                <w:sz w:val="24"/>
                <w:szCs w:val="24"/>
              </w:rPr>
              <w:br/>
            </w:r>
            <w:r>
              <w:rPr>
                <w:rFonts w:cs="宋体" w:asciiTheme="minorEastAsia" w:hAnsiTheme="minorEastAsia"/>
                <w:sz w:val="24"/>
                <w:szCs w:val="24"/>
              </w:rPr>
              <w:t xml:space="preserve">2、支持对庭审中法官、书记员、当事人等各项应用功能提供信创环境的适配服务。</w:t>
            </w:r>
            <w:r>
              <w:rPr>
                <w:rFonts w:cs="宋体" w:asciiTheme="minorEastAsia" w:hAnsiTheme="minorEastAsia"/>
                <w:sz w:val="24"/>
                <w:szCs w:val="24"/>
              </w:rPr>
              <w:br/>
            </w:r>
            <w:r>
              <w:rPr>
                <w:rFonts w:cs="宋体" w:asciiTheme="minorEastAsia" w:hAnsiTheme="minorEastAsia"/>
                <w:sz w:val="24"/>
                <w:szCs w:val="24"/>
              </w:rPr>
              <w:t xml:space="preserve">3、支持自动生成笔录模板，支持添加各类案件审理所需的笔录模板。</w:t>
            </w:r>
            <w:r>
              <w:rPr>
                <w:rFonts w:cs="宋体" w:asciiTheme="minorEastAsia" w:hAnsiTheme="minorEastAsia"/>
                <w:sz w:val="24"/>
                <w:szCs w:val="24"/>
              </w:rPr>
              <w:br/>
            </w:r>
            <w:r>
              <w:rPr>
                <w:rFonts w:cs="宋体" w:asciiTheme="minorEastAsia" w:hAnsiTheme="minorEastAsia"/>
                <w:sz w:val="24"/>
                <w:szCs w:val="24"/>
              </w:rPr>
              <w:t xml:space="preserve">4、支持灵活选择笔录模板，自动生成笔录纲要，支持书记员直接使用或进一步完善笔录，能够正确处理异常的笔录内容，能够完成笔录预设；</w:t>
            </w:r>
            <w:r>
              <w:rPr>
                <w:rFonts w:cs="宋体" w:asciiTheme="minorEastAsia" w:hAnsiTheme="minorEastAsia"/>
                <w:sz w:val="24"/>
                <w:szCs w:val="24"/>
              </w:rPr>
              <w:br/>
            </w:r>
            <w:r>
              <w:rPr>
                <w:rFonts w:cs="宋体" w:asciiTheme="minorEastAsia" w:hAnsiTheme="minorEastAsia"/>
                <w:sz w:val="24"/>
                <w:szCs w:val="24"/>
              </w:rPr>
              <w:t xml:space="preserve">5、支持庭审系统软硬件的自动检测； </w:t>
            </w:r>
            <w:r>
              <w:rPr>
                <w:rFonts w:cs="宋体" w:asciiTheme="minorEastAsia" w:hAnsiTheme="minorEastAsia"/>
                <w:sz w:val="24"/>
                <w:szCs w:val="24"/>
              </w:rPr>
              <w:br/>
            </w:r>
            <w:r>
              <w:rPr>
                <w:rFonts w:cs="宋体" w:asciiTheme="minorEastAsia" w:hAnsiTheme="minorEastAsia"/>
                <w:sz w:val="24"/>
                <w:szCs w:val="24"/>
              </w:rPr>
              <w:t xml:space="preserve">6、支持自动播报法庭纪律，播报男女声可选且内容可定制；</w:t>
            </w:r>
            <w:r>
              <w:rPr>
                <w:rFonts w:cs="宋体" w:asciiTheme="minorEastAsia" w:hAnsiTheme="minorEastAsia"/>
                <w:sz w:val="24"/>
                <w:szCs w:val="24"/>
              </w:rPr>
              <w:br/>
            </w:r>
            <w:r>
              <w:rPr>
                <w:rFonts w:cs="宋体" w:asciiTheme="minorEastAsia" w:hAnsiTheme="minorEastAsia"/>
                <w:sz w:val="24"/>
                <w:szCs w:val="24"/>
              </w:rPr>
              <w:t xml:space="preserve">7、支持通过语音识别辅助生产笔录内容；</w:t>
            </w:r>
            <w:r>
              <w:rPr>
                <w:rFonts w:cs="宋体" w:asciiTheme="minorEastAsia" w:hAnsiTheme="minorEastAsia"/>
                <w:sz w:val="24"/>
                <w:szCs w:val="24"/>
              </w:rPr>
              <w:br/>
            </w:r>
            <w:r>
              <w:rPr>
                <w:rFonts w:cs="宋体" w:asciiTheme="minorEastAsia" w:hAnsiTheme="minorEastAsia"/>
                <w:sz w:val="24"/>
                <w:szCs w:val="24"/>
              </w:rPr>
              <w:t xml:space="preserve">8、支持实时对庭审音视频进行光盘刻录，支持庭审结束后对庭审音视频进行光盘刻录；</w:t>
            </w:r>
            <w:r>
              <w:rPr>
                <w:rFonts w:cs="宋体" w:asciiTheme="minorEastAsia" w:hAnsiTheme="minorEastAsia"/>
                <w:sz w:val="24"/>
                <w:szCs w:val="24"/>
              </w:rPr>
              <w:br/>
            </w:r>
            <w:r>
              <w:rPr>
                <w:rFonts w:cs="宋体" w:asciiTheme="minorEastAsia" w:hAnsiTheme="minorEastAsia"/>
                <w:sz w:val="24"/>
                <w:szCs w:val="24"/>
              </w:rPr>
              <w:t xml:space="preserve">9、支持法官、书记员、当事人应用系统间的数据交互。 </w:t>
            </w:r>
            <w:r>
              <w:rPr>
                <w:rFonts w:cs="宋体" w:asciiTheme="minorEastAsia" w:hAnsiTheme="minorEastAsia"/>
                <w:sz w:val="24"/>
                <w:szCs w:val="24"/>
              </w:rPr>
              <w:br/>
            </w:r>
            <w:r>
              <w:rPr>
                <w:rFonts w:cs="宋体" w:asciiTheme="minorEastAsia" w:hAnsiTheme="minorEastAsia"/>
                <w:sz w:val="24"/>
                <w:szCs w:val="24"/>
              </w:rPr>
              <w:t xml:space="preserve">10、智慧庭审系统在庭后阶段支持笔录校对功能，支持笔录正文、庭审录像和语音识别记录三者联动，辅助进行笔录内容校对确认。</w:t>
            </w:r>
            <w:r>
              <w:rPr>
                <w:rFonts w:cs="宋体" w:asciiTheme="minorEastAsia" w:hAnsiTheme="minorEastAsia"/>
                <w:sz w:val="24"/>
                <w:szCs w:val="24"/>
              </w:rPr>
              <w:br/>
            </w:r>
            <w:r>
              <w:rPr>
                <w:rFonts w:cs="宋体" w:asciiTheme="minorEastAsia" w:hAnsiTheme="minorEastAsia"/>
                <w:sz w:val="24"/>
                <w:szCs w:val="24"/>
              </w:rPr>
              <w:t xml:space="preserve">11、智慧庭审系统需具备与安全平台的兼容性测试，且能够防止 CSRF/XSS 攻击漏洞，防止木马后门攻击检查、防止 SQL 注入攻击漏洞。</w:t>
            </w:r>
            <w:r>
              <w:rPr>
                <w:rFonts w:cs="宋体" w:asciiTheme="minorEastAsia" w:hAnsiTheme="minorEastAsia"/>
                <w:sz w:val="24"/>
                <w:szCs w:val="24"/>
              </w:rPr>
              <w:br/>
            </w:r>
            <w:r>
              <w:rPr>
                <w:rFonts w:cs="宋体" w:asciiTheme="minorEastAsia" w:hAnsiTheme="minorEastAsia"/>
                <w:sz w:val="24"/>
                <w:szCs w:val="24"/>
              </w:rPr>
              <w:t xml:space="preserve">12、 支持电子签名系统：针对笔录等文书文件提供电子签名服务， 支持本地签名板签名和互联网端签名，支持每页签、尾页签、指定位置签等多种签名模式，支持实时查看签名图片，并支持拖动位置、删除 、重签等操作，支持签名文件导出。</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4</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r>
        <w:trPr>
          <w:jc w:val="center"/>
          <w:trHeight w:val="10"/>
        </w:trPr>
        <w:tc>
          <w:tcPr>
            <w:shd w:val="clear" w:color="000000" w:fill="ffffff"/>
            <w:tcW w:w="37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2</w:t>
            </w:r>
            <w:r/>
          </w:p>
        </w:tc>
        <w:tc>
          <w:tcPr>
            <w:shd w:val="clear" w:color="000000" w:fill="ffffff"/>
            <w:tcW w:w="941"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互联网庭审应用系统</w:t>
            </w:r>
            <w:r/>
          </w:p>
        </w:tc>
        <w:tc>
          <w:tcPr>
            <w:shd w:val="clear" w:color="000000" w:fill="ffffff"/>
            <w:tcW w:w="3908" w:type="dxa"/>
            <w:vAlign w:val="center"/>
            <w:textDirection w:val="lrTb"/>
            <w:noWrap w:val="false"/>
          </w:tcPr>
          <w:p>
            <w:pPr>
              <w:jc w:val="left"/>
              <w:widowControl/>
              <w:rPr>
                <w:rFonts w:cs="宋体" w:asciiTheme="minorEastAsia" w:hAnsiTheme="minorEastAsia"/>
                <w:sz w:val="24"/>
                <w:szCs w:val="24"/>
              </w:rPr>
            </w:pPr>
            <w:r>
              <w:rPr>
                <w:rFonts w:cs="宋体" w:asciiTheme="minorEastAsia" w:hAnsiTheme="minorEastAsia"/>
                <w:sz w:val="24"/>
                <w:szCs w:val="24"/>
              </w:rPr>
              <w:t xml:space="preserve">1、支持</w:t>
            </w:r>
            <w:r>
              <w:rPr>
                <w:rFonts w:hint="eastAsia" w:cs="宋体" w:asciiTheme="minorEastAsia" w:hAnsiTheme="minorEastAsia"/>
                <w:sz w:val="24"/>
                <w:szCs w:val="24"/>
              </w:rPr>
              <w:t xml:space="preserve">4</w:t>
            </w:r>
            <w:r>
              <w:rPr>
                <w:rFonts w:cs="宋体" w:asciiTheme="minorEastAsia" w:hAnsiTheme="minorEastAsia"/>
                <w:sz w:val="24"/>
                <w:szCs w:val="24"/>
              </w:rPr>
              <w:t xml:space="preserve">间法庭互联网庭审，并发数不低于</w:t>
            </w:r>
            <w:r>
              <w:rPr>
                <w:rFonts w:hint="eastAsia" w:cs="宋体" w:asciiTheme="minorEastAsia" w:hAnsiTheme="minorEastAsia"/>
                <w:sz w:val="24"/>
                <w:szCs w:val="24"/>
              </w:rPr>
              <w:t xml:space="preserve">1</w:t>
            </w:r>
            <w:r>
              <w:rPr>
                <w:rFonts w:cs="宋体" w:asciiTheme="minorEastAsia" w:hAnsiTheme="minorEastAsia"/>
                <w:sz w:val="24"/>
                <w:szCs w:val="24"/>
              </w:rPr>
              <w:t xml:space="preserve">路（即支持同时互联网庭审法庭数量不低于</w:t>
            </w:r>
            <w:r>
              <w:rPr>
                <w:rFonts w:hint="eastAsia" w:cs="宋体" w:asciiTheme="minorEastAsia" w:hAnsiTheme="minorEastAsia"/>
                <w:sz w:val="24"/>
                <w:szCs w:val="24"/>
              </w:rPr>
              <w:t xml:space="preserve">1</w:t>
            </w:r>
            <w:r>
              <w:rPr>
                <w:rFonts w:cs="宋体" w:asciiTheme="minorEastAsia" w:hAnsiTheme="minorEastAsia"/>
                <w:sz w:val="24"/>
                <w:szCs w:val="24"/>
              </w:rPr>
              <w:t xml:space="preserve">间法庭）</w:t>
            </w:r>
            <w:r>
              <w:rPr>
                <w:rFonts w:cs="宋体" w:asciiTheme="minorEastAsia" w:hAnsiTheme="minorEastAsia"/>
                <w:sz w:val="24"/>
                <w:szCs w:val="24"/>
              </w:rPr>
              <w:br/>
            </w:r>
            <w:r>
              <w:rPr>
                <w:rFonts w:cs="宋体" w:asciiTheme="minorEastAsia" w:hAnsiTheme="minorEastAsia"/>
                <w:sz w:val="24"/>
                <w:szCs w:val="24"/>
              </w:rPr>
              <w:t xml:space="preserve">2、应具备支持多种平台安装部署方式，如PC客户端、手机端应用等；</w:t>
            </w:r>
            <w:r>
              <w:rPr>
                <w:rFonts w:cs="宋体" w:asciiTheme="minorEastAsia" w:hAnsiTheme="minorEastAsia"/>
                <w:sz w:val="24"/>
                <w:szCs w:val="24"/>
              </w:rPr>
              <w:br/>
            </w:r>
            <w:r>
              <w:rPr>
                <w:rFonts w:cs="宋体" w:asciiTheme="minorEastAsia" w:hAnsiTheme="minorEastAsia"/>
                <w:sz w:val="24"/>
                <w:szCs w:val="24"/>
              </w:rPr>
              <w:t xml:space="preserve">3、支持对当事人身份的核验，当事人应可通过多种方式登录系统；</w:t>
            </w:r>
            <w:r>
              <w:rPr>
                <w:rFonts w:cs="宋体" w:asciiTheme="minorEastAsia" w:hAnsiTheme="minorEastAsia"/>
                <w:sz w:val="24"/>
                <w:szCs w:val="24"/>
              </w:rPr>
              <w:br/>
            </w:r>
            <w:r>
              <w:rPr>
                <w:rFonts w:cs="宋体" w:asciiTheme="minorEastAsia" w:hAnsiTheme="minorEastAsia"/>
                <w:sz w:val="24"/>
                <w:szCs w:val="24"/>
              </w:rPr>
              <w:t xml:space="preserve">4、在获得法官同意后，当事人应可主动加入庭审，并具备明显的文字提醒；</w:t>
            </w:r>
            <w:r>
              <w:rPr>
                <w:rFonts w:cs="宋体" w:asciiTheme="minorEastAsia" w:hAnsiTheme="minorEastAsia"/>
                <w:sz w:val="24"/>
                <w:szCs w:val="24"/>
              </w:rPr>
              <w:br/>
            </w:r>
            <w:r>
              <w:rPr>
                <w:rFonts w:cs="宋体" w:asciiTheme="minorEastAsia" w:hAnsiTheme="minorEastAsia"/>
                <w:sz w:val="24"/>
                <w:szCs w:val="24"/>
              </w:rPr>
              <w:t xml:space="preserve">5、系统应可展示用户所有案件的相关信息，并支持对某一案件信息详情的查看；</w:t>
            </w:r>
            <w:r>
              <w:rPr>
                <w:rFonts w:cs="宋体" w:asciiTheme="minorEastAsia" w:hAnsiTheme="minorEastAsia"/>
                <w:sz w:val="24"/>
                <w:szCs w:val="24"/>
              </w:rPr>
              <w:br/>
            </w:r>
            <w:r>
              <w:rPr>
                <w:rFonts w:cs="宋体" w:asciiTheme="minorEastAsia" w:hAnsiTheme="minorEastAsia"/>
                <w:sz w:val="24"/>
                <w:szCs w:val="24"/>
              </w:rPr>
              <w:t xml:space="preserve">6、支持当事人实时查看各方音视频画面，并保证信息传递质量；</w:t>
            </w:r>
            <w:r>
              <w:rPr>
                <w:rFonts w:cs="宋体" w:asciiTheme="minorEastAsia" w:hAnsiTheme="minorEastAsia"/>
                <w:sz w:val="24"/>
                <w:szCs w:val="24"/>
              </w:rPr>
              <w:br/>
            </w:r>
            <w:r>
              <w:rPr>
                <w:rFonts w:cs="宋体" w:asciiTheme="minorEastAsia" w:hAnsiTheme="minorEastAsia"/>
                <w:sz w:val="24"/>
                <w:szCs w:val="24"/>
              </w:rPr>
              <w:t xml:space="preserve">7、在庭审过程中，支持当事人对笔录的实时查看；</w:t>
            </w:r>
            <w:r>
              <w:rPr>
                <w:rFonts w:cs="宋体" w:asciiTheme="minorEastAsia" w:hAnsiTheme="minorEastAsia"/>
                <w:sz w:val="24"/>
                <w:szCs w:val="24"/>
              </w:rPr>
              <w:br/>
            </w:r>
            <w:r>
              <w:rPr>
                <w:rFonts w:cs="宋体" w:asciiTheme="minorEastAsia" w:hAnsiTheme="minorEastAsia"/>
                <w:sz w:val="24"/>
                <w:szCs w:val="24"/>
              </w:rPr>
              <w:t xml:space="preserve">8、在书记员控制下，可完成对完整笔录的查看及电子签名工作，并实现对笔录文件进行回传；</w:t>
            </w:r>
            <w:r>
              <w:rPr>
                <w:rFonts w:cs="宋体" w:asciiTheme="minorEastAsia" w:hAnsiTheme="minorEastAsia"/>
                <w:sz w:val="24"/>
                <w:szCs w:val="24"/>
              </w:rPr>
              <w:br/>
            </w:r>
            <w:r>
              <w:rPr>
                <w:rFonts w:cs="宋体" w:asciiTheme="minorEastAsia" w:hAnsiTheme="minorEastAsia"/>
                <w:sz w:val="24"/>
                <w:szCs w:val="24"/>
              </w:rPr>
              <w:t xml:space="preserve">9、客户端有多个摄像头，系统应支持自动选择适当的设备；</w:t>
            </w:r>
            <w:r>
              <w:rPr>
                <w:rFonts w:cs="宋体" w:asciiTheme="minorEastAsia" w:hAnsiTheme="minorEastAsia"/>
                <w:sz w:val="24"/>
                <w:szCs w:val="24"/>
              </w:rPr>
              <w:br/>
            </w:r>
            <w:r>
              <w:rPr>
                <w:rFonts w:cs="宋体" w:asciiTheme="minorEastAsia" w:hAnsiTheme="minorEastAsia"/>
                <w:sz w:val="24"/>
                <w:szCs w:val="24"/>
              </w:rPr>
              <w:t xml:space="preserve">10、为保证当事人案件信息的完整性，系统应支持对证据文件的共享及对当事人屏幕的共享。</w:t>
            </w:r>
            <w:r>
              <w:rPr>
                <w:rFonts w:cs="宋体" w:asciiTheme="minorEastAsia" w:hAnsiTheme="minorEastAsia"/>
                <w:sz w:val="24"/>
                <w:szCs w:val="24"/>
              </w:rPr>
              <w:br/>
            </w:r>
            <w:r>
              <w:rPr>
                <w:rFonts w:cs="宋体" w:asciiTheme="minorEastAsia" w:hAnsiTheme="minorEastAsia"/>
                <w:sz w:val="24"/>
                <w:szCs w:val="24"/>
              </w:rPr>
              <w:t xml:space="preserve">11、支持对方远程参与视频庭审，能够支持8路画面。</w:t>
            </w:r>
            <w:r>
              <w:rPr>
                <w:rFonts w:cs="宋体" w:asciiTheme="minorEastAsia" w:hAnsiTheme="minorEastAsia"/>
                <w:sz w:val="24"/>
                <w:szCs w:val="24"/>
              </w:rPr>
              <w:br/>
            </w:r>
            <w:r>
              <w:rPr>
                <w:rFonts w:cs="宋体" w:asciiTheme="minorEastAsia" w:hAnsiTheme="minorEastAsia"/>
                <w:sz w:val="24"/>
                <w:szCs w:val="24"/>
              </w:rPr>
              <w:t xml:space="preserve">12、能够屏蔽用户的误操作，用户有误操作时，系统不失效，不丢失数据；能够判断数据的有效性，屏蔽非法数据，给出提示信息。</w:t>
            </w:r>
            <w:r>
              <w:rPr>
                <w:rFonts w:cs="宋体" w:asciiTheme="minorEastAsia" w:hAnsiTheme="minorEastAsia"/>
                <w:sz w:val="24"/>
                <w:szCs w:val="24"/>
              </w:rPr>
              <w:br/>
            </w:r>
            <w:r>
              <w:rPr>
                <w:rFonts w:cs="宋体" w:asciiTheme="minorEastAsia" w:hAnsiTheme="minorEastAsia"/>
                <w:sz w:val="24"/>
                <w:szCs w:val="24"/>
              </w:rPr>
              <w:t xml:space="preserve">13、能够依据用户角色访问相关的信息和数据；能够保证数据在传输过程中加密。</w:t>
            </w:r>
            <w:r>
              <w:rPr>
                <w:rFonts w:cs="宋体" w:asciiTheme="minorEastAsia" w:hAnsiTheme="minorEastAsia"/>
                <w:sz w:val="24"/>
                <w:szCs w:val="24"/>
              </w:rPr>
              <w:br/>
            </w:r>
            <w:r>
              <w:rPr>
                <w:rFonts w:cs="宋体" w:asciiTheme="minorEastAsia" w:hAnsiTheme="minorEastAsia"/>
                <w:sz w:val="24"/>
                <w:szCs w:val="24"/>
              </w:rPr>
              <w:t xml:space="preserve">14、能够防止SQL注入漏洞攻击，能够防止CSRF漏洞攻击，能够防止XSS漏洞攻击，能够防止木马后门攻击，能够防止命令行漏洞攻击，能够保证系统中输入超长字符不失效。</w:t>
            </w:r>
            <w:r>
              <w:rPr>
                <w:rFonts w:cs="宋体" w:asciiTheme="minorEastAsia" w:hAnsiTheme="minorEastAsia"/>
                <w:sz w:val="24"/>
                <w:szCs w:val="24"/>
              </w:rPr>
              <w:br/>
            </w:r>
            <w:r>
              <w:rPr>
                <w:rFonts w:cs="宋体" w:asciiTheme="minorEastAsia" w:hAnsiTheme="minorEastAsia"/>
                <w:sz w:val="24"/>
                <w:szCs w:val="24"/>
              </w:rPr>
              <w:t xml:space="preserve">15、能够提供登录模块对用户进行身份标识和鉴别，正确的用户信息能够登录，错误的用户信息不能登录。</w:t>
            </w:r>
            <w:r/>
          </w:p>
        </w:tc>
        <w:tc>
          <w:tcPr>
            <w:shd w:val="clear" w:color="000000" w:fill="ffffff"/>
            <w:tcW w:w="686"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4</w:t>
            </w:r>
            <w:r/>
          </w:p>
        </w:tc>
        <w:tc>
          <w:tcPr>
            <w:shd w:val="clear" w:color="000000" w:fill="ffffff"/>
            <w:tcW w:w="632"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套</w:t>
            </w:r>
            <w:r/>
          </w:p>
        </w:tc>
        <w:tc>
          <w:tcPr>
            <w:shd w:val="clear" w:color="000000" w:fill="ffffff"/>
            <w:tcW w:w="863" w:type="dxa"/>
            <w:vAlign w:val="center"/>
            <w:textDirection w:val="lrTb"/>
            <w:noWrap w:val="false"/>
          </w:tcPr>
          <w:p>
            <w:pPr>
              <w:jc w:val="center"/>
              <w:widowControl/>
              <w:rPr>
                <w:rFonts w:cs="宋体" w:asciiTheme="minorEastAsia" w:hAnsiTheme="minorEastAsia"/>
                <w:sz w:val="24"/>
                <w:szCs w:val="24"/>
              </w:rPr>
            </w:pPr>
            <w:r>
              <w:rPr>
                <w:rFonts w:cs="宋体" w:asciiTheme="minorEastAsia" w:hAnsiTheme="minorEastAsia"/>
                <w:sz w:val="24"/>
                <w:szCs w:val="24"/>
              </w:rPr>
              <w:t xml:space="preserve">　</w:t>
            </w:r>
            <w:r/>
          </w:p>
        </w:tc>
      </w:tr>
    </w:tbl>
    <w:p>
      <w:pPr>
        <w:ind w:firstLine="562"/>
        <w:jc w:val="left"/>
        <w:spacing w:line="360" w:lineRule="auto"/>
        <w:rPr>
          <w:rFonts w:ascii="Times New Roman" w:hAnsi="Times New Roman" w:eastAsia="宋体" w:cs="Times New Roman"/>
          <w:b/>
          <w:sz w:val="28"/>
          <w:szCs w:val="28"/>
        </w:rPr>
      </w:pPr>
      <w:r/>
      <w:bookmarkStart w:id="8" w:name="_Toc139966432"/>
      <w:r/>
      <w:bookmarkStart w:id="9" w:name="_Toc139967216"/>
      <w:r>
        <w:rPr>
          <w:rFonts w:hint="eastAsia" w:ascii="Times New Roman" w:hAnsi="Times New Roman" w:eastAsia="宋体" w:cs="Times New Roman"/>
          <w:b/>
          <w:sz w:val="28"/>
          <w:szCs w:val="28"/>
        </w:rPr>
        <w:t xml:space="preserve">4</w:t>
      </w:r>
      <w:r>
        <w:rPr>
          <w:rFonts w:ascii="Times New Roman" w:hAnsi="Times New Roman" w:eastAsia="宋体" w:cs="Times New Roman"/>
          <w:b/>
          <w:sz w:val="28"/>
          <w:szCs w:val="28"/>
        </w:rPr>
        <w:t xml:space="preserve">.3</w:t>
      </w:r>
      <w:r>
        <w:rPr>
          <w:rFonts w:hint="eastAsia" w:ascii="Times New Roman" w:hAnsi="Times New Roman" w:eastAsia="宋体" w:cs="Times New Roman"/>
          <w:b/>
          <w:sz w:val="28"/>
          <w:szCs w:val="28"/>
        </w:rPr>
        <w:t xml:space="preserve">辅材、配件</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详见第八条信息系统集成服务要求。</w:t>
      </w:r>
      <w:r/>
    </w:p>
    <w:p>
      <w:pPr>
        <w:numPr>
          <w:ilvl w:val="0"/>
          <w:numId w:val="6"/>
        </w:num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对接</w:t>
      </w:r>
      <w:r>
        <w:rPr>
          <w:rFonts w:ascii="Times New Roman" w:hAnsi="Times New Roman" w:eastAsia="宋体" w:cs="Times New Roman"/>
          <w:b/>
          <w:sz w:val="28"/>
          <w:szCs w:val="28"/>
        </w:rPr>
        <w:t xml:space="preserve">要求</w:t>
      </w:r>
      <w:r/>
    </w:p>
    <w:p>
      <w:pPr>
        <w:ind w:firstLine="480"/>
        <w:jc w:val="left"/>
        <w:spacing w:line="360" w:lineRule="auto"/>
        <w:rPr>
          <w:rFonts w:ascii="宋体" w:hAnsi="宋体" w:eastAsia="宋体"/>
          <w:bCs/>
          <w:i/>
          <w:sz w:val="24"/>
          <w:szCs w:val="24"/>
          <w:u w:val="single"/>
        </w:rPr>
      </w:pPr>
      <w:r>
        <w:rPr>
          <w:rFonts w:hint="eastAsia" w:ascii="宋体" w:hAnsi="宋体" w:eastAsia="宋体"/>
          <w:bCs/>
          <w:i/>
          <w:sz w:val="24"/>
          <w:szCs w:val="24"/>
          <w:u w:val="single"/>
        </w:rPr>
        <w:t xml:space="preserve">5.1 全国法院一张网对接要求:合同签订</w:t>
      </w:r>
      <w:r>
        <w:rPr>
          <w:rFonts w:ascii="宋体" w:hAnsi="宋体" w:eastAsia="宋体"/>
          <w:bCs/>
          <w:i/>
          <w:sz w:val="24"/>
          <w:szCs w:val="24"/>
          <w:u w:val="single"/>
        </w:rPr>
        <w:t xml:space="preserve">7</w:t>
      </w:r>
      <w:r>
        <w:rPr>
          <w:rFonts w:hint="eastAsia" w:ascii="宋体" w:hAnsi="宋体" w:eastAsia="宋体"/>
          <w:bCs/>
          <w:i/>
          <w:sz w:val="24"/>
          <w:szCs w:val="24"/>
          <w:u w:val="single"/>
        </w:rPr>
        <w:t xml:space="preserve">日内，中标人需搭建测试环境并完成与“一张网”的对接测试（测试内容</w:t>
      </w:r>
      <w:r>
        <w:rPr>
          <w:rFonts w:ascii="宋体" w:hAnsi="宋体" w:eastAsia="宋体"/>
          <w:bCs/>
          <w:i/>
          <w:sz w:val="24"/>
          <w:szCs w:val="24"/>
          <w:u w:val="single"/>
        </w:rPr>
        <w:t xml:space="preserve">包括</w:t>
      </w:r>
      <w:r>
        <w:rPr>
          <w:rFonts w:hint="eastAsia" w:ascii="宋体" w:hAnsi="宋体" w:eastAsia="宋体"/>
          <w:bCs/>
          <w:i/>
          <w:sz w:val="24"/>
          <w:szCs w:val="24"/>
          <w:u w:val="single"/>
        </w:rPr>
        <w:t xml:space="preserve">法庭从一张网获取部门、人员、案件、排期等信息；法庭庭审过程中生成的笔录、签名笔录、直播地址、点播地址、法庭展示新证据材料回传给一张网等），测试不通过视为中标人违约, 采购人有权解除合同并追究违约责任。（投标文件中提供加盖投标人公章的承诺函，格式自拟，否则投标无效）</w:t>
      </w:r>
      <w:r/>
    </w:p>
    <w:p>
      <w:pPr>
        <w:ind w:firstLine="480"/>
        <w:jc w:val="left"/>
        <w:spacing w:line="360" w:lineRule="auto"/>
        <w:rPr>
          <w:rFonts w:ascii="Times New Roman" w:hAnsi="Times New Roman" w:eastAsia="仿宋_GB2312"/>
          <w:bCs/>
          <w:i/>
          <w:sz w:val="32"/>
          <w:szCs w:val="32"/>
          <w:u w:val="single"/>
        </w:rPr>
      </w:pPr>
      <w:r>
        <w:rPr>
          <w:rFonts w:hint="eastAsia" w:ascii="宋体" w:hAnsi="宋体" w:eastAsia="宋体"/>
          <w:bCs/>
          <w:i/>
          <w:sz w:val="24"/>
          <w:szCs w:val="24"/>
          <w:u w:val="single"/>
        </w:rPr>
        <w:t xml:space="preserve">5.2 法院内网庭审平台负载均衡能力测试：合同签订</w:t>
      </w:r>
      <w:r>
        <w:rPr>
          <w:rFonts w:ascii="宋体" w:hAnsi="宋体" w:eastAsia="宋体"/>
          <w:bCs/>
          <w:i/>
          <w:sz w:val="24"/>
          <w:szCs w:val="24"/>
          <w:u w:val="single"/>
        </w:rPr>
        <w:t xml:space="preserve">7</w:t>
      </w:r>
      <w:r>
        <w:rPr>
          <w:rFonts w:hint="eastAsia" w:ascii="宋体" w:hAnsi="宋体" w:eastAsia="宋体"/>
          <w:bCs/>
          <w:i/>
          <w:sz w:val="24"/>
          <w:szCs w:val="24"/>
          <w:u w:val="single"/>
        </w:rPr>
        <w:t xml:space="preserve">日内，中标人需搭建测试环境并对庭审平台分布式集群负载均衡、健康检查、智能容灾及主备双活高可用能力逐项测试，（所有</w:t>
      </w:r>
      <w:r>
        <w:rPr>
          <w:rFonts w:ascii="宋体" w:hAnsi="宋体" w:eastAsia="宋体"/>
          <w:bCs/>
          <w:i/>
          <w:sz w:val="24"/>
          <w:szCs w:val="24"/>
          <w:u w:val="single"/>
        </w:rPr>
        <w:t xml:space="preserve">测试</w:t>
      </w:r>
      <w:r>
        <w:rPr>
          <w:rFonts w:hint="eastAsia" w:ascii="宋体" w:hAnsi="宋体" w:eastAsia="宋体"/>
          <w:bCs/>
          <w:i/>
          <w:sz w:val="24"/>
          <w:szCs w:val="24"/>
          <w:u w:val="single"/>
        </w:rPr>
        <w:t xml:space="preserve">检查</w:t>
      </w:r>
      <w:r>
        <w:rPr>
          <w:rFonts w:ascii="宋体" w:hAnsi="宋体" w:eastAsia="宋体"/>
          <w:bCs/>
          <w:i/>
          <w:sz w:val="24"/>
          <w:szCs w:val="24"/>
          <w:u w:val="single"/>
        </w:rPr>
        <w:t xml:space="preserve">项目均</w:t>
      </w:r>
      <w:r>
        <w:rPr>
          <w:rFonts w:hint="eastAsia" w:ascii="宋体" w:hAnsi="宋体" w:eastAsia="宋体"/>
          <w:bCs/>
          <w:i/>
          <w:sz w:val="24"/>
          <w:szCs w:val="24"/>
          <w:u w:val="single"/>
        </w:rPr>
        <w:t xml:space="preserve">合格</w:t>
      </w:r>
      <w:r>
        <w:rPr>
          <w:rFonts w:ascii="宋体" w:hAnsi="宋体" w:eastAsia="宋体"/>
          <w:bCs/>
          <w:i/>
          <w:sz w:val="24"/>
          <w:szCs w:val="24"/>
          <w:u w:val="single"/>
        </w:rPr>
        <w:t xml:space="preserve">视为</w:t>
      </w:r>
      <w:r>
        <w:rPr>
          <w:rFonts w:hint="eastAsia" w:ascii="宋体" w:hAnsi="宋体" w:eastAsia="宋体"/>
          <w:bCs/>
          <w:i/>
          <w:sz w:val="24"/>
          <w:szCs w:val="24"/>
          <w:u w:val="single"/>
        </w:rPr>
        <w:t xml:space="preserve">测试</w:t>
      </w:r>
      <w:r>
        <w:rPr>
          <w:rFonts w:ascii="宋体" w:hAnsi="宋体" w:eastAsia="宋体"/>
          <w:bCs/>
          <w:i/>
          <w:sz w:val="24"/>
          <w:szCs w:val="24"/>
          <w:u w:val="single"/>
        </w:rPr>
        <w:t xml:space="preserve">通过，</w:t>
      </w:r>
      <w:r>
        <w:rPr>
          <w:rFonts w:hint="eastAsia" w:ascii="宋体" w:hAnsi="宋体" w:eastAsia="宋体"/>
          <w:bCs/>
          <w:i/>
          <w:sz w:val="24"/>
          <w:szCs w:val="24"/>
          <w:u w:val="single"/>
        </w:rPr>
        <w:t xml:space="preserve">测试内容详见附件：法院内网庭审平台负载均衡能力测试表），测试不通过视为中标人违约, 采购人有权解除合同并追究违约责任。（投标文件中提供加盖投标人公章的承诺函，格式自拟，否则投标无效）</w:t>
      </w:r>
      <w:r/>
    </w:p>
    <w:p>
      <w:pPr>
        <w:ind w:firstLine="480"/>
        <w:jc w:val="left"/>
        <w:spacing w:line="360" w:lineRule="auto"/>
        <w:rPr>
          <w:rFonts w:ascii="宋体" w:hAnsi="宋体" w:eastAsia="宋体"/>
          <w:bCs/>
          <w:i/>
          <w:sz w:val="24"/>
          <w:szCs w:val="24"/>
          <w:u w:val="single"/>
        </w:rPr>
      </w:pPr>
      <w:r>
        <w:rPr>
          <w:rFonts w:hint="eastAsia" w:ascii="宋体" w:hAnsi="宋体" w:eastAsia="宋体"/>
          <w:bCs/>
          <w:i/>
          <w:sz w:val="24"/>
          <w:szCs w:val="24"/>
          <w:u w:val="single"/>
        </w:rPr>
        <w:t xml:space="preserve">5.3 云庭审终端和庭审应用系统对接要求:合同签订</w:t>
      </w:r>
      <w:r>
        <w:rPr>
          <w:rFonts w:ascii="宋体" w:hAnsi="宋体" w:eastAsia="宋体"/>
          <w:bCs/>
          <w:i/>
          <w:sz w:val="24"/>
          <w:szCs w:val="24"/>
          <w:u w:val="single"/>
        </w:rPr>
        <w:t xml:space="preserve">7</w:t>
      </w:r>
      <w:r>
        <w:rPr>
          <w:rFonts w:hint="eastAsia" w:ascii="宋体" w:hAnsi="宋体" w:eastAsia="宋体"/>
          <w:bCs/>
          <w:i/>
          <w:sz w:val="24"/>
          <w:szCs w:val="24"/>
          <w:u w:val="single"/>
        </w:rPr>
        <w:t xml:space="preserve">日内，中标人需搭建测试环境并完成云庭审终端和庭审应用系统与法院现有云庭审平台的接入测试（所有</w:t>
      </w:r>
      <w:r>
        <w:rPr>
          <w:rFonts w:ascii="宋体" w:hAnsi="宋体" w:eastAsia="宋体"/>
          <w:bCs/>
          <w:i/>
          <w:sz w:val="24"/>
          <w:szCs w:val="24"/>
          <w:u w:val="single"/>
        </w:rPr>
        <w:t xml:space="preserve">测试</w:t>
      </w:r>
      <w:r>
        <w:rPr>
          <w:rFonts w:hint="eastAsia" w:ascii="宋体" w:hAnsi="宋体" w:eastAsia="宋体"/>
          <w:bCs/>
          <w:i/>
          <w:sz w:val="24"/>
          <w:szCs w:val="24"/>
          <w:u w:val="single"/>
        </w:rPr>
        <w:t xml:space="preserve">检查</w:t>
      </w:r>
      <w:r>
        <w:rPr>
          <w:rFonts w:ascii="宋体" w:hAnsi="宋体" w:eastAsia="宋体"/>
          <w:bCs/>
          <w:i/>
          <w:sz w:val="24"/>
          <w:szCs w:val="24"/>
          <w:u w:val="single"/>
        </w:rPr>
        <w:t xml:space="preserve">项目均</w:t>
      </w:r>
      <w:r>
        <w:rPr>
          <w:rFonts w:hint="eastAsia" w:ascii="宋体" w:hAnsi="宋体" w:eastAsia="宋体"/>
          <w:bCs/>
          <w:i/>
          <w:sz w:val="24"/>
          <w:szCs w:val="24"/>
          <w:u w:val="single"/>
        </w:rPr>
        <w:t xml:space="preserve">合格</w:t>
      </w:r>
      <w:r>
        <w:rPr>
          <w:rFonts w:ascii="宋体" w:hAnsi="宋体" w:eastAsia="宋体"/>
          <w:bCs/>
          <w:i/>
          <w:sz w:val="24"/>
          <w:szCs w:val="24"/>
          <w:u w:val="single"/>
        </w:rPr>
        <w:t xml:space="preserve">视为</w:t>
      </w:r>
      <w:r>
        <w:rPr>
          <w:rFonts w:hint="eastAsia" w:ascii="宋体" w:hAnsi="宋体" w:eastAsia="宋体"/>
          <w:bCs/>
          <w:i/>
          <w:sz w:val="24"/>
          <w:szCs w:val="24"/>
          <w:u w:val="single"/>
        </w:rPr>
        <w:t xml:space="preserve">测试</w:t>
      </w:r>
      <w:r>
        <w:rPr>
          <w:rFonts w:ascii="宋体" w:hAnsi="宋体" w:eastAsia="宋体"/>
          <w:bCs/>
          <w:i/>
          <w:sz w:val="24"/>
          <w:szCs w:val="24"/>
          <w:u w:val="single"/>
        </w:rPr>
        <w:t xml:space="preserve">通过，</w:t>
      </w:r>
      <w:r>
        <w:rPr>
          <w:rFonts w:hint="eastAsia" w:ascii="宋体" w:hAnsi="宋体" w:eastAsia="宋体"/>
          <w:bCs/>
          <w:i/>
          <w:sz w:val="24"/>
          <w:szCs w:val="24"/>
          <w:u w:val="single"/>
        </w:rPr>
        <w:t xml:space="preserve">测试内容详见附件：云庭审终端和庭审应用系统对接测试表），测试不通过视为中标人违约, 采购人有权解除合同并追究违约责任。（投标文件中提供加盖投标人公章的承诺函，格式自拟，否则投标无效）</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六</w:t>
      </w:r>
      <w:r>
        <w:rPr>
          <w:rFonts w:ascii="Times New Roman" w:hAnsi="Times New Roman" w:eastAsia="宋体" w:cs="Times New Roman"/>
          <w:b/>
          <w:sz w:val="28"/>
          <w:szCs w:val="28"/>
        </w:rPr>
        <w:t xml:space="preserve">、</w:t>
      </w:r>
      <w:r>
        <w:rPr>
          <w:rFonts w:hint="eastAsia" w:ascii="Times New Roman" w:hAnsi="Times New Roman" w:eastAsia="宋体" w:cs="Times New Roman"/>
          <w:b/>
          <w:sz w:val="28"/>
          <w:szCs w:val="28"/>
        </w:rPr>
        <w:t xml:space="preserve">项目实施</w:t>
      </w:r>
      <w:r>
        <w:rPr>
          <w:rFonts w:ascii="Times New Roman" w:hAnsi="Times New Roman" w:eastAsia="宋体" w:cs="Times New Roman"/>
          <w:b/>
          <w:sz w:val="28"/>
          <w:szCs w:val="28"/>
        </w:rPr>
        <w:t xml:space="preserve">要求</w:t>
      </w:r>
      <w:r/>
    </w:p>
    <w:p>
      <w:pPr>
        <w:ind w:firstLine="480"/>
        <w:jc w:val="left"/>
        <w:spacing w:line="360" w:lineRule="auto"/>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.1需求明确与分析</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要求：在项目启动阶段，需与客户充分沟通，明确项目目标、功能需求、性能要求等，形成详细的需求文档。</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实施：通过问卷调查、访谈、原型设计等方式收集需求，并进行需求评审，确保需求的准确性和完整性。</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输出：需求规格说明书、原型图等。</w:t>
      </w:r>
      <w:r/>
    </w:p>
    <w:p>
      <w:pPr>
        <w:ind w:firstLine="480"/>
        <w:jc w:val="left"/>
        <w:spacing w:line="360" w:lineRule="auto"/>
        <w:rPr>
          <w:rFonts w:ascii="宋体" w:hAnsi="宋体" w:eastAsia="宋体"/>
          <w:sz w:val="24"/>
          <w:szCs w:val="24"/>
        </w:rPr>
      </w:pPr>
      <w:r>
        <w:rPr>
          <w:rFonts w:ascii="宋体" w:hAnsi="宋体" w:eastAsia="宋体"/>
          <w:sz w:val="24"/>
          <w:szCs w:val="24"/>
        </w:rPr>
        <w:t xml:space="preserve">6.2</w:t>
      </w:r>
      <w:r>
        <w:rPr>
          <w:rFonts w:hint="eastAsia" w:ascii="宋体" w:hAnsi="宋体" w:eastAsia="宋体"/>
          <w:sz w:val="24"/>
          <w:szCs w:val="24"/>
        </w:rPr>
        <w:t xml:space="preserve">项目计划与进度</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要求：根据项目规模、复杂度和资源情况，制定详细的项目计划，包括时间节点、任务分配、里程碑等。</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实施：使用项目管理工具进行计划编制和跟踪，确保项目进度透明、可控。</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输出：项目计划表、甘特图等。</w:t>
      </w:r>
      <w:r/>
    </w:p>
    <w:p>
      <w:pPr>
        <w:ind w:firstLine="480"/>
        <w:jc w:val="left"/>
        <w:spacing w:line="360" w:lineRule="auto"/>
        <w:rPr>
          <w:rFonts w:ascii="宋体" w:hAnsi="宋体" w:eastAsia="宋体"/>
          <w:sz w:val="24"/>
          <w:szCs w:val="24"/>
        </w:rPr>
      </w:pPr>
      <w:r>
        <w:rPr>
          <w:rFonts w:ascii="宋体" w:hAnsi="宋体" w:eastAsia="宋体"/>
          <w:sz w:val="24"/>
          <w:szCs w:val="24"/>
        </w:rPr>
        <w:t xml:space="preserve">6.3</w:t>
      </w:r>
      <w:r>
        <w:rPr>
          <w:rFonts w:hint="eastAsia" w:ascii="宋体" w:hAnsi="宋体" w:eastAsia="宋体"/>
          <w:sz w:val="24"/>
          <w:szCs w:val="24"/>
        </w:rPr>
        <w:t xml:space="preserve">技术选型与架构</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要求：根据项目需求，选择合适的技术栈和架构方案，确保系统的可扩展性、可维护性和安全性。</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实施：进行技术调研和评估，确定技术选型，并设计系统架构图。</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输出：技术选型报告、系统架构图等。</w:t>
      </w:r>
      <w:r/>
    </w:p>
    <w:p>
      <w:pPr>
        <w:ind w:firstLine="480"/>
        <w:jc w:val="left"/>
        <w:spacing w:line="360" w:lineRule="auto"/>
        <w:rPr>
          <w:rFonts w:ascii="宋体" w:hAnsi="宋体" w:eastAsia="宋体"/>
          <w:sz w:val="24"/>
          <w:szCs w:val="24"/>
        </w:rPr>
      </w:pPr>
      <w:r>
        <w:rPr>
          <w:rFonts w:ascii="宋体" w:hAnsi="宋体" w:eastAsia="宋体"/>
          <w:sz w:val="24"/>
          <w:szCs w:val="24"/>
        </w:rPr>
        <w:t xml:space="preserve">6.4</w:t>
      </w:r>
      <w:r>
        <w:rPr>
          <w:rFonts w:hint="eastAsia" w:ascii="宋体" w:hAnsi="宋体" w:eastAsia="宋体"/>
          <w:sz w:val="24"/>
          <w:szCs w:val="24"/>
        </w:rPr>
        <w:t xml:space="preserve">团队组建与分工</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要求：根据项目需求，组建跨职能团队，明确各成员的职责和分工。</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实施：根据团队成员的技能和经验，进行合理的任务分配和角色定位。</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输出：团队组建方案、任务分配表等。</w:t>
      </w:r>
      <w:r/>
    </w:p>
    <w:p>
      <w:pPr>
        <w:ind w:firstLine="480"/>
        <w:jc w:val="left"/>
        <w:spacing w:line="360" w:lineRule="auto"/>
        <w:rPr>
          <w:rFonts w:ascii="宋体" w:hAnsi="宋体" w:eastAsia="宋体"/>
          <w:sz w:val="24"/>
          <w:szCs w:val="24"/>
        </w:rPr>
      </w:pPr>
      <w:r>
        <w:rPr>
          <w:rFonts w:ascii="宋体" w:hAnsi="宋体" w:eastAsia="宋体"/>
          <w:sz w:val="24"/>
          <w:szCs w:val="24"/>
        </w:rPr>
        <w:t xml:space="preserve">6.5</w:t>
      </w:r>
      <w:r>
        <w:rPr>
          <w:rFonts w:hint="eastAsia" w:ascii="宋体" w:hAnsi="宋体" w:eastAsia="宋体"/>
          <w:sz w:val="24"/>
          <w:szCs w:val="24"/>
        </w:rPr>
        <w:t xml:space="preserve">质量控制与测试</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要求：建立质量控制体系，制定测试计划和测试策略，确保软件质量。</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实施：进行单元测试、集成测试、系统测试等，记录测试结果，及时修复问题。</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输出：测试计划、测试报告、缺陷跟踪表等。</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t xml:space="preserve">6</w:t>
      </w:r>
      <w:r>
        <w:rPr>
          <w:rFonts w:hint="eastAsia" w:ascii="宋体" w:hAnsi="宋体" w:eastAsia="宋体"/>
          <w:sz w:val="24"/>
          <w:szCs w:val="24"/>
        </w:rPr>
        <w:t xml:space="preserve">风险管理与应对</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要求：识别项目中的潜在风险，制定风险应对措施，确保项目顺利进行。</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实施：建立风险清单，定期评估风险状态，采取相应的应对措施。</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输出：风险清单、风险应对计划等。</w:t>
      </w:r>
      <w:r/>
    </w:p>
    <w:p>
      <w:pPr>
        <w:ind w:firstLine="480"/>
        <w:jc w:val="left"/>
        <w:spacing w:line="360" w:lineRule="auto"/>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7资源配置与管理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要求：根据项目需求，合理配置和管理资源，包括人力资源、设备资源、资金资源等。</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实施：制定资源需求计划，监控资源使用情况，确保资源有效利用。</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输出：资源需求计划、资源使用报告等。</w:t>
      </w:r>
      <w:r/>
    </w:p>
    <w:p>
      <w:pPr>
        <w:ind w:firstLine="480"/>
        <w:jc w:val="left"/>
        <w:spacing w:line="360" w:lineRule="auto"/>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8沟通与文档规范</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要求：建立有效的沟通机制，确保项目团队成员之间的信息畅通；制定文档编写规范，确保文档的质量和可读性。</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实施：定期召开项目会议，使用项目管理工具进行信息同步；制定文档模板和编写指南。</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输出：会议纪要、项目周报、文档模板等。</w:t>
      </w:r>
      <w:r/>
    </w:p>
    <w:p>
      <w:pPr>
        <w:ind w:firstLine="480"/>
        <w:jc w:val="left"/>
        <w:spacing w:line="360" w:lineRule="auto"/>
        <w:rPr>
          <w:rFonts w:ascii="宋体" w:hAnsi="宋体" w:eastAsia="宋体"/>
          <w:sz w:val="24"/>
          <w:szCs w:val="24"/>
        </w:rPr>
      </w:pPr>
      <w:r>
        <w:rPr>
          <w:rFonts w:ascii="宋体" w:hAnsi="宋体" w:eastAsia="宋体"/>
          <w:sz w:val="24"/>
          <w:szCs w:val="24"/>
        </w:rPr>
        <w:t xml:space="preserve">6.</w:t>
      </w:r>
      <w:r>
        <w:rPr>
          <w:rFonts w:hint="eastAsia" w:ascii="宋体" w:hAnsi="宋体" w:eastAsia="宋体"/>
          <w:sz w:val="24"/>
          <w:szCs w:val="24"/>
        </w:rPr>
        <w:t xml:space="preserve">9其他</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根据采购人的具体需求提供定制化的服务方案，包括但不限于服务体系、服务承诺、服务范围等，明确服务的质量和响应时间标准，项目人员及其各自的角色、职责，并确保服务方案与现有的技术架构兼容。</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建立应急响应方案，包括但不限于安全应急方案等。明确方案的适用范围，根据突发事件的严重程度和影响范围，设定不同级别的应急预案。在法院网络发生故障时，能够迅速响应并采取措施，启动应急预案，制定并测试应急响应计划，以最小化服务中断的影响。在紧急情况下，确保与法院相关部门保持有效沟通。定期组织应急响应培训，提高运维人员的应急响应意识和能力。</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定期对文档进行审查和更新，确保文档内容的时效性和适用性。建立和维护一个知识库，包括文档的分类、编号、存储、备份、更新等各个环节，确保文档的有序性和可追溯性。</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七</w:t>
      </w:r>
      <w:r>
        <w:rPr>
          <w:rFonts w:ascii="Times New Roman" w:hAnsi="Times New Roman" w:eastAsia="宋体" w:cs="Times New Roman"/>
          <w:b/>
          <w:sz w:val="28"/>
          <w:szCs w:val="28"/>
        </w:rPr>
        <w:t xml:space="preserve">、</w:t>
      </w:r>
      <w:r>
        <w:rPr>
          <w:rFonts w:hint="eastAsia" w:ascii="Times New Roman" w:hAnsi="Times New Roman" w:eastAsia="宋体" w:cs="Times New Roman"/>
          <w:b/>
          <w:sz w:val="28"/>
          <w:szCs w:val="28"/>
        </w:rPr>
        <w:t xml:space="preserve">系统集成</w:t>
      </w:r>
      <w:r>
        <w:rPr>
          <w:rFonts w:ascii="Times New Roman" w:hAnsi="Times New Roman" w:eastAsia="宋体" w:cs="Times New Roman"/>
          <w:b/>
          <w:sz w:val="28"/>
          <w:szCs w:val="28"/>
        </w:rPr>
        <w:t xml:space="preserve">要求</w:t>
      </w:r>
      <w:r/>
    </w:p>
    <w:p>
      <w:pPr>
        <w:ind w:firstLine="480"/>
        <w:jc w:val="left"/>
        <w:spacing w:line="360" w:lineRule="auto"/>
        <w:rPr>
          <w:rFonts w:ascii="宋体" w:hAnsi="宋体" w:eastAsia="宋体"/>
          <w:sz w:val="24"/>
          <w:szCs w:val="24"/>
        </w:rPr>
      </w:pPr>
      <w:r>
        <w:rPr>
          <w:rFonts w:ascii="宋体" w:hAnsi="宋体" w:eastAsia="宋体"/>
          <w:sz w:val="24"/>
          <w:szCs w:val="24"/>
        </w:rPr>
        <w:t xml:space="preserve">7.1</w:t>
      </w:r>
      <w:r>
        <w:rPr>
          <w:rFonts w:hint="eastAsia" w:ascii="宋体" w:hAnsi="宋体" w:eastAsia="宋体"/>
          <w:sz w:val="24"/>
          <w:szCs w:val="24"/>
        </w:rPr>
        <w:t xml:space="preserve">投标人应在对本标书中所列出的技术要求全面分析和理解的基础上，标明本招标文件已列出的服务和货物类产品以及集成实施过程中其他未在招标货物需求一览表中列明但项目集成必须的相关服务、配件和材料。投标报价应覆盖此全部内容，如有遗漏，在项目实施过程中中标人应免费提供相应的服务、配件以及相关耗材。</w:t>
      </w:r>
      <w:r/>
    </w:p>
    <w:p>
      <w:pPr>
        <w:ind w:firstLine="480"/>
        <w:jc w:val="left"/>
        <w:spacing w:line="360" w:lineRule="auto"/>
        <w:rPr>
          <w:rFonts w:ascii="宋体" w:hAnsi="宋体" w:eastAsia="宋体"/>
          <w:sz w:val="24"/>
          <w:szCs w:val="24"/>
        </w:rPr>
      </w:pPr>
      <w:r>
        <w:rPr>
          <w:rFonts w:ascii="宋体" w:hAnsi="宋体" w:eastAsia="宋体"/>
          <w:sz w:val="24"/>
          <w:szCs w:val="24"/>
        </w:rPr>
        <w:t xml:space="preserve">7.2</w:t>
      </w:r>
      <w:r>
        <w:rPr>
          <w:rFonts w:hint="eastAsia" w:ascii="宋体" w:hAnsi="宋体" w:eastAsia="宋体"/>
          <w:sz w:val="24"/>
          <w:szCs w:val="24"/>
        </w:rPr>
        <w:t xml:space="preserve">投标人应充分理解采购人的需求，投标人应保证采购人本项目中所列出的产品能够集成和实际运行。</w:t>
      </w:r>
      <w:r/>
    </w:p>
    <w:p>
      <w:pPr>
        <w:ind w:firstLine="480"/>
        <w:jc w:val="left"/>
        <w:spacing w:line="360" w:lineRule="auto"/>
        <w:rPr>
          <w:rFonts w:ascii="宋体" w:hAnsi="宋体" w:eastAsia="宋体"/>
          <w:sz w:val="24"/>
          <w:szCs w:val="24"/>
        </w:rPr>
      </w:pPr>
      <w:r>
        <w:rPr>
          <w:rFonts w:ascii="宋体" w:hAnsi="宋体" w:eastAsia="宋体"/>
          <w:sz w:val="24"/>
          <w:szCs w:val="24"/>
        </w:rPr>
        <w:t xml:space="preserve">7.3</w:t>
      </w:r>
      <w:r>
        <w:rPr>
          <w:rFonts w:hint="eastAsia" w:ascii="宋体" w:hAnsi="宋体" w:eastAsia="宋体"/>
          <w:sz w:val="24"/>
          <w:szCs w:val="24"/>
        </w:rPr>
        <w:t xml:space="preserve">整体对接建设要求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本次采购所有云庭审终端、庭审应用系统，必须完全兼容本院现有云庭审平台整体架构、通信协议、接入规范与安全策略，投标人不得擅自修改、调整现有平台配置、数据库结构、存储规则及安全运行策略。</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所有新建设备及应用系统接入后，需与现有平台实现业务流程一致、功能操作一致、数据格式一致、管理权限一致，确保干警使用习惯无变化、日常庭审业务无缝衔接。</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中标方自行</w:t>
      </w:r>
      <w:r>
        <w:rPr>
          <w:rFonts w:ascii="宋体" w:hAnsi="宋体" w:eastAsia="宋体"/>
          <w:sz w:val="24"/>
          <w:szCs w:val="24"/>
        </w:rPr>
        <w:t xml:space="preserve">承担供货产品与本院现有平台的对接工作，甲方不承担任何居中协调工作</w:t>
      </w:r>
      <w:r>
        <w:rPr>
          <w:rFonts w:hint="eastAsia" w:ascii="宋体" w:hAnsi="宋体" w:eastAsia="宋体"/>
          <w:sz w:val="24"/>
          <w:szCs w:val="24"/>
        </w:rPr>
        <w:t xml:space="preserve">，</w:t>
      </w:r>
      <w:r>
        <w:rPr>
          <w:rFonts w:ascii="宋体" w:hAnsi="宋体" w:eastAsia="宋体"/>
          <w:sz w:val="24"/>
          <w:szCs w:val="24"/>
        </w:rPr>
        <w:t xml:space="preserve">不支付任何</w:t>
      </w:r>
      <w:r>
        <w:rPr>
          <w:rFonts w:hint="eastAsia" w:ascii="宋体" w:hAnsi="宋体" w:eastAsia="宋体"/>
          <w:sz w:val="24"/>
          <w:szCs w:val="24"/>
        </w:rPr>
        <w:t xml:space="preserve">对接</w:t>
      </w:r>
      <w:r>
        <w:rPr>
          <w:rFonts w:ascii="宋体" w:hAnsi="宋体" w:eastAsia="宋体"/>
          <w:sz w:val="24"/>
          <w:szCs w:val="24"/>
        </w:rPr>
        <w:t xml:space="preserve">费用。</w:t>
      </w:r>
      <w:r>
        <w:rPr>
          <w:rFonts w:hint="eastAsia" w:ascii="宋体" w:hAnsi="宋体" w:eastAsia="宋体"/>
          <w:sz w:val="24"/>
          <w:szCs w:val="24"/>
        </w:rPr>
        <w:t xml:space="preserve">公示期内，有意向参与本项目的可提前预约采购人勘验现场、部署测试环境。</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项目实施、联调测试、正式接入全过程，严禁干扰、中断本院现有云庭审平台正常开庭及各类线上办案业务开展。</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合同签订</w:t>
      </w:r>
      <w:r>
        <w:rPr>
          <w:rFonts w:ascii="宋体" w:hAnsi="宋体" w:eastAsia="宋体"/>
          <w:sz w:val="24"/>
          <w:szCs w:val="24"/>
        </w:rPr>
        <w:t xml:space="preserve">7</w:t>
      </w:r>
      <w:r>
        <w:rPr>
          <w:rFonts w:hint="eastAsia" w:ascii="宋体" w:hAnsi="宋体" w:eastAsia="宋体"/>
          <w:sz w:val="24"/>
          <w:szCs w:val="24"/>
        </w:rPr>
        <w:t xml:space="preserve">日内，中标人须完成专属测试环境搭建，完成所有设备、应用系统与现有云庭审平台全项接入测试，提交完整合格测试资料，完成对接测试预验收。</w:t>
      </w:r>
      <w:r/>
    </w:p>
    <w:p>
      <w:pPr>
        <w:ind w:firstLine="480"/>
        <w:jc w:val="left"/>
        <w:spacing w:line="360" w:lineRule="auto"/>
        <w:rPr>
          <w:rFonts w:ascii="宋体" w:hAnsi="宋体" w:eastAsia="宋体"/>
          <w:sz w:val="24"/>
          <w:szCs w:val="24"/>
        </w:rPr>
      </w:pPr>
      <w:r>
        <w:rPr>
          <w:rFonts w:ascii="宋体" w:hAnsi="宋体" w:eastAsia="宋体"/>
          <w:sz w:val="24"/>
          <w:szCs w:val="24"/>
        </w:rPr>
        <w:t xml:space="preserve">7.4</w:t>
      </w:r>
      <w:r>
        <w:rPr>
          <w:rFonts w:hint="eastAsia" w:ascii="宋体" w:hAnsi="宋体" w:eastAsia="宋体"/>
          <w:sz w:val="24"/>
          <w:szCs w:val="24"/>
        </w:rPr>
        <w:t xml:space="preserve">详细对接接入方式</w:t>
      </w:r>
      <w:r/>
    </w:p>
    <w:p>
      <w:pPr>
        <w:ind w:firstLine="480"/>
        <w:jc w:val="left"/>
        <w:spacing w:line="360" w:lineRule="auto"/>
        <w:rPr>
          <w:rFonts w:ascii="宋体" w:hAnsi="宋体" w:eastAsia="宋体"/>
          <w:sz w:val="24"/>
          <w:szCs w:val="24"/>
        </w:rPr>
      </w:pPr>
      <w:r>
        <w:rPr>
          <w:rFonts w:ascii="宋体" w:hAnsi="宋体" w:eastAsia="宋体"/>
          <w:sz w:val="24"/>
          <w:szCs w:val="24"/>
        </w:rPr>
        <w:t xml:space="preserve">7.4.1</w:t>
      </w:r>
      <w:r>
        <w:rPr>
          <w:rFonts w:hint="eastAsia" w:ascii="宋体" w:hAnsi="宋体" w:eastAsia="宋体"/>
          <w:sz w:val="24"/>
          <w:szCs w:val="24"/>
        </w:rPr>
        <w:t xml:space="preserve">网络对接方式</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测试阶段：中标人在法院指定内网独立网段搭建专属测试环境，完成服务器、终端设备组网配置，开通平台所需通信端口，实现测试环境与本院现有云庭审平台内网链路正常互通。</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正式上线阶段：所有云庭审终端、庭审应用系统统一通过法院内网接入本院现有云庭审市级节点，依托法院现有安全隔离体系完成跨网业务交互，终端及业务系统禁止直接公网访问省级平台。</w:t>
      </w:r>
      <w:r/>
    </w:p>
    <w:p>
      <w:pPr>
        <w:ind w:firstLine="480"/>
        <w:jc w:val="left"/>
        <w:spacing w:line="360" w:lineRule="auto"/>
        <w:rPr>
          <w:rFonts w:ascii="宋体" w:hAnsi="宋体" w:eastAsia="宋体"/>
          <w:sz w:val="24"/>
          <w:szCs w:val="24"/>
        </w:rPr>
      </w:pPr>
      <w:r>
        <w:rPr>
          <w:rFonts w:ascii="宋体" w:hAnsi="宋体" w:eastAsia="宋体"/>
          <w:sz w:val="24"/>
          <w:szCs w:val="24"/>
        </w:rPr>
        <w:t xml:space="preserve">7.4.2</w:t>
      </w:r>
      <w:r>
        <w:rPr>
          <w:rFonts w:hint="eastAsia" w:ascii="宋体" w:hAnsi="宋体" w:eastAsia="宋体"/>
          <w:sz w:val="24"/>
          <w:szCs w:val="24"/>
        </w:rPr>
        <w:t xml:space="preserve">业务接口对接方式</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由采购人提供现有平台标准对接文档、测试账号及对接权限，中标人须完整适配对接以下核心业务接口，实现全业务打通：</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终端设备注册认证接口：完成设备入网登记、状态上报、在线管理、白名单绑定对接；</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庭审房间管理接口：实现庭审房间创建、查询、状态变更、房间解散等数据联动同步；</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音视频媒体流对接接口：完成高清视频、双向音频推流、拉流、码率自适应、画面合成适配；</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庭审流程控制接口：适配开庭、休庭、闭庭、静音、禁言、画面切换等全流程控制指令交互；</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庭审笔录数据对接接口：实现笔录实时录入、内容同步、在线编辑、签署确认数据互通；</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庭审录像归档接口：匹配现有平台录制规则、存储路径、文件格式，实现录像自动上传归档与回放调取；</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案件基础信息同步接口：实现庭审案件基础信息与法院办案系统双向同步调取。</w:t>
      </w:r>
      <w:r/>
    </w:p>
    <w:p>
      <w:pPr>
        <w:ind w:firstLine="480"/>
        <w:jc w:val="left"/>
        <w:spacing w:line="360" w:lineRule="auto"/>
        <w:rPr>
          <w:rFonts w:ascii="宋体" w:hAnsi="宋体" w:eastAsia="宋体"/>
          <w:sz w:val="24"/>
          <w:szCs w:val="24"/>
        </w:rPr>
      </w:pPr>
      <w:r>
        <w:rPr>
          <w:rFonts w:ascii="宋体" w:hAnsi="宋体" w:eastAsia="宋体"/>
          <w:sz w:val="24"/>
          <w:szCs w:val="24"/>
        </w:rPr>
        <w:t xml:space="preserve">7.4.3</w:t>
      </w:r>
      <w:r>
        <w:rPr>
          <w:rFonts w:hint="eastAsia" w:ascii="宋体" w:hAnsi="宋体" w:eastAsia="宋体"/>
          <w:sz w:val="24"/>
          <w:szCs w:val="24"/>
        </w:rPr>
        <w:t xml:space="preserve">终端设备接入要求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所有云庭审终端必须适配现有平台准入机制，支持平台统一设备管理，接入后可在现有平台设备管理模块正常显示在线状态、设备信息，支持平台远程管理管控。</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终端音视频采集、编码、回声消除、智能降噪等硬件参数，须匹配本院现有云庭审平台统一技术参数标准，保障庭审音视频效果统一。</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终端支持现有平台下发各类远程操控指令，可正常响应远程重启、云台控制、音量调节、画面切换等远程运维操作。</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八、信息系统集成服务</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项目实施所需的辅材及配件包含招标文件中未列出而项目实施必需的软件、硬件辅材配件，以保证项目顺利进行。至少包含如下内容：</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1.网络跳线：约300米，云法庭终端、签名版、服务器等信息点位网络线缆。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因不同投标人的设备设计原理未必完全相同，投标人可视自身情况配置辅材，应能充分满足采购人需求的功能及参数要求。此部分包含在投标报价中。如果投标人中标并签署合同后，在供货或项目实施时出现辅材和配件的任何遗漏，均由中标人及时配齐提供，不影响项目正常实施，采购人不在额外支付费用。</w:t>
      </w:r>
      <w:r/>
    </w:p>
    <w:p>
      <w:pPr>
        <w:ind w:firstLine="480"/>
        <w:jc w:val="left"/>
        <w:spacing w:line="360" w:lineRule="auto"/>
        <w:rPr>
          <w:rFonts w:ascii="宋体" w:hAnsi="宋体" w:eastAsia="宋体"/>
          <w:b w:val="0"/>
          <w:bCs/>
          <w:i/>
          <w:sz w:val="24"/>
          <w:szCs w:val="24"/>
          <w:u w:val="single"/>
        </w:rPr>
      </w:pPr>
      <w:r>
        <w:rPr>
          <w:rFonts w:hint="eastAsia" w:ascii="宋体" w:hAnsi="宋体" w:eastAsia="宋体"/>
          <w:b w:val="0"/>
          <w:bCs/>
          <w:i/>
          <w:sz w:val="24"/>
          <w:szCs w:val="24"/>
          <w:u w:val="single"/>
        </w:rPr>
        <w:t xml:space="preserve">投标人需综合考虑集成服务费用，</w:t>
      </w:r>
      <w:r>
        <w:rPr>
          <w:rFonts w:hint="eastAsia" w:ascii="宋体" w:hAnsi="宋体"/>
          <w:b w:val="0"/>
          <w:bCs/>
          <w:i/>
          <w:iCs/>
          <w:sz w:val="24"/>
          <w:szCs w:val="24"/>
          <w:u w:val="single"/>
        </w:rPr>
        <w:t xml:space="preserve">充分考虑项目实施所需的辅材及配件费用，</w:t>
      </w:r>
      <w:r>
        <w:rPr>
          <w:rFonts w:hint="eastAsia" w:ascii="宋体" w:hAnsi="宋体" w:eastAsia="宋体"/>
          <w:b w:val="0"/>
          <w:bCs/>
          <w:i/>
          <w:sz w:val="24"/>
          <w:szCs w:val="24"/>
          <w:u w:val="single"/>
        </w:rPr>
        <w:t xml:space="preserve">充分考虑功能需求提供项目实施服务，全过程中不再产生任何额外费用</w:t>
      </w:r>
      <w:r>
        <w:rPr>
          <w:rFonts w:hint="eastAsia" w:ascii="宋体" w:hAnsi="宋体" w:eastAsia="宋体"/>
          <w:b w:val="0"/>
          <w:bCs/>
          <w:i/>
          <w:sz w:val="24"/>
          <w:szCs w:val="24"/>
          <w:u w:val="single"/>
          <w:lang w:eastAsia="zh-CN"/>
        </w:rPr>
        <w:t xml:space="preserve">。</w:t>
      </w:r>
      <w:r>
        <w:rPr>
          <w:rFonts w:hint="eastAsia" w:ascii="宋体" w:hAnsi="宋体" w:eastAsia="宋体"/>
          <w:b w:val="0"/>
          <w:bCs/>
          <w:i/>
          <w:sz w:val="24"/>
          <w:szCs w:val="24"/>
          <w:u w:val="single"/>
        </w:rPr>
        <w:t xml:space="preserve">（投标文件中提供加盖投标人公章的承诺函，格式自拟，否则投标无效）</w:t>
      </w:r>
      <w:r/>
    </w:p>
    <w:p>
      <w:pPr>
        <w:ind w:firstLine="562"/>
        <w:jc w:val="left"/>
        <w:spacing w:line="360" w:lineRule="auto"/>
        <w:rPr>
          <w:rFonts w:ascii="宋体" w:hAnsi="宋体" w:eastAsia="宋体"/>
          <w:b/>
          <w:sz w:val="24"/>
          <w:szCs w:val="24"/>
        </w:rPr>
      </w:pPr>
      <w:r>
        <w:rPr>
          <w:rFonts w:hint="eastAsia" w:ascii="Times New Roman" w:hAnsi="Times New Roman" w:eastAsia="宋体" w:cs="Times New Roman"/>
          <w:b/>
          <w:bCs/>
          <w:sz w:val="28"/>
          <w:szCs w:val="28"/>
        </w:rPr>
        <w:t xml:space="preserve">九、</w:t>
      </w:r>
      <w:r>
        <w:rPr>
          <w:rFonts w:ascii="Times New Roman" w:hAnsi="Times New Roman" w:eastAsia="宋体" w:cs="Times New Roman"/>
          <w:b/>
          <w:bCs/>
          <w:sz w:val="28"/>
          <w:szCs w:val="28"/>
        </w:rPr>
        <w:t xml:space="preserve">服务期限与项目进度安排</w:t>
      </w:r>
      <w:r/>
    </w:p>
    <w:p>
      <w:pPr>
        <w:ind w:firstLine="480"/>
        <w:jc w:val="left"/>
        <w:spacing w:line="360" w:lineRule="auto"/>
        <w:rPr>
          <w:rFonts w:hint="eastAsia" w:ascii="宋体" w:hAnsi="宋体" w:eastAsia="宋体"/>
          <w:sz w:val="24"/>
          <w:szCs w:val="24"/>
          <w:highlight w:val="none"/>
        </w:rPr>
      </w:pPr>
      <w:r>
        <w:rPr>
          <w:rFonts w:ascii="宋体" w:hAnsi="宋体" w:eastAsia="宋体"/>
          <w:sz w:val="24"/>
          <w:szCs w:val="24"/>
        </w:rPr>
        <w:t xml:space="preserve">9.1</w:t>
      </w:r>
      <w:r>
        <w:rPr>
          <w:rFonts w:hint="eastAsia" w:ascii="宋体" w:hAnsi="宋体" w:eastAsia="宋体"/>
          <w:sz w:val="24"/>
          <w:szCs w:val="24"/>
        </w:rPr>
        <w:t xml:space="preserve">服务期限：硬件设备自合同签订之日起15日内完成备货，30日内完成供货；软硬件安装调试自合同签订之日起60日内完成，达到交付条件。</w:t>
      </w:r>
      <w:r/>
    </w:p>
    <w:p>
      <w:pPr>
        <w:ind w:firstLine="480"/>
        <w:jc w:val="left"/>
        <w:spacing w:line="360" w:lineRule="auto"/>
        <w:rPr>
          <w:rFonts w:ascii="宋体" w:hAnsi="宋体" w:eastAsia="宋体"/>
          <w:sz w:val="24"/>
          <w:szCs w:val="24"/>
        </w:rPr>
      </w:pPr>
      <w:r>
        <w:rPr>
          <w:rFonts w:ascii="宋体" w:hAnsi="宋体" w:eastAsia="宋体"/>
          <w:sz w:val="24"/>
          <w:szCs w:val="24"/>
        </w:rPr>
        <w:t xml:space="preserve">9.2</w:t>
      </w:r>
      <w:r>
        <w:rPr>
          <w:rFonts w:hint="eastAsia" w:ascii="宋体" w:hAnsi="宋体" w:eastAsia="宋体"/>
          <w:sz w:val="24"/>
          <w:szCs w:val="24"/>
        </w:rPr>
        <w:t xml:space="preserve">进度安排：</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对接测试安排：合同签订7日内完成对接测试。</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货物进度安排：合同签订后15日内完成备货，30日内完成供货。</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安装调试进度安排：合同签订后5日内完成项目启动与规划，35日内完成安装，50日内完成测试与部署，60日内完成实施与上线运行。</w:t>
      </w:r>
      <w:r/>
    </w:p>
    <w:p>
      <w:pPr>
        <w:ind w:firstLine="480"/>
        <w:jc w:val="left"/>
        <w:spacing w:line="360" w:lineRule="auto"/>
        <w:rPr>
          <w:rFonts w:ascii="宋体" w:hAnsi="宋体" w:eastAsia="宋体"/>
          <w:sz w:val="24"/>
          <w:szCs w:val="24"/>
        </w:rPr>
      </w:pPr>
      <w:r>
        <w:rPr>
          <w:rFonts w:ascii="宋体" w:hAnsi="宋体" w:eastAsia="宋体"/>
          <w:sz w:val="24"/>
          <w:szCs w:val="24"/>
        </w:rPr>
        <w:t xml:space="preserve">9.</w:t>
      </w:r>
      <w:r>
        <w:rPr>
          <w:rFonts w:hint="eastAsia" w:ascii="宋体" w:hAnsi="宋体" w:eastAsia="宋体"/>
          <w:sz w:val="24"/>
          <w:szCs w:val="24"/>
        </w:rPr>
        <w:t xml:space="preserve">3质保期：三年。</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质保期间，中标人承担维修、保养、安检、调换等，相关费用包含在预算内，采购方不再支付任何费用；对于采购方人为原因造成的故障，中标人只收取维保成本费用。</w:t>
      </w:r>
      <w:r/>
    </w:p>
    <w:p>
      <w:pPr>
        <w:ind w:firstLine="562"/>
        <w:jc w:val="left"/>
        <w:spacing w:line="360" w:lineRule="auto"/>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 xml:space="preserve">十、人员配备要求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本项目配备项目团队人员总数不低于4名，至少包含1名项目经理，项目组成员不低于3名（含质保期内维护人员）。负责所有平台部署、设备安装、网络调试，质保期内售后服务等工作，同时配合院方做好验收工作。</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项目经理：全面统筹项目全生命周期管理，严格把控进度节点与质量基准，主导产品验收、包装运输、安装调试及最终交付验收。需具备信息系统项目管理的宏观统筹能力，以及弱电系统集成项目的工程实施协调经验，并负责项目网络架构的合规性审查与风险预判。负责与采购人保持高效沟通，及时汇报项目状态，协调内外部资源，指导团队规范执行每项任务，确保信息安全管理体系贯穿项目始终，并推动运行维护的标准化流程落地。</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项目团队成员：须为资深专业人员，保障项目流程的工作规范性与管理效率，强化IT系统实施交付及运维的快速响应与故障处理能力，落实信息安全管理策略，做好安全管理、配置调优及业务适配性调整。全方位保障项目实施质量。</w:t>
      </w:r>
      <w:r/>
    </w:p>
    <w:p>
      <w:pPr>
        <w:ind w:firstLine="480"/>
        <w:spacing w:line="360" w:lineRule="auto"/>
        <w:tabs>
          <w:tab w:val="left" w:pos="720" w:leader="none"/>
        </w:tabs>
        <w:rPr>
          <w:rFonts w:ascii="宋体" w:hAnsi="宋体"/>
          <w:sz w:val="24"/>
          <w:szCs w:val="24"/>
        </w:rPr>
      </w:pPr>
      <w:r>
        <w:rPr>
          <w:rFonts w:ascii="宋体" w:hAnsi="宋体"/>
          <w:sz w:val="24"/>
          <w:szCs w:val="24"/>
        </w:rPr>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十一、项目实施遵循的标准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1.《FYB/T 54001—2017科技法庭信息化建设指南》</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2.《FYB_T _52003_2016科技法庭应用技术要求》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3.《FYB/T52038-2020智能庭审应用技术要求》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4.《FYB/T53001-2020安全隔离与信息交换平台建设要求》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5.《FYB_T54001-2021科技法庭信息化建设规范》</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上述所列标准，在项目履约期间，如有最新标准，按照最新规范标准执行。</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十二、知识产权归属和处理方式</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12.1</w:t>
      </w:r>
      <w:r>
        <w:rPr>
          <w:rFonts w:hint="eastAsia" w:ascii="宋体" w:hAnsi="宋体" w:eastAsia="宋体"/>
          <w:sz w:val="24"/>
          <w:szCs w:val="24"/>
        </w:rPr>
        <w:t xml:space="preserve">本项目服务期限内涉及的所有成果、知识产权归采购人所有，中标人不得在项目实施过程中获取的相关内容及成果用于其它用途。 </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12.2</w:t>
      </w:r>
      <w:r>
        <w:rPr>
          <w:rFonts w:hint="eastAsia" w:ascii="宋体" w:hAnsi="宋体" w:eastAsia="宋体"/>
          <w:sz w:val="24"/>
          <w:szCs w:val="24"/>
        </w:rPr>
        <w:t xml:space="preserve">保证采购人不受到第三方关于侵犯知识产权及专利权、商标权或工业设计权等知识产权方面的指控，任何第三方如果提出此方面指控均与采购人无关，中标人应与第三方交涉，并承担可能发生的一切法律责任、费用和后果。若采购人因此而遭致损失，则中标人赔偿该损失。</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十三、培训要求</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13.1</w:t>
      </w:r>
      <w:r>
        <w:rPr>
          <w:rFonts w:hint="eastAsia" w:ascii="宋体" w:hAnsi="宋体" w:eastAsia="宋体"/>
          <w:sz w:val="24"/>
          <w:szCs w:val="24"/>
        </w:rPr>
        <w:t xml:space="preserve">中标人应负责对采购人单位相关使用人员进行全面的技术培训，主要内容侧重于系统的使用及系统的基本维护、常见问题及解决办法等，保证使用人员能独立进行日常维护管理和简易故障处理等工作，以便所使用的软件产品能够正常、安全地运行。 </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13.2</w:t>
      </w:r>
      <w:r>
        <w:rPr>
          <w:rFonts w:hint="eastAsia" w:ascii="宋体" w:hAnsi="宋体" w:eastAsia="宋体"/>
          <w:sz w:val="24"/>
          <w:szCs w:val="24"/>
        </w:rPr>
        <w:t xml:space="preserve">中标人的培训对象为系统管理员和系统使用人员，中标人需提供培训教材，并提供理论与实操相结合的多样化培训方式。采购人负责对培训质量的监控，并有权对培训内容提出改正意见。</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十四、售后服务要求</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14.1</w:t>
      </w:r>
      <w:r>
        <w:rPr>
          <w:rFonts w:hint="eastAsia" w:ascii="宋体" w:hAnsi="宋体" w:eastAsia="宋体"/>
          <w:sz w:val="24"/>
          <w:szCs w:val="24"/>
        </w:rPr>
        <w:t xml:space="preserve">问题记录与分类：采购人通过电话、邮件、在线客服等途径反馈问题，售后服务团队需及时记录并归类。解决方案制定与实施：根据问题性质，技术团队制定相应的解决方案，并在第一时间通知采购人。安排技术工程师根据解决方案实施服务，确保问题得到妥善解决。</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14.2</w:t>
      </w:r>
      <w:r>
        <w:rPr>
          <w:rFonts w:hint="eastAsia" w:ascii="宋体" w:hAnsi="宋体" w:eastAsia="宋体"/>
          <w:sz w:val="24"/>
          <w:szCs w:val="24"/>
        </w:rPr>
        <w:t xml:space="preserve">服务跟踪与评估：对每次服务进行跟踪和评估，确保采购人对服务结果满意。对于不满意的服务，需持续改进直至采购人满意。</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14.3</w:t>
      </w:r>
      <w:r>
        <w:rPr>
          <w:rFonts w:hint="eastAsia" w:ascii="宋体" w:hAnsi="宋体" w:eastAsia="宋体"/>
          <w:sz w:val="24"/>
          <w:szCs w:val="24"/>
        </w:rPr>
        <w:t xml:space="preserve">质保期3年。质保期由设备最终调试验收合格后开始计算。质保期内中标人负责本次采购产品的维修、保养、安检、调换等，相关费用包含在报价内，采购人不再支付任何费用；对于采购方人为原因造成的故障，中标人只收取维保成本费用。在维修过程中，如需更换配件，需确保使用原装或经过认证的配件。</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14.4</w:t>
      </w:r>
      <w:r>
        <w:rPr>
          <w:rFonts w:hint="eastAsia" w:ascii="宋体" w:hAnsi="宋体" w:eastAsia="宋体"/>
          <w:sz w:val="24"/>
          <w:szCs w:val="24"/>
        </w:rPr>
        <w:t xml:space="preserve">维修响应速度：设立快速响应机制，确保采购人提交维修请求后能在最快时间内得到回复和安排。硬件设备在1小时内响应，24小时日内解决使用单位提出的维修要求。若超过1个工作日无法解决，由中标人提供性能不低于故障产品的备用产品供采购人使用直至设备维修完成。</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14.5</w:t>
      </w:r>
      <w:r>
        <w:rPr>
          <w:rFonts w:hint="eastAsia" w:ascii="宋体" w:hAnsi="宋体" w:eastAsia="宋体"/>
          <w:sz w:val="24"/>
          <w:szCs w:val="24"/>
        </w:rPr>
        <w:t xml:space="preserve">运行维护要求：全年7*24小时提供运维服务。运维服务范围为本项目所有服务内容（包括但不限于书记员应用服务、法官应用服务、在线庭审服务等）。</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具体运维服务内容包括但不限于以下内容：</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（1）日常庭审软硬件管理、配置、调整及优化等；</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（2）庭审所需网络保障；</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（3）云庭审数据获取及回传连通性测试，确保庭审数据及时有效使用；</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（4）云庭审数据备份测试，保障数据完整不丢失；</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（5）定期对书记员、法官等使用人员进行培训；</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（6）做好运维日志和设备运行台账，做好设备资料收集与整理，形成运维庭审相关软硬件状况一览表。</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（7）发生系统故障、网络故障或其他周围边设备故障时，及时到现场解决故障，包括在不破坏用户重要数据的前提下重装系统。</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十五、履约验收</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5.1</w:t>
      </w:r>
      <w:r>
        <w:rPr>
          <w:rFonts w:hint="eastAsia" w:ascii="宋体" w:hAnsi="宋体" w:eastAsia="宋体"/>
          <w:sz w:val="24"/>
          <w:szCs w:val="24"/>
        </w:rPr>
        <w:t xml:space="preserve">货物部分</w:t>
      </w:r>
      <w:r/>
    </w:p>
    <w:p>
      <w:pPr>
        <w:ind w:firstLine="480"/>
        <w:spacing w:line="360" w:lineRule="auto"/>
        <w:rPr>
          <w:rFonts w:ascii="宋体" w:hAnsi="宋体"/>
          <w:sz w:val="24"/>
          <w:szCs w:val="24"/>
        </w:rPr>
      </w:pPr>
      <w:r>
        <w:rPr>
          <w:rFonts w:hint="eastAsia" w:ascii="宋体" w:hAnsi="宋体" w:eastAsia="宋体"/>
          <w:sz w:val="24"/>
          <w:szCs w:val="24"/>
        </w:rPr>
        <w:t xml:space="preserve">1.对采购产品进行分批次验收，</w:t>
      </w:r>
      <w:r>
        <w:rPr>
          <w:rFonts w:ascii="宋体" w:hAnsi="宋体" w:eastAsia="宋体"/>
          <w:sz w:val="24"/>
          <w:szCs w:val="24"/>
        </w:rPr>
        <w:t xml:space="preserve">包括对接测试验收</w:t>
      </w:r>
      <w:r>
        <w:rPr>
          <w:rFonts w:hint="eastAsia" w:ascii="宋体" w:hAnsi="宋体" w:eastAsia="宋体"/>
          <w:sz w:val="24"/>
          <w:szCs w:val="24"/>
        </w:rPr>
        <w:t xml:space="preserve">、</w:t>
      </w:r>
      <w:r>
        <w:rPr>
          <w:rFonts w:ascii="宋体" w:hAnsi="宋体" w:eastAsia="宋体"/>
          <w:sz w:val="24"/>
          <w:szCs w:val="24"/>
        </w:rPr>
        <w:t xml:space="preserve">项目初验和终验</w:t>
      </w:r>
      <w:r>
        <w:rPr>
          <w:rFonts w:hint="eastAsia" w:ascii="宋体" w:hAnsi="宋体" w:eastAsia="宋体"/>
          <w:sz w:val="24"/>
          <w:szCs w:val="24"/>
        </w:rPr>
        <w:t xml:space="preserve">。服务和调试验收的标准按行业通行标准、出厂标准和投标文件作为验收依据。</w:t>
      </w:r>
      <w:r>
        <w:rPr>
          <w:rFonts w:hint="eastAsia" w:ascii="宋体" w:hAnsi="宋体"/>
          <w:sz w:val="24"/>
          <w:szCs w:val="24"/>
        </w:rPr>
        <w:t xml:space="preserve">中标人在交付现场按照要求调试完毕并正常运行，功能满足采购清单及技术参数、技术满足质量要求及安全要求，即验收合格。</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2.交付的产品应当完全符合采购文件和合同所规定的服务、数量和规格要求。服务验收包括：设备型号、规格、数量、外观质量及货物包装是否完好等方面。提供的服务不符合采购文件和合同规定的，采购人有权拒收服务内容，由此引起的风险，由中标人承担。</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3.中标人应将所提供产品的清单、用户手册、原厂保修卡、随机资料及配件工具等交付给采购人；中标人不能完整交付服务及本款规定的单证和工具的，视为未按合同约定交货，应负责补齐，因此导致逾期交付的，由中标人承担相关的违约责任。</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4.验收时中标人提交有关技术文件、成果资料、培训文档等所有资料。</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.2</w:t>
      </w:r>
      <w:r>
        <w:rPr>
          <w:rFonts w:hint="eastAsia" w:ascii="宋体" w:hAnsi="宋体" w:eastAsia="宋体"/>
          <w:sz w:val="24"/>
          <w:szCs w:val="24"/>
        </w:rPr>
        <w:t xml:space="preserve">服务、软件部分</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1.功能完整性验收</w:t>
      </w:r>
      <w:r/>
    </w:p>
    <w:p>
      <w:pPr>
        <w:ind w:firstLine="480"/>
        <w:spacing w:line="360" w:lineRule="auto"/>
        <w:tabs>
          <w:tab w:val="left" w:pos="720" w:leader="none"/>
        </w:tabs>
        <w:rPr>
          <w:rFonts w:ascii="宋体" w:hAnsi="宋体"/>
          <w:sz w:val="24"/>
          <w:szCs w:val="24"/>
        </w:rPr>
      </w:pPr>
      <w:r>
        <w:rPr>
          <w:rFonts w:ascii="宋体" w:hAnsi="宋体"/>
          <w:sz w:val="24"/>
          <w:szCs w:val="24"/>
        </w:rPr>
        <w:t xml:space="preserve">验收内容</w:t>
      </w:r>
      <w:r>
        <w:rPr>
          <w:rFonts w:hint="eastAsia" w:ascii="宋体" w:hAnsi="宋体"/>
          <w:sz w:val="24"/>
          <w:szCs w:val="24"/>
        </w:rPr>
        <w:t xml:space="preserve">：确保软件所有模块按照招标文件要求完整实现，功能逻辑正确，符合预期效果。</w:t>
      </w:r>
      <w:r/>
    </w:p>
    <w:p>
      <w:pPr>
        <w:ind w:firstLine="480"/>
        <w:spacing w:line="360" w:lineRule="auto"/>
        <w:tabs>
          <w:tab w:val="left" w:pos="720" w:leader="none"/>
        </w:tabs>
        <w:rPr>
          <w:rFonts w:ascii="宋体" w:hAnsi="宋体"/>
          <w:sz w:val="24"/>
          <w:szCs w:val="24"/>
        </w:rPr>
      </w:pPr>
      <w:r>
        <w:rPr>
          <w:rFonts w:ascii="宋体" w:hAnsi="宋体"/>
          <w:sz w:val="24"/>
          <w:szCs w:val="24"/>
        </w:rPr>
        <w:t xml:space="preserve">验收方法</w:t>
      </w:r>
      <w:r>
        <w:rPr>
          <w:rFonts w:hint="eastAsia" w:ascii="宋体" w:hAnsi="宋体"/>
          <w:sz w:val="24"/>
          <w:szCs w:val="24"/>
        </w:rPr>
        <w:t xml:space="preserve">：逐项核对招标文件中的功能点，通过用户操作和演示验证功能的正确性和完整性。</w:t>
      </w:r>
      <w:r/>
    </w:p>
    <w:p>
      <w:pPr>
        <w:ind w:firstLine="480"/>
        <w:spacing w:line="360" w:lineRule="auto"/>
        <w:tabs>
          <w:tab w:val="left" w:pos="720" w:leader="none"/>
        </w:tabs>
        <w:rPr>
          <w:rFonts w:ascii="宋体" w:hAnsi="宋体"/>
          <w:sz w:val="24"/>
          <w:szCs w:val="24"/>
        </w:rPr>
      </w:pPr>
      <w:r>
        <w:rPr>
          <w:rFonts w:ascii="宋体" w:hAnsi="宋体"/>
          <w:sz w:val="24"/>
          <w:szCs w:val="24"/>
        </w:rPr>
        <w:t xml:space="preserve">验收标准</w:t>
      </w:r>
      <w:r>
        <w:rPr>
          <w:rFonts w:hint="eastAsia" w:ascii="宋体" w:hAnsi="宋体"/>
          <w:sz w:val="24"/>
          <w:szCs w:val="24"/>
        </w:rPr>
        <w:t xml:space="preserve">：所有功能点必须被准确实现，无明显功能遗漏或错误。</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2.性能表现验收</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验收内容：评估软件的响应时间、处理速度、资源占用等性能指标。</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验收方法：通过性能测试工具或自定义脚本，模拟实际应用场景下的负载情况，测量软件在关键性能指标上的表现。</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验收标准：软件应满足预定的性能目标，如响应时间不超过设定阈值，资源占用合理等。</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3.安全性评估验收</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验收内容：检查软件的安全机制，包括访问控制、数据加密、安全漏洞等。</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验收方法：通过安全测试工具和专业人员的审查，验证软件在安全方面的表现和漏洞防范能力。</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验收标准：软件应具备必要的安全措施，能够有效防止常见安全威胁，确保数据安全和用户隐私。</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4.可靠性测试验收</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验收内容：评估软件的稳定性和可靠性，包括异常处理、容错能力、崩溃恢复等。</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验收方法：通过压力测试、稳定性测试等方法，模拟各种异常和错误情况，观察软件的反应和处理能力。</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验收标准：软件应具备良好的容错机制和稳定性，能够在异常情况下正确恢复，保障系统连续运行。</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5.易用性体验验收</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验收内容：评估软件的用户界面、操作流程和交互体验。</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验收方法：通过用户反馈和用户体验测试，收集用户对软件易用性的评价和意见。</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验收标准：软件应具备良好的用户界面设计和简洁的操作流程，方便用户快速上手和使用。</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6.兼容性评估验收</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验收内容：验证软件在不同操作系统、浏览器、硬件环境等条件下的兼容性和适应性。</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验收方法：在多种平台上运行软件，检查是否存在兼容性问题或异常情况。</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验收标准：软件应能够在预定范围内保持高度的兼容性，确保在不同环境下稳定运行。</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7.文档完整性验收</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验收内容：检查项目相关文档的完整性和准确性，包括需求文档、设计文档、测试报告等。</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验收方法：逐一审核文档内容，核对文档与实际情况的一致性。</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验收标准：所有项目相关文档应完整、准确、可读性强，方便后续维护和升级工作。</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十六、商品包装及快递包装要求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在货物发运前应对其进行满足运输距离、防潮、防震、防锈和防破损装卸等要求包装，以保证货物安全运达采购人指定地点，符合《商品包装政府采购需求标准（试行）》、《快递包装政府采购需求标准（试行）》等规定。具体要求如下：</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6.1</w:t>
      </w:r>
      <w:r>
        <w:rPr>
          <w:rFonts w:hint="eastAsia" w:ascii="宋体" w:hAnsi="宋体" w:eastAsia="宋体"/>
          <w:sz w:val="24"/>
          <w:szCs w:val="24"/>
        </w:rPr>
        <w:t xml:space="preserve">商品包装环保要求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1.商品包装层数不得超过3 层，空隙率不大于40%；</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2.商品包装尽可能使用单一材质的包装材料，如因功能需求必需使用不同材质，不同材质间应便于分离；</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3.商品包装中铅、汞、镉、六价铬的总含量应不大于100mg/kg；</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4.商品包装印刷使用的油墨中挥发性有机化合物(VOCs)含量应不大于 5%（以重量计）；5.塑料材质商品包装上呈现的印刷颜色不得超过6色；</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6.纸质商品包装应使用 75%以上的可再生纤维原料生产；7.木质商品包装的原料应来源于可持续性森林。</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6.2</w:t>
      </w:r>
      <w:r>
        <w:rPr>
          <w:rFonts w:hint="eastAsia" w:ascii="宋体" w:hAnsi="宋体" w:eastAsia="宋体"/>
          <w:sz w:val="24"/>
          <w:szCs w:val="24"/>
        </w:rPr>
        <w:t xml:space="preserve">快递包装环保要求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1.快递包装中重金属（铅、汞、镉、六价铬）总量应不大于 100mg/kg；</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2.快递包装印刷使用的油墨中不应添加邻苯二甲酸酯，其挥发性有机化合物(VOCs)含量应不大于5%（以重量计）；</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3.快递包装中使用纸基材的包装材料，纸基材中的有机氯的含量应不大于 150 mg/kg；</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5.快递中使用的塑料包装袋不得使用聚氯乙烯作为原料，且原料应为单一材质制成，生物分解率大于60%；</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6.快递中使用的充气类填充物不得使用聚氯乙烯作为原料，且原料为单一材质制成，生物分解率大于60%；</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7.快递中使用的集装袋应为单一材质制成，其重复使用次数应不小于 80 次；</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8.快递中应使用幅宽不大于45mm 的生物降解胶带；</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9.快递包装中不得使用溶剂型胶粘剂；</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10.快递应使用电子面单；</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11.直接使用商品包装作为快递包装的商品，其商品包装满足《商品包装政府采购需求标准（试行）》即可；</w:t>
      </w:r>
      <w:r/>
    </w:p>
    <w:p>
      <w:pPr>
        <w:ind w:firstLine="480"/>
        <w:jc w:val="left"/>
        <w:spacing w:line="360" w:lineRule="auto"/>
        <w:rPr>
          <w:rFonts w:ascii="宋体" w:hAnsi="宋体" w:eastAsia="宋体"/>
          <w:sz w:val="24"/>
          <w:szCs w:val="24"/>
        </w:rPr>
      </w:pPr>
      <w:r>
        <w:rPr>
          <w:rFonts w:hint="eastAsia" w:ascii="宋体" w:hAnsi="宋体" w:eastAsia="宋体"/>
          <w:sz w:val="24"/>
          <w:szCs w:val="24"/>
        </w:rPr>
        <w:t xml:space="preserve">12.快递包装产品质量和封装方式应符合相关国家或行业标准技术指标要求。</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十七、付款方式与履约保证金</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17.1</w:t>
      </w:r>
      <w:r>
        <w:rPr>
          <w:rFonts w:hint="eastAsia" w:ascii="宋体" w:hAnsi="宋体" w:eastAsia="宋体"/>
          <w:sz w:val="24"/>
          <w:szCs w:val="24"/>
        </w:rPr>
        <w:t xml:space="preserve">付款方式：</w:t>
      </w:r>
      <w:r>
        <w:rPr>
          <w:rFonts w:hint="eastAsia" w:ascii="宋体" w:hAnsi="宋体" w:cs="宋体"/>
          <w:sz w:val="24"/>
          <w:szCs w:val="24"/>
        </w:rPr>
        <w:t xml:space="preserve">系统对接完成后一个月内支付至合同价款的30%，全部设备进场后一个月内支付至合同价款的60%，初验合格后一个月内支付至合同价款的90%，项目完成验收审计后一个月内支付至审定价款的100%。</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17.2</w:t>
      </w:r>
      <w:r>
        <w:rPr>
          <w:rFonts w:hint="eastAsia" w:ascii="宋体" w:hAnsi="宋体" w:eastAsia="宋体"/>
          <w:sz w:val="24"/>
          <w:szCs w:val="24"/>
        </w:rPr>
        <w:t xml:space="preserve">履约保证金：本项目不收取履约保证金。</w:t>
      </w:r>
      <w:r/>
    </w:p>
    <w:p>
      <w:pPr>
        <w:ind w:firstLine="562"/>
        <w:jc w:val="left"/>
        <w:spacing w:line="360" w:lineRule="auto"/>
        <w:rPr>
          <w:rFonts w:ascii="Times New Roman" w:hAnsi="Times New Roman" w:eastAsia="宋体" w:cs="Times New Roman"/>
          <w:b/>
          <w:sz w:val="28"/>
          <w:szCs w:val="28"/>
        </w:rPr>
      </w:pPr>
      <w:r>
        <w:rPr>
          <w:rFonts w:hint="eastAsia" w:ascii="Times New Roman" w:hAnsi="Times New Roman" w:eastAsia="宋体" w:cs="Times New Roman"/>
          <w:b/>
          <w:sz w:val="28"/>
          <w:szCs w:val="28"/>
        </w:rPr>
        <w:t xml:space="preserve">十八、报价要求及其他</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18.1</w:t>
      </w:r>
      <w:r>
        <w:rPr>
          <w:rFonts w:hint="eastAsia" w:ascii="宋体" w:hAnsi="宋体" w:eastAsia="宋体"/>
          <w:sz w:val="24"/>
          <w:szCs w:val="24"/>
        </w:rPr>
        <w:t xml:space="preserve">投标报价须包含但不限于全部服务的软硬件设备、开发、测试、材料备品备件、包装费、运杂费（运抵现场）、卸货费、现场保管费、运输保险费、成品保护费、安装费、调试费、售后服务、各项有关规费和政策性规定费用及投标人确认为需要的其它费用等，直至交付至采购人使用时所需要的各种费用。本项目报价不得超过预算价。应根据国家收费标准并结合市场实际进行报价，总价包干。</w:t>
      </w:r>
      <w:r/>
    </w:p>
    <w:p>
      <w:pPr>
        <w:ind w:firstLine="480"/>
        <w:jc w:val="left"/>
        <w:spacing w:line="360" w:lineRule="auto"/>
        <w:rPr>
          <w:rFonts w:ascii="宋体" w:hAnsi="宋体" w:eastAsia="宋体"/>
          <w:sz w:val="24"/>
          <w:szCs w:val="24"/>
        </w:rPr>
      </w:pPr>
      <w:r>
        <w:rPr>
          <w:rFonts w:ascii="宋体" w:hAnsi="宋体" w:eastAsia="宋体"/>
          <w:sz w:val="24"/>
          <w:szCs w:val="24"/>
        </w:rPr>
        <w:t xml:space="preserve">18.2</w:t>
      </w:r>
      <w:r>
        <w:rPr>
          <w:rFonts w:hint="eastAsia" w:ascii="宋体" w:hAnsi="宋体" w:eastAsia="宋体"/>
          <w:sz w:val="24"/>
          <w:szCs w:val="24"/>
        </w:rPr>
        <w:t xml:space="preserve">工作中涉及的敏感资料、电子数据等相关信息，中标人应严格执行保密的相关规定，不得以任何方式向任何第三人披露、泄露或许可第三人使用，否则追究其相应法律责任。</w:t>
      </w:r>
      <w:r/>
    </w:p>
    <w:p>
      <w:pPr>
        <w:jc w:val="left"/>
        <w:widowControl/>
        <w:rPr>
          <w:rFonts w:ascii="黑体" w:hAnsi="黑体" w:eastAsia="黑体" w:cs="Times New Roman"/>
          <w:sz w:val="24"/>
          <w:szCs w:val="24"/>
        </w:rPr>
      </w:pPr>
      <w:r>
        <w:rPr>
          <w:rFonts w:ascii="黑体" w:hAnsi="黑体" w:eastAsia="黑体" w:cs="Times New Roman"/>
          <w:sz w:val="24"/>
          <w:szCs w:val="24"/>
        </w:rPr>
      </w:r>
      <w:r/>
    </w:p>
    <w:p>
      <w:pPr>
        <w:jc w:val="left"/>
        <w:widowControl/>
        <w:rPr>
          <w:rFonts w:ascii="黑体" w:hAnsi="黑体" w:eastAsia="黑体" w:cs="Times New Roman"/>
          <w:sz w:val="24"/>
          <w:szCs w:val="24"/>
        </w:rPr>
      </w:pPr>
      <w:r>
        <w:rPr>
          <w:rFonts w:ascii="黑体" w:hAnsi="黑体" w:eastAsia="黑体" w:cs="Times New Roman"/>
          <w:sz w:val="24"/>
          <w:szCs w:val="24"/>
        </w:rPr>
      </w:r>
      <w:r/>
    </w:p>
    <w:p>
      <w:pPr>
        <w:jc w:val="left"/>
        <w:widowControl/>
        <w:rPr>
          <w:rFonts w:cs="Times New Roman" w:asciiTheme="minorEastAsia" w:hAnsiTheme="minorEastAsia"/>
          <w:b/>
          <w:sz w:val="28"/>
          <w:szCs w:val="28"/>
        </w:rPr>
      </w:pPr>
      <w:r>
        <w:rPr>
          <w:rFonts w:hint="eastAsia" w:cs="宋体" w:asciiTheme="minorEastAsia" w:hAnsiTheme="minorEastAsia"/>
          <w:b/>
          <w:bCs/>
          <w:iCs/>
          <w:sz w:val="28"/>
          <w:szCs w:val="28"/>
        </w:rPr>
        <w:t xml:space="preserve">附件：</w:t>
      </w:r>
      <w:r>
        <w:rPr>
          <w:rFonts w:cs="宋体" w:asciiTheme="minorEastAsia" w:hAnsiTheme="minorEastAsia"/>
          <w:b/>
          <w:bCs/>
          <w:iCs/>
          <w:sz w:val="28"/>
          <w:szCs w:val="28"/>
        </w:rPr>
        <w:t xml:space="preserve">法院内网庭审平台</w:t>
      </w:r>
      <w:r>
        <w:rPr>
          <w:rFonts w:hint="eastAsia" w:cs="宋体" w:asciiTheme="minorEastAsia" w:hAnsiTheme="minorEastAsia"/>
          <w:b/>
          <w:bCs/>
          <w:iCs/>
          <w:sz w:val="28"/>
          <w:szCs w:val="28"/>
        </w:rPr>
        <w:t xml:space="preserve">负载均衡能力测试表</w:t>
      </w:r>
      <w:r/>
    </w:p>
    <w:p>
      <w:pPr>
        <w:jc w:val="left"/>
        <w:widowControl/>
        <w:rPr>
          <w:rFonts w:ascii="黑体" w:hAnsi="黑体" w:eastAsia="黑体" w:cs="Times New Roman"/>
          <w:b/>
        </w:rPr>
      </w:pPr>
      <w:r>
        <w:rPr>
          <w:rFonts w:ascii="黑体" w:hAnsi="黑体" w:eastAsia="黑体" w:cs="Times New Roman"/>
          <w:b/>
        </w:rPr>
      </w:r>
      <w:r/>
    </w:p>
    <w:tbl>
      <w:tblPr>
        <w:tblStyle w:val="730"/>
        <w:tblW w:w="76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 w:type="dxa"/>
          <w:top w:w="0" w:type="dxa"/>
          <w:right w:w="10" w:type="dxa"/>
          <w:bottom w:w="0" w:type="dxa"/>
        </w:tblCellMar>
        <w:tblLook w:val="04A0" w:firstRow="1" w:lastRow="0" w:firstColumn="1" w:lastColumn="0" w:noHBand="0" w:noVBand="1"/>
      </w:tblPr>
      <w:tblGrid>
        <w:gridCol w:w="441"/>
        <w:gridCol w:w="956"/>
        <w:gridCol w:w="1913"/>
        <w:gridCol w:w="1793"/>
        <w:gridCol w:w="1316"/>
        <w:gridCol w:w="1228"/>
      </w:tblGrid>
      <w:tr>
        <w:trPr>
          <w:jc w:val="center"/>
          <w:trHeight w:val="1232"/>
        </w:trPr>
        <w:tc>
          <w:tcPr>
            <w:tcMar>
              <w:left w:w="120" w:type="dxa"/>
              <w:top w:w="60" w:type="dxa"/>
              <w:right w:w="120" w:type="dxa"/>
              <w:bottom w:w="30" w:type="dxa"/>
            </w:tcMar>
            <w:tcW w:w="441" w:type="dxa"/>
            <w:textDirection w:val="lrTb"/>
            <w:noWrap w:val="false"/>
          </w:tcPr>
          <w:p>
            <w:pPr>
              <w:jc w:val="center"/>
              <w:spacing w:before="120" w:after="120" w:line="288" w:lineRule="auto"/>
              <w:rPr>
                <w:rFonts w:ascii="宋体" w:hAnsi="宋体" w:eastAsia="宋体" w:cs="Times New Roman"/>
                <w:szCs w:val="21"/>
              </w:rPr>
            </w:pPr>
            <w:r>
              <w:rPr>
                <w:rFonts w:ascii="宋体" w:hAnsi="宋体" w:eastAsia="宋体" w:cs="Arial"/>
                <w:szCs w:val="21"/>
              </w:rPr>
              <w:t xml:space="preserve">序号</w:t>
            </w:r>
            <w:r/>
          </w:p>
        </w:tc>
        <w:tc>
          <w:tcPr>
            <w:tcMar>
              <w:left w:w="120" w:type="dxa"/>
              <w:top w:w="60" w:type="dxa"/>
              <w:right w:w="120" w:type="dxa"/>
              <w:bottom w:w="30" w:type="dxa"/>
            </w:tcMar>
            <w:tcW w:w="956" w:type="dxa"/>
            <w:textDirection w:val="lrTb"/>
            <w:noWrap w:val="false"/>
          </w:tcPr>
          <w:p>
            <w:pPr>
              <w:jc w:val="center"/>
              <w:spacing w:before="120" w:after="120" w:line="288" w:lineRule="auto"/>
              <w:rPr>
                <w:rFonts w:ascii="宋体" w:hAnsi="宋体" w:eastAsia="宋体" w:cs="Times New Roman"/>
                <w:szCs w:val="21"/>
              </w:rPr>
            </w:pPr>
            <w:r>
              <w:rPr>
                <w:rFonts w:ascii="宋体" w:hAnsi="宋体" w:eastAsia="宋体" w:cs="Arial"/>
                <w:szCs w:val="21"/>
              </w:rPr>
              <w:t xml:space="preserve">测试检查项目</w:t>
            </w:r>
            <w:r/>
          </w:p>
        </w:tc>
        <w:tc>
          <w:tcPr>
            <w:tcMar>
              <w:left w:w="120" w:type="dxa"/>
              <w:top w:w="60" w:type="dxa"/>
              <w:right w:w="120" w:type="dxa"/>
              <w:bottom w:w="30" w:type="dxa"/>
            </w:tcMar>
            <w:tcW w:w="1913" w:type="dxa"/>
            <w:textDirection w:val="lrTb"/>
            <w:noWrap w:val="false"/>
          </w:tcPr>
          <w:p>
            <w:pPr>
              <w:jc w:val="center"/>
              <w:spacing w:before="120" w:after="120" w:line="288" w:lineRule="auto"/>
              <w:rPr>
                <w:rFonts w:ascii="宋体" w:hAnsi="宋体" w:eastAsia="宋体" w:cs="Times New Roman"/>
                <w:szCs w:val="21"/>
              </w:rPr>
            </w:pPr>
            <w:r>
              <w:rPr>
                <w:rFonts w:ascii="宋体" w:hAnsi="宋体" w:eastAsia="宋体" w:cs="Arial"/>
                <w:szCs w:val="21"/>
              </w:rPr>
              <w:t xml:space="preserve">检查内容与测试方式</w:t>
            </w:r>
            <w:r/>
          </w:p>
        </w:tc>
        <w:tc>
          <w:tcPr>
            <w:tcMar>
              <w:left w:w="120" w:type="dxa"/>
              <w:top w:w="60" w:type="dxa"/>
              <w:right w:w="120" w:type="dxa"/>
              <w:bottom w:w="30" w:type="dxa"/>
            </w:tcMar>
            <w:tcW w:w="1793" w:type="dxa"/>
            <w:textDirection w:val="lrTb"/>
            <w:noWrap w:val="false"/>
          </w:tcPr>
          <w:p>
            <w:pPr>
              <w:jc w:val="center"/>
              <w:spacing w:before="120" w:after="120" w:line="288" w:lineRule="auto"/>
              <w:rPr>
                <w:rFonts w:ascii="宋体" w:hAnsi="宋体" w:eastAsia="宋体" w:cs="Times New Roman"/>
                <w:szCs w:val="21"/>
              </w:rPr>
            </w:pPr>
            <w:r>
              <w:rPr>
                <w:rFonts w:ascii="宋体" w:hAnsi="宋体" w:eastAsia="宋体" w:cs="Arial"/>
                <w:szCs w:val="21"/>
              </w:rPr>
              <w:t xml:space="preserve">验收合格标准</w:t>
            </w:r>
            <w:r/>
          </w:p>
        </w:tc>
        <w:tc>
          <w:tcPr>
            <w:tcMar>
              <w:left w:w="120" w:type="dxa"/>
              <w:top w:w="60" w:type="dxa"/>
              <w:right w:w="120" w:type="dxa"/>
              <w:bottom w:w="30" w:type="dxa"/>
            </w:tcMar>
            <w:tcW w:w="1316" w:type="dxa"/>
            <w:textDirection w:val="lrTb"/>
            <w:noWrap w:val="false"/>
          </w:tcPr>
          <w:p>
            <w:pPr>
              <w:jc w:val="center"/>
              <w:spacing w:before="120" w:after="120" w:line="288" w:lineRule="auto"/>
              <w:rPr>
                <w:rFonts w:ascii="宋体" w:hAnsi="宋体" w:eastAsia="宋体" w:cs="Arial"/>
                <w:szCs w:val="21"/>
              </w:rPr>
            </w:pPr>
            <w:r>
              <w:rPr>
                <w:rFonts w:ascii="宋体" w:hAnsi="宋体" w:eastAsia="宋体" w:cs="Arial"/>
                <w:szCs w:val="21"/>
              </w:rPr>
              <w:t xml:space="preserve">测试结果</w:t>
            </w:r>
            <w:r/>
          </w:p>
          <w:p>
            <w:pPr>
              <w:jc w:val="center"/>
              <w:spacing w:before="120" w:after="120" w:line="288" w:lineRule="auto"/>
              <w:rPr>
                <w:rFonts w:ascii="宋体" w:hAnsi="宋体" w:eastAsia="宋体" w:cs="Times New Roman"/>
                <w:szCs w:val="21"/>
              </w:rPr>
            </w:pPr>
            <w:r>
              <w:rPr>
                <w:rFonts w:ascii="宋体" w:hAnsi="宋体" w:eastAsia="宋体" w:cs="Arial"/>
                <w:szCs w:val="21"/>
              </w:rPr>
              <w:t xml:space="preserve">（合格/不合格）</w:t>
            </w:r>
            <w:r/>
          </w:p>
        </w:tc>
        <w:tc>
          <w:tcPr>
            <w:tcMar>
              <w:left w:w="120" w:type="dxa"/>
              <w:top w:w="60" w:type="dxa"/>
              <w:right w:w="120" w:type="dxa"/>
              <w:bottom w:w="30" w:type="dxa"/>
            </w:tcMar>
            <w:tcW w:w="1228" w:type="dxa"/>
            <w:textDirection w:val="lrTb"/>
            <w:noWrap w:val="false"/>
          </w:tcPr>
          <w:p>
            <w:pPr>
              <w:jc w:val="center"/>
              <w:spacing w:before="120" w:after="120" w:line="288" w:lineRule="auto"/>
              <w:rPr>
                <w:rFonts w:ascii="宋体" w:hAnsi="宋体" w:eastAsia="宋体" w:cs="Times New Roman"/>
                <w:szCs w:val="21"/>
              </w:rPr>
            </w:pPr>
            <w:r>
              <w:rPr>
                <w:rFonts w:ascii="宋体" w:hAnsi="宋体" w:eastAsia="宋体" w:cs="Arial"/>
                <w:szCs w:val="21"/>
              </w:rPr>
              <w:t xml:space="preserve">备注</w:t>
            </w:r>
            <w:r/>
          </w:p>
        </w:tc>
      </w:tr>
      <w:tr>
        <w:trPr>
          <w:jc w:val="center"/>
          <w:trHeight w:val="2715"/>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1</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轮询调度算法负载分发测试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开启服务轮询调度模式，持续发起大量庭审业务请求，统计各后端应用服务节点请求接收数量、访问频次，核查流量分配情况</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系统严格按照轮询规则均匀分发请求，各服务节点访问量基本均衡，无请求集中堆积、分配错乱问题</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2</w:t>
            </w:r>
            <w:r/>
          </w:p>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奇偶IP调度算法负载分发测试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使用不同奇偶段客户端IP访问平台，批量发起开庭、案件查询、系统配置等业务请求，核对请求分流节点匹配规则</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奇偶IP调度策略生效准确，奇数、偶数客户端IP请求可精准分流至对应后端节点，分流逻辑无误</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3</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应用服务集群负载均衡测试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模拟多用户并发操作系统后台管理、庭室管理、案件管理等功能，监测各应用节点CPU、内存、线程资源占用情况</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多节点资源负载均匀分摊，无单节点资源占用过高、过载卡顿现象，有效提升系统并发处理能力</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4</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数据库集群负载均衡测试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批量执行庭审数据查询、音视频数据存储、案件信息新增修改等读写操作，核查数据库集群各节点读写请求分配情况</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数据库读写请求均匀分发至集群节点，读写压力分散，数据库响应速度稳定，无单点读写瓶颈</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5</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流媒体服务负载均衡专项测试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模拟多法庭同时开庭、多方音视频推流、拉流场景，测试流媒体服务节点连接数、带宽占用分配情况</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流媒体长连接请求均衡分发，各节点带宽、连接负载均衡，无视频卡顿、音频断续、推流失败问题</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6</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服务节点健康状态自动检测测试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持续运行平台业务，后台查看集群节点健康监测日志，手动模拟节点高负载、进程异常场景</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系统可实时自动监测各服务节点运行状态，精准识别节点异常、宕机、过载等问题，监测无遗漏、无延迟</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7</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异常节点智能路由剔除与切换测试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手动关停单台应用/流媒体服务节点，持续发起庭审业务请求，观测流量分发及业务运行状态</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系统自动剔除故障节点，停止向异常节点分发请求，流量无缝切换至正常节点，庭审核心业务零中断、零报错</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8</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故障节点恢复自动回迁测试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将已宕机的故障节点重启恢复正常，持续观测集群调度机制，核查节点是否重新参与负载分发</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节点恢复后可被集群自动识别，正常纳入调度队列，自动承接业务请求，集群负载重新回归均衡状态</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9</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主备双活高可用联动负载测试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基于B/S架构，手动切换主备服务实例，模拟法院内网多终端、多模式庭审并发访问场景</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主备双活机制正常生效，主备节点负载协同分发，切换过程业务无中断，完全满足司法“一张网”部署要求</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10</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高并发整体性能稳定性测试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模拟峰值庭审并发场景，叠加案件管理、音视频传输、后台配置等多业务并发操作，长时间压测运行</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系统整体运行稳定，响应速度达标，请求成功率≥99.9%，无雪崩、卡顿、超时故障，满足全天候庭审运行需求</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11</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集群单点过载防护能力测试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人为制造单节点高负载场景，持续推送业务请求，观测集群负载调度及防护机制效果</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系统可自动规避单点过载风险，通过负载调度分摊压力，有效保护服务节点，保障集群整体可用性</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12</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静态资源与缓存负载分发测试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批量访问平台庭审页面、静态资源及缓存数据，核查资源请求在集群节点的分发情况及缓存命中效果</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静态资源及缓存请求均衡分发，缓存命中率正常，可有效减轻后端服务压力，提升页面访问响应速度</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13</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长连接庭审业务负载稳定性测试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持续建立多组庭审长连接，长时间保持在线开庭状态，监测各节点长连接数量分配及资源占用情况</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长连接均匀分配至各服务节点，无连接堆积、无故断开现象，长时间运行负载稳定，保障庭审持续开展</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14</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多终端接入负载适配测试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通过电脑、内网终端等多类设备同时接入平台，发起庭审业务操作，核查多终端流量分发兼容性</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负载均衡策略适配各类终端接入，多终端并发访问无冲突、无异常，流量分发均衡稳定</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r>
        <w:trPr>
          <w:jc w:val="center"/>
          <w:trHeight w:val="157"/>
        </w:trPr>
        <w:tc>
          <w:tcPr>
            <w:tcMar>
              <w:left w:w="120" w:type="dxa"/>
              <w:top w:w="60" w:type="dxa"/>
              <w:right w:w="120" w:type="dxa"/>
              <w:bottom w:w="30" w:type="dxa"/>
            </w:tcMar>
            <w:tcW w:w="441"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15</w:t>
            </w:r>
            <w:r/>
          </w:p>
        </w:tc>
        <w:tc>
          <w:tcPr>
            <w:tcMar>
              <w:left w:w="120" w:type="dxa"/>
              <w:top w:w="60" w:type="dxa"/>
              <w:right w:w="120" w:type="dxa"/>
              <w:bottom w:w="30" w:type="dxa"/>
            </w:tcMar>
            <w:tcW w:w="956"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压力回落集群自愈恢复测试</w:t>
            </w:r>
            <w:r/>
          </w:p>
        </w:tc>
        <w:tc>
          <w:tcPr>
            <w:tcMar>
              <w:left w:w="120" w:type="dxa"/>
              <w:top w:w="60" w:type="dxa"/>
              <w:right w:w="120" w:type="dxa"/>
              <w:bottom w:w="30" w:type="dxa"/>
            </w:tcMar>
            <w:tcW w:w="191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完成高并发压力测试后，逐步降低业务请求量，观测集群各节点负载回落及资源释放情况</w:t>
            </w:r>
            <w:r/>
          </w:p>
        </w:tc>
        <w:tc>
          <w:tcPr>
            <w:tcMar>
              <w:left w:w="120" w:type="dxa"/>
              <w:top w:w="60" w:type="dxa"/>
              <w:right w:w="120" w:type="dxa"/>
              <w:bottom w:w="30" w:type="dxa"/>
            </w:tcMar>
            <w:tcW w:w="1793" w:type="dxa"/>
            <w:textDirection w:val="lrTb"/>
            <w:noWrap w:val="false"/>
          </w:tcPr>
          <w:p>
            <w:pPr>
              <w:spacing w:before="120" w:after="120" w:line="288" w:lineRule="auto"/>
              <w:rPr>
                <w:rFonts w:ascii="宋体" w:hAnsi="宋体" w:eastAsia="宋体" w:cs="Times New Roman"/>
                <w:szCs w:val="21"/>
              </w:rPr>
            </w:pPr>
            <w:r>
              <w:rPr>
                <w:rFonts w:ascii="宋体" w:hAnsi="宋体" w:eastAsia="宋体" w:cs="Arial"/>
                <w:szCs w:val="21"/>
              </w:rPr>
              <w:t xml:space="preserve">压力降低后各节点资源自动释放、负载快速回落至正常区间，集群自动恢复均衡状态，具备良好自愈能力</w:t>
            </w:r>
            <w:r/>
          </w:p>
        </w:tc>
        <w:tc>
          <w:tcPr>
            <w:tcMar>
              <w:left w:w="120" w:type="dxa"/>
              <w:top w:w="60" w:type="dxa"/>
              <w:right w:w="120" w:type="dxa"/>
              <w:bottom w:w="30" w:type="dxa"/>
            </w:tcMar>
            <w:tcW w:w="1316"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c>
          <w:tcPr>
            <w:tcMar>
              <w:left w:w="120" w:type="dxa"/>
              <w:top w:w="60" w:type="dxa"/>
              <w:right w:w="120" w:type="dxa"/>
              <w:bottom w:w="30" w:type="dxa"/>
            </w:tcMar>
            <w:tcW w:w="1228" w:type="dxa"/>
            <w:textDirection w:val="lrTb"/>
            <w:noWrap w:val="false"/>
          </w:tcPr>
          <w:p>
            <w:pPr>
              <w:spacing w:before="120" w:after="120" w:line="288" w:lineRule="auto"/>
              <w:rPr>
                <w:rFonts w:ascii="宋体" w:hAnsi="宋体" w:eastAsia="宋体" w:cs="Times New Roman"/>
                <w:szCs w:val="21"/>
              </w:rPr>
            </w:pPr>
            <w:r>
              <w:rPr>
                <w:rFonts w:ascii="宋体" w:hAnsi="宋体" w:eastAsia="宋体" w:cs="Times New Roman"/>
                <w:szCs w:val="21"/>
              </w:rPr>
            </w:r>
            <w:r/>
          </w:p>
        </w:tc>
      </w:tr>
    </w:tbl>
    <w:p>
      <w:pPr>
        <w:jc w:val="left"/>
        <w:widowControl/>
        <w:rPr>
          <w:rFonts w:ascii="黑体" w:hAnsi="黑体" w:eastAsia="黑体" w:cs="Times New Roman"/>
          <w:b/>
        </w:rPr>
      </w:pPr>
      <w:r>
        <w:rPr>
          <w:rFonts w:ascii="黑体" w:hAnsi="黑体" w:eastAsia="黑体" w:cs="Times New Roman"/>
          <w:b/>
        </w:rPr>
      </w:r>
      <w:r/>
    </w:p>
    <w:p>
      <w:pPr>
        <w:jc w:val="left"/>
        <w:widowControl/>
        <w:rPr>
          <w:rFonts w:ascii="黑体" w:hAnsi="黑体" w:eastAsia="黑体" w:cs="Times New Roman"/>
          <w:b/>
        </w:rPr>
      </w:pPr>
      <w:r>
        <w:rPr>
          <w:rFonts w:ascii="黑体" w:hAnsi="黑体" w:eastAsia="黑体" w:cs="Times New Roman"/>
          <w:b/>
        </w:rPr>
      </w:r>
      <w:r/>
    </w:p>
    <w:p>
      <w:pPr>
        <w:jc w:val="left"/>
        <w:spacing w:line="500" w:lineRule="exact"/>
        <w:rPr>
          <w:rFonts w:cs="宋体" w:asciiTheme="minorEastAsia" w:hAnsiTheme="minorEastAsia"/>
          <w:b/>
          <w:bCs/>
          <w:iCs/>
          <w:sz w:val="28"/>
          <w:szCs w:val="28"/>
        </w:rPr>
      </w:pPr>
      <w:r>
        <w:rPr>
          <w:rFonts w:hint="eastAsia" w:cs="宋体" w:asciiTheme="minorEastAsia" w:hAnsiTheme="minorEastAsia"/>
          <w:b/>
          <w:bCs/>
          <w:iCs/>
          <w:sz w:val="28"/>
          <w:szCs w:val="28"/>
        </w:rPr>
        <w:t xml:space="preserve">附件：云庭审终端和庭审应用系统对接测试表</w:t>
      </w:r>
      <w:r/>
    </w:p>
    <w:tbl>
      <w:tblPr>
        <w:tblStyle w:val="730"/>
        <w:tblW w:w="435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515"/>
        <w:gridCol w:w="859"/>
        <w:gridCol w:w="2520"/>
        <w:gridCol w:w="2444"/>
        <w:gridCol w:w="584"/>
        <w:gridCol w:w="515"/>
      </w:tblGrid>
      <w:tr>
        <w:trPr>
          <w:jc w:val="center"/>
          <w:trHeight w:val="1097"/>
          <w:tblHeader/>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b/>
                <w:bCs/>
                <w:sz w:val="24"/>
                <w:szCs w:val="24"/>
              </w:rPr>
            </w:pPr>
            <w:r>
              <w:rPr>
                <w:rFonts w:ascii="宋体" w:hAnsi="宋体" w:eastAsia="宋体" w:cs="Times New Roman"/>
                <w:b/>
                <w:bCs/>
                <w:sz w:val="24"/>
                <w:szCs w:val="24"/>
              </w:rPr>
              <w:t xml:space="preserve">序号</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b/>
                <w:bCs/>
                <w:sz w:val="24"/>
                <w:szCs w:val="24"/>
              </w:rPr>
            </w:pPr>
            <w:r>
              <w:rPr>
                <w:rFonts w:ascii="宋体" w:hAnsi="宋体" w:eastAsia="宋体" w:cs="Times New Roman"/>
                <w:b/>
                <w:bCs/>
                <w:sz w:val="24"/>
                <w:szCs w:val="24"/>
              </w:rPr>
              <w:t xml:space="preserve">测试项目</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b/>
                <w:bCs/>
                <w:sz w:val="24"/>
                <w:szCs w:val="24"/>
              </w:rPr>
            </w:pPr>
            <w:r>
              <w:rPr>
                <w:rFonts w:ascii="宋体" w:hAnsi="宋体" w:eastAsia="宋体" w:cs="Times New Roman"/>
                <w:b/>
                <w:bCs/>
                <w:sz w:val="24"/>
                <w:szCs w:val="24"/>
              </w:rPr>
              <w:t xml:space="preserve">测试内容及操作步骤</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b/>
                <w:bCs/>
                <w:sz w:val="24"/>
                <w:szCs w:val="24"/>
              </w:rPr>
            </w:pPr>
            <w:r>
              <w:rPr>
                <w:rFonts w:ascii="宋体" w:hAnsi="宋体" w:eastAsia="宋体" w:cs="Times New Roman"/>
                <w:b/>
                <w:bCs/>
                <w:sz w:val="24"/>
                <w:szCs w:val="24"/>
              </w:rPr>
              <w:t xml:space="preserve">预期测试结果</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b/>
                <w:bCs/>
                <w:sz w:val="24"/>
                <w:szCs w:val="24"/>
              </w:rPr>
            </w:pPr>
            <w:r>
              <w:rPr>
                <w:rFonts w:ascii="宋体" w:hAnsi="宋体" w:eastAsia="宋体" w:cs="Times New Roman"/>
                <w:b/>
                <w:bCs/>
                <w:sz w:val="24"/>
                <w:szCs w:val="24"/>
              </w:rPr>
              <w:t xml:space="preserve">测试结果</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b/>
                <w:bCs/>
                <w:sz w:val="24"/>
                <w:szCs w:val="24"/>
              </w:rPr>
            </w:pPr>
            <w:r>
              <w:rPr>
                <w:rFonts w:ascii="宋体" w:hAnsi="宋体" w:eastAsia="宋体" w:cs="Times New Roman"/>
                <w:b/>
                <w:bCs/>
                <w:sz w:val="24"/>
                <w:szCs w:val="24"/>
              </w:rPr>
              <w:t xml:space="preserve">备注</w:t>
            </w:r>
            <w:r/>
          </w:p>
        </w:tc>
      </w:tr>
      <w:tr>
        <w:trPr>
          <w:jc w:val="center"/>
          <w:trHeight w:val="1097"/>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1</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测试环境搭建测试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完成独立测试服务器部署、网络调试、IP 规划、端口放行，打通终端、应用系统与法院现有云庭审平台内网链路</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测试环境部署完毕，网络互通正常，所有设备与平台可互相访问，具备联调条件</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1097"/>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2</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终端设备注册接入测试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在现有云庭审平台录入云庭审终端信息，完成终端序列号、设备编码绑定注册</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终端成功注册上线，平台正常识别终端设备，设备状态显示在线正常</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1103"/>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3</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终端音视频采集对接测试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开启庭审终端摄像头、麦克风，向现有云庭审平台推送音视频信号</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画面清晰无卡顿，音频收音正常，音视频数据可正常上传至现有平台</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1097"/>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4</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终端视频解码拉流测试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通过云庭审终端拉取现有云庭审平台庭审直播画面</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终端可流畅接收平台下发视频流，无花屏、延迟、断流现象</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548"/>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5</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庭审应用系统服务对接测试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配置庭审应用系统对接地址、接口密钥、通信协议，完成服务连通调试</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应用系统与现有云庭审平台通信握手成功，接口调用通畅无异常</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1097"/>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6</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庭审房间创建联动测试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在庭审应用系统发起新建庭审，同步至现有云庭审平台</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平台可同步生成对应庭审，</w:t>
            </w:r>
            <w:r>
              <w:rPr>
                <w:rFonts w:hint="eastAsia" w:ascii="宋体" w:hAnsi="宋体" w:eastAsia="宋体" w:cs="Times New Roman"/>
                <w:sz w:val="24"/>
                <w:szCs w:val="24"/>
              </w:rPr>
              <w:t xml:space="preserve">庭审</w:t>
            </w:r>
            <w:r>
              <w:rPr>
                <w:rFonts w:ascii="宋体" w:hAnsi="宋体" w:eastAsia="宋体" w:cs="Times New Roman"/>
                <w:sz w:val="24"/>
                <w:szCs w:val="24"/>
              </w:rPr>
              <w:t xml:space="preserve">信息一致、状态同步无误</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1097"/>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7</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庭审人员席位接入测试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通过终端及应用系统添加法官、书记员、当事人等席位，接入现有庭审</w:t>
            </w:r>
            <w:r>
              <w:rPr>
                <w:rFonts w:hint="eastAsia" w:ascii="宋体" w:hAnsi="宋体" w:eastAsia="宋体" w:cs="Times New Roman"/>
                <w:sz w:val="24"/>
                <w:szCs w:val="24"/>
              </w:rPr>
              <w:t xml:space="preserve">法庭</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各席位正常</w:t>
            </w:r>
            <w:r>
              <w:rPr>
                <w:rFonts w:hint="eastAsia" w:ascii="宋体" w:hAnsi="宋体" w:eastAsia="宋体" w:cs="Times New Roman"/>
                <w:sz w:val="24"/>
                <w:szCs w:val="24"/>
              </w:rPr>
              <w:t xml:space="preserve">参与庭审</w:t>
            </w:r>
            <w:r>
              <w:rPr>
                <w:rFonts w:ascii="宋体" w:hAnsi="宋体" w:eastAsia="宋体" w:cs="Times New Roman"/>
                <w:sz w:val="24"/>
                <w:szCs w:val="24"/>
              </w:rPr>
              <w:t xml:space="preserve">，席位权限、身份标识与现有平台规则保持一致</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1103"/>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8</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庭审流程状态同步测试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依次执行开庭、休庭、闭庭操作，核对两端状态同步情况</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庭审流程状态实时双向同步，操作指令生效一致，无状态错乱</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1097"/>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9</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庭审笔录同步对接测试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在应用系统录入庭审笔录内容，同步推送至现有云庭审平台</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笔录内容完整同步，格式不乱，支持两端同步查看与编辑</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548"/>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10</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庭审录像存储对接测试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开启庭审录制功能，核验录像文件上传、存储路径及调取权限</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庭审音视频录像正常归档至现有平台，可正常回放、下载、查阅</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79"/>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11</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终端控制指令互通测试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由现有云庭审平台下发静音、禁言、画面切换等控制指令</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云庭审终端精准接收并执行远端控制指令，响应及时有效</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79"/>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12</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网络弱网适配对接测试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模拟内网带宽波动、网络延迟场景，测试终端与平台对接稳定性</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弱网环境下庭审业务不中断，自动适配码率，保障基础庭审正常进行</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79"/>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13</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异常掉线重连测试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人为断开终端及应用系统网络，恢复后自动重试连接现有平台</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断网后自动重试重连，重连成功后自动恢复庭审会话，无数据丢失</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79"/>
        </w:trPr>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14</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多终端并发接入测试</w:t>
            </w:r>
            <w:r/>
          </w:p>
        </w:tc>
        <w:tc>
          <w:tcPr>
            <w:tcMar>
              <w:left w:w="120" w:type="dxa"/>
              <w:top w:w="120" w:type="dxa"/>
              <w:right w:w="120" w:type="dxa"/>
              <w:bottom w:w="120" w:type="dxa"/>
            </w:tcMar>
            <w:tcW w:w="1694"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多台云庭审终端同时接入现有云庭审平台开展庭审业务</w:t>
            </w:r>
            <w:r/>
          </w:p>
        </w:tc>
        <w:tc>
          <w:tcPr>
            <w:tcMar>
              <w:left w:w="120" w:type="dxa"/>
              <w:top w:w="120" w:type="dxa"/>
              <w:right w:w="120" w:type="dxa"/>
              <w:bottom w:w="120" w:type="dxa"/>
            </w:tcMar>
            <w:tcW w:w="1643" w:type="pct"/>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t xml:space="preserve">多终端并发接入稳定，资源分配正常，无抢占冲突、业务拥堵</w:t>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r/>
          </w:p>
        </w:tc>
        <w:tc>
          <w:tcPr>
            <w:tcMar>
              <w:left w:w="120" w:type="dxa"/>
              <w:top w:w="120" w:type="dxa"/>
              <w:right w:w="120" w:type="dxa"/>
              <w:bottom w:w="120" w:type="dxa"/>
            </w:tcMar>
            <w:tcW w:w="0" w:type="auto"/>
            <w:vAlign w:val="center"/>
            <w:textDirection w:val="lrTb"/>
            <w:noWrap w:val="false"/>
          </w:tcPr>
          <w:p>
            <w:pPr>
              <w:jc w:val="left"/>
              <w:spacing w:line="500" w:lineRule="exact"/>
              <w:rPr>
                <w:rFonts w:ascii="宋体" w:hAnsi="宋体" w:eastAsia="宋体" w:cs="Times New Roman"/>
                <w:sz w:val="24"/>
                <w:szCs w:val="24"/>
              </w:rPr>
            </w:pPr>
            <w:r>
              <w:rPr>
                <w:rFonts w:ascii="宋体" w:hAnsi="宋体" w:eastAsia="宋体" w:cs="Times New Roman"/>
                <w:sz w:val="24"/>
                <w:szCs w:val="24"/>
              </w:rPr>
            </w:r>
            <w:bookmarkEnd w:id="8"/>
            <w:r/>
            <w:bookmarkEnd w:id="9"/>
            <w:r/>
            <w:r/>
          </w:p>
        </w:tc>
      </w:tr>
    </w:tbl>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720"/>
        <w:jc w:val="center"/>
        <w:spacing w:before="156" w:after="156" w:line="360" w:lineRule="auto"/>
        <w:rPr>
          <w:rFonts w:ascii="黑体" w:hAnsi="黑体" w:eastAsia="黑体"/>
          <w:b w:val="0"/>
        </w:rPr>
      </w:pPr>
      <w:r/>
      <w:bookmarkStart w:id="10" w:name="_Toc163482577"/>
      <w:r>
        <w:rPr>
          <w:rFonts w:ascii="黑体" w:hAnsi="黑体" w:eastAsia="黑体"/>
          <w:b w:val="0"/>
        </w:rPr>
        <w:t xml:space="preserve">第五章</w:t>
      </w:r>
      <w:r>
        <w:rPr>
          <w:rFonts w:hint="eastAsia" w:ascii="黑体" w:hAnsi="黑体" w:eastAsia="黑体"/>
          <w:b w:val="0"/>
        </w:rPr>
        <w:t xml:space="preserve">  评标方法与评标标准</w:t>
      </w:r>
      <w:bookmarkEnd w:id="10"/>
      <w:r/>
      <w:r/>
    </w:p>
    <w:p>
      <w:pPr>
        <w:ind w:firstLine="480"/>
        <w:jc w:val="left"/>
        <w:spacing w:line="500" w:lineRule="exact"/>
        <w:rPr>
          <w:rFonts w:ascii="黑体" w:hAnsi="黑体" w:eastAsia="黑体"/>
          <w:sz w:val="24"/>
          <w:szCs w:val="24"/>
        </w:rPr>
      </w:pPr>
      <w:r>
        <w:rPr>
          <w:rFonts w:ascii="黑体" w:hAnsi="黑体" w:eastAsia="黑体"/>
          <w:sz w:val="24"/>
          <w:szCs w:val="24"/>
        </w:rPr>
      </w:r>
      <w:r/>
    </w:p>
    <w:p>
      <w:pPr>
        <w:ind w:firstLine="482"/>
        <w:jc w:val="left"/>
        <w:spacing w:line="500" w:lineRule="exact"/>
        <w:rPr>
          <w:rFonts w:asciiTheme="minorEastAsia" w:hAnsiTheme="minorEastAsia"/>
          <w:b/>
          <w:sz w:val="24"/>
          <w:szCs w:val="24"/>
        </w:rPr>
      </w:pPr>
      <w:r>
        <w:rPr>
          <w:rFonts w:hint="eastAsia" w:asciiTheme="minorEastAsia" w:hAnsiTheme="minorEastAsia"/>
          <w:b/>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前三名投标人为中标候选人。本项目选取</w:t>
      </w:r>
      <w:r>
        <w:rPr>
          <w:rFonts w:hint="eastAsia" w:ascii="宋体" w:hAnsi="宋体" w:cs="宋体"/>
          <w:sz w:val="24"/>
          <w:szCs w:val="24"/>
        </w:rPr>
        <w:t xml:space="preserve">3</w:t>
      </w:r>
      <w:r>
        <w:rPr>
          <w:rFonts w:hint="eastAsia"/>
          <w:sz w:val="24"/>
          <w:szCs w:val="24"/>
        </w:rPr>
        <w:t xml:space="preserve">名中标候选人。</w:t>
      </w:r>
      <w:r/>
    </w:p>
    <w:p>
      <w:pPr>
        <w:ind w:firstLine="482"/>
        <w:jc w:val="left"/>
        <w:spacing w:line="500" w:lineRule="exact"/>
        <w:rPr>
          <w:rFonts w:asciiTheme="minorEastAsia" w:hAnsiTheme="minorEastAsia"/>
          <w:b/>
          <w:sz w:val="24"/>
          <w:szCs w:val="24"/>
        </w:rPr>
      </w:pPr>
      <w:r>
        <w:rPr>
          <w:rFonts w:asciiTheme="minorEastAsia" w:hAnsiTheme="minorEastAsia"/>
          <w:b/>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（3）总得分=价格分+商务分+技术分。</w:t>
      </w:r>
      <w:r/>
    </w:p>
    <w:p>
      <w:pPr>
        <w:jc w:val="left"/>
        <w:spacing w:line="500" w:lineRule="exact"/>
        <w:rPr>
          <w:sz w:val="24"/>
          <w:szCs w:val="24"/>
        </w:rPr>
      </w:pPr>
      <w:r>
        <w:rPr>
          <w:sz w:val="24"/>
          <w:szCs w:val="24"/>
        </w:rPr>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2"/>
        <w:jc w:val="left"/>
        <w:spacing w:line="500" w:lineRule="exact"/>
        <w:rPr>
          <w:b/>
          <w:sz w:val="24"/>
          <w:szCs w:val="24"/>
        </w:rPr>
      </w:pPr>
      <w:r>
        <w:rPr>
          <w:rFonts w:hint="eastAsia" w:ascii="宋体" w:hAnsi="宋体" w:eastAsia="宋体" w:cs="宋体"/>
          <w:b/>
          <w:sz w:val="24"/>
          <w:szCs w:val="24"/>
        </w:rPr>
        <w:t xml:space="preserve">1.价格分（30分）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投标报价得分=（评标基准价/投标报价）×30分。</w:t>
      </w:r>
      <w:r/>
    </w:p>
    <w:p>
      <w:pPr>
        <w:ind w:firstLine="480"/>
        <w:jc w:val="left"/>
        <w:spacing w:line="500" w:lineRule="exact"/>
        <w:rPr>
          <w:rFonts w:ascii="宋体" w:hAnsi="宋体" w:eastAsia="宋体" w:cs="宋体"/>
          <w:b/>
          <w:sz w:val="24"/>
          <w:szCs w:val="24"/>
        </w:rPr>
      </w:pPr>
      <w:r>
        <w:rPr>
          <w:rFonts w:hint="eastAsia"/>
          <w:sz w:val="24"/>
          <w:szCs w:val="24"/>
        </w:rPr>
        <w:t xml:space="preserve">因落实政府采购政策进行价格调整的，以调整后的价格计算评标基准价和投标报价，小数点后保留两位。</w:t>
      </w:r>
      <w:r/>
    </w:p>
    <w:p>
      <w:pPr>
        <w:ind w:firstLine="482"/>
        <w:jc w:val="left"/>
        <w:spacing w:line="360" w:lineRule="auto"/>
        <w:rPr>
          <w:rFonts w:ascii="宋体" w:hAnsi="宋体" w:eastAsia="宋体" w:cs="宋体"/>
          <w:b/>
          <w:sz w:val="24"/>
          <w:szCs w:val="24"/>
        </w:rPr>
      </w:pPr>
      <w:r>
        <w:rPr>
          <w:rFonts w:hint="eastAsia" w:ascii="宋体" w:hAnsi="宋体" w:eastAsia="宋体" w:cs="宋体"/>
          <w:b/>
          <w:sz w:val="24"/>
          <w:szCs w:val="24"/>
        </w:rPr>
        <w:t xml:space="preserve">2.商务分（ </w:t>
      </w:r>
      <w:r>
        <w:rPr>
          <w:rFonts w:ascii="宋体" w:hAnsi="宋体" w:eastAsia="宋体" w:cs="宋体"/>
          <w:b/>
          <w:sz w:val="24"/>
          <w:szCs w:val="24"/>
        </w:rPr>
        <w:t xml:space="preserve">40</w:t>
      </w:r>
      <w:r>
        <w:rPr>
          <w:rFonts w:hint="eastAsia" w:ascii="宋体" w:hAnsi="宋体" w:eastAsia="宋体" w:cs="宋体"/>
          <w:b/>
          <w:sz w:val="24"/>
          <w:szCs w:val="24"/>
        </w:rPr>
        <w:t xml:space="preserve"> 分）</w:t>
      </w:r>
      <w:r/>
    </w:p>
    <w:tbl>
      <w:tblPr>
        <w:tblStyle w:val="730"/>
        <w:tblW w:w="82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04"/>
        <w:gridCol w:w="6493"/>
      </w:tblGrid>
      <w:tr>
        <w:trPr>
          <w:jc w:val="center"/>
          <w:trHeight w:val="621"/>
        </w:trPr>
        <w:tc>
          <w:tcPr>
            <w:tcW w:w="18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6493"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804" w:type="dxa"/>
            <w:vAlign w:val="center"/>
            <w:textDirection w:val="lrTb"/>
            <w:noWrap w:val="false"/>
          </w:tcPr>
          <w:p>
            <w:pPr>
              <w:jc w:val="center"/>
              <w:spacing w:line="276" w:lineRule="auto"/>
              <w:rPr>
                <w:rFonts w:ascii="Segoe UI" w:hAnsi="Segoe UI" w:cs="Segoe UI"/>
                <w:color w:val="0f1115"/>
                <w:sz w:val="24"/>
                <w:szCs w:val="24"/>
                <w:shd w:val="clear" w:color="auto" w:fill="ffffff"/>
              </w:rPr>
            </w:pPr>
            <w:r>
              <w:rPr>
                <w:rFonts w:ascii="Segoe UI" w:hAnsi="Segoe UI" w:cs="Segoe UI"/>
                <w:color w:val="0f1115"/>
                <w:sz w:val="24"/>
                <w:szCs w:val="24"/>
                <w:shd w:val="clear" w:color="auto" w:fill="ffffff"/>
              </w:rPr>
              <w:t xml:space="preserve">技术参数响应</w:t>
            </w:r>
            <w:r/>
          </w:p>
          <w:p>
            <w:pPr>
              <w:jc w:val="center"/>
              <w:spacing w:line="276" w:lineRule="auto"/>
              <w:rPr>
                <w:rFonts w:ascii="Segoe UI" w:hAnsi="Segoe UI" w:cs="Segoe UI"/>
                <w:color w:val="0f1115"/>
                <w:sz w:val="24"/>
                <w:szCs w:val="24"/>
                <w:shd w:val="clear" w:color="auto" w:fill="ffffff"/>
              </w:rPr>
            </w:pPr>
            <w:r>
              <w:rPr>
                <w:rFonts w:hint="eastAsia" w:ascii="Segoe UI" w:hAnsi="Segoe UI" w:cs="Segoe UI"/>
                <w:color w:val="000000" w:themeColor="text1"/>
                <w:sz w:val="24"/>
                <w:szCs w:val="24"/>
                <w:shd w:val="clear" w:color="auto" w:fill="ffffff"/>
              </w:rPr>
              <w:t xml:space="preserve">（3</w:t>
            </w:r>
            <w:r>
              <w:rPr>
                <w:rFonts w:ascii="Segoe UI" w:hAnsi="Segoe UI" w:cs="Segoe UI"/>
                <w:color w:val="000000" w:themeColor="text1"/>
                <w:sz w:val="24"/>
                <w:szCs w:val="24"/>
                <w:shd w:val="clear" w:color="auto" w:fill="ffffff"/>
              </w:rPr>
              <w:t xml:space="preserve">0</w:t>
            </w:r>
            <w:r>
              <w:rPr>
                <w:rFonts w:hint="eastAsia" w:ascii="Segoe UI" w:hAnsi="Segoe UI" w:cs="Segoe UI"/>
                <w:color w:val="000000" w:themeColor="text1"/>
                <w:sz w:val="24"/>
                <w:szCs w:val="24"/>
                <w:shd w:val="clear" w:color="auto" w:fill="ffffff"/>
              </w:rPr>
              <w:t xml:space="preserve">分）</w:t>
            </w:r>
            <w:r/>
          </w:p>
        </w:tc>
        <w:tc>
          <w:tcPr>
            <w:tcW w:w="6493" w:type="dxa"/>
            <w:vAlign w:val="center"/>
            <w:textDirection w:val="lrTb"/>
            <w:noWrap w:val="false"/>
          </w:tcPr>
          <w:p>
            <w:pPr>
              <w:jc w:val="left"/>
              <w:spacing w:line="276" w:lineRule="auto"/>
              <w:rPr>
                <w:sz w:val="24"/>
                <w:szCs w:val="24"/>
              </w:rPr>
            </w:pPr>
            <w:r>
              <w:rPr>
                <w:rFonts w:hint="eastAsia" w:ascii="宋体" w:hAnsi="宋体" w:eastAsia="宋体" w:cs="宋体"/>
                <w:sz w:val="24"/>
                <w:szCs w:val="24"/>
              </w:rPr>
              <w:t xml:space="preserve">技术参数响应评审基准分</w:t>
            </w:r>
            <w:r>
              <w:rPr>
                <w:rFonts w:hint="eastAsia"/>
                <w:sz w:val="24"/>
                <w:szCs w:val="24"/>
              </w:rPr>
              <w:t xml:space="preserve">3</w:t>
            </w:r>
            <w:r>
              <w:rPr>
                <w:sz w:val="24"/>
                <w:szCs w:val="24"/>
              </w:rPr>
              <w:t xml:space="preserve">0分。标注"</w:t>
            </w:r>
            <w:r>
              <w:rPr>
                <w:rFonts w:ascii="Arial" w:hAnsi="Arial" w:cs="Arial"/>
                <w:sz w:val="24"/>
                <w:szCs w:val="24"/>
              </w:rPr>
              <w:t xml:space="preserve">▲</w:t>
            </w:r>
            <w:r>
              <w:rPr>
                <w:sz w:val="24"/>
                <w:szCs w:val="24"/>
              </w:rPr>
              <w:t xml:space="preserve">"的重要技术参数条款每负偏离一项扣2分；未标注"</w:t>
            </w:r>
            <w:r>
              <w:rPr>
                <w:rFonts w:ascii="Arial" w:hAnsi="Arial" w:cs="Arial"/>
                <w:sz w:val="24"/>
                <w:szCs w:val="24"/>
              </w:rPr>
              <w:t xml:space="preserve">▲</w:t>
            </w:r>
            <w:r>
              <w:rPr>
                <w:sz w:val="24"/>
                <w:szCs w:val="24"/>
              </w:rPr>
              <w:t xml:space="preserve">"的一般技术参数条款每负偏离一项扣1分，扣完为止。</w:t>
            </w:r>
            <w:r/>
          </w:p>
          <w:p>
            <w:pPr>
              <w:jc w:val="left"/>
              <w:spacing w:line="276" w:lineRule="auto"/>
              <w:rPr>
                <w:sz w:val="24"/>
                <w:szCs w:val="24"/>
              </w:rPr>
            </w:pPr>
            <w:r>
              <w:rPr>
                <w:rFonts w:hint="eastAsia" w:ascii="宋体" w:hAnsi="宋体" w:eastAsia="宋体" w:cs="宋体"/>
                <w:b/>
                <w:bCs/>
                <w:spacing w:val="-6"/>
                <w:sz w:val="24"/>
                <w:szCs w:val="24"/>
              </w:rPr>
              <w:t xml:space="preserve">（投标文件中详细填写技术要求响应及偏离表，须逐条响应。标注“▲”项要求提供证明材料的未提供、或提供不全、或所提供材料与投标文件要求不符的视为负偏离.</w:t>
            </w:r>
            <w:r>
              <w:rPr>
                <w:rFonts w:hint="eastAsia"/>
                <w:b/>
                <w:bCs/>
                <w:sz w:val="24"/>
                <w:szCs w:val="24"/>
              </w:rPr>
              <w:t xml:space="preserve">如内容表述不完全一致但功能一样由评标委员会现场认定。投标人可在证明材料中做明显标识及说明，便于评审）</w:t>
            </w:r>
            <w:r/>
          </w:p>
        </w:tc>
      </w:tr>
      <w:tr>
        <w:trPr>
          <w:jc w:val="center"/>
          <w:trHeight w:val="621"/>
        </w:trPr>
        <w:tc>
          <w:tcPr>
            <w:tcW w:w="1804" w:type="dxa"/>
            <w:vAlign w:val="center"/>
            <w:textDirection w:val="lrTb"/>
            <w:noWrap w:val="false"/>
          </w:tcPr>
          <w:p>
            <w:pPr>
              <w:jc w:val="center"/>
              <w:spacing w:line="276" w:lineRule="auto"/>
              <w:rPr>
                <w:rFonts w:ascii="Segoe UI" w:hAnsi="Segoe UI" w:cs="Segoe UI"/>
                <w:color w:val="0f1115"/>
                <w:sz w:val="24"/>
                <w:szCs w:val="24"/>
                <w:shd w:val="clear" w:color="auto" w:fill="ffffff"/>
              </w:rPr>
            </w:pPr>
            <w:r>
              <w:rPr>
                <w:rFonts w:ascii="Segoe UI" w:hAnsi="Segoe UI" w:cs="Segoe UI"/>
                <w:color w:val="0f1115"/>
                <w:sz w:val="24"/>
                <w:szCs w:val="24"/>
                <w:shd w:val="clear" w:color="auto" w:fill="ffffff"/>
              </w:rPr>
              <w:t xml:space="preserve">类似项目业绩</w:t>
            </w:r>
            <w:r/>
          </w:p>
          <w:p>
            <w:pPr>
              <w:jc w:val="center"/>
              <w:spacing w:line="276" w:lineRule="auto"/>
              <w:rPr>
                <w:sz w:val="24"/>
                <w:szCs w:val="24"/>
              </w:rPr>
            </w:pPr>
            <w:r>
              <w:rPr>
                <w:rFonts w:hint="eastAsia" w:ascii="Segoe UI" w:hAnsi="Segoe UI" w:cs="Segoe UI"/>
                <w:color w:val="0f1115"/>
                <w:sz w:val="24"/>
                <w:szCs w:val="24"/>
                <w:shd w:val="clear" w:color="auto" w:fill="ffffff"/>
              </w:rPr>
              <w:t xml:space="preserve">（</w:t>
            </w:r>
            <w:r>
              <w:rPr>
                <w:rFonts w:hint="eastAsia" w:ascii="Segoe UI" w:hAnsi="Segoe UI" w:cs="Segoe UI"/>
                <w:color w:val="0f1115"/>
                <w:sz w:val="24"/>
                <w:szCs w:val="24"/>
                <w:shd w:val="clear" w:color="auto" w:fill="ffffff"/>
                <w:lang w:val="en-US" w:eastAsia="zh-CN"/>
              </w:rPr>
              <w:t xml:space="preserve">6</w:t>
            </w:r>
            <w:r>
              <w:rPr>
                <w:rFonts w:hint="eastAsia" w:ascii="Segoe UI" w:hAnsi="Segoe UI" w:cs="Segoe UI"/>
                <w:color w:val="0f1115"/>
                <w:sz w:val="24"/>
                <w:szCs w:val="24"/>
                <w:shd w:val="clear" w:color="auto" w:fill="ffffff"/>
              </w:rPr>
              <w:t xml:space="preserve">分）</w:t>
            </w:r>
            <w:r/>
          </w:p>
        </w:tc>
        <w:tc>
          <w:tcPr>
            <w:tcW w:w="6493" w:type="dxa"/>
            <w:vAlign w:val="center"/>
            <w:textDirection w:val="lrTb"/>
            <w:noWrap w:val="false"/>
          </w:tcPr>
          <w:p>
            <w:pPr>
              <w:jc w:val="left"/>
              <w:spacing w:line="276" w:lineRule="auto"/>
              <w:rPr>
                <w:sz w:val="24"/>
                <w:szCs w:val="24"/>
              </w:rPr>
            </w:pPr>
            <w:r>
              <w:rPr>
                <w:sz w:val="24"/>
                <w:szCs w:val="24"/>
              </w:rPr>
              <w:t xml:space="preserve">自2023年1月1日以来（以合同签订时间为准）</w:t>
            </w:r>
            <w:r>
              <w:rPr>
                <w:rFonts w:hint="eastAsia"/>
                <w:sz w:val="24"/>
                <w:szCs w:val="24"/>
              </w:rPr>
              <w:t xml:space="preserve">，投标人</w:t>
            </w:r>
            <w:r>
              <w:rPr>
                <w:sz w:val="24"/>
                <w:szCs w:val="24"/>
              </w:rPr>
              <w:t xml:space="preserve">承担过类似信息化建设项目，每提供一个业绩得</w:t>
            </w:r>
            <w:r>
              <w:rPr>
                <w:rFonts w:hint="eastAsia"/>
                <w:sz w:val="24"/>
                <w:szCs w:val="24"/>
                <w:lang w:val="en-US" w:eastAsia="zh-CN"/>
              </w:rPr>
              <w:t xml:space="preserve">2</w:t>
            </w:r>
            <w:r>
              <w:rPr>
                <w:sz w:val="24"/>
                <w:szCs w:val="24"/>
              </w:rPr>
              <w:t xml:space="preserve">分，</w:t>
            </w:r>
            <w:r>
              <w:rPr>
                <w:rFonts w:hint="eastAsia"/>
                <w:sz w:val="24"/>
                <w:szCs w:val="24"/>
              </w:rPr>
              <w:t xml:space="preserve">本项</w:t>
            </w:r>
            <w:r>
              <w:rPr>
                <w:b/>
                <w:bCs/>
                <w:sz w:val="24"/>
                <w:szCs w:val="24"/>
              </w:rPr>
              <w:t xml:space="preserve">最</w:t>
            </w:r>
            <w:r>
              <w:rPr>
                <w:rFonts w:hint="eastAsia"/>
                <w:b/>
                <w:bCs/>
                <w:sz w:val="24"/>
                <w:szCs w:val="24"/>
              </w:rPr>
              <w:t xml:space="preserve">高</w:t>
            </w:r>
            <w:r>
              <w:rPr>
                <w:b/>
                <w:bCs/>
                <w:sz w:val="24"/>
                <w:szCs w:val="24"/>
              </w:rPr>
              <w:t xml:space="preserve">得</w:t>
            </w:r>
            <w:r>
              <w:rPr>
                <w:rFonts w:hint="eastAsia"/>
                <w:b/>
                <w:bCs/>
                <w:sz w:val="24"/>
                <w:szCs w:val="24"/>
                <w:lang w:val="en-US" w:eastAsia="zh-CN"/>
              </w:rPr>
              <w:t xml:space="preserve">6</w:t>
            </w:r>
            <w:r>
              <w:rPr>
                <w:b/>
                <w:bCs/>
                <w:sz w:val="24"/>
                <w:szCs w:val="24"/>
              </w:rPr>
              <w:t xml:space="preserve">分。</w:t>
            </w:r>
            <w:r/>
          </w:p>
          <w:p>
            <w:pPr>
              <w:jc w:val="left"/>
              <w:spacing w:line="276" w:lineRule="auto"/>
              <w:rPr>
                <w:sz w:val="24"/>
                <w:szCs w:val="24"/>
              </w:rPr>
            </w:pPr>
            <w:r>
              <w:rPr>
                <w:rFonts w:hint="eastAsia" w:ascii="宋体" w:hAnsi="宋体" w:eastAsia="宋体" w:cs="宋体"/>
                <w:b/>
                <w:bCs/>
                <w:sz w:val="24"/>
                <w:szCs w:val="24"/>
              </w:rPr>
              <w:t xml:space="preserve">（投标文件中提供合同扫描件并加盖公章。合同上须能清晰体现服务内容、合同签订时间及合同双方盖章，未提供或未按要求提供此项不得分）</w:t>
            </w:r>
            <w:r/>
          </w:p>
        </w:tc>
      </w:tr>
      <w:tr>
        <w:trPr>
          <w:jc w:val="center"/>
          <w:trHeight w:val="621"/>
        </w:trPr>
        <w:tc>
          <w:tcPr>
            <w:tcW w:w="1804" w:type="dxa"/>
            <w:vAlign w:val="center"/>
            <w:textDirection w:val="lrTb"/>
            <w:noWrap w:val="false"/>
          </w:tcPr>
          <w:p>
            <w:pPr>
              <w:jc w:val="center"/>
              <w:spacing w:line="276" w:lineRule="auto"/>
              <w:rPr>
                <w:rFonts w:ascii="Segoe UI" w:hAnsi="Segoe UI" w:cs="Segoe UI"/>
                <w:color w:val="0f1115"/>
                <w:sz w:val="24"/>
                <w:szCs w:val="24"/>
                <w:shd w:val="clear" w:color="auto" w:fill="ffffff"/>
              </w:rPr>
            </w:pPr>
            <w:r>
              <w:rPr>
                <w:rFonts w:ascii="Segoe UI" w:hAnsi="Segoe UI" w:cs="Segoe UI"/>
                <w:color w:val="0f1115"/>
                <w:sz w:val="24"/>
                <w:szCs w:val="24"/>
                <w:shd w:val="clear" w:color="auto" w:fill="ffffff"/>
              </w:rPr>
              <w:t xml:space="preserve">人员资质</w:t>
            </w:r>
            <w:r/>
          </w:p>
          <w:p>
            <w:pPr>
              <w:jc w:val="center"/>
              <w:spacing w:line="276" w:lineRule="auto"/>
              <w:rPr>
                <w:sz w:val="24"/>
                <w:szCs w:val="24"/>
              </w:rPr>
            </w:pPr>
            <w:r>
              <w:rPr>
                <w:rFonts w:hint="eastAsia" w:ascii="Segoe UI" w:hAnsi="Segoe UI" w:cs="Segoe UI"/>
                <w:color w:val="0f1115"/>
                <w:sz w:val="24"/>
                <w:szCs w:val="24"/>
                <w:shd w:val="clear" w:color="auto" w:fill="ffffff"/>
              </w:rPr>
              <w:t xml:space="preserve">（4分）</w:t>
            </w:r>
            <w:r/>
          </w:p>
        </w:tc>
        <w:tc>
          <w:tcPr>
            <w:tcW w:w="6493" w:type="dxa"/>
            <w:vAlign w:val="center"/>
            <w:textDirection w:val="lrTb"/>
            <w:noWrap w:val="false"/>
          </w:tcPr>
          <w:p>
            <w:pPr>
              <w:numPr>
                <w:ilvl w:val="0"/>
                <w:numId w:val="7"/>
              </w:numPr>
              <w:jc w:val="left"/>
              <w:spacing w:line="276" w:lineRule="auto"/>
              <w:rPr>
                <w:sz w:val="24"/>
                <w:szCs w:val="24"/>
              </w:rPr>
            </w:pPr>
            <w:r/>
            <w:bookmarkStart w:id="25" w:name="_GoBack"/>
            <w:r>
              <w:rPr>
                <w:rFonts w:hint="eastAsia"/>
                <w:sz w:val="24"/>
                <w:szCs w:val="24"/>
              </w:rPr>
              <w:t xml:space="preserve">拟派</w:t>
            </w:r>
            <w:r>
              <w:rPr>
                <w:sz w:val="24"/>
                <w:szCs w:val="24"/>
              </w:rPr>
              <w:t xml:space="preserve">项目经理具有信息系统项目管理师证书的</w:t>
            </w:r>
            <w:r>
              <w:rPr>
                <w:b/>
                <w:bCs/>
                <w:sz w:val="24"/>
                <w:szCs w:val="24"/>
              </w:rPr>
              <w:t xml:space="preserve">得2分；</w:t>
            </w:r>
            <w:r/>
          </w:p>
          <w:p>
            <w:pPr>
              <w:numPr>
                <w:ilvl w:val="0"/>
                <w:numId w:val="7"/>
              </w:numPr>
              <w:jc w:val="left"/>
              <w:spacing w:line="276" w:lineRule="auto"/>
              <w:rPr>
                <w:b/>
                <w:bCs/>
                <w:sz w:val="24"/>
                <w:szCs w:val="24"/>
              </w:rPr>
            </w:pPr>
            <w:r>
              <w:rPr>
                <w:rFonts w:hint="eastAsia"/>
                <w:sz w:val="24"/>
                <w:szCs w:val="24"/>
              </w:rPr>
              <w:t xml:space="preserve">拟派</w:t>
            </w:r>
            <w:r>
              <w:rPr>
                <w:sz w:val="24"/>
                <w:szCs w:val="24"/>
              </w:rPr>
              <w:t xml:space="preserve">项目团队其他成员（项目经理除外）具有信息技术相关专业中级及以上</w:t>
            </w:r>
            <w:r>
              <w:rPr>
                <w:rFonts w:hint="eastAsia"/>
                <w:sz w:val="24"/>
                <w:szCs w:val="24"/>
              </w:rPr>
              <w:t xml:space="preserve">职业</w:t>
            </w:r>
            <w:r>
              <w:rPr>
                <w:sz w:val="24"/>
                <w:szCs w:val="24"/>
              </w:rPr>
              <w:t xml:space="preserve">技术资格</w:t>
            </w:r>
            <w:r>
              <w:rPr>
                <w:rFonts w:hint="eastAsia"/>
                <w:sz w:val="24"/>
                <w:szCs w:val="24"/>
              </w:rPr>
              <w:t xml:space="preserve">证书</w:t>
            </w:r>
            <w:r>
              <w:rPr>
                <w:sz w:val="24"/>
                <w:szCs w:val="24"/>
              </w:rPr>
              <w:t xml:space="preserve">（职称）</w:t>
            </w:r>
            <w:r>
              <w:rPr>
                <w:rFonts w:hint="eastAsia"/>
                <w:sz w:val="24"/>
                <w:szCs w:val="24"/>
              </w:rPr>
              <w:t xml:space="preserve">的</w:t>
            </w:r>
            <w:r>
              <w:rPr>
                <w:sz w:val="24"/>
                <w:szCs w:val="24"/>
              </w:rPr>
              <w:t xml:space="preserve">，每提供1人得1分，</w:t>
            </w:r>
            <w:r>
              <w:rPr>
                <w:rFonts w:hint="eastAsia"/>
                <w:b/>
                <w:bCs/>
                <w:sz w:val="24"/>
                <w:szCs w:val="24"/>
              </w:rPr>
              <w:t xml:space="preserve">本项</w:t>
            </w:r>
            <w:r>
              <w:rPr>
                <w:b/>
                <w:bCs/>
                <w:sz w:val="24"/>
                <w:szCs w:val="24"/>
              </w:rPr>
              <w:t xml:space="preserve">最多得2分。</w:t>
            </w:r>
            <w:r/>
          </w:p>
          <w:p>
            <w:pPr>
              <w:jc w:val="left"/>
              <w:widowControl/>
              <w:rPr>
                <w:sz w:val="24"/>
                <w:szCs w:val="24"/>
              </w:rPr>
            </w:pPr>
            <w:r>
              <w:rPr>
                <w:rFonts w:hint="eastAsia" w:ascii="宋体" w:hAnsi="宋体" w:cs="仿宋"/>
                <w:b/>
                <w:bCs/>
                <w:sz w:val="24"/>
                <w:szCs w:val="24"/>
              </w:rPr>
              <w:t xml:space="preserve">（上述1-2项投标文件中同时提供证书和2024 年1月以来任意一个月投标人为其缴纳的社保证明材料扫描件，并加盖投标人公章，缺项或未提供均不得分。）</w:t>
            </w:r>
            <w:bookmarkEnd w:id="25"/>
            <w:r/>
            <w:r/>
          </w:p>
        </w:tc>
      </w:tr>
    </w:tbl>
    <w:p>
      <w:pPr>
        <w:ind w:firstLine="482"/>
        <w:jc w:val="left"/>
        <w:spacing w:line="360" w:lineRule="auto"/>
        <w:rPr>
          <w:rFonts w:ascii="宋体" w:hAnsi="宋体" w:cs="宋体"/>
          <w:b/>
          <w:sz w:val="24"/>
          <w:szCs w:val="24"/>
          <w:highlight w:val="yellow"/>
        </w:rPr>
      </w:pPr>
      <w:r>
        <w:rPr>
          <w:rFonts w:hint="eastAsia" w:ascii="宋体" w:hAnsi="宋体" w:eastAsia="宋体" w:cs="宋体"/>
          <w:b/>
          <w:sz w:val="24"/>
          <w:szCs w:val="24"/>
        </w:rPr>
        <w:t xml:space="preserve">3.技术分（ </w:t>
      </w:r>
      <w:r>
        <w:rPr>
          <w:rFonts w:ascii="宋体" w:hAnsi="宋体" w:eastAsia="宋体" w:cs="宋体"/>
          <w:b/>
          <w:sz w:val="24"/>
          <w:szCs w:val="24"/>
        </w:rPr>
        <w:t xml:space="preserve">30</w:t>
      </w:r>
      <w:r>
        <w:rPr>
          <w:rFonts w:hint="eastAsia" w:ascii="宋体" w:hAnsi="宋体" w:eastAsia="宋体" w:cs="宋体"/>
          <w:b/>
          <w:sz w:val="24"/>
          <w:szCs w:val="24"/>
        </w:rPr>
        <w:t xml:space="preserve"> 分）</w:t>
      </w:r>
      <w:r>
        <w:rPr>
          <w:rFonts w:hint="eastAsia" w:ascii="宋体" w:hAnsi="宋体" w:cs="宋体"/>
          <w:b/>
          <w:sz w:val="24"/>
          <w:szCs w:val="24"/>
        </w:rPr>
        <w:t xml:space="preserve">（本部分</w:t>
      </w:r>
      <w:r>
        <w:rPr>
          <w:rFonts w:hint="eastAsia" w:ascii="宋体" w:hAnsi="宋体" w:cs="Calibri"/>
          <w:b/>
          <w:color w:val="000000"/>
          <w:sz w:val="24"/>
          <w:szCs w:val="24"/>
        </w:rPr>
        <w:t xml:space="preserve">采用暗标方式进行评审）</w:t>
      </w:r>
      <w:r/>
    </w:p>
    <w:tbl>
      <w:tblPr>
        <w:tblStyle w:val="730"/>
        <w:tblW w:w="833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8"/>
        <w:gridCol w:w="7042"/>
      </w:tblGrid>
      <w:tr>
        <w:trPr>
          <w:jc w:val="center"/>
          <w:trHeight w:val="621"/>
        </w:trPr>
        <w:tc>
          <w:tcPr>
            <w:tcW w:w="1288"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评审因素</w:t>
            </w:r>
            <w:r/>
          </w:p>
        </w:tc>
        <w:tc>
          <w:tcPr>
            <w:tcW w:w="7042"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cs="Times New Roman" w:asciiTheme="minorEastAsia" w:hAnsiTheme="minorEastAsia"/>
                <w:b/>
                <w:color w:val="000000"/>
                <w:sz w:val="24"/>
                <w:szCs w:val="24"/>
              </w:rPr>
            </w:pPr>
            <w:r>
              <w:rPr>
                <w:rFonts w:hint="eastAsia" w:cs="Times New Roman" w:asciiTheme="minorEastAsia" w:hAnsiTheme="minorEastAsia"/>
                <w:b/>
                <w:color w:val="000000"/>
                <w:sz w:val="24"/>
                <w:szCs w:val="24"/>
              </w:rPr>
              <w:t xml:space="preserve">评审标准</w:t>
            </w:r>
            <w:r/>
          </w:p>
        </w:tc>
      </w:tr>
      <w:tr>
        <w:trPr>
          <w:jc w:val="center"/>
          <w:trHeight w:val="621"/>
        </w:trPr>
        <w:tc>
          <w:tcPr>
            <w:tcW w:w="1288" w:type="dxa"/>
            <w:vAlign w:val="center"/>
            <w:textDirection w:val="lrTb"/>
            <w:noWrap w:val="false"/>
          </w:tcPr>
          <w:p>
            <w:pPr>
              <w:jc w:val="center"/>
              <w:spacing w:line="276" w:lineRule="auto"/>
              <w:rPr>
                <w:sz w:val="24"/>
                <w:szCs w:val="24"/>
              </w:rPr>
            </w:pPr>
            <w:r>
              <w:rPr>
                <w:rFonts w:ascii="Segoe UI" w:hAnsi="Segoe UI" w:cs="Segoe UI"/>
                <w:color w:val="0f1115"/>
                <w:sz w:val="24"/>
                <w:szCs w:val="24"/>
                <w:shd w:val="clear" w:color="auto" w:fill="ffffff"/>
              </w:rPr>
              <w:t xml:space="preserve">系统总体设计方案</w:t>
            </w:r>
            <w:r>
              <w:rPr>
                <w:rFonts w:hint="eastAsia" w:ascii="Segoe UI" w:hAnsi="Segoe UI" w:cs="Segoe UI"/>
                <w:color w:val="0f1115"/>
                <w:sz w:val="24"/>
                <w:szCs w:val="24"/>
                <w:shd w:val="clear" w:color="auto" w:fill="ffffff"/>
              </w:rPr>
              <w:t xml:space="preserve">(</w:t>
            </w:r>
            <w:r>
              <w:rPr>
                <w:rFonts w:ascii="Segoe UI" w:hAnsi="Segoe UI" w:cs="Segoe UI"/>
                <w:color w:val="0f1115"/>
                <w:sz w:val="24"/>
                <w:szCs w:val="24"/>
                <w:shd w:val="clear" w:color="auto" w:fill="ffffff"/>
              </w:rPr>
              <w:t xml:space="preserve">4</w:t>
            </w:r>
            <w:r>
              <w:rPr>
                <w:rFonts w:hint="eastAsia" w:ascii="Segoe UI" w:hAnsi="Segoe UI" w:cs="Segoe UI"/>
                <w:color w:val="0f1115"/>
                <w:sz w:val="24"/>
                <w:szCs w:val="24"/>
                <w:shd w:val="clear" w:color="auto" w:fill="ffffff"/>
              </w:rPr>
              <w:t xml:space="preserve">分</w:t>
            </w:r>
            <w:r>
              <w:rPr>
                <w:rFonts w:ascii="Segoe UI" w:hAnsi="Segoe UI" w:cs="Segoe UI"/>
                <w:color w:val="0f1115"/>
                <w:sz w:val="24"/>
                <w:szCs w:val="24"/>
                <w:shd w:val="clear" w:color="auto" w:fill="ffffff"/>
              </w:rPr>
              <w:t xml:space="preserve">)</w:t>
            </w:r>
            <w:r/>
          </w:p>
        </w:tc>
        <w:tc>
          <w:tcPr>
            <w:tcW w:w="7042" w:type="dxa"/>
            <w:vAlign w:val="center"/>
            <w:textDirection w:val="lrTb"/>
            <w:noWrap w:val="false"/>
          </w:tcPr>
          <w:p>
            <w:pPr>
              <w:jc w:val="left"/>
              <w:spacing w:line="276" w:lineRule="auto"/>
              <w:rPr>
                <w:sz w:val="24"/>
                <w:szCs w:val="24"/>
              </w:rPr>
            </w:pPr>
            <w:r>
              <w:rPr>
                <w:sz w:val="24"/>
                <w:szCs w:val="24"/>
              </w:rPr>
              <w:t xml:space="preserve">投标人提供系统总体设计方案</w:t>
            </w:r>
            <w:r>
              <w:rPr>
                <w:rFonts w:hint="eastAsia"/>
                <w:sz w:val="24"/>
                <w:szCs w:val="24"/>
              </w:rPr>
              <w:t xml:space="preserve">，方案包含但不限于</w:t>
            </w:r>
            <w:r>
              <w:rPr>
                <w:sz w:val="24"/>
                <w:szCs w:val="24"/>
              </w:rPr>
              <w:t xml:space="preserve">技术架构</w:t>
            </w:r>
            <w:r>
              <w:rPr>
                <w:rFonts w:hint="eastAsia"/>
                <w:sz w:val="24"/>
                <w:szCs w:val="24"/>
              </w:rPr>
              <w:t xml:space="preserve">、</w:t>
            </w:r>
            <w:r>
              <w:rPr>
                <w:sz w:val="24"/>
                <w:szCs w:val="24"/>
              </w:rPr>
              <w:t xml:space="preserve">"一张网"建设</w:t>
            </w:r>
            <w:r>
              <w:rPr>
                <w:rFonts w:hint="eastAsia"/>
                <w:sz w:val="24"/>
                <w:szCs w:val="24"/>
              </w:rPr>
              <w:t xml:space="preserve">、</w:t>
            </w:r>
            <w:r>
              <w:rPr>
                <w:sz w:val="24"/>
                <w:szCs w:val="24"/>
              </w:rPr>
              <w:t xml:space="preserve">功能模块</w:t>
            </w:r>
            <w:r>
              <w:rPr>
                <w:rFonts w:hint="eastAsia"/>
                <w:sz w:val="24"/>
                <w:szCs w:val="24"/>
              </w:rPr>
              <w:t xml:space="preserve">等。</w:t>
            </w:r>
            <w:r/>
          </w:p>
          <w:p>
            <w:pPr>
              <w:jc w:val="left"/>
              <w:spacing w:line="276" w:lineRule="auto"/>
              <w:rPr>
                <w:b/>
                <w:bCs/>
                <w:sz w:val="24"/>
                <w:szCs w:val="24"/>
              </w:rPr>
            </w:pPr>
            <w:r>
              <w:rPr>
                <w:sz w:val="24"/>
                <w:szCs w:val="24"/>
              </w:rPr>
              <w:t xml:space="preserve">方案内容完整、技术架构合理、功能模块划分清晰、符合"一张网"建设规范，能够充分满足项目需求的</w:t>
            </w:r>
            <w:r>
              <w:rPr>
                <w:b/>
                <w:bCs/>
                <w:sz w:val="24"/>
                <w:szCs w:val="24"/>
              </w:rPr>
              <w:t xml:space="preserve">得</w:t>
            </w:r>
            <w:r>
              <w:rPr>
                <w:rFonts w:hint="eastAsia"/>
                <w:b/>
                <w:bCs/>
                <w:sz w:val="24"/>
                <w:szCs w:val="24"/>
              </w:rPr>
              <w:t xml:space="preserve">4</w:t>
            </w:r>
            <w:r>
              <w:rPr>
                <w:b/>
                <w:bCs/>
                <w:sz w:val="24"/>
                <w:szCs w:val="24"/>
              </w:rPr>
              <w:t xml:space="preserve">分；</w:t>
            </w:r>
            <w:r/>
          </w:p>
          <w:p>
            <w:pPr>
              <w:jc w:val="left"/>
              <w:spacing w:line="276" w:lineRule="auto"/>
              <w:rPr>
                <w:sz w:val="24"/>
                <w:szCs w:val="24"/>
              </w:rPr>
            </w:pPr>
            <w:r>
              <w:rPr>
                <w:sz w:val="24"/>
                <w:szCs w:val="24"/>
              </w:rPr>
              <w:t xml:space="preserve">方案内容基本完整、技术架构基本合理、功能模块划分较为清晰的</w:t>
            </w:r>
            <w:r>
              <w:rPr>
                <w:b/>
                <w:bCs/>
                <w:sz w:val="24"/>
                <w:szCs w:val="24"/>
              </w:rPr>
              <w:t xml:space="preserve">得</w:t>
            </w:r>
            <w:r>
              <w:rPr>
                <w:rFonts w:hint="eastAsia"/>
                <w:b/>
                <w:bCs/>
                <w:sz w:val="24"/>
                <w:szCs w:val="24"/>
              </w:rPr>
              <w:t xml:space="preserve">2</w:t>
            </w:r>
            <w:r>
              <w:rPr>
                <w:b/>
                <w:bCs/>
                <w:sz w:val="24"/>
                <w:szCs w:val="24"/>
              </w:rPr>
              <w:t xml:space="preserve">分；</w:t>
            </w:r>
            <w:r/>
          </w:p>
          <w:p>
            <w:pPr>
              <w:jc w:val="left"/>
              <w:spacing w:line="276" w:lineRule="auto"/>
              <w:rPr>
                <w:sz w:val="24"/>
                <w:szCs w:val="24"/>
              </w:rPr>
            </w:pPr>
            <w:r>
              <w:rPr>
                <w:sz w:val="24"/>
                <w:szCs w:val="24"/>
              </w:rPr>
              <w:t xml:space="preserve">方案内容有缺漏、技术架构不够合理的</w:t>
            </w:r>
            <w:r>
              <w:rPr>
                <w:b/>
                <w:bCs/>
                <w:sz w:val="24"/>
                <w:szCs w:val="24"/>
              </w:rPr>
              <w:t xml:space="preserve">得1分；</w:t>
            </w:r>
            <w:r/>
          </w:p>
          <w:p>
            <w:pPr>
              <w:jc w:val="left"/>
              <w:spacing w:line="276" w:lineRule="auto"/>
              <w:rPr>
                <w:sz w:val="24"/>
                <w:szCs w:val="24"/>
              </w:rPr>
            </w:pPr>
            <w:r>
              <w:rPr>
                <w:rFonts w:hint="eastAsia"/>
                <w:b/>
                <w:bCs/>
                <w:sz w:val="24"/>
                <w:szCs w:val="24"/>
              </w:rPr>
              <w:t xml:space="preserve">该项未见阐述</w:t>
            </w:r>
            <w:r>
              <w:rPr>
                <w:b/>
                <w:bCs/>
                <w:sz w:val="24"/>
                <w:szCs w:val="24"/>
              </w:rPr>
              <w:t xml:space="preserve">不得分。</w:t>
            </w:r>
            <w:r/>
          </w:p>
        </w:tc>
      </w:tr>
      <w:tr>
        <w:trPr>
          <w:jc w:val="center"/>
          <w:trHeight w:val="621"/>
        </w:trPr>
        <w:tc>
          <w:tcPr>
            <w:tcW w:w="1288" w:type="dxa"/>
            <w:vAlign w:val="center"/>
            <w:textDirection w:val="lrTb"/>
            <w:noWrap w:val="false"/>
          </w:tcPr>
          <w:p>
            <w:pPr>
              <w:jc w:val="center"/>
              <w:spacing w:line="276" w:lineRule="auto"/>
              <w:rPr>
                <w:sz w:val="24"/>
                <w:szCs w:val="24"/>
              </w:rPr>
            </w:pPr>
            <w:r>
              <w:rPr>
                <w:rFonts w:ascii="Segoe UI" w:hAnsi="Segoe UI" w:cs="Segoe UI"/>
                <w:color w:val="0f1115"/>
                <w:sz w:val="24"/>
                <w:szCs w:val="24"/>
                <w:shd w:val="clear" w:color="auto" w:fill="ffffff"/>
              </w:rPr>
              <w:t xml:space="preserve">适配方案</w:t>
            </w:r>
            <w:r>
              <w:rPr>
                <w:rFonts w:hint="eastAsia" w:ascii="Segoe UI" w:hAnsi="Segoe UI" w:cs="Segoe UI"/>
                <w:color w:val="0f1115"/>
                <w:sz w:val="24"/>
                <w:szCs w:val="24"/>
                <w:shd w:val="clear" w:color="auto" w:fill="ffffff"/>
              </w:rPr>
              <w:t xml:space="preserve">(</w:t>
            </w:r>
            <w:r>
              <w:rPr>
                <w:rFonts w:ascii="Segoe UI" w:hAnsi="Segoe UI" w:cs="Segoe UI"/>
                <w:color w:val="0f1115"/>
                <w:sz w:val="24"/>
                <w:szCs w:val="24"/>
                <w:shd w:val="clear" w:color="auto" w:fill="ffffff"/>
              </w:rPr>
              <w:t xml:space="preserve">4</w:t>
            </w:r>
            <w:r>
              <w:rPr>
                <w:rFonts w:hint="eastAsia" w:ascii="Segoe UI" w:hAnsi="Segoe UI" w:cs="Segoe UI"/>
                <w:color w:val="0f1115"/>
                <w:sz w:val="24"/>
                <w:szCs w:val="24"/>
                <w:shd w:val="clear" w:color="auto" w:fill="ffffff"/>
              </w:rPr>
              <w:t xml:space="preserve">分</w:t>
            </w:r>
            <w:r>
              <w:rPr>
                <w:rFonts w:ascii="Segoe UI" w:hAnsi="Segoe UI" w:cs="Segoe UI"/>
                <w:color w:val="0f1115"/>
                <w:sz w:val="24"/>
                <w:szCs w:val="24"/>
                <w:shd w:val="clear" w:color="auto" w:fill="ffffff"/>
              </w:rPr>
              <w:t xml:space="preserve">)</w:t>
            </w:r>
            <w:r/>
          </w:p>
        </w:tc>
        <w:tc>
          <w:tcPr>
            <w:tcW w:w="7042" w:type="dxa"/>
            <w:vAlign w:val="center"/>
            <w:textDirection w:val="lrTb"/>
            <w:noWrap w:val="false"/>
          </w:tcPr>
          <w:p>
            <w:pPr>
              <w:jc w:val="left"/>
              <w:spacing w:line="276" w:lineRule="auto"/>
              <w:rPr>
                <w:sz w:val="24"/>
                <w:szCs w:val="24"/>
              </w:rPr>
            </w:pPr>
            <w:r>
              <w:rPr>
                <w:sz w:val="24"/>
                <w:szCs w:val="24"/>
              </w:rPr>
              <w:t xml:space="preserve">投标人提供适配方案</w:t>
            </w:r>
            <w:r>
              <w:rPr>
                <w:rFonts w:hint="eastAsia"/>
                <w:sz w:val="24"/>
                <w:szCs w:val="24"/>
              </w:rPr>
              <w:t xml:space="preserve">，方案包含但不限于</w:t>
            </w:r>
            <w:r>
              <w:rPr>
                <w:sz w:val="24"/>
                <w:szCs w:val="24"/>
              </w:rPr>
              <w:t xml:space="preserve">服务器、操作系统、数据库、浏览器等全栈适配</w:t>
            </w:r>
            <w:r>
              <w:rPr>
                <w:rFonts w:hint="eastAsia"/>
                <w:sz w:val="24"/>
                <w:szCs w:val="24"/>
              </w:rPr>
              <w:t xml:space="preserve">。</w:t>
            </w:r>
            <w:r/>
          </w:p>
          <w:p>
            <w:pPr>
              <w:jc w:val="left"/>
              <w:spacing w:line="276" w:lineRule="auto"/>
              <w:rPr>
                <w:sz w:val="24"/>
                <w:szCs w:val="24"/>
              </w:rPr>
            </w:pPr>
            <w:r>
              <w:rPr>
                <w:sz w:val="24"/>
                <w:szCs w:val="24"/>
              </w:rPr>
              <w:t xml:space="preserve">方案内容完整，对服务器、操作系统、数据库、浏览器等全栈国产化适配有详细可行的实施方案，充分满足信创要求的</w:t>
            </w:r>
            <w:r>
              <w:rPr>
                <w:b/>
                <w:sz w:val="24"/>
                <w:szCs w:val="24"/>
              </w:rPr>
              <w:t xml:space="preserve">得</w:t>
            </w:r>
            <w:r>
              <w:rPr>
                <w:rFonts w:hint="eastAsia"/>
                <w:b/>
                <w:sz w:val="24"/>
                <w:szCs w:val="24"/>
              </w:rPr>
              <w:t xml:space="preserve">4分；</w:t>
            </w:r>
            <w:r>
              <w:rPr>
                <w:sz w:val="24"/>
                <w:szCs w:val="24"/>
              </w:rPr>
              <w:t xml:space="preserve">方案内容基本完整，对国产化适配有基本实施计划的</w:t>
            </w:r>
            <w:r>
              <w:rPr>
                <w:b/>
                <w:sz w:val="24"/>
                <w:szCs w:val="24"/>
              </w:rPr>
              <w:t xml:space="preserve">得</w:t>
            </w:r>
            <w:r>
              <w:rPr>
                <w:rFonts w:hint="eastAsia"/>
                <w:b/>
                <w:sz w:val="24"/>
                <w:szCs w:val="24"/>
              </w:rPr>
              <w:t xml:space="preserve">2分</w:t>
            </w:r>
            <w:r>
              <w:rPr>
                <w:b/>
                <w:sz w:val="24"/>
                <w:szCs w:val="24"/>
              </w:rPr>
              <w:t xml:space="preserve">；</w:t>
            </w:r>
            <w:r/>
          </w:p>
          <w:p>
            <w:pPr>
              <w:jc w:val="left"/>
              <w:spacing w:line="276" w:lineRule="auto"/>
              <w:rPr>
                <w:sz w:val="24"/>
                <w:szCs w:val="24"/>
              </w:rPr>
            </w:pPr>
            <w:r>
              <w:rPr>
                <w:sz w:val="24"/>
                <w:szCs w:val="24"/>
              </w:rPr>
              <w:t xml:space="preserve">方案内容不完整或缺乏可行性的</w:t>
            </w:r>
            <w:r>
              <w:rPr>
                <w:b/>
                <w:sz w:val="24"/>
                <w:szCs w:val="24"/>
              </w:rPr>
              <w:t xml:space="preserve">得1分；</w:t>
            </w:r>
            <w:r/>
          </w:p>
          <w:p>
            <w:pPr>
              <w:jc w:val="left"/>
              <w:spacing w:line="276" w:lineRule="auto"/>
              <w:rPr>
                <w:sz w:val="24"/>
                <w:szCs w:val="24"/>
              </w:rPr>
            </w:pPr>
            <w:r>
              <w:rPr>
                <w:rFonts w:hint="eastAsia"/>
                <w:b/>
                <w:bCs/>
                <w:sz w:val="24"/>
                <w:szCs w:val="24"/>
              </w:rPr>
              <w:t xml:space="preserve">该项未见阐述</w:t>
            </w:r>
            <w:r>
              <w:rPr>
                <w:b/>
                <w:bCs/>
                <w:sz w:val="24"/>
                <w:szCs w:val="24"/>
              </w:rPr>
              <w:t xml:space="preserve">不得分。</w:t>
            </w:r>
            <w:r/>
          </w:p>
        </w:tc>
      </w:tr>
      <w:tr>
        <w:trPr>
          <w:jc w:val="center"/>
          <w:trHeight w:val="621"/>
        </w:trPr>
        <w:tc>
          <w:tcPr>
            <w:tcW w:w="1288" w:type="dxa"/>
            <w:vAlign w:val="center"/>
            <w:textDirection w:val="lrTb"/>
            <w:noWrap w:val="false"/>
          </w:tcPr>
          <w:p>
            <w:pPr>
              <w:jc w:val="center"/>
              <w:spacing w:line="276" w:lineRule="auto"/>
              <w:rPr>
                <w:sz w:val="24"/>
                <w:szCs w:val="24"/>
              </w:rPr>
            </w:pPr>
            <w:r>
              <w:rPr>
                <w:rFonts w:ascii="Segoe UI" w:hAnsi="Segoe UI" w:cs="Segoe UI"/>
                <w:color w:val="0f1115"/>
                <w:sz w:val="24"/>
                <w:szCs w:val="24"/>
                <w:shd w:val="clear" w:color="auto" w:fill="ffffff"/>
              </w:rPr>
              <w:t xml:space="preserve">与现有平台对接方案</w:t>
            </w:r>
            <w:r>
              <w:rPr>
                <w:rFonts w:hint="eastAsia" w:ascii="Segoe UI" w:hAnsi="Segoe UI" w:cs="Segoe UI"/>
                <w:color w:val="0f1115"/>
                <w:sz w:val="24"/>
                <w:szCs w:val="24"/>
                <w:shd w:val="clear" w:color="auto" w:fill="ffffff"/>
              </w:rPr>
              <w:t xml:space="preserve">(</w:t>
            </w:r>
            <w:r>
              <w:rPr>
                <w:rFonts w:ascii="Segoe UI" w:hAnsi="Segoe UI" w:cs="Segoe UI"/>
                <w:color w:val="0f1115"/>
                <w:sz w:val="24"/>
                <w:szCs w:val="24"/>
                <w:shd w:val="clear" w:color="auto" w:fill="ffffff"/>
              </w:rPr>
              <w:t xml:space="preserve">4</w:t>
            </w:r>
            <w:r>
              <w:rPr>
                <w:rFonts w:hint="eastAsia" w:ascii="Segoe UI" w:hAnsi="Segoe UI" w:cs="Segoe UI"/>
                <w:color w:val="0f1115"/>
                <w:sz w:val="24"/>
                <w:szCs w:val="24"/>
                <w:shd w:val="clear" w:color="auto" w:fill="ffffff"/>
              </w:rPr>
              <w:t xml:space="preserve">分</w:t>
            </w:r>
            <w:r>
              <w:rPr>
                <w:rFonts w:ascii="Segoe UI" w:hAnsi="Segoe UI" w:cs="Segoe UI"/>
                <w:color w:val="0f1115"/>
                <w:sz w:val="24"/>
                <w:szCs w:val="24"/>
                <w:shd w:val="clear" w:color="auto" w:fill="ffffff"/>
              </w:rPr>
              <w:t xml:space="preserve">)</w:t>
            </w:r>
            <w:r/>
          </w:p>
        </w:tc>
        <w:tc>
          <w:tcPr>
            <w:tcW w:w="7042" w:type="dxa"/>
            <w:vAlign w:val="center"/>
            <w:textDirection w:val="lrTb"/>
            <w:noWrap w:val="false"/>
          </w:tcPr>
          <w:p>
            <w:pPr>
              <w:jc w:val="left"/>
              <w:spacing w:line="276" w:lineRule="auto"/>
              <w:rPr>
                <w:sz w:val="24"/>
                <w:szCs w:val="24"/>
              </w:rPr>
            </w:pPr>
            <w:r>
              <w:rPr>
                <w:rFonts w:hint="eastAsia"/>
                <w:sz w:val="24"/>
                <w:szCs w:val="24"/>
              </w:rPr>
              <w:t xml:space="preserve">投标人提供与现有云庭审平台对接方案，方案包含但不限于对接技术路线、对终端注册、业务接口、音视频流、数据同步等。</w:t>
            </w:r>
            <w:r/>
          </w:p>
          <w:p>
            <w:pPr>
              <w:jc w:val="left"/>
              <w:spacing w:line="276" w:lineRule="auto"/>
              <w:rPr>
                <w:b/>
                <w:sz w:val="24"/>
                <w:szCs w:val="24"/>
              </w:rPr>
            </w:pPr>
            <w:r>
              <w:rPr>
                <w:rFonts w:hint="eastAsia"/>
                <w:sz w:val="24"/>
                <w:szCs w:val="24"/>
              </w:rPr>
              <w:t xml:space="preserve">方案内容完整，对接技术路线清晰，对终端注册、业务接口、音视频流、数据同步等对接内容有详细实施方案，充分保证兼容性和业务连续性的</w:t>
            </w:r>
            <w:r>
              <w:rPr>
                <w:rFonts w:hint="eastAsia"/>
                <w:b/>
                <w:sz w:val="24"/>
                <w:szCs w:val="24"/>
              </w:rPr>
              <w:t xml:space="preserve">得4分；</w:t>
            </w:r>
            <w:r/>
          </w:p>
          <w:p>
            <w:pPr>
              <w:jc w:val="left"/>
              <w:spacing w:line="276" w:lineRule="auto"/>
              <w:rPr>
                <w:sz w:val="24"/>
                <w:szCs w:val="24"/>
              </w:rPr>
            </w:pPr>
            <w:r>
              <w:rPr>
                <w:rFonts w:hint="eastAsia"/>
                <w:sz w:val="24"/>
                <w:szCs w:val="24"/>
              </w:rPr>
              <w:t xml:space="preserve">方案内容基本完整，对接方案基本可行的</w:t>
            </w:r>
            <w:r>
              <w:rPr>
                <w:rFonts w:hint="eastAsia"/>
                <w:b/>
                <w:sz w:val="24"/>
                <w:szCs w:val="24"/>
              </w:rPr>
              <w:t xml:space="preserve">得2分；</w:t>
            </w:r>
            <w:r/>
          </w:p>
          <w:p>
            <w:pPr>
              <w:jc w:val="left"/>
              <w:spacing w:line="276" w:lineRule="auto"/>
              <w:rPr>
                <w:sz w:val="24"/>
                <w:szCs w:val="24"/>
              </w:rPr>
            </w:pPr>
            <w:r>
              <w:rPr>
                <w:rFonts w:hint="eastAsia"/>
                <w:sz w:val="24"/>
                <w:szCs w:val="24"/>
              </w:rPr>
              <w:t xml:space="preserve">方案内容不完整或可行性不足的</w:t>
            </w:r>
            <w:r>
              <w:rPr>
                <w:rFonts w:hint="eastAsia"/>
                <w:b/>
                <w:sz w:val="24"/>
                <w:szCs w:val="24"/>
              </w:rPr>
              <w:t xml:space="preserve">得1分；</w:t>
            </w:r>
            <w:r/>
          </w:p>
          <w:p>
            <w:pPr>
              <w:jc w:val="left"/>
              <w:spacing w:line="276" w:lineRule="auto"/>
              <w:rPr>
                <w:sz w:val="24"/>
                <w:szCs w:val="24"/>
              </w:rPr>
            </w:pPr>
            <w:r>
              <w:rPr>
                <w:rFonts w:hint="eastAsia"/>
                <w:b/>
                <w:bCs/>
                <w:sz w:val="24"/>
                <w:szCs w:val="24"/>
              </w:rPr>
              <w:t xml:space="preserve">该项未见阐述</w:t>
            </w:r>
            <w:r>
              <w:rPr>
                <w:b/>
                <w:bCs/>
                <w:sz w:val="24"/>
                <w:szCs w:val="24"/>
              </w:rPr>
              <w:t xml:space="preserve">不得分。</w:t>
            </w:r>
            <w:r/>
          </w:p>
        </w:tc>
      </w:tr>
      <w:tr>
        <w:trPr>
          <w:jc w:val="center"/>
          <w:trHeight w:val="621"/>
        </w:trPr>
        <w:tc>
          <w:tcPr>
            <w:tcW w:w="1288" w:type="dxa"/>
            <w:vAlign w:val="center"/>
            <w:textDirection w:val="lrTb"/>
            <w:noWrap w:val="false"/>
          </w:tcPr>
          <w:p>
            <w:pPr>
              <w:jc w:val="center"/>
              <w:spacing w:line="276" w:lineRule="auto"/>
              <w:rPr>
                <w:sz w:val="24"/>
                <w:szCs w:val="24"/>
              </w:rPr>
            </w:pPr>
            <w:r>
              <w:rPr>
                <w:rFonts w:hint="eastAsia"/>
                <w:sz w:val="24"/>
                <w:szCs w:val="24"/>
              </w:rPr>
              <w:t xml:space="preserve">项目实施管理方案</w:t>
            </w:r>
            <w:r>
              <w:rPr>
                <w:rFonts w:hint="eastAsia" w:ascii="Segoe UI" w:hAnsi="Segoe UI" w:cs="Segoe UI"/>
                <w:color w:val="0f1115"/>
                <w:sz w:val="24"/>
                <w:szCs w:val="24"/>
                <w:shd w:val="clear" w:color="auto" w:fill="ffffff"/>
              </w:rPr>
              <w:t xml:space="preserve">(</w:t>
            </w:r>
            <w:r>
              <w:rPr>
                <w:rFonts w:ascii="Segoe UI" w:hAnsi="Segoe UI" w:cs="Segoe UI"/>
                <w:color w:val="0f1115"/>
                <w:sz w:val="24"/>
                <w:szCs w:val="24"/>
                <w:shd w:val="clear" w:color="auto" w:fill="ffffff"/>
              </w:rPr>
              <w:t xml:space="preserve">4</w:t>
            </w:r>
            <w:r>
              <w:rPr>
                <w:rFonts w:hint="eastAsia" w:ascii="Segoe UI" w:hAnsi="Segoe UI" w:cs="Segoe UI"/>
                <w:color w:val="0f1115"/>
                <w:sz w:val="24"/>
                <w:szCs w:val="24"/>
                <w:shd w:val="clear" w:color="auto" w:fill="ffffff"/>
              </w:rPr>
              <w:t xml:space="preserve">分</w:t>
            </w:r>
            <w:r>
              <w:rPr>
                <w:rFonts w:ascii="Segoe UI" w:hAnsi="Segoe UI" w:cs="Segoe UI"/>
                <w:color w:val="0f1115"/>
                <w:sz w:val="24"/>
                <w:szCs w:val="24"/>
                <w:shd w:val="clear" w:color="auto" w:fill="ffffff"/>
              </w:rPr>
              <w:t xml:space="preserve">)</w:t>
            </w:r>
            <w:r/>
          </w:p>
        </w:tc>
        <w:tc>
          <w:tcPr>
            <w:tcW w:w="7042" w:type="dxa"/>
            <w:vAlign w:val="center"/>
            <w:textDirection w:val="lrTb"/>
            <w:noWrap w:val="false"/>
          </w:tcPr>
          <w:p>
            <w:pPr>
              <w:jc w:val="left"/>
              <w:spacing w:line="276" w:lineRule="auto"/>
              <w:rPr>
                <w:sz w:val="24"/>
                <w:szCs w:val="24"/>
              </w:rPr>
            </w:pPr>
            <w:r>
              <w:rPr>
                <w:rFonts w:hint="eastAsia"/>
                <w:sz w:val="24"/>
                <w:szCs w:val="24"/>
              </w:rPr>
              <w:t xml:space="preserve">投标人提供项目实施管理方案，方案包含但不限于需求分析、进度管理、质量控制、风险管理、沟通管理等。</w:t>
            </w:r>
            <w:r/>
          </w:p>
          <w:p>
            <w:pPr>
              <w:jc w:val="left"/>
              <w:spacing w:line="276" w:lineRule="auto"/>
              <w:rPr>
                <w:b/>
                <w:sz w:val="24"/>
                <w:szCs w:val="24"/>
              </w:rPr>
            </w:pPr>
            <w:r>
              <w:rPr>
                <w:rFonts w:hint="eastAsia"/>
                <w:sz w:val="24"/>
                <w:szCs w:val="24"/>
              </w:rPr>
              <w:t xml:space="preserve">方案内容完整，包含需求分析、进度管理、质量控制、风险管理、沟通管理等全流程管理内容，进度安排合理、保障措施有力的</w:t>
            </w:r>
            <w:r>
              <w:rPr>
                <w:rFonts w:hint="eastAsia"/>
                <w:b/>
                <w:sz w:val="24"/>
                <w:szCs w:val="24"/>
              </w:rPr>
              <w:t xml:space="preserve">得4分；</w:t>
            </w:r>
            <w:r/>
          </w:p>
          <w:p>
            <w:pPr>
              <w:jc w:val="left"/>
              <w:spacing w:line="276" w:lineRule="auto"/>
              <w:rPr>
                <w:sz w:val="24"/>
                <w:szCs w:val="24"/>
              </w:rPr>
            </w:pPr>
            <w:r>
              <w:rPr>
                <w:rFonts w:hint="eastAsia"/>
                <w:sz w:val="24"/>
                <w:szCs w:val="24"/>
              </w:rPr>
              <w:t xml:space="preserve">方案内容基本完整，管理措施基本可行的</w:t>
            </w:r>
            <w:r>
              <w:rPr>
                <w:rFonts w:hint="eastAsia"/>
                <w:b/>
                <w:sz w:val="24"/>
                <w:szCs w:val="24"/>
              </w:rPr>
              <w:t xml:space="preserve">得2分；</w:t>
            </w:r>
            <w:r/>
          </w:p>
          <w:p>
            <w:pPr>
              <w:jc w:val="left"/>
              <w:spacing w:line="276" w:lineRule="auto"/>
              <w:rPr>
                <w:sz w:val="24"/>
                <w:szCs w:val="24"/>
              </w:rPr>
            </w:pPr>
            <w:r>
              <w:rPr>
                <w:rFonts w:hint="eastAsia"/>
                <w:sz w:val="24"/>
                <w:szCs w:val="24"/>
              </w:rPr>
              <w:t xml:space="preserve">方案内容不完整或缺乏保障措施的</w:t>
            </w:r>
            <w:r>
              <w:rPr>
                <w:rFonts w:hint="eastAsia"/>
                <w:b/>
                <w:sz w:val="24"/>
                <w:szCs w:val="24"/>
              </w:rPr>
              <w:t xml:space="preserve">得1分；</w:t>
            </w:r>
            <w:r/>
          </w:p>
          <w:p>
            <w:pPr>
              <w:jc w:val="left"/>
              <w:spacing w:line="276" w:lineRule="auto"/>
              <w:rPr>
                <w:sz w:val="24"/>
                <w:szCs w:val="24"/>
              </w:rPr>
            </w:pPr>
            <w:r>
              <w:rPr>
                <w:rFonts w:hint="eastAsia"/>
                <w:b/>
                <w:bCs/>
                <w:sz w:val="24"/>
                <w:szCs w:val="24"/>
              </w:rPr>
              <w:t xml:space="preserve">该项未见阐述</w:t>
            </w:r>
            <w:r>
              <w:rPr>
                <w:b/>
                <w:bCs/>
                <w:sz w:val="24"/>
                <w:szCs w:val="24"/>
              </w:rPr>
              <w:t xml:space="preserve">不得分。</w:t>
            </w:r>
            <w:r/>
          </w:p>
        </w:tc>
      </w:tr>
      <w:tr>
        <w:trPr>
          <w:jc w:val="center"/>
          <w:trHeight w:val="621"/>
        </w:trPr>
        <w:tc>
          <w:tcPr>
            <w:tcW w:w="1288" w:type="dxa"/>
            <w:vAlign w:val="center"/>
            <w:textDirection w:val="lrTb"/>
            <w:noWrap w:val="false"/>
          </w:tcPr>
          <w:p>
            <w:pPr>
              <w:jc w:val="center"/>
              <w:spacing w:line="276" w:lineRule="auto"/>
              <w:rPr>
                <w:sz w:val="24"/>
                <w:szCs w:val="24"/>
              </w:rPr>
            </w:pPr>
            <w:r>
              <w:rPr>
                <w:rFonts w:ascii="Segoe UI" w:hAnsi="Segoe UI" w:cs="Segoe UI"/>
                <w:color w:val="0f1115"/>
                <w:sz w:val="24"/>
                <w:szCs w:val="24"/>
                <w:shd w:val="clear" w:color="auto" w:fill="ffffff"/>
              </w:rPr>
              <w:t xml:space="preserve">系统集成方案</w:t>
            </w:r>
            <w:r>
              <w:rPr>
                <w:rFonts w:hint="eastAsia" w:ascii="Segoe UI" w:hAnsi="Segoe UI" w:cs="Segoe UI"/>
                <w:color w:val="0f1115"/>
                <w:sz w:val="24"/>
                <w:szCs w:val="24"/>
                <w:shd w:val="clear" w:color="auto" w:fill="ffffff"/>
              </w:rPr>
              <w:t xml:space="preserve">(</w:t>
            </w:r>
            <w:r>
              <w:rPr>
                <w:rFonts w:ascii="Segoe UI" w:hAnsi="Segoe UI" w:cs="Segoe UI"/>
                <w:color w:val="0f1115"/>
                <w:sz w:val="24"/>
                <w:szCs w:val="24"/>
                <w:shd w:val="clear" w:color="auto" w:fill="ffffff"/>
              </w:rPr>
              <w:t xml:space="preserve">4</w:t>
            </w:r>
            <w:r>
              <w:rPr>
                <w:rFonts w:hint="eastAsia" w:ascii="Segoe UI" w:hAnsi="Segoe UI" w:cs="Segoe UI"/>
                <w:color w:val="0f1115"/>
                <w:sz w:val="24"/>
                <w:szCs w:val="24"/>
                <w:shd w:val="clear" w:color="auto" w:fill="ffffff"/>
              </w:rPr>
              <w:t xml:space="preserve">分</w:t>
            </w:r>
            <w:r>
              <w:rPr>
                <w:rFonts w:ascii="Segoe UI" w:hAnsi="Segoe UI" w:cs="Segoe UI"/>
                <w:color w:val="0f1115"/>
                <w:sz w:val="24"/>
                <w:szCs w:val="24"/>
                <w:shd w:val="clear" w:color="auto" w:fill="ffffff"/>
              </w:rPr>
              <w:t xml:space="preserve">)</w:t>
            </w:r>
            <w:r/>
          </w:p>
        </w:tc>
        <w:tc>
          <w:tcPr>
            <w:tcW w:w="7042" w:type="dxa"/>
            <w:vAlign w:val="center"/>
            <w:textDirection w:val="lrTb"/>
            <w:noWrap w:val="false"/>
          </w:tcPr>
          <w:p>
            <w:pPr>
              <w:jc w:val="left"/>
              <w:spacing w:line="276" w:lineRule="auto"/>
              <w:rPr>
                <w:sz w:val="24"/>
                <w:szCs w:val="24"/>
              </w:rPr>
            </w:pPr>
            <w:r>
              <w:rPr>
                <w:sz w:val="24"/>
                <w:szCs w:val="24"/>
              </w:rPr>
              <w:t xml:space="preserve">投标人提供系统集成方案</w:t>
            </w:r>
            <w:r>
              <w:rPr>
                <w:rFonts w:hint="eastAsia"/>
                <w:sz w:val="24"/>
                <w:szCs w:val="24"/>
              </w:rPr>
              <w:t xml:space="preserve">，方案包含但不限于</w:t>
            </w:r>
            <w:r>
              <w:rPr>
                <w:sz w:val="24"/>
                <w:szCs w:val="24"/>
              </w:rPr>
              <w:t xml:space="preserve">软硬件集成、网络集成、数据集成等</w:t>
            </w:r>
            <w:r>
              <w:rPr>
                <w:rFonts w:hint="eastAsia"/>
                <w:sz w:val="24"/>
                <w:szCs w:val="24"/>
              </w:rPr>
              <w:t xml:space="preserve">。</w:t>
            </w:r>
            <w:r/>
          </w:p>
          <w:p>
            <w:pPr>
              <w:jc w:val="left"/>
              <w:spacing w:line="276" w:lineRule="auto"/>
              <w:rPr>
                <w:b/>
                <w:sz w:val="24"/>
                <w:szCs w:val="24"/>
              </w:rPr>
            </w:pPr>
            <w:r>
              <w:rPr>
                <w:sz w:val="24"/>
                <w:szCs w:val="24"/>
              </w:rPr>
              <w:t xml:space="preserve">方案内容完整，对软硬件集成、网络集成、数据集成等内容有详细实施方案，集成技术路线合理、可行性强的</w:t>
            </w:r>
            <w:r>
              <w:rPr>
                <w:b/>
                <w:sz w:val="24"/>
                <w:szCs w:val="24"/>
              </w:rPr>
              <w:t xml:space="preserve">得</w:t>
            </w:r>
            <w:r>
              <w:rPr>
                <w:rFonts w:hint="eastAsia"/>
                <w:b/>
                <w:sz w:val="24"/>
                <w:szCs w:val="24"/>
              </w:rPr>
              <w:t xml:space="preserve">4分</w:t>
            </w:r>
            <w:r>
              <w:rPr>
                <w:b/>
                <w:sz w:val="24"/>
                <w:szCs w:val="24"/>
              </w:rPr>
              <w:t xml:space="preserve">；</w:t>
            </w:r>
            <w:r/>
          </w:p>
          <w:p>
            <w:pPr>
              <w:jc w:val="left"/>
              <w:spacing w:line="276" w:lineRule="auto"/>
              <w:rPr>
                <w:sz w:val="24"/>
                <w:szCs w:val="24"/>
              </w:rPr>
            </w:pPr>
            <w:r>
              <w:rPr>
                <w:sz w:val="24"/>
                <w:szCs w:val="24"/>
              </w:rPr>
              <w:t xml:space="preserve">方案内容基本完整，集成方案基本可行的</w:t>
            </w:r>
            <w:r>
              <w:rPr>
                <w:b/>
                <w:sz w:val="24"/>
                <w:szCs w:val="24"/>
              </w:rPr>
              <w:t xml:space="preserve">得</w:t>
            </w:r>
            <w:r>
              <w:rPr>
                <w:rFonts w:hint="eastAsia"/>
                <w:b/>
                <w:sz w:val="24"/>
                <w:szCs w:val="24"/>
              </w:rPr>
              <w:t xml:space="preserve">2分</w:t>
            </w:r>
            <w:r>
              <w:rPr>
                <w:b/>
                <w:sz w:val="24"/>
                <w:szCs w:val="24"/>
              </w:rPr>
              <w:t xml:space="preserve">；</w:t>
            </w:r>
            <w:r/>
          </w:p>
          <w:p>
            <w:pPr>
              <w:jc w:val="left"/>
              <w:spacing w:line="276" w:lineRule="auto"/>
              <w:rPr>
                <w:sz w:val="24"/>
                <w:szCs w:val="24"/>
              </w:rPr>
            </w:pPr>
            <w:r>
              <w:rPr>
                <w:sz w:val="24"/>
                <w:szCs w:val="24"/>
              </w:rPr>
              <w:t xml:space="preserve">方案内容不完整或可行性不足的</w:t>
            </w:r>
            <w:r>
              <w:rPr>
                <w:b/>
                <w:sz w:val="24"/>
                <w:szCs w:val="24"/>
              </w:rPr>
              <w:t xml:space="preserve">得1分；</w:t>
            </w:r>
            <w:r/>
          </w:p>
          <w:p>
            <w:pPr>
              <w:jc w:val="left"/>
              <w:spacing w:line="276" w:lineRule="auto"/>
              <w:rPr>
                <w:sz w:val="24"/>
                <w:szCs w:val="24"/>
              </w:rPr>
            </w:pPr>
            <w:r>
              <w:rPr>
                <w:rFonts w:hint="eastAsia"/>
                <w:b/>
                <w:bCs/>
                <w:sz w:val="24"/>
                <w:szCs w:val="24"/>
              </w:rPr>
              <w:t xml:space="preserve">该项未见阐述</w:t>
            </w:r>
            <w:r>
              <w:rPr>
                <w:b/>
                <w:bCs/>
                <w:sz w:val="24"/>
                <w:szCs w:val="24"/>
              </w:rPr>
              <w:t xml:space="preserve">不得分。</w:t>
            </w:r>
            <w:r/>
          </w:p>
        </w:tc>
      </w:tr>
      <w:tr>
        <w:trPr>
          <w:jc w:val="center"/>
          <w:trHeight w:val="621"/>
        </w:trPr>
        <w:tc>
          <w:tcPr>
            <w:tcW w:w="1288" w:type="dxa"/>
            <w:vAlign w:val="center"/>
            <w:textDirection w:val="lrTb"/>
            <w:noWrap w:val="false"/>
          </w:tcPr>
          <w:p>
            <w:pPr>
              <w:jc w:val="center"/>
              <w:spacing w:line="276" w:lineRule="auto"/>
              <w:rPr>
                <w:sz w:val="24"/>
                <w:szCs w:val="24"/>
              </w:rPr>
            </w:pPr>
            <w:r>
              <w:rPr>
                <w:rFonts w:ascii="Segoe UI" w:hAnsi="Segoe UI" w:cs="Segoe UI"/>
                <w:color w:val="0f1115"/>
                <w:sz w:val="24"/>
                <w:szCs w:val="24"/>
                <w:shd w:val="clear" w:color="auto" w:fill="ffffff"/>
              </w:rPr>
              <w:t xml:space="preserve">售后服务方案</w:t>
            </w:r>
            <w:r>
              <w:rPr>
                <w:rFonts w:hint="eastAsia" w:ascii="Segoe UI" w:hAnsi="Segoe UI" w:cs="Segoe UI"/>
                <w:color w:val="0f1115"/>
                <w:sz w:val="24"/>
                <w:szCs w:val="24"/>
                <w:shd w:val="clear" w:color="auto" w:fill="ffffff"/>
              </w:rPr>
              <w:t xml:space="preserve">(</w:t>
            </w:r>
            <w:r>
              <w:rPr>
                <w:rFonts w:ascii="Segoe UI" w:hAnsi="Segoe UI" w:cs="Segoe UI"/>
                <w:color w:val="0f1115"/>
                <w:sz w:val="24"/>
                <w:szCs w:val="24"/>
                <w:shd w:val="clear" w:color="auto" w:fill="ffffff"/>
              </w:rPr>
              <w:t xml:space="preserve">4</w:t>
            </w:r>
            <w:r>
              <w:rPr>
                <w:rFonts w:hint="eastAsia" w:ascii="Segoe UI" w:hAnsi="Segoe UI" w:cs="Segoe UI"/>
                <w:color w:val="0f1115"/>
                <w:sz w:val="24"/>
                <w:szCs w:val="24"/>
                <w:shd w:val="clear" w:color="auto" w:fill="ffffff"/>
              </w:rPr>
              <w:t xml:space="preserve">分</w:t>
            </w:r>
            <w:r>
              <w:rPr>
                <w:rFonts w:ascii="Segoe UI" w:hAnsi="Segoe UI" w:cs="Segoe UI"/>
                <w:color w:val="0f1115"/>
                <w:sz w:val="24"/>
                <w:szCs w:val="24"/>
                <w:shd w:val="clear" w:color="auto" w:fill="ffffff"/>
              </w:rPr>
              <w:t xml:space="preserve">)</w:t>
            </w:r>
            <w:r/>
          </w:p>
        </w:tc>
        <w:tc>
          <w:tcPr>
            <w:tcW w:w="7042" w:type="dxa"/>
            <w:vAlign w:val="center"/>
            <w:textDirection w:val="lrTb"/>
            <w:noWrap w:val="false"/>
          </w:tcPr>
          <w:p>
            <w:pPr>
              <w:jc w:val="left"/>
              <w:spacing w:line="276" w:lineRule="auto"/>
              <w:rPr>
                <w:sz w:val="24"/>
                <w:szCs w:val="24"/>
              </w:rPr>
            </w:pPr>
            <w:r>
              <w:rPr>
                <w:sz w:val="24"/>
                <w:szCs w:val="24"/>
              </w:rPr>
              <w:t xml:space="preserve">根据投标人提供的售后服务方案进行评分</w:t>
            </w:r>
            <w:r>
              <w:rPr>
                <w:rFonts w:hint="eastAsia"/>
                <w:sz w:val="24"/>
                <w:szCs w:val="24"/>
              </w:rPr>
              <w:t xml:space="preserve">：</w:t>
            </w:r>
            <w:r/>
          </w:p>
          <w:p>
            <w:pPr>
              <w:jc w:val="left"/>
              <w:spacing w:line="276" w:lineRule="auto"/>
              <w:rPr>
                <w:sz w:val="24"/>
                <w:szCs w:val="24"/>
              </w:rPr>
            </w:pPr>
            <w:r>
              <w:rPr>
                <w:sz w:val="24"/>
                <w:szCs w:val="24"/>
              </w:rPr>
              <w:t xml:space="preserve">方案内容完整，包含服务响应机制、技术支持体系、人员配备、运维保障计划等内容，服务承诺具体、保障措施有力的</w:t>
            </w:r>
            <w:r>
              <w:rPr>
                <w:b/>
                <w:sz w:val="24"/>
                <w:szCs w:val="24"/>
              </w:rPr>
              <w:t xml:space="preserve">得</w:t>
            </w:r>
            <w:r>
              <w:rPr>
                <w:rFonts w:hint="eastAsia"/>
                <w:b/>
                <w:sz w:val="24"/>
                <w:szCs w:val="24"/>
              </w:rPr>
              <w:t xml:space="preserve">4分；</w:t>
            </w:r>
            <w:r>
              <w:rPr>
                <w:sz w:val="24"/>
                <w:szCs w:val="24"/>
              </w:rPr>
              <w:t xml:space="preserve">方案内容基本完整，服务承诺基本合理的</w:t>
            </w:r>
            <w:r>
              <w:rPr>
                <w:b/>
                <w:sz w:val="24"/>
                <w:szCs w:val="24"/>
              </w:rPr>
              <w:t xml:space="preserve">得</w:t>
            </w:r>
            <w:r>
              <w:rPr>
                <w:rFonts w:hint="eastAsia"/>
                <w:b/>
                <w:sz w:val="24"/>
                <w:szCs w:val="24"/>
              </w:rPr>
              <w:t xml:space="preserve">2分</w:t>
            </w:r>
            <w:r>
              <w:rPr>
                <w:b/>
                <w:sz w:val="24"/>
                <w:szCs w:val="24"/>
              </w:rPr>
              <w:t xml:space="preserve">；</w:t>
            </w:r>
            <w:r/>
          </w:p>
          <w:p>
            <w:pPr>
              <w:jc w:val="left"/>
              <w:spacing w:line="276" w:lineRule="auto"/>
              <w:rPr>
                <w:b/>
                <w:sz w:val="24"/>
                <w:szCs w:val="24"/>
              </w:rPr>
            </w:pPr>
            <w:r>
              <w:rPr>
                <w:sz w:val="24"/>
                <w:szCs w:val="24"/>
              </w:rPr>
              <w:t xml:space="preserve">方案内容不完整或缺乏保障措施的</w:t>
            </w:r>
            <w:r>
              <w:rPr>
                <w:b/>
                <w:sz w:val="24"/>
                <w:szCs w:val="24"/>
              </w:rPr>
              <w:t xml:space="preserve">得1分；</w:t>
            </w:r>
            <w:r/>
          </w:p>
          <w:p>
            <w:pPr>
              <w:jc w:val="left"/>
              <w:spacing w:line="276" w:lineRule="auto"/>
              <w:rPr>
                <w:sz w:val="24"/>
                <w:szCs w:val="24"/>
              </w:rPr>
            </w:pPr>
            <w:r>
              <w:rPr>
                <w:rFonts w:hint="eastAsia"/>
                <w:b/>
                <w:bCs/>
                <w:sz w:val="24"/>
                <w:szCs w:val="24"/>
              </w:rPr>
              <w:t xml:space="preserve">该项未见阐述</w:t>
            </w:r>
            <w:r>
              <w:rPr>
                <w:b/>
                <w:bCs/>
                <w:sz w:val="24"/>
                <w:szCs w:val="24"/>
              </w:rPr>
              <w:t xml:space="preserve">不得分。</w:t>
            </w:r>
            <w:r/>
          </w:p>
        </w:tc>
      </w:tr>
      <w:tr>
        <w:trPr>
          <w:jc w:val="center"/>
          <w:trHeight w:val="621"/>
        </w:trPr>
        <w:tc>
          <w:tcPr>
            <w:tcW w:w="1288" w:type="dxa"/>
            <w:vAlign w:val="center"/>
            <w:textDirection w:val="lrTb"/>
            <w:noWrap w:val="false"/>
          </w:tcPr>
          <w:p>
            <w:pPr>
              <w:jc w:val="center"/>
              <w:spacing w:line="276" w:lineRule="auto"/>
              <w:rPr>
                <w:rFonts w:ascii="Segoe UI" w:hAnsi="Segoe UI" w:cs="Segoe UI"/>
                <w:color w:val="0f1115"/>
                <w:sz w:val="24"/>
                <w:szCs w:val="24"/>
                <w:shd w:val="clear" w:color="auto" w:fill="ffffff"/>
              </w:rPr>
            </w:pPr>
            <w:r>
              <w:rPr>
                <w:rFonts w:ascii="Segoe UI" w:hAnsi="Segoe UI" w:cs="Segoe UI"/>
                <w:color w:val="0f1115"/>
                <w:sz w:val="24"/>
                <w:szCs w:val="24"/>
                <w:shd w:val="clear" w:color="auto" w:fill="ffffff"/>
              </w:rPr>
              <w:t xml:space="preserve">培训方案</w:t>
            </w:r>
            <w:r>
              <w:rPr>
                <w:rFonts w:hint="eastAsia" w:ascii="Segoe UI" w:hAnsi="Segoe UI" w:cs="Segoe UI"/>
                <w:color w:val="0f1115"/>
                <w:sz w:val="24"/>
                <w:szCs w:val="24"/>
                <w:shd w:val="clear" w:color="auto" w:fill="ffffff"/>
              </w:rPr>
              <w:t xml:space="preserve">(</w:t>
            </w:r>
            <w:r>
              <w:rPr>
                <w:rFonts w:ascii="Segoe UI" w:hAnsi="Segoe UI" w:cs="Segoe UI"/>
                <w:color w:val="0f1115"/>
                <w:sz w:val="24"/>
                <w:szCs w:val="24"/>
                <w:shd w:val="clear" w:color="auto" w:fill="ffffff"/>
              </w:rPr>
              <w:t xml:space="preserve">3</w:t>
            </w:r>
            <w:r>
              <w:rPr>
                <w:rFonts w:hint="eastAsia" w:ascii="Segoe UI" w:hAnsi="Segoe UI" w:cs="Segoe UI"/>
                <w:color w:val="0f1115"/>
                <w:sz w:val="24"/>
                <w:szCs w:val="24"/>
                <w:shd w:val="clear" w:color="auto" w:fill="ffffff"/>
              </w:rPr>
              <w:t xml:space="preserve">分</w:t>
            </w:r>
            <w:r>
              <w:rPr>
                <w:rFonts w:ascii="Segoe UI" w:hAnsi="Segoe UI" w:cs="Segoe UI"/>
                <w:color w:val="0f1115"/>
                <w:sz w:val="24"/>
                <w:szCs w:val="24"/>
                <w:shd w:val="clear" w:color="auto" w:fill="ffffff"/>
              </w:rPr>
              <w:t xml:space="preserve">)</w:t>
            </w:r>
            <w:r/>
          </w:p>
        </w:tc>
        <w:tc>
          <w:tcPr>
            <w:tcW w:w="7042" w:type="dxa"/>
            <w:vAlign w:val="center"/>
            <w:textDirection w:val="lrTb"/>
            <w:noWrap w:val="false"/>
          </w:tcPr>
          <w:p>
            <w:pPr>
              <w:jc w:val="left"/>
              <w:spacing w:line="276" w:lineRule="auto"/>
              <w:rPr>
                <w:sz w:val="24"/>
                <w:szCs w:val="24"/>
              </w:rPr>
            </w:pPr>
            <w:r>
              <w:rPr>
                <w:rFonts w:hint="eastAsia"/>
                <w:sz w:val="24"/>
                <w:szCs w:val="24"/>
              </w:rPr>
              <w:t xml:space="preserve">根据投标人提供的培训方案进行评分：</w:t>
            </w:r>
            <w:r/>
          </w:p>
          <w:p>
            <w:pPr>
              <w:jc w:val="left"/>
              <w:spacing w:line="276" w:lineRule="auto"/>
              <w:rPr>
                <w:b/>
                <w:sz w:val="24"/>
                <w:szCs w:val="24"/>
              </w:rPr>
            </w:pPr>
            <w:r>
              <w:rPr>
                <w:rFonts w:hint="eastAsia"/>
                <w:sz w:val="24"/>
                <w:szCs w:val="24"/>
              </w:rPr>
              <w:t xml:space="preserve">方案内容完整，培训目标明确、培训对象清晰、培训内容全面、培训方式多样化、时间安排合理的</w:t>
            </w:r>
            <w:r>
              <w:rPr>
                <w:rFonts w:hint="eastAsia"/>
                <w:b/>
                <w:sz w:val="24"/>
                <w:szCs w:val="24"/>
              </w:rPr>
              <w:t xml:space="preserve">得3分；</w:t>
            </w:r>
            <w:r/>
          </w:p>
          <w:p>
            <w:pPr>
              <w:jc w:val="left"/>
              <w:spacing w:line="276" w:lineRule="auto"/>
              <w:rPr>
                <w:b/>
                <w:sz w:val="24"/>
                <w:szCs w:val="24"/>
              </w:rPr>
            </w:pPr>
            <w:r>
              <w:rPr>
                <w:rFonts w:hint="eastAsia"/>
                <w:sz w:val="24"/>
                <w:szCs w:val="24"/>
              </w:rPr>
              <w:t xml:space="preserve">方案内容基本完整，培训方案基本合理的</w:t>
            </w:r>
            <w:r>
              <w:rPr>
                <w:rFonts w:hint="eastAsia"/>
                <w:b/>
                <w:sz w:val="24"/>
                <w:szCs w:val="24"/>
              </w:rPr>
              <w:t xml:space="preserve">得2分；</w:t>
            </w:r>
            <w:r/>
          </w:p>
          <w:p>
            <w:pPr>
              <w:jc w:val="left"/>
              <w:spacing w:line="276" w:lineRule="auto"/>
              <w:rPr>
                <w:sz w:val="24"/>
                <w:szCs w:val="24"/>
              </w:rPr>
            </w:pPr>
            <w:r>
              <w:rPr>
                <w:rFonts w:hint="eastAsia"/>
                <w:sz w:val="24"/>
                <w:szCs w:val="24"/>
              </w:rPr>
              <w:t xml:space="preserve">方案内容不完整或缺乏可行性的</w:t>
            </w:r>
            <w:r>
              <w:rPr>
                <w:rFonts w:hint="eastAsia"/>
                <w:b/>
                <w:sz w:val="24"/>
                <w:szCs w:val="24"/>
              </w:rPr>
              <w:t xml:space="preserve">得1分；</w:t>
            </w:r>
            <w:r/>
          </w:p>
          <w:p>
            <w:pPr>
              <w:jc w:val="left"/>
              <w:spacing w:line="276" w:lineRule="auto"/>
              <w:rPr>
                <w:sz w:val="24"/>
                <w:szCs w:val="24"/>
              </w:rPr>
            </w:pPr>
            <w:r>
              <w:rPr>
                <w:rFonts w:hint="eastAsia"/>
                <w:b/>
                <w:bCs/>
                <w:sz w:val="24"/>
                <w:szCs w:val="24"/>
              </w:rPr>
              <w:t xml:space="preserve">该项未见阐述</w:t>
            </w:r>
            <w:r>
              <w:rPr>
                <w:b/>
                <w:bCs/>
                <w:sz w:val="24"/>
                <w:szCs w:val="24"/>
              </w:rPr>
              <w:t xml:space="preserve">不得分。</w:t>
            </w:r>
            <w:r/>
          </w:p>
        </w:tc>
      </w:tr>
      <w:tr>
        <w:trPr>
          <w:jc w:val="center"/>
          <w:trHeight w:val="621"/>
        </w:trPr>
        <w:tc>
          <w:tcPr>
            <w:tcW w:w="1288" w:type="dxa"/>
            <w:vAlign w:val="center"/>
            <w:textDirection w:val="lrTb"/>
            <w:noWrap w:val="false"/>
          </w:tcPr>
          <w:p>
            <w:pPr>
              <w:jc w:val="center"/>
              <w:spacing w:line="276" w:lineRule="auto"/>
              <w:rPr>
                <w:rFonts w:ascii="Segoe UI" w:hAnsi="Segoe UI" w:cs="Segoe UI"/>
                <w:color w:val="0f1115"/>
                <w:sz w:val="24"/>
                <w:szCs w:val="24"/>
                <w:shd w:val="clear" w:color="auto" w:fill="ffffff"/>
              </w:rPr>
            </w:pPr>
            <w:r>
              <w:rPr>
                <w:rFonts w:ascii="Segoe UI" w:hAnsi="Segoe UI" w:cs="Segoe UI"/>
                <w:color w:val="0f1115"/>
                <w:sz w:val="24"/>
                <w:szCs w:val="24"/>
                <w:shd w:val="clear" w:color="auto" w:fill="ffffff"/>
              </w:rPr>
              <w:t xml:space="preserve">应急响应方案</w:t>
            </w:r>
            <w:r>
              <w:rPr>
                <w:rFonts w:hint="eastAsia" w:ascii="Segoe UI" w:hAnsi="Segoe UI" w:cs="Segoe UI"/>
                <w:color w:val="0f1115"/>
                <w:sz w:val="24"/>
                <w:szCs w:val="24"/>
                <w:shd w:val="clear" w:color="auto" w:fill="ffffff"/>
              </w:rPr>
              <w:t xml:space="preserve">(</w:t>
            </w:r>
            <w:r>
              <w:rPr>
                <w:rFonts w:ascii="Segoe UI" w:hAnsi="Segoe UI" w:cs="Segoe UI"/>
                <w:color w:val="0f1115"/>
                <w:sz w:val="24"/>
                <w:szCs w:val="24"/>
                <w:shd w:val="clear" w:color="auto" w:fill="ffffff"/>
              </w:rPr>
              <w:t xml:space="preserve">3</w:t>
            </w:r>
            <w:r>
              <w:rPr>
                <w:rFonts w:hint="eastAsia" w:ascii="Segoe UI" w:hAnsi="Segoe UI" w:cs="Segoe UI"/>
                <w:color w:val="0f1115"/>
                <w:sz w:val="24"/>
                <w:szCs w:val="24"/>
                <w:shd w:val="clear" w:color="auto" w:fill="ffffff"/>
              </w:rPr>
              <w:t xml:space="preserve">分</w:t>
            </w:r>
            <w:r>
              <w:rPr>
                <w:rFonts w:ascii="Segoe UI" w:hAnsi="Segoe UI" w:cs="Segoe UI"/>
                <w:color w:val="0f1115"/>
                <w:sz w:val="24"/>
                <w:szCs w:val="24"/>
                <w:shd w:val="clear" w:color="auto" w:fill="ffffff"/>
              </w:rPr>
              <w:t xml:space="preserve">)</w:t>
            </w:r>
            <w:r/>
          </w:p>
        </w:tc>
        <w:tc>
          <w:tcPr>
            <w:tcW w:w="7042" w:type="dxa"/>
            <w:vAlign w:val="center"/>
            <w:textDirection w:val="lrTb"/>
            <w:noWrap w:val="false"/>
          </w:tcPr>
          <w:p>
            <w:pPr>
              <w:jc w:val="left"/>
              <w:spacing w:line="276" w:lineRule="auto"/>
              <w:rPr>
                <w:sz w:val="24"/>
                <w:szCs w:val="24"/>
              </w:rPr>
            </w:pPr>
            <w:r>
              <w:rPr>
                <w:rFonts w:hint="eastAsia"/>
                <w:sz w:val="24"/>
                <w:szCs w:val="24"/>
              </w:rPr>
              <w:t xml:space="preserve">根据投标人提供的应急响应方案进行评分：</w:t>
            </w:r>
            <w:r/>
          </w:p>
          <w:p>
            <w:pPr>
              <w:jc w:val="left"/>
              <w:spacing w:line="276" w:lineRule="auto"/>
              <w:rPr>
                <w:sz w:val="24"/>
                <w:szCs w:val="24"/>
              </w:rPr>
            </w:pPr>
            <w:r>
              <w:rPr>
                <w:rFonts w:hint="eastAsia"/>
                <w:sz w:val="24"/>
                <w:szCs w:val="24"/>
              </w:rPr>
              <w:t xml:space="preserve">方案内容完整，应急组织架构清晰、应急预案分级合理、应急处理流程规范、保障措施有力的</w:t>
            </w:r>
            <w:r>
              <w:rPr>
                <w:rFonts w:hint="eastAsia"/>
                <w:b/>
                <w:sz w:val="24"/>
                <w:szCs w:val="24"/>
              </w:rPr>
              <w:t xml:space="preserve">得3分；</w:t>
            </w:r>
            <w:r/>
          </w:p>
          <w:p>
            <w:pPr>
              <w:jc w:val="left"/>
              <w:spacing w:line="276" w:lineRule="auto"/>
              <w:rPr>
                <w:sz w:val="24"/>
                <w:szCs w:val="24"/>
              </w:rPr>
            </w:pPr>
            <w:r>
              <w:rPr>
                <w:rFonts w:hint="eastAsia"/>
                <w:sz w:val="24"/>
                <w:szCs w:val="24"/>
              </w:rPr>
              <w:t xml:space="preserve">方案内容基本完整，应急方案基本可行的</w:t>
            </w:r>
            <w:r>
              <w:rPr>
                <w:rFonts w:hint="eastAsia"/>
                <w:b/>
                <w:sz w:val="24"/>
                <w:szCs w:val="24"/>
              </w:rPr>
              <w:t xml:space="preserve">得2分；</w:t>
            </w:r>
            <w:r/>
          </w:p>
          <w:p>
            <w:pPr>
              <w:jc w:val="left"/>
              <w:spacing w:line="276" w:lineRule="auto"/>
              <w:rPr>
                <w:sz w:val="24"/>
                <w:szCs w:val="24"/>
              </w:rPr>
            </w:pPr>
            <w:r>
              <w:rPr>
                <w:rFonts w:hint="eastAsia"/>
                <w:sz w:val="24"/>
                <w:szCs w:val="24"/>
              </w:rPr>
              <w:t xml:space="preserve">方案内容不完整或缺乏可行性的</w:t>
            </w:r>
            <w:r>
              <w:rPr>
                <w:rFonts w:hint="eastAsia"/>
                <w:b/>
                <w:sz w:val="24"/>
                <w:szCs w:val="24"/>
              </w:rPr>
              <w:t xml:space="preserve">得1分；</w:t>
            </w:r>
            <w:r/>
          </w:p>
          <w:p>
            <w:pPr>
              <w:jc w:val="left"/>
              <w:spacing w:line="276" w:lineRule="auto"/>
              <w:rPr>
                <w:sz w:val="24"/>
                <w:szCs w:val="24"/>
              </w:rPr>
            </w:pPr>
            <w:r>
              <w:rPr>
                <w:rFonts w:hint="eastAsia"/>
                <w:b/>
                <w:bCs/>
                <w:sz w:val="24"/>
                <w:szCs w:val="24"/>
              </w:rPr>
              <w:t xml:space="preserve">该项未见阐述</w:t>
            </w:r>
            <w:r>
              <w:rPr>
                <w:b/>
                <w:bCs/>
                <w:sz w:val="24"/>
                <w:szCs w:val="24"/>
              </w:rPr>
              <w:t xml:space="preserve">不得分。</w:t>
            </w:r>
            <w:r/>
          </w:p>
        </w:tc>
      </w:tr>
    </w:tbl>
    <w:p>
      <w:pPr>
        <w:spacing w:line="360" w:lineRule="auto"/>
        <w:rPr>
          <w:rFonts w:ascii="宋体" w:hAnsi="宋体" w:eastAsia="宋体" w:cs="Calibri"/>
          <w:b/>
          <w:color w:val="000000"/>
          <w:sz w:val="24"/>
          <w:szCs w:val="24"/>
        </w:rPr>
      </w:pPr>
      <w:r>
        <w:rPr>
          <w:rFonts w:hint="eastAsia" w:ascii="宋体" w:hAnsi="宋体" w:cs="Calibri"/>
          <w:b/>
          <w:color w:val="000000"/>
          <w:sz w:val="24"/>
          <w:szCs w:val="24"/>
        </w:rPr>
        <w:t xml:space="preserve">注;</w:t>
      </w:r>
      <w:r/>
    </w:p>
    <w:p>
      <w:pPr>
        <w:spacing w:line="276" w:lineRule="auto"/>
        <w:rPr>
          <w:rFonts w:ascii="Segoe UI" w:hAnsi="Segoe UI" w:cs="Segoe UI"/>
          <w:color w:val="0f1115"/>
          <w:sz w:val="23"/>
          <w:szCs w:val="23"/>
          <w:shd w:val="clear" w:color="auto" w:fill="ffffff"/>
        </w:rPr>
      </w:pPr>
      <w:r>
        <w:rPr>
          <w:rFonts w:hint="eastAsia" w:ascii="宋体" w:hAnsi="宋体" w:cs="Calibri"/>
          <w:b/>
          <w:color w:val="000000"/>
          <w:sz w:val="24"/>
          <w:szCs w:val="24"/>
        </w:rPr>
        <w:t xml:space="preserve">1.本项目评标标准中的</w:t>
      </w:r>
      <w:r>
        <w:rPr>
          <w:rFonts w:ascii="宋体" w:hAnsi="宋体" w:cs="Calibri"/>
          <w:b/>
          <w:color w:val="000000"/>
          <w:sz w:val="24"/>
          <w:szCs w:val="24"/>
        </w:rPr>
        <w:t xml:space="preserve">技术</w:t>
      </w:r>
      <w:r>
        <w:rPr>
          <w:rFonts w:hint="eastAsia" w:ascii="宋体" w:hAnsi="宋体" w:cs="Calibri"/>
          <w:b/>
          <w:color w:val="000000"/>
          <w:sz w:val="24"/>
          <w:szCs w:val="24"/>
        </w:rPr>
        <w:t xml:space="preserve">分（</w:t>
      </w:r>
      <w:r>
        <w:rPr>
          <w:rFonts w:ascii="宋体" w:hAnsi="宋体" w:cs="Calibri"/>
          <w:b/>
          <w:color w:val="000000"/>
          <w:sz w:val="24"/>
          <w:szCs w:val="24"/>
        </w:rPr>
        <w:t xml:space="preserve">30</w:t>
      </w:r>
      <w:r>
        <w:rPr>
          <w:rFonts w:hint="eastAsia" w:ascii="宋体" w:hAnsi="宋体" w:cs="Calibri"/>
          <w:b/>
          <w:color w:val="000000"/>
          <w:sz w:val="24"/>
          <w:szCs w:val="24"/>
        </w:rPr>
        <w:t xml:space="preserve">分）采用暗标方式进行评审。</w:t>
      </w:r>
      <w:r/>
    </w:p>
    <w:p>
      <w:pPr>
        <w:spacing w:line="360" w:lineRule="auto"/>
        <w:rPr>
          <w:rFonts w:ascii="宋体" w:hAnsi="宋体" w:cs="Calibri"/>
          <w:b/>
          <w:color w:val="000000"/>
          <w:sz w:val="24"/>
          <w:szCs w:val="24"/>
        </w:rPr>
      </w:pPr>
      <w:r>
        <w:rPr>
          <w:rFonts w:hint="eastAsia" w:ascii="宋体" w:hAnsi="宋体" w:cs="Calibri"/>
          <w:b/>
          <w:color w:val="000000"/>
          <w:sz w:val="24"/>
          <w:szCs w:val="24"/>
        </w:rPr>
        <w:t xml:space="preserve">2.编制要求：</w:t>
      </w:r>
      <w:r/>
    </w:p>
    <w:p>
      <w:pPr>
        <w:spacing w:line="400" w:lineRule="exact"/>
        <w:rPr>
          <w:rFonts w:ascii="宋体" w:hAnsi="宋体" w:cs="Calibri"/>
          <w:b/>
          <w:color w:val="000000"/>
          <w:sz w:val="24"/>
          <w:szCs w:val="24"/>
        </w:rPr>
      </w:pPr>
      <w:r>
        <w:rPr>
          <w:rFonts w:hint="eastAsia" w:ascii="宋体" w:hAnsi="宋体" w:cs="Calibri"/>
          <w:b/>
          <w:color w:val="000000"/>
          <w:sz w:val="24"/>
          <w:szCs w:val="24"/>
        </w:rPr>
        <w:t xml:space="preserve">2.1方案内容、文字、各类型图表、框图均不得出现供应商名称、相关人员姓名和其他可识别供应商身份的字符、徽标、人员名称、</w:t>
      </w:r>
      <w:r>
        <w:rPr>
          <w:rFonts w:ascii="宋体" w:hAnsi="宋体" w:cs="Calibri"/>
          <w:b/>
          <w:color w:val="000000"/>
          <w:sz w:val="24"/>
          <w:szCs w:val="24"/>
        </w:rPr>
        <w:t xml:space="preserve">投标人独享的企业标准或编号</w:t>
      </w:r>
      <w:r>
        <w:rPr>
          <w:rFonts w:hint="eastAsia" w:ascii="宋体" w:hAnsi="宋体" w:cs="Calibri"/>
          <w:b/>
          <w:color w:val="000000"/>
          <w:sz w:val="24"/>
          <w:szCs w:val="24"/>
        </w:rPr>
        <w:t xml:space="preserve">等内容；不得出现能显示企业特征或批注、底纹、阴影、水印等提示性的标记或标识；不得出现以前所承担过的项目名称，不得作任何标识或暗示该供应商单位名称或人员姓名的标记，</w:t>
      </w:r>
      <w:r>
        <w:rPr>
          <w:rFonts w:ascii="宋体" w:hAnsi="宋体" w:cs="Calibri"/>
          <w:b/>
          <w:color w:val="000000"/>
          <w:sz w:val="24"/>
          <w:szCs w:val="24"/>
        </w:rPr>
        <w:t xml:space="preserve">相关人员姓名应以职务或职称代替</w:t>
      </w:r>
      <w:r>
        <w:rPr>
          <w:rFonts w:hint="eastAsia" w:ascii="宋体" w:hAnsi="宋体" w:cs="Calibri"/>
          <w:b/>
          <w:color w:val="000000"/>
          <w:sz w:val="24"/>
          <w:szCs w:val="24"/>
        </w:rPr>
        <w:t xml:space="preserve">。</w:t>
      </w:r>
      <w:r/>
    </w:p>
    <w:p>
      <w:pPr>
        <w:jc w:val="left"/>
        <w:spacing w:line="360" w:lineRule="auto"/>
        <w:widowControl/>
        <w:rPr>
          <w:rFonts w:ascii="宋体" w:hAnsi="宋体" w:cs="Calibri"/>
          <w:b/>
          <w:bCs/>
          <w:color w:val="000000"/>
          <w:sz w:val="24"/>
          <w:szCs w:val="24"/>
        </w:rPr>
      </w:pPr>
      <w:r>
        <w:rPr>
          <w:rFonts w:hint="eastAsia" w:ascii="宋体" w:hAnsi="宋体" w:cs="Calibri"/>
          <w:b/>
          <w:color w:val="000000"/>
          <w:sz w:val="24"/>
          <w:szCs w:val="24"/>
        </w:rPr>
        <w:t xml:space="preserve">2.2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jc w:val="left"/>
        <w:spacing w:line="360" w:lineRule="auto"/>
        <w:widowControl/>
        <w:rPr>
          <w:rFonts w:ascii="宋体" w:hAnsi="宋体" w:cs="Calibri"/>
          <w:b/>
          <w:color w:val="000000"/>
          <w:sz w:val="24"/>
          <w:szCs w:val="24"/>
        </w:rPr>
      </w:pPr>
      <w:r>
        <w:rPr>
          <w:rFonts w:hint="eastAsia" w:ascii="宋体" w:hAnsi="宋体" w:cs="Calibri"/>
          <w:b/>
          <w:color w:val="000000"/>
          <w:sz w:val="24"/>
          <w:szCs w:val="24"/>
        </w:rPr>
        <w:t xml:space="preserve">2.3供应商需按照上述要求编制方案，未按要求编制的本项（3</w:t>
      </w:r>
      <w:r>
        <w:rPr>
          <w:rFonts w:ascii="宋体" w:hAnsi="宋体" w:cs="Calibri"/>
          <w:b/>
          <w:color w:val="000000"/>
          <w:sz w:val="24"/>
          <w:szCs w:val="24"/>
        </w:rPr>
        <w:t xml:space="preserve">0</w:t>
      </w:r>
      <w:r>
        <w:rPr>
          <w:rFonts w:hint="eastAsia" w:ascii="宋体" w:hAnsi="宋体" w:cs="Calibri"/>
          <w:b/>
          <w:color w:val="000000"/>
          <w:sz w:val="24"/>
          <w:szCs w:val="24"/>
        </w:rPr>
        <w:t xml:space="preserve">分）不得分。</w:t>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pStyle w:val="720"/>
        <w:jc w:val="center"/>
        <w:spacing w:before="156" w:after="156" w:line="360" w:lineRule="auto"/>
        <w:rPr>
          <w:rFonts w:ascii="黑体" w:hAnsi="黑体" w:eastAsia="黑体"/>
          <w:b w:val="0"/>
        </w:rPr>
      </w:pPr>
      <w:r/>
      <w:bookmarkStart w:id="11" w:name="_Toc163482578"/>
      <w:r>
        <w:rPr>
          <w:rFonts w:hint="eastAsia" w:ascii="黑体" w:hAnsi="黑体" w:eastAsia="黑体"/>
          <w:b w:val="0"/>
        </w:rPr>
        <w:t xml:space="preserve">第六章  投标文件格式</w:t>
      </w:r>
      <w:bookmarkEnd w:id="11"/>
      <w:r/>
      <w:r/>
    </w:p>
    <w:p>
      <w:pPr>
        <w:jc w:val="left"/>
        <w:spacing w:line="500" w:lineRule="exact"/>
        <w:rPr>
          <w:sz w:val="24"/>
          <w:szCs w:val="24"/>
        </w:rPr>
      </w:pPr>
      <w:r>
        <w:rPr>
          <w:sz w:val="24"/>
          <w:szCs w:val="24"/>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hint="eastAsia" w:ascii="宋体" w:hAnsi="宋体" w:eastAsia="宋体" w:cs="Times New Roman"/>
          <w:b/>
          <w:color w:val="000000"/>
          <w:sz w:val="72"/>
          <w:szCs w:val="21"/>
        </w:rPr>
        <w:t xml:space="preserve">投  标  文  件</w:t>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72"/>
          <w:szCs w:val="21"/>
        </w:rPr>
      </w:pPr>
      <w:r>
        <w:rPr>
          <w:rFonts w:ascii="宋体" w:hAnsi="宋体" w:eastAsia="宋体" w:cs="Times New Roman"/>
          <w:b/>
          <w:color w:val="000000"/>
          <w:sz w:val="72"/>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jc w:val="center"/>
        <w:rPr>
          <w:rFonts w:ascii="宋体" w:hAnsi="宋体" w:eastAsia="宋体" w:cs="Times New Roman"/>
          <w:b/>
          <w:color w:val="000000"/>
          <w:sz w:val="36"/>
          <w:szCs w:val="21"/>
        </w:rPr>
      </w:pPr>
      <w:r>
        <w:rPr>
          <w:rFonts w:ascii="宋体" w:hAnsi="宋体" w:eastAsia="宋体" w:cs="Times New Roman"/>
          <w:b/>
          <w:color w:val="000000"/>
          <w:sz w:val="36"/>
          <w:szCs w:val="21"/>
        </w:rPr>
      </w:r>
      <w:r/>
    </w:p>
    <w:p>
      <w:pPr>
        <w:ind w:firstLine="1084"/>
        <w:rPr>
          <w:rFonts w:ascii="宋体" w:hAnsi="宋体" w:eastAsia="宋体" w:cs="Times New Roman"/>
          <w:b/>
          <w:color w:val="000000"/>
          <w:sz w:val="36"/>
          <w:szCs w:val="21"/>
        </w:rPr>
      </w:pPr>
      <w:r>
        <w:rPr>
          <w:rFonts w:hint="eastAsia" w:ascii="宋体" w:hAnsi="宋体" w:eastAsia="宋体" w:cs="Times New Roman"/>
          <w:b/>
          <w:color w:val="000000"/>
          <w:sz w:val="36"/>
          <w:szCs w:val="21"/>
        </w:rPr>
        <w:t xml:space="preserve">项 目 名 称：</w:t>
      </w:r>
      <w:r/>
    </w:p>
    <w:p>
      <w:pPr>
        <w:ind w:firstLine="1084"/>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项 目 编 号：</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投标人名称 ：</w:t>
      </w:r>
      <w:r>
        <w:rPr>
          <w:rFonts w:hint="eastAsia" w:ascii="宋体" w:hAnsi="宋体" w:eastAsia="宋体" w:cs="Times New Roman"/>
          <w:b/>
          <w:color w:val="000000"/>
          <w:sz w:val="36"/>
          <w:szCs w:val="21"/>
          <w:u w:val="single"/>
        </w:rPr>
        <w:t xml:space="preserve">（加盖CA电子公章）</w:t>
      </w:r>
      <w:r/>
    </w:p>
    <w:p>
      <w:pPr>
        <w:rPr>
          <w:rFonts w:ascii="宋体" w:hAnsi="宋体" w:eastAsia="宋体" w:cs="Times New Roman"/>
          <w:b/>
          <w:color w:val="000000"/>
          <w:sz w:val="36"/>
          <w:szCs w:val="21"/>
          <w:u w:val="single"/>
        </w:rPr>
      </w:pPr>
      <w:r>
        <w:rPr>
          <w:rFonts w:hint="eastAsia" w:ascii="宋体" w:hAnsi="宋体" w:eastAsia="宋体" w:cs="Times New Roman"/>
          <w:b/>
          <w:color w:val="000000"/>
          <w:sz w:val="36"/>
          <w:szCs w:val="21"/>
        </w:rPr>
        <w:t xml:space="preserve">      日      期 ：</w:t>
      </w:r>
      <w:r/>
    </w:p>
    <w:p>
      <w:pPr>
        <w:jc w:val="center"/>
        <w:spacing w:line="440" w:lineRule="exact"/>
        <w:rPr>
          <w:rFonts w:ascii="宋体" w:hAnsi="宋体" w:eastAsia="宋体" w:cs="Times New Roman"/>
          <w:b/>
          <w:bCs/>
          <w:color w:val="000000"/>
          <w:sz w:val="32"/>
          <w:szCs w:val="32"/>
        </w:rPr>
      </w:pPr>
      <w:r>
        <w:rPr>
          <w:rFonts w:ascii="宋体" w:hAnsi="宋体" w:eastAsia="宋体" w:cs="Times New Roman"/>
          <w:b/>
          <w:bCs/>
          <w:color w:val="000000"/>
          <w:sz w:val="32"/>
          <w:szCs w:val="32"/>
        </w:rPr>
      </w:r>
      <w:r/>
    </w:p>
    <w:p>
      <w:pPr>
        <w:spacing w:line="440" w:lineRule="exact"/>
        <w:rPr>
          <w:rFonts w:ascii="宋体" w:hAnsi="宋体" w:eastAsia="宋体" w:cs="Times New Roman"/>
          <w:color w:val="000000"/>
          <w:szCs w:val="21"/>
        </w:rPr>
      </w:pPr>
      <w:r>
        <w:rPr>
          <w:rFonts w:ascii="宋体" w:hAnsi="宋体" w:eastAsia="宋体" w:cs="Times New Roman"/>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eastAsia="宋体" w:cs="宋体"/>
          <w:sz w:val="32"/>
          <w:szCs w:val="36"/>
        </w:rPr>
        <w:outlineLvl w:val="1"/>
      </w:pPr>
      <w:r>
        <w:rPr>
          <w:rFonts w:hint="eastAsia" w:ascii="宋体" w:hAnsi="宋体" w:eastAsia="宋体" w:cs="宋体"/>
          <w:sz w:val="32"/>
          <w:szCs w:val="36"/>
        </w:rPr>
        <w:t xml:space="preserve">一、法人或者其他组织的营业执照等证明文件，自然人的身份证明</w:t>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r/>
      <w:r/>
    </w:p>
    <w:p>
      <w:r/>
      <w:r/>
    </w:p>
    <w:p>
      <w:pPr>
        <w:rPr>
          <w:b/>
          <w:sz w:val="24"/>
        </w:rPr>
      </w:pPr>
      <w:r>
        <w:rPr>
          <w:rFonts w:hint="eastAsia"/>
          <w:b/>
          <w:sz w:val="24"/>
        </w:rPr>
        <w:t xml:space="preserve">承诺函：</w:t>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hAnsi="Calibri" w:eastAsia="宋体" w:cs="Times New Roman"/>
          <w:color w:val="000000"/>
          <w:szCs w:val="24"/>
        </w:rPr>
      </w:pPr>
      <w:r>
        <w:rPr>
          <w:rFonts w:ascii="MS Mincho" w:hAnsi="Calibri" w:eastAsia="宋体" w:cs="Times New Roman"/>
          <w:color w:val="000000"/>
          <w:szCs w:val="24"/>
        </w:rPr>
      </w:r>
      <w:r/>
    </w:p>
    <w:p>
      <w:pPr>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采购人名称</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w:t>
      </w:r>
      <w:r>
        <w:rPr>
          <w:rFonts w:hint="eastAsia"/>
          <w:sz w:val="24"/>
          <w:szCs w:val="24"/>
          <w:u w:val="single"/>
        </w:rPr>
        <w:t xml:space="preserve">供应商</w:t>
      </w:r>
      <w:r>
        <w:rPr>
          <w:rFonts w:hint="eastAsia" w:ascii="Calibri" w:hAnsi="Calibri" w:eastAsia="宋体" w:cs="Times New Roman"/>
          <w:sz w:val="24"/>
          <w:szCs w:val="24"/>
          <w:u w:val="single"/>
        </w:rPr>
        <w:t xml:space="preserve">名称</w:t>
      </w:r>
      <w:r>
        <w:rPr>
          <w:rFonts w:hint="eastAsia" w:ascii="Calibri" w:hAnsi="Calibri" w:eastAsia="宋体" w:cs="Times New Roman"/>
          <w:sz w:val="24"/>
          <w:szCs w:val="24"/>
        </w:rPr>
        <w:t xml:space="preserve">参加</w:t>
      </w:r>
      <w:r>
        <w:rPr>
          <w:rFonts w:hint="eastAsia" w:ascii="Calibri" w:hAnsi="Calibri" w:eastAsia="宋体" w:cs="Times New Roman"/>
          <w:sz w:val="24"/>
          <w:szCs w:val="24"/>
          <w:u w:val="single"/>
        </w:rPr>
        <w:t xml:space="preserve">项目名称</w:t>
      </w:r>
      <w:r>
        <w:rPr>
          <w:rFonts w:hint="eastAsia" w:ascii="Calibri" w:hAnsi="Calibri" w:eastAsia="宋体" w:cs="Times New Roman"/>
          <w:sz w:val="24"/>
          <w:szCs w:val="24"/>
        </w:rPr>
        <w:t xml:space="preserve">（项目编号：</w:t>
      </w:r>
      <w:r>
        <w:rPr>
          <w:rFonts w:hint="eastAsia" w:ascii="Calibri" w:hAnsi="Calibri" w:eastAsia="宋体" w:cs="Times New Roman"/>
          <w:sz w:val="24"/>
          <w:szCs w:val="24"/>
          <w:u w:val="single"/>
        </w:rPr>
        <w:t xml:space="preserve">项目编号</w:t>
      </w:r>
      <w:r>
        <w:rPr>
          <w:rFonts w:hint="eastAsia" w:ascii="Calibri" w:hAnsi="Calibri" w:eastAsia="宋体" w:cs="Times New Roman"/>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（1）具有良好的商业信誉和健全的财务会计制度（财务状况报告）；</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（2）有依法缴纳税收和社会保障资金的良好记录。</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特此承诺</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投标人（公章）：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或委托代理人（签名或签章）：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四、具备履行合同所必需的设备和专业技术能力的声明及证明材料</w:t>
      </w:r>
      <w:r/>
    </w:p>
    <w:p>
      <w:r/>
      <w:r/>
    </w:p>
    <w:p>
      <w:pPr>
        <w:jc w:val="center"/>
        <w:spacing w:line="460" w:lineRule="exact"/>
        <w:rPr>
          <w:rFonts w:ascii="黑体" w:hAnsi="黑体" w:eastAsia="黑体" w:cs="宋体"/>
          <w:bCs/>
          <w:sz w:val="36"/>
          <w:szCs w:val="28"/>
        </w:rPr>
      </w:pPr>
      <w:r>
        <w:rPr>
          <w:rFonts w:hint="eastAsia" w:ascii="黑体" w:hAnsi="黑体" w:eastAsia="黑体" w:cs="宋体"/>
          <w:bCs/>
          <w:sz w:val="36"/>
          <w:szCs w:val="28"/>
        </w:rPr>
        <w:t xml:space="preserve">具备履行合同所必需的设备和专业技术能力的声明及证明材料</w:t>
      </w:r>
      <w:r/>
    </w:p>
    <w:p>
      <w:pPr>
        <w:jc w:val="center"/>
        <w:spacing w:line="460" w:lineRule="exact"/>
        <w:rPr>
          <w:rFonts w:ascii="黑体" w:hAnsi="黑体" w:eastAsia="黑体" w:cs="宋体"/>
          <w:bCs/>
          <w:sz w:val="36"/>
          <w:szCs w:val="28"/>
        </w:rPr>
      </w:pPr>
      <w:r>
        <w:rPr>
          <w:rFonts w:ascii="黑体" w:hAnsi="黑体" w:eastAsia="黑体" w:cs="宋体"/>
          <w:bCs/>
          <w:sz w:val="36"/>
          <w:szCs w:val="28"/>
        </w:rPr>
      </w:r>
      <w:r/>
    </w:p>
    <w:p>
      <w:pPr>
        <w:jc w:val="center"/>
        <w:spacing w:line="46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我单位郑重声明：我单位具备履行本项采购合同所必需的设备和专业技术能力，为履行本项采购合同我公司具备如下主要设备和主要专业技术能力：</w:t>
      </w:r>
      <w:r/>
    </w:p>
    <w:p>
      <w:pPr>
        <w:ind w:firstLine="480"/>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主要设备有：。（须附证明材料）</w:t>
      </w:r>
      <w:r/>
    </w:p>
    <w:p>
      <w:pPr>
        <w:jc w:val="left"/>
        <w:rPr>
          <w:rFonts w:ascii="Calibri" w:hAnsi="Calibri" w:eastAsia="宋体" w:cs="Times New Roman"/>
          <w:sz w:val="24"/>
          <w:szCs w:val="24"/>
        </w:rPr>
      </w:pPr>
      <w:r>
        <w:rPr>
          <w:rFonts w:ascii="Calibri" w:hAnsi="Calibri" w:eastAsia="宋体" w:cs="Times New Roman"/>
          <w:sz w:val="24"/>
          <w:szCs w:val="24"/>
        </w:rPr>
      </w:r>
      <w:r/>
    </w:p>
    <w:p>
      <w:pPr>
        <w:jc w:val="left"/>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主要专业技术能力有：。（须附证明材料）</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附主要设备和主要专业技术能力的证明材料如下：</w:t>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ascii="Calibri" w:hAnsi="Calibri" w:eastAsia="宋体" w:cs="Times New Roman"/>
          <w:sz w:val="24"/>
          <w:szCs w:val="24"/>
        </w:rPr>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spacing w:line="360" w:lineRule="auto"/>
        <w:rPr>
          <w:rFonts w:ascii="Times New Roman" w:hAnsi="Times New Roman" w:eastAsia="宋体" w:cs="Times New Roman"/>
          <w:color w:val="000000"/>
          <w:sz w:val="24"/>
          <w:szCs w:val="24"/>
        </w:rPr>
      </w:pPr>
      <w:r>
        <w:rPr>
          <w:rFonts w:ascii="Times New Roman" w:hAnsi="Times New Roman" w:eastAsia="宋体" w:cs="Times New Roman"/>
          <w:color w:val="000000"/>
          <w:sz w:val="24"/>
          <w:szCs w:val="24"/>
        </w:rPr>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五、参加政府采购活动前3年内在经营活动中没有重大违法记录的书面声明</w:t>
      </w:r>
      <w:r/>
    </w:p>
    <w:p>
      <w:r/>
      <w:r/>
    </w:p>
    <w:p>
      <w:pPr>
        <w:jc w:val="center"/>
        <w:spacing w:line="460" w:lineRule="exact"/>
        <w:rPr>
          <w:rFonts w:ascii="宋体" w:hAnsi="宋体" w:eastAsia="宋体" w:cs="Times New Roman"/>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jc w:val="left"/>
        <w:spacing w:line="500" w:lineRule="exact"/>
        <w:rPr>
          <w:rFonts w:ascii="Calibri" w:hAnsi="Calibri" w:eastAsia="宋体" w:cs="Times New Roman"/>
          <w:sz w:val="24"/>
          <w:szCs w:val="24"/>
        </w:rPr>
      </w:pPr>
      <w:r>
        <w:rPr>
          <w:rFonts w:ascii="Calibri" w:hAnsi="Calibri" w:eastAsia="宋体" w:cs="Times New Roman"/>
          <w:sz w:val="24"/>
          <w:szCs w:val="24"/>
        </w:rPr>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投标人（盖章）：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法定代表人</w:t>
      </w:r>
      <w:r>
        <w:rPr>
          <w:rFonts w:ascii="Calibri" w:hAnsi="Calibri" w:eastAsia="宋体" w:cs="Times New Roman"/>
          <w:sz w:val="24"/>
          <w:szCs w:val="24"/>
        </w:rPr>
        <w:t xml:space="preserve">（单位负责人）</w:t>
      </w:r>
      <w:r>
        <w:rPr>
          <w:rFonts w:hint="eastAsia" w:ascii="Calibri" w:hAnsi="Calibri" w:eastAsia="宋体" w:cs="Times New Roman"/>
          <w:sz w:val="24"/>
          <w:szCs w:val="24"/>
        </w:rPr>
        <w:t xml:space="preserve">或委托代理人（签字或盖章）：</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六、落实政府采购政策需满足的资格要求的证明文件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七、特定资格要求的证明文件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八、法律、行政法规规定的其他条件的证明文件</w:t>
      </w:r>
      <w:r/>
    </w:p>
    <w:p>
      <w:pPr>
        <w:ind w:firstLine="480"/>
        <w:jc w:val="left"/>
        <w:spacing w:line="500" w:lineRule="exact"/>
        <w:rPr>
          <w:rFonts w:ascii="Calibri" w:hAnsi="Calibri" w:eastAsia="宋体" w:cs="Times New Roman"/>
          <w:sz w:val="24"/>
          <w:szCs w:val="24"/>
        </w:rPr>
      </w:pPr>
      <w:r>
        <w:rPr>
          <w:rFonts w:hint="eastAsia" w:ascii="Calibri" w:hAnsi="Calibri" w:eastAsia="宋体" w:cs="Times New Roman"/>
          <w:sz w:val="24"/>
          <w:szCs w:val="24"/>
        </w:rPr>
        <w:t xml:space="preserve">（如有，请按要求提供）</w:t>
      </w:r>
      <w:r/>
    </w:p>
    <w:p>
      <w:r/>
      <w:r/>
    </w:p>
    <w:p>
      <w:r/>
      <w:r/>
    </w:p>
    <w:p>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九、授权委托书与法定代表人（单位负责人）身份证明</w:t>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r>
      <w:r/>
    </w:p>
    <w:p>
      <w:pPr>
        <w:jc w:val="center"/>
        <w:spacing w:line="360" w:lineRule="exact"/>
        <w:rPr>
          <w:rFonts w:ascii="宋体" w:hAnsi="宋体" w:eastAsia="宋体" w:cs="Times New Roman"/>
          <w:b/>
          <w:color w:val="000000"/>
          <w:sz w:val="36"/>
          <w:szCs w:val="36"/>
        </w:rPr>
      </w:pPr>
      <w:r>
        <w:rPr>
          <w:rFonts w:hint="eastAsia" w:ascii="宋体" w:hAnsi="宋体" w:eastAsia="宋体" w:cs="Times New Roman"/>
          <w:b/>
          <w:color w:val="000000"/>
          <w:sz w:val="36"/>
          <w:szCs w:val="36"/>
        </w:rPr>
        <w:t xml:space="preserve">授权委托书</w:t>
      </w:r>
      <w:r/>
    </w:p>
    <w:p>
      <w:pPr>
        <w:spacing w:line="360" w:lineRule="auto"/>
        <w:rPr>
          <w:rFonts w:ascii="Calibri" w:hAnsi="Calibri" w:eastAsia="宋体" w:cs="Times New Roman"/>
          <w:sz w:val="24"/>
          <w:szCs w:val="24"/>
        </w:rPr>
      </w:pPr>
      <w:r>
        <w:rPr>
          <w:rFonts w:ascii="Calibri" w:hAnsi="Calibri" w:eastAsia="宋体" w:cs="Times New Roman"/>
          <w:sz w:val="24"/>
          <w:szCs w:val="24"/>
        </w:rPr>
        <w:t xml:space="preserve">致：</w:t>
      </w:r>
      <w:r>
        <w:rPr>
          <w:rFonts w:hint="eastAsia" w:ascii="Calibri" w:hAnsi="Calibri" w:eastAsia="宋体" w:cs="Times New Roman"/>
          <w:sz w:val="24"/>
          <w:szCs w:val="24"/>
          <w:u w:val="single"/>
        </w:rPr>
        <w:t xml:space="preserve">采购单位</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本人</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hint="eastAsia" w:ascii="Calibri" w:hAnsi="Calibri" w:eastAsia="宋体" w:cs="Times New Roman"/>
          <w:sz w:val="24"/>
          <w:szCs w:val="24"/>
        </w:rPr>
        <w:t xml:space="preserve">的</w:t>
      </w:r>
      <w:r>
        <w:rPr>
          <w:rFonts w:ascii="Calibri" w:hAnsi="Calibri" w:eastAsia="宋体" w:cs="Times New Roman"/>
          <w:sz w:val="24"/>
          <w:szCs w:val="24"/>
        </w:rPr>
        <w:t xml:space="preserve">法定代表人（</w:t>
      </w:r>
      <w:r>
        <w:rPr>
          <w:rFonts w:hint="eastAsia" w:ascii="Calibri" w:hAnsi="Calibri" w:eastAsia="宋体" w:cs="Times New Roman"/>
          <w:sz w:val="24"/>
          <w:szCs w:val="24"/>
        </w:rPr>
        <w:t xml:space="preserve">单位</w:t>
      </w:r>
      <w:r>
        <w:rPr>
          <w:rFonts w:ascii="Calibri" w:hAnsi="Calibri" w:eastAsia="宋体" w:cs="Times New Roman"/>
          <w:sz w:val="24"/>
          <w:szCs w:val="24"/>
        </w:rPr>
        <w:t xml:space="preserve">负责人）</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现委托</w:t>
      </w:r>
      <w:r>
        <w:rPr>
          <w:rFonts w:hint="eastAsia" w:ascii="Calibri" w:hAnsi="Calibri" w:eastAsia="宋体" w:cs="Times New Roman"/>
          <w:sz w:val="24"/>
          <w:szCs w:val="24"/>
          <w:u w:val="single"/>
        </w:rPr>
        <w:t xml:space="preserve"> （姓名</w:t>
      </w:r>
      <w:r>
        <w:rPr>
          <w:rFonts w:ascii="Calibri" w:hAnsi="Calibri" w:eastAsia="宋体" w:cs="Times New Roman"/>
          <w:sz w:val="24"/>
          <w:szCs w:val="24"/>
          <w:u w:val="single"/>
        </w:rPr>
        <w:t xml:space="preserve">）</w:t>
      </w:r>
      <w:r>
        <w:rPr>
          <w:rFonts w:hint="eastAsia" w:ascii="Calibri" w:hAnsi="Calibri" w:eastAsia="宋体" w:cs="Times New Roman"/>
          <w:sz w:val="24"/>
          <w:szCs w:val="24"/>
        </w:rPr>
        <w:t xml:space="preserve">为</w:t>
      </w:r>
      <w:r>
        <w:rPr>
          <w:rFonts w:ascii="Calibri" w:hAnsi="Calibri" w:eastAsia="宋体" w:cs="Times New Roman"/>
          <w:sz w:val="24"/>
          <w:szCs w:val="24"/>
        </w:rPr>
        <w:t xml:space="preserve">我方代理人</w:t>
      </w:r>
      <w:r>
        <w:rPr>
          <w:rFonts w:hint="eastAsia" w:ascii="Calibri" w:hAnsi="Calibri" w:eastAsia="宋体" w:cs="Times New Roman"/>
          <w:sz w:val="24"/>
          <w:szCs w:val="24"/>
        </w:rPr>
        <w:t xml:space="preserve">,</w:t>
      </w:r>
      <w:r>
        <w:rPr>
          <w:rFonts w:hint="eastAsia" w:ascii="Calibri" w:hAnsi="Calibri" w:eastAsia="宋体" w:cs="Times New Roman"/>
          <w:sz w:val="24"/>
          <w:szCs w:val="24"/>
        </w:rPr>
        <w:t xml:space="preserve"> 联系电话：</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代理人根据</w:t>
      </w:r>
      <w:r>
        <w:rPr>
          <w:rFonts w:ascii="Calibri" w:hAnsi="Calibri" w:eastAsia="宋体" w:cs="Times New Roman"/>
          <w:sz w:val="24"/>
          <w:szCs w:val="24"/>
        </w:rPr>
        <w:t xml:space="preserve">授权，以我方名义签署、澄清确认、递交、撤回、修改</w:t>
      </w:r>
      <w:r>
        <w:rPr>
          <w:rFonts w:hint="eastAsia" w:ascii="Calibri" w:hAnsi="Calibri" w:eastAsia="宋体" w:cs="Times New Roman"/>
          <w:sz w:val="24"/>
          <w:szCs w:val="24"/>
          <w:u w:val="single"/>
        </w:rPr>
        <w:t xml:space="preserve"> （项目名称） </w:t>
      </w:r>
      <w:r>
        <w:rPr>
          <w:rFonts w:hint="eastAsia" w:ascii="Calibri" w:hAnsi="Calibri" w:eastAsia="宋体" w:cs="Times New Roman"/>
          <w:sz w:val="24"/>
          <w:szCs w:val="24"/>
        </w:rPr>
        <w:t xml:space="preserve">项目（项目编号：）投标</w:t>
      </w:r>
      <w:r>
        <w:rPr>
          <w:rFonts w:ascii="Calibri" w:hAnsi="Calibri" w:eastAsia="宋体" w:cs="Times New Roman"/>
          <w:sz w:val="24"/>
          <w:szCs w:val="24"/>
        </w:rPr>
        <w:t xml:space="preserve">文件</w:t>
      </w:r>
      <w:r>
        <w:rPr>
          <w:rFonts w:hint="eastAsia" w:ascii="Calibri" w:hAnsi="Calibri" w:eastAsia="宋体" w:cs="Times New Roman"/>
          <w:sz w:val="24"/>
          <w:szCs w:val="24"/>
        </w:rPr>
        <w:t xml:space="preserve">和</w:t>
      </w:r>
      <w:r>
        <w:rPr>
          <w:rFonts w:ascii="Calibri" w:hAnsi="Calibri" w:eastAsia="宋体" w:cs="Times New Roman"/>
          <w:sz w:val="24"/>
          <w:szCs w:val="24"/>
        </w:rPr>
        <w:t xml:space="preserve">处理有关事宜，其法律后果由我方承担。</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w:t>
      </w:r>
      <w:r>
        <w:rPr>
          <w:rFonts w:ascii="Calibri" w:hAnsi="Calibri" w:eastAsia="宋体" w:cs="Times New Roman"/>
          <w:sz w:val="24"/>
          <w:szCs w:val="24"/>
        </w:rPr>
        <w:t xml:space="preserve">期限：自本</w:t>
      </w:r>
      <w:r>
        <w:rPr>
          <w:rFonts w:hint="eastAsia" w:ascii="Calibri" w:hAnsi="Calibri" w:eastAsia="宋体" w:cs="Times New Roman"/>
          <w:sz w:val="24"/>
          <w:szCs w:val="24"/>
        </w:rPr>
        <w:t xml:space="preserve">授权</w:t>
      </w:r>
      <w:r>
        <w:rPr>
          <w:rFonts w:ascii="Calibri" w:hAnsi="Calibri" w:eastAsia="宋体" w:cs="Times New Roman"/>
          <w:sz w:val="24"/>
          <w:szCs w:val="24"/>
        </w:rPr>
        <w:t xml:space="preserve">委托书签署之日起至</w:t>
      </w:r>
      <w:r>
        <w:rPr>
          <w:rFonts w:hint="eastAsia" w:ascii="Calibri" w:hAnsi="Calibri" w:eastAsia="宋体" w:cs="Times New Roman"/>
          <w:sz w:val="24"/>
          <w:szCs w:val="24"/>
        </w:rPr>
        <w:t xml:space="preserve">响应</w:t>
      </w:r>
      <w:r>
        <w:rPr>
          <w:rFonts w:ascii="Calibri" w:hAnsi="Calibri" w:eastAsia="宋体" w:cs="Times New Roman"/>
          <w:sz w:val="24"/>
          <w:szCs w:val="24"/>
        </w:rPr>
        <w:t xml:space="preserve">有效期</w:t>
      </w:r>
      <w:r>
        <w:rPr>
          <w:rFonts w:hint="eastAsia" w:ascii="Calibri" w:hAnsi="Calibri" w:eastAsia="宋体" w:cs="Times New Roman"/>
          <w:sz w:val="24"/>
          <w:szCs w:val="24"/>
        </w:rPr>
        <w:t xml:space="preserve">届满</w:t>
      </w:r>
      <w:r>
        <w:rPr>
          <w:rFonts w:ascii="Calibri" w:hAnsi="Calibri" w:eastAsia="宋体" w:cs="Times New Roman"/>
          <w:sz w:val="24"/>
          <w:szCs w:val="24"/>
        </w:rPr>
        <w:t xml:space="preserve">之日止。</w:t>
      </w:r>
      <w:r/>
    </w:p>
    <w:p>
      <w:pPr>
        <w:ind w:firstLine="42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代理人</w:t>
      </w:r>
      <w:r>
        <w:rPr>
          <w:rFonts w:ascii="Calibri" w:hAnsi="Calibri" w:eastAsia="宋体" w:cs="Times New Roman"/>
          <w:sz w:val="24"/>
          <w:szCs w:val="24"/>
        </w:rPr>
        <w:t xml:space="preserve">无转委托权。</w:t>
      </w:r>
      <w:r>
        <w:rPr>
          <w:rFonts w:ascii="Calibri" w:hAnsi="Calibri" w:eastAsia="宋体" w:cs="Times New Roman"/>
          <w:sz w:val="24"/>
          <w:szCs w:val="24"/>
        </w:rPr>
        <w:br/>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投标人</w:t>
      </w:r>
      <w:r>
        <w:rPr>
          <w:rFonts w:ascii="Calibri" w:hAnsi="Calibri" w:eastAsia="宋体" w:cs="Times New Roman"/>
          <w:sz w:val="24"/>
          <w:szCs w:val="24"/>
        </w:rPr>
        <w:t xml:space="preserve">名称（加盖公章）：</w:t>
      </w:r>
      <w:r/>
    </w:p>
    <w:p>
      <w:pPr>
        <w:jc w:val="left"/>
        <w:spacing w:line="360" w:lineRule="auto"/>
        <w:rPr>
          <w:rFonts w:ascii="Calibri" w:hAnsi="Calibri" w:eastAsia="宋体" w:cs="Times New Roman"/>
          <w:sz w:val="24"/>
          <w:szCs w:val="24"/>
        </w:rPr>
      </w:pPr>
      <w:r>
        <w:rPr>
          <w:rFonts w:ascii="Calibri" w:hAnsi="Calibri" w:eastAsia="宋体" w:cs="Times New Roman"/>
          <w:sz w:val="24"/>
          <w:szCs w:val="24"/>
        </w:rPr>
        <w:t xml:space="preserve">法定代表人（单位负责人）（签字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或</w:t>
      </w:r>
      <w:r>
        <w:rPr>
          <w:rFonts w:hint="eastAsia" w:ascii="Calibri" w:hAnsi="Calibri" w:eastAsia="宋体" w:cs="Times New Roman"/>
          <w:sz w:val="24"/>
          <w:szCs w:val="24"/>
        </w:rPr>
        <w:t xml:space="preserve">印鉴）</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委托代理</w:t>
      </w:r>
      <w:r>
        <w:rPr>
          <w:rFonts w:ascii="Calibri" w:hAnsi="Calibri" w:eastAsia="宋体" w:cs="Times New Roman"/>
          <w:sz w:val="24"/>
          <w:szCs w:val="24"/>
        </w:rPr>
        <w:t xml:space="preserve">人（签字</w:t>
      </w:r>
      <w:r>
        <w:rPr>
          <w:rFonts w:hint="eastAsia" w:ascii="Calibri" w:hAnsi="Calibri" w:eastAsia="宋体" w:cs="Times New Roman"/>
          <w:sz w:val="24"/>
          <w:szCs w:val="24"/>
        </w:rPr>
        <w:t xml:space="preserve">/签章</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，联系电话：</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ind w:firstLine="480"/>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t xml:space="preserve">法定代表人（单位负责人）有效期内的身份证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3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宋体" w:hAnsi="宋体" w:eastAsia="宋体" w:cs="Times New Roman"/>
          <w:color w:val="000000"/>
          <w:sz w:val="24"/>
          <w:szCs w:val="20"/>
        </w:rPr>
      </w:pPr>
      <w:r>
        <w:rPr>
          <w:rFonts w:hint="eastAsia" w:ascii="宋体" w:hAnsi="宋体" w:eastAsia="宋体" w:cs="Times New Roman"/>
          <w:color w:val="000000"/>
          <w:sz w:val="24"/>
          <w:szCs w:val="20"/>
        </w:rPr>
        <w:t xml:space="preserve">委托代理人</w:t>
      </w:r>
      <w:r>
        <w:rPr>
          <w:rFonts w:ascii="宋体" w:hAnsi="宋体" w:eastAsia="宋体" w:cs="Times New Roman"/>
          <w:color w:val="000000"/>
          <w:sz w:val="24"/>
          <w:szCs w:val="20"/>
        </w:rPr>
        <w:t xml:space="preserve">有效期内的身份证</w:t>
      </w:r>
      <w:r>
        <w:rPr>
          <w:rFonts w:ascii="宋体" w:hAnsi="宋体" w:eastAsia="宋体" w:cs="Times New Roman"/>
          <w:b/>
          <w:color w:val="000000"/>
          <w:sz w:val="24"/>
          <w:szCs w:val="20"/>
        </w:rPr>
        <w:t xml:space="preserve">正反面</w:t>
      </w:r>
      <w:r>
        <w:rPr>
          <w:rFonts w:ascii="宋体" w:hAnsi="宋体" w:eastAsia="宋体" w:cs="Times New Roman"/>
          <w:color w:val="000000"/>
          <w:sz w:val="24"/>
          <w:szCs w:val="20"/>
        </w:rPr>
        <w:t xml:space="preserve">电子件：</w:t>
      </w:r>
      <w:r/>
    </w:p>
    <w:tbl>
      <w:tblPr>
        <w:tblStyle w:val="73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填报说明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1、若供应商为事业单位或其他组织或分支机构（仅当</w:t>
      </w:r>
      <w:r>
        <w:rPr>
          <w:rFonts w:hint="eastAsia" w:ascii="Calibri" w:hAnsi="Calibri" w:eastAsia="宋体" w:cs="Times New Roman"/>
          <w:sz w:val="24"/>
          <w:szCs w:val="24"/>
        </w:rPr>
        <w:t xml:space="preserve">招标</w:t>
      </w:r>
      <w:r>
        <w:rPr>
          <w:rFonts w:ascii="Calibri" w:hAnsi="Calibri" w:eastAsia="宋体" w:cs="Times New Roman"/>
          <w:sz w:val="24"/>
          <w:szCs w:val="24"/>
        </w:rPr>
        <w:t xml:space="preserve">文件注明允许分支机构</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的），则法定代表人（单位负责人）</w:t>
      </w:r>
      <w:r>
        <w:rPr>
          <w:rFonts w:hint="eastAsia" w:ascii="Calibri" w:hAnsi="Calibri" w:eastAsia="宋体" w:cs="Times New Roman"/>
          <w:sz w:val="24"/>
          <w:szCs w:val="24"/>
        </w:rPr>
        <w:t xml:space="preserve">处</w:t>
      </w:r>
      <w:r>
        <w:rPr>
          <w:rFonts w:ascii="Calibri" w:hAnsi="Calibri" w:eastAsia="宋体" w:cs="Times New Roman"/>
          <w:sz w:val="24"/>
          <w:szCs w:val="24"/>
        </w:rPr>
        <w:t xml:space="preserve">的签署人可为单位负责人</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hint="eastAsia" w:ascii="Calibri" w:hAnsi="Calibri" w:eastAsia="宋体" w:cs="Times New Roman"/>
          <w:sz w:val="24"/>
          <w:szCs w:val="24"/>
        </w:rPr>
        <w:t xml:space="preserve">2、</w:t>
      </w:r>
      <w:r>
        <w:rPr>
          <w:rFonts w:ascii="Calibri" w:hAnsi="Calibri" w:eastAsia="宋体" w:cs="Times New Roman"/>
          <w:sz w:val="24"/>
          <w:szCs w:val="24"/>
        </w:rPr>
        <w:t xml:space="preserve">若</w:t>
      </w:r>
      <w:r>
        <w:rPr>
          <w:rFonts w:hint="eastAsia" w:ascii="Calibri" w:hAnsi="Calibri" w:eastAsia="宋体" w:cs="Times New Roman"/>
          <w:sz w:val="24"/>
          <w:szCs w:val="24"/>
        </w:rPr>
        <w:t xml:space="preserve">投标</w:t>
      </w:r>
      <w:r>
        <w:rPr>
          <w:rFonts w:ascii="Calibri" w:hAnsi="Calibri" w:eastAsia="宋体" w:cs="Times New Roman"/>
          <w:sz w:val="24"/>
          <w:szCs w:val="24"/>
        </w:rPr>
        <w:t xml:space="preserve">文件中全部签字之处均为法定代表人（单位负责人）本人签署，则可不提供本《</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》，但须提供</w:t>
      </w:r>
      <w:r>
        <w:rPr>
          <w:rFonts w:hint="eastAsia" w:ascii="Calibri" w:hAnsi="Calibri" w:eastAsia="宋体" w:cs="Times New Roman"/>
          <w:sz w:val="24"/>
          <w:szCs w:val="24"/>
        </w:rPr>
        <w:t xml:space="preserve">《</w:t>
      </w:r>
      <w:r>
        <w:rPr>
          <w:rFonts w:ascii="Calibri" w:hAnsi="Calibri" w:eastAsia="宋体" w:cs="Times New Roman"/>
          <w:sz w:val="24"/>
          <w:szCs w:val="24"/>
        </w:rPr>
        <w:t xml:space="preserve">法定代表人（单位负责人）身份证</w:t>
      </w:r>
      <w:r>
        <w:rPr>
          <w:rFonts w:hint="eastAsia" w:ascii="Calibri" w:hAnsi="Calibri" w:eastAsia="宋体" w:cs="Times New Roman"/>
          <w:sz w:val="24"/>
          <w:szCs w:val="24"/>
        </w:rPr>
        <w:t xml:space="preserve">明》</w:t>
      </w:r>
      <w:r>
        <w:rPr>
          <w:rFonts w:ascii="Calibri" w:hAnsi="Calibri" w:eastAsia="宋体" w:cs="Times New Roman"/>
          <w:sz w:val="24"/>
          <w:szCs w:val="24"/>
        </w:rPr>
        <w:t xml:space="preserve">。</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t xml:space="preserve">3、</w:t>
      </w:r>
      <w:r>
        <w:rPr>
          <w:rFonts w:hint="eastAsia" w:ascii="Calibri" w:hAnsi="Calibri" w:eastAsia="宋体" w:cs="Times New Roman"/>
          <w:sz w:val="24"/>
          <w:szCs w:val="24"/>
        </w:rPr>
        <w:t xml:space="preserve">供应商为自然人的情形，可不提供本</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授权委托书</w:t>
      </w:r>
      <w:r>
        <w:rPr>
          <w:rFonts w:ascii="Calibri" w:hAnsi="Calibri" w:eastAsia="宋体" w:cs="Times New Roman"/>
          <w:sz w:val="24"/>
          <w:szCs w:val="24"/>
        </w:rPr>
        <w:t xml:space="preserve">》</w:t>
      </w:r>
      <w:r>
        <w:rPr>
          <w:rFonts w:hint="eastAsia" w:ascii="Calibri" w:hAnsi="Calibri" w:eastAsia="宋体" w:cs="Times New Roman"/>
          <w:sz w:val="24"/>
          <w:szCs w:val="24"/>
        </w:rPr>
        <w:t xml:space="preserve">。</w:t>
      </w:r>
      <w:r/>
    </w:p>
    <w:p>
      <w:pPr>
        <w:ind w:firstLine="480"/>
        <w:jc w:val="left"/>
        <w:spacing w:line="360" w:lineRule="auto"/>
        <w:tabs>
          <w:tab w:val="left" w:pos="5580" w:leader="none"/>
        </w:tabs>
        <w:rPr>
          <w:sz w:val="24"/>
          <w:szCs w:val="24"/>
        </w:rPr>
      </w:pPr>
      <w:r>
        <w:rPr>
          <w:rFonts w:hint="eastAsia" w:ascii="Calibri" w:hAnsi="Calibri" w:eastAsia="宋体" w:cs="Times New Roman"/>
          <w:sz w:val="24"/>
          <w:szCs w:val="24"/>
        </w:rPr>
        <w:t xml:space="preserve">4.</w:t>
      </w:r>
      <w:r>
        <w:rPr>
          <w:rFonts w:hint="eastAsia"/>
          <w:sz w:val="24"/>
          <w:szCs w:val="24"/>
        </w:rPr>
        <w:t xml:space="preserve"> 请供应商如实填写联系方式并在评审过程中保持联系方式畅通，评审过程中如联系不上，由供应商承担一切不利后果。</w:t>
      </w:r>
      <w:r/>
    </w:p>
    <w:p>
      <w:pPr>
        <w:ind w:firstLine="480"/>
        <w:jc w:val="left"/>
        <w:spacing w:line="360" w:lineRule="auto"/>
        <w:tabs>
          <w:tab w:val="left" w:pos="5580" w:leader="none"/>
        </w:tabs>
        <w:rPr>
          <w:rFonts w:ascii="Calibri" w:hAnsi="Calibri" w:eastAsia="宋体" w:cs="Times New Roman"/>
          <w:sz w:val="24"/>
          <w:szCs w:val="24"/>
        </w:rPr>
      </w:pPr>
      <w:r>
        <w:rPr>
          <w:rFonts w:ascii="Calibri" w:hAnsi="Calibri" w:eastAsia="宋体" w:cs="Times New Roman"/>
          <w:sz w:val="24"/>
          <w:szCs w:val="24"/>
        </w:rPr>
      </w:r>
      <w:r/>
    </w:p>
    <w:p>
      <w:pPr>
        <w:jc w:val="center"/>
        <w:spacing w:line="360" w:lineRule="exact"/>
        <w:rPr>
          <w:rFonts w:ascii="宋体" w:hAnsi="宋体" w:eastAsia="宋体" w:cs="Times New Roman"/>
          <w:b/>
          <w:color w:val="000000"/>
          <w:sz w:val="36"/>
          <w:szCs w:val="36"/>
        </w:rPr>
      </w:pPr>
      <w:r>
        <w:rPr>
          <w:rFonts w:ascii="宋体" w:hAnsi="宋体" w:eastAsia="宋体" w:cs="Times New Roman"/>
          <w:b/>
          <w:color w:val="000000"/>
          <w:sz w:val="36"/>
          <w:szCs w:val="36"/>
        </w:rPr>
        <w:t xml:space="preserve">法定代表人（单位负责人）身份证明</w:t>
      </w:r>
      <w:r/>
    </w:p>
    <w:p>
      <w:pPr>
        <w:spacing w:line="200" w:lineRule="exact"/>
        <w:rPr>
          <w:rFonts w:ascii="宋体" w:hAnsi="宋体" w:eastAsia="宋体" w:cs="Times New Roman"/>
          <w:sz w:val="20"/>
          <w:szCs w:val="20"/>
        </w:rPr>
      </w:pPr>
      <w:r>
        <w:rPr>
          <w:rFonts w:ascii="宋体" w:hAnsi="宋体" w:eastAsia="宋体" w:cs="Times New Roman"/>
          <w:sz w:val="20"/>
          <w:szCs w:val="20"/>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r>
      <w:r/>
    </w:p>
    <w:p>
      <w:pPr>
        <w:spacing w:line="360" w:lineRule="auto"/>
        <w:tabs>
          <w:tab w:val="left" w:pos="5580" w:leader="none"/>
        </w:tabs>
        <w:rPr>
          <w:rFonts w:ascii="宋体" w:hAnsi="宋体" w:eastAsia="宋体" w:cs="Times New Roman"/>
          <w:color w:val="000000"/>
          <w:sz w:val="24"/>
          <w:szCs w:val="24"/>
        </w:rPr>
      </w:pPr>
      <w:r>
        <w:rPr>
          <w:rFonts w:ascii="宋体" w:hAnsi="宋体" w:eastAsia="宋体" w:cs="Times New Roman"/>
          <w:color w:val="000000"/>
          <w:sz w:val="24"/>
          <w:szCs w:val="24"/>
        </w:rPr>
        <w:t xml:space="preserve">致：</w:t>
      </w:r>
      <w:r>
        <w:rPr>
          <w:rFonts w:hint="eastAsia" w:ascii="Times New Roman" w:hAnsi="Times New Roman" w:eastAsia="宋体" w:cs="Times New Roman"/>
          <w:sz w:val="24"/>
          <w:szCs w:val="24"/>
          <w:u w:val="single"/>
        </w:rPr>
        <w:t xml:space="preserve"> 采购单位 </w:t>
      </w:r>
      <w:r/>
    </w:p>
    <w:p>
      <w:pPr>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firstLine="480"/>
        <w:spacing w:before="120" w:line="360" w:lineRule="auto"/>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hint="eastAsia" w:ascii="宋体" w:hAnsi="宋体" w:eastAsia="宋体" w:cs="Times New Roman"/>
          <w:sz w:val="24"/>
          <w:szCs w:val="24"/>
        </w:rPr>
        <w:t xml:space="preserve">兹证明，</w:t>
      </w:r>
      <w:r>
        <w:rPr>
          <w:rFonts w:ascii="宋体" w:hAnsi="宋体" w:eastAsia="宋体" w:cs="Times New Roman"/>
          <w:sz w:val="24"/>
          <w:szCs w:val="24"/>
        </w:rPr>
        <w:t xml:space="preserve">姓名</w:t>
      </w:r>
      <w:r>
        <w:rPr>
          <w:rFonts w:hint="eastAsia" w:ascii="宋体" w:hAnsi="宋体" w:eastAsia="宋体" w:cs="Times New Roman"/>
          <w:sz w:val="24"/>
          <w:szCs w:val="24"/>
        </w:rPr>
        <w:t xml:space="preserve">：</w:t>
      </w:r>
      <w:r>
        <w:rPr>
          <w:rFonts w:ascii="宋体" w:hAnsi="宋体" w:eastAsia="宋体" w:cs="Times New Roman"/>
          <w:sz w:val="24"/>
          <w:szCs w:val="24"/>
        </w:rPr>
        <w:t xml:space="preserve">性别：年龄：职务：系</w:t>
      </w:r>
      <w:r>
        <w:rPr>
          <w:rFonts w:ascii="Calibri" w:hAnsi="Calibri" w:eastAsia="宋体" w:cs="Times New Roman"/>
          <w:sz w:val="24"/>
          <w:szCs w:val="24"/>
          <w:u w:val="single"/>
        </w:rPr>
        <w:t xml:space="preserve">（</w:t>
      </w:r>
      <w:r>
        <w:rPr>
          <w:rFonts w:hint="eastAsia" w:ascii="Calibri" w:hAnsi="Calibri" w:eastAsia="宋体" w:cs="Times New Roman"/>
          <w:sz w:val="24"/>
          <w:szCs w:val="24"/>
          <w:u w:val="single"/>
        </w:rPr>
        <w:t xml:space="preserve">投标人</w:t>
      </w:r>
      <w:r>
        <w:rPr>
          <w:rFonts w:ascii="Calibri" w:hAnsi="Calibri" w:eastAsia="宋体" w:cs="Times New Roman"/>
          <w:sz w:val="24"/>
          <w:szCs w:val="24"/>
          <w:u w:val="single"/>
        </w:rPr>
        <w:t xml:space="preserve">名称）</w:t>
      </w:r>
      <w:r>
        <w:rPr>
          <w:rFonts w:ascii="宋体" w:hAnsi="宋体" w:eastAsia="宋体" w:cs="Times New Roman"/>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eastAsia="宋体" w:cs="Times New Roman"/>
          <w:sz w:val="24"/>
          <w:szCs w:val="24"/>
        </w:rPr>
      </w:pPr>
      <w:r>
        <w:rPr>
          <w:rFonts w:ascii="宋体" w:hAnsi="宋体" w:eastAsia="宋体" w:cs="Times New Roman"/>
          <w:sz w:val="24"/>
          <w:szCs w:val="24"/>
        </w:rPr>
      </w:r>
      <w:r/>
    </w:p>
    <w:p>
      <w:pPr>
        <w:ind w:right="-46"/>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z w:val="24"/>
          <w:szCs w:val="24"/>
        </w:rPr>
        <w:t xml:space="preserve">附：</w:t>
      </w:r>
      <w:r>
        <w:rPr>
          <w:rFonts w:ascii="宋体" w:hAnsi="宋体" w:eastAsia="宋体" w:cs="Times New Roman"/>
          <w:spacing w:val="-3"/>
          <w:sz w:val="24"/>
          <w:szCs w:val="24"/>
        </w:rPr>
        <w:t xml:space="preserve">法</w:t>
      </w:r>
      <w:r>
        <w:rPr>
          <w:rFonts w:ascii="宋体" w:hAnsi="宋体" w:eastAsia="宋体" w:cs="Times New Roman"/>
          <w:sz w:val="24"/>
          <w:szCs w:val="24"/>
        </w:rPr>
        <w:t xml:space="preserve">定</w:t>
      </w:r>
      <w:r>
        <w:rPr>
          <w:rFonts w:ascii="宋体" w:hAnsi="宋体" w:eastAsia="宋体" w:cs="Times New Roman"/>
          <w:spacing w:val="-3"/>
          <w:sz w:val="24"/>
          <w:szCs w:val="24"/>
        </w:rPr>
        <w:t xml:space="preserve">代</w:t>
      </w:r>
      <w:r>
        <w:rPr>
          <w:rFonts w:ascii="宋体" w:hAnsi="宋体" w:eastAsia="宋体" w:cs="Times New Roman"/>
          <w:sz w:val="24"/>
          <w:szCs w:val="24"/>
        </w:rPr>
        <w:t xml:space="preserve">表</w:t>
      </w:r>
      <w:r>
        <w:rPr>
          <w:rFonts w:ascii="宋体" w:hAnsi="宋体" w:eastAsia="宋体" w:cs="Times New Roman"/>
          <w:spacing w:val="-3"/>
          <w:sz w:val="24"/>
          <w:szCs w:val="24"/>
        </w:rPr>
        <w:t xml:space="preserve">人</w:t>
      </w:r>
      <w:r>
        <w:rPr>
          <w:rFonts w:ascii="宋体" w:hAnsi="宋体" w:eastAsia="宋体" w:cs="Times New Roman"/>
          <w:sz w:val="24"/>
          <w:szCs w:val="24"/>
        </w:rPr>
        <w:t xml:space="preserve">（</w:t>
      </w:r>
      <w:r>
        <w:rPr>
          <w:rFonts w:ascii="宋体" w:hAnsi="宋体" w:eastAsia="宋体" w:cs="Times New Roman"/>
          <w:spacing w:val="-3"/>
          <w:sz w:val="24"/>
          <w:szCs w:val="24"/>
        </w:rPr>
        <w:t xml:space="preserve">单</w:t>
      </w:r>
      <w:r>
        <w:rPr>
          <w:rFonts w:ascii="宋体" w:hAnsi="宋体" w:eastAsia="宋体" w:cs="Times New Roman"/>
          <w:sz w:val="24"/>
          <w:szCs w:val="24"/>
        </w:rPr>
        <w:t xml:space="preserve">位</w:t>
      </w:r>
      <w:r>
        <w:rPr>
          <w:rFonts w:ascii="宋体" w:hAnsi="宋体" w:eastAsia="宋体" w:cs="Times New Roman"/>
          <w:spacing w:val="-3"/>
          <w:sz w:val="24"/>
          <w:szCs w:val="24"/>
        </w:rPr>
        <w:t xml:space="preserve">负</w:t>
      </w:r>
      <w:r>
        <w:rPr>
          <w:rFonts w:ascii="宋体" w:hAnsi="宋体" w:eastAsia="宋体" w:cs="Times New Roman"/>
          <w:sz w:val="24"/>
          <w:szCs w:val="24"/>
        </w:rPr>
        <w:t xml:space="preserve">责人</w:t>
      </w:r>
      <w:r>
        <w:rPr>
          <w:rFonts w:ascii="宋体" w:hAnsi="宋体" w:eastAsia="宋体" w:cs="Times New Roman"/>
          <w:spacing w:val="-3"/>
          <w:sz w:val="24"/>
          <w:szCs w:val="24"/>
        </w:rPr>
        <w:t xml:space="preserve">）有效期内的身</w:t>
      </w:r>
      <w:r>
        <w:rPr>
          <w:rFonts w:hint="eastAsia" w:ascii="宋体" w:hAnsi="宋体" w:eastAsia="宋体" w:cs="Times New Roman"/>
          <w:spacing w:val="-3"/>
          <w:sz w:val="24"/>
          <w:szCs w:val="24"/>
        </w:rPr>
        <w:t xml:space="preserve">份</w:t>
      </w:r>
      <w:r>
        <w:rPr>
          <w:rFonts w:ascii="宋体" w:hAnsi="宋体" w:eastAsia="宋体" w:cs="Times New Roman"/>
          <w:spacing w:val="-3"/>
          <w:sz w:val="24"/>
          <w:szCs w:val="24"/>
        </w:rPr>
        <w:t xml:space="preserve">证正反面</w:t>
      </w:r>
      <w:r>
        <w:rPr>
          <w:rFonts w:hint="eastAsia" w:ascii="宋体" w:hAnsi="宋体" w:eastAsia="宋体" w:cs="Times New Roman"/>
          <w:spacing w:val="-3"/>
          <w:sz w:val="24"/>
          <w:szCs w:val="24"/>
        </w:rPr>
        <w:t xml:space="preserve">电子</w:t>
      </w:r>
      <w:r>
        <w:rPr>
          <w:rFonts w:ascii="宋体" w:hAnsi="宋体" w:eastAsia="宋体" w:cs="Times New Roman"/>
          <w:spacing w:val="-3"/>
          <w:sz w:val="24"/>
          <w:szCs w:val="24"/>
        </w:rPr>
        <w:t xml:space="preserve">件</w:t>
      </w:r>
      <w:r>
        <w:rPr>
          <w:rFonts w:hint="eastAsia" w:ascii="宋体" w:hAnsi="宋体" w:eastAsia="宋体" w:cs="Times New Roman"/>
          <w:spacing w:val="-3"/>
          <w:sz w:val="24"/>
          <w:szCs w:val="24"/>
        </w:rPr>
        <w:t xml:space="preserve">。</w:t>
      </w:r>
      <w:r/>
    </w:p>
    <w:tbl>
      <w:tblPr>
        <w:tblStyle w:val="73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c>
          <w:tcPr>
            <w:tcW w:w="4536" w:type="dxa"/>
            <w:textDirection w:val="lrTb"/>
            <w:noWrap w:val="false"/>
          </w:tcPr>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p>
            <w:pPr>
              <w:jc w:val="left"/>
              <w:spacing w:line="360" w:lineRule="auto"/>
              <w:tabs>
                <w:tab w:val="left" w:pos="5580" w:leader="none"/>
              </w:tabs>
              <w:rPr>
                <w:rFonts w:ascii="宋体" w:hAnsi="宋体" w:eastAsia="宋体" w:cs="Times New Roman"/>
                <w:color w:val="000000"/>
                <w:sz w:val="24"/>
                <w:szCs w:val="20"/>
              </w:rPr>
            </w:pPr>
            <w:r>
              <w:rPr>
                <w:rFonts w:ascii="宋体" w:hAnsi="宋体" w:eastAsia="宋体" w:cs="Times New Roman"/>
                <w:color w:val="000000"/>
                <w:sz w:val="24"/>
                <w:szCs w:val="20"/>
              </w:rPr>
            </w:r>
            <w:r/>
          </w:p>
        </w:tc>
      </w:tr>
    </w:tbl>
    <w:p>
      <w:pPr>
        <w:ind w:right="4305"/>
        <w:spacing w:before="120" w:line="583" w:lineRule="auto"/>
        <w:tabs>
          <w:tab w:val="left" w:pos="567" w:leader="none"/>
        </w:tabs>
        <w:rPr>
          <w:rFonts w:ascii="宋体" w:hAnsi="宋体" w:eastAsia="宋体" w:cs="Times New Roman"/>
          <w:spacing w:val="-3"/>
          <w:sz w:val="24"/>
          <w:szCs w:val="24"/>
        </w:rPr>
      </w:pPr>
      <w:r>
        <w:rPr>
          <w:rFonts w:ascii="宋体" w:hAnsi="宋体" w:eastAsia="宋体" w:cs="Times New Roman"/>
          <w:spacing w:val="-3"/>
          <w:sz w:val="24"/>
          <w:szCs w:val="24"/>
        </w:rPr>
      </w:r>
      <w:r/>
    </w:p>
    <w:p>
      <w:pPr>
        <w:spacing w:line="360" w:lineRule="auto"/>
        <w:rPr>
          <w:rFonts w:ascii="Calibri" w:hAnsi="Calibri" w:eastAsia="宋体" w:cs="Times New Roman"/>
          <w:sz w:val="24"/>
          <w:szCs w:val="24"/>
        </w:rPr>
      </w:pPr>
      <w:r>
        <w:rPr>
          <w:rFonts w:hint="eastAsia" w:ascii="宋体" w:hAnsi="宋体" w:eastAsia="宋体" w:cs="Times New Roman"/>
          <w:color w:val="000000"/>
          <w:sz w:val="24"/>
          <w:szCs w:val="24"/>
        </w:rPr>
        <w:t xml:space="preserve">投标人</w:t>
      </w:r>
      <w:r>
        <w:rPr>
          <w:rFonts w:ascii="宋体" w:hAnsi="宋体" w:eastAsia="宋体" w:cs="Times New Roman"/>
          <w:color w:val="000000"/>
          <w:sz w:val="24"/>
          <w:szCs w:val="24"/>
        </w:rPr>
        <w:t xml:space="preserve">名称（加盖公章）</w:t>
      </w:r>
      <w:r>
        <w:rPr>
          <w:rFonts w:ascii="宋体" w:hAnsi="宋体" w:eastAsia="宋体" w:cs="Times New Roman"/>
          <w:color w:val="000000"/>
          <w:sz w:val="24"/>
          <w:szCs w:val="24"/>
          <w:lang w:val="zh-CN"/>
        </w:rPr>
        <w:t xml:space="preserve">：</w:t>
      </w:r>
      <w:r/>
    </w:p>
    <w:p>
      <w:pPr>
        <w:spacing w:line="360" w:lineRule="auto"/>
        <w:rPr>
          <w:rFonts w:ascii="Calibri" w:hAnsi="Calibri" w:eastAsia="宋体" w:cs="Times New Roman"/>
          <w:sz w:val="24"/>
          <w:szCs w:val="24"/>
        </w:rPr>
      </w:pPr>
      <w:r>
        <w:rPr>
          <w:rFonts w:hint="eastAsia" w:ascii="宋体" w:hAnsi="宋体" w:eastAsia="宋体" w:cs="Times New Roman"/>
          <w:spacing w:val="-3"/>
          <w:sz w:val="24"/>
          <w:szCs w:val="24"/>
        </w:rPr>
        <w:t xml:space="preserve">法定代表人（</w:t>
      </w:r>
      <w:r>
        <w:rPr>
          <w:rFonts w:ascii="宋体" w:hAnsi="宋体" w:eastAsia="宋体" w:cs="Times New Roman"/>
          <w:sz w:val="24"/>
          <w:szCs w:val="24"/>
        </w:rPr>
        <w:t xml:space="preserve">单位负责人</w:t>
      </w:r>
      <w:r>
        <w:rPr>
          <w:rFonts w:hint="eastAsia" w:ascii="宋体" w:hAnsi="宋体" w:eastAsia="宋体" w:cs="Times New Roman"/>
          <w:spacing w:val="-3"/>
          <w:sz w:val="24"/>
          <w:szCs w:val="24"/>
        </w:rPr>
        <w:t xml:space="preserve">）（签字、签章或印鉴）：</w:t>
      </w:r>
      <w:r/>
    </w:p>
    <w:p>
      <w:pPr>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日期：    年     月     日</w:t>
      </w:r>
      <w:r/>
    </w:p>
    <w:p>
      <w:pPr>
        <w:jc w:val="left"/>
        <w:keepLines/>
        <w:keepNext/>
        <w:spacing w:before="260" w:after="260" w:line="416" w:lineRule="auto"/>
        <w:rPr>
          <w:rFonts w:ascii="黑体" w:hAnsi="黑体" w:eastAsia="黑体" w:cs="Times New Roman"/>
          <w:b/>
          <w:color w:val="000000"/>
          <w:sz w:val="28"/>
          <w:szCs w:val="32"/>
        </w:rPr>
        <w:outlineLvl w:val="1"/>
      </w:pPr>
      <w:r>
        <w:rPr>
          <w:rFonts w:hint="eastAsia" w:ascii="Arial" w:hAnsi="Arial" w:eastAsia="宋体" w:cs="Arial"/>
          <w:iCs/>
          <w:sz w:val="32"/>
        </w:rPr>
        <w:t xml:space="preserve">十、投标函</w:t>
      </w:r>
      <w:r/>
    </w:p>
    <w:p>
      <w:pPr>
        <w:jc w:val="center"/>
        <w:spacing w:line="360" w:lineRule="auto"/>
        <w:tabs>
          <w:tab w:val="left" w:pos="360" w:leader="none"/>
        </w:tabs>
        <w:rPr>
          <w:rFonts w:ascii="Times New Roman" w:hAnsi="Times New Roman" w:eastAsia="宋体" w:cs="Times New Roman"/>
          <w:color w:val="000000"/>
          <w:sz w:val="24"/>
          <w:szCs w:val="24"/>
        </w:rPr>
      </w:pPr>
      <w:r>
        <w:rPr>
          <w:rFonts w:hint="eastAsia" w:ascii="黑体" w:hAnsi="黑体" w:eastAsia="黑体" w:cs="宋体"/>
          <w:bCs/>
          <w:sz w:val="36"/>
          <w:szCs w:val="28"/>
        </w:rPr>
        <w:t xml:space="preserve">投标函</w:t>
      </w:r>
      <w:r/>
    </w:p>
    <w:p>
      <w:pPr>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致：连云港市公共资源交易中心</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根据贵方的JSZC-__________号招标文件，正式授权下述签字人______(姓名)代表我方_______（投标人的名称），全权处理本次项目投标的有关事宜。</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据此函，__________签字人兹宣布同意如下：</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1.按招标文件规定的各项要求，向买方提供所需货物（包含与货物相关的服务）。</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2.我们完全理解贵方不一定将合同授予最低报价的投标人。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3.我们已详细审核全部招标文件及其有效补充文件，我们知道必须放弃提出含糊不清或误解问题的权利。</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4.我们同意从规定的开标日期起遵循本投标文件，并在规定的投标有效期期满之前均具有约束力。</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5</w:t>
      </w:r>
      <w:r>
        <w:rPr>
          <w:rFonts w:hint="eastAsia" w:ascii="宋体" w:hAnsi="宋体" w:eastAsia="宋体" w:cs="Times New Roman"/>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6</w:t>
      </w:r>
      <w:r>
        <w:rPr>
          <w:rFonts w:hint="eastAsia" w:ascii="宋体" w:hAnsi="宋体" w:eastAsia="宋体" w:cs="Times New Roman"/>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360" w:lineRule="auto"/>
        <w:rPr>
          <w:rFonts w:ascii="宋体" w:hAnsi="宋体" w:eastAsia="宋体" w:cs="Times New Roman"/>
          <w:color w:val="000000"/>
          <w:sz w:val="24"/>
          <w:szCs w:val="21"/>
        </w:rPr>
      </w:pPr>
      <w:r>
        <w:rPr>
          <w:rFonts w:ascii="宋体" w:hAnsi="宋体" w:eastAsia="宋体" w:cs="Times New Roman"/>
          <w:color w:val="000000"/>
          <w:sz w:val="24"/>
          <w:szCs w:val="21"/>
        </w:rPr>
        <w:t xml:space="preserve">7</w:t>
      </w:r>
      <w:r>
        <w:rPr>
          <w:rFonts w:hint="eastAsia" w:ascii="宋体" w:hAnsi="宋体" w:eastAsia="宋体" w:cs="Times New Roman"/>
          <w:color w:val="000000"/>
          <w:sz w:val="24"/>
          <w:szCs w:val="21"/>
        </w:rPr>
        <w:t xml:space="preserve">.与本投标有关的正式通讯地址为：</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地        址：</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邮        编：</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电        话：</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传        真：</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投标人开户行：</w:t>
      </w:r>
      <w:r/>
    </w:p>
    <w:p>
      <w:pPr>
        <w:ind w:firstLine="480"/>
        <w:jc w:val="left"/>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账        号： </w:t>
      </w:r>
      <w:r/>
    </w:p>
    <w:p>
      <w:r/>
      <w:r/>
    </w:p>
    <w:p>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6"/>
        </w:rPr>
        <w:t xml:space="preserve">十</w:t>
      </w:r>
      <w:r>
        <w:rPr>
          <w:rFonts w:hint="eastAsia" w:ascii="Arial" w:hAnsi="Arial" w:eastAsia="宋体" w:cs="Arial"/>
          <w:sz w:val="32"/>
        </w:rPr>
        <w:t xml:space="preserve">一、中小企业声明函（货物）</w:t>
      </w:r>
      <w:r/>
    </w:p>
    <w:p>
      <w:pPr>
        <w:jc w:val="center"/>
        <w:spacing w:line="360" w:lineRule="auto"/>
        <w:tabs>
          <w:tab w:val="left" w:pos="360" w:leader="none"/>
        </w:tabs>
        <w:rPr>
          <w:rFonts w:ascii="宋体" w:hAnsi="宋体" w:eastAsia="宋体" w:cs="Times New Roman"/>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000000"/>
          <w:sz w:val="24"/>
          <w:szCs w:val="24"/>
          <w:u w:val="single"/>
        </w:rPr>
        <w:t xml:space="preserve">（单位名称）</w:t>
      </w:r>
      <w:r>
        <w:rPr>
          <w:rFonts w:hint="eastAsia" w:ascii="宋体" w:hAnsi="宋体" w:eastAsia="宋体" w:cs="Times New Roman"/>
          <w:color w:val="000000"/>
          <w:sz w:val="24"/>
          <w:szCs w:val="24"/>
        </w:rPr>
        <w:t xml:space="preserve">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1.</w:t>
      </w:r>
      <w:r>
        <w:rPr>
          <w:rFonts w:hint="eastAsia" w:ascii="宋体" w:hAnsi="宋体" w:eastAsia="宋体" w:cs="Times New Roman"/>
          <w:color w:val="000000"/>
          <w:sz w:val="24"/>
          <w:szCs w:val="24"/>
          <w:u w:val="single"/>
        </w:rPr>
        <w:t xml:space="preserve">（标的名称）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i/>
          <w:color w:val="000000"/>
          <w:sz w:val="24"/>
          <w:szCs w:val="24"/>
          <w:u w:val="single"/>
        </w:rPr>
      </w:pPr>
      <w:r>
        <w:rPr>
          <w:rFonts w:hint="eastAsia" w:ascii="宋体" w:hAnsi="宋体" w:eastAsia="宋体" w:cs="Times New Roman"/>
          <w:color w:val="000000"/>
          <w:sz w:val="24"/>
          <w:szCs w:val="24"/>
        </w:rPr>
        <w:t xml:space="preserve">2.</w:t>
      </w:r>
      <w:r>
        <w:rPr>
          <w:rFonts w:hint="eastAsia" w:ascii="宋体" w:hAnsi="宋体" w:eastAsia="宋体" w:cs="Times New Roman"/>
          <w:color w:val="000000"/>
          <w:sz w:val="24"/>
          <w:szCs w:val="24"/>
          <w:u w:val="single"/>
        </w:rPr>
        <w:t xml:space="preserve"> （标的名称）</w:t>
      </w:r>
      <w:r>
        <w:rPr>
          <w:rFonts w:hint="eastAsia" w:ascii="宋体" w:hAnsi="宋体" w:eastAsia="宋体" w:cs="Times New Roman"/>
          <w:color w:val="000000"/>
          <w:sz w:val="24"/>
          <w:szCs w:val="24"/>
        </w:rPr>
        <w:t xml:space="preserve">，属于</w:t>
      </w:r>
      <w:r>
        <w:rPr>
          <w:rFonts w:hint="eastAsia" w:ascii="宋体" w:hAnsi="宋体" w:eastAsia="宋体" w:cs="Times New Roman"/>
          <w:color w:val="000000"/>
          <w:sz w:val="24"/>
          <w:szCs w:val="24"/>
          <w:u w:val="single"/>
        </w:rPr>
        <w:t xml:space="preserve">（采购文件中明确的所属行业）</w:t>
      </w:r>
      <w:r>
        <w:rPr>
          <w:rFonts w:hint="eastAsia" w:ascii="宋体" w:hAnsi="宋体" w:eastAsia="宋体" w:cs="Times New Roman"/>
          <w:color w:val="000000"/>
          <w:sz w:val="24"/>
          <w:szCs w:val="24"/>
        </w:rPr>
        <w:t xml:space="preserve">行业；制造商为</w:t>
      </w:r>
      <w:r>
        <w:rPr>
          <w:rFonts w:hint="eastAsia" w:ascii="宋体" w:hAnsi="宋体" w:eastAsia="宋体" w:cs="Times New Roman"/>
          <w:color w:val="000000"/>
          <w:sz w:val="24"/>
          <w:szCs w:val="24"/>
          <w:u w:val="single"/>
        </w:rPr>
        <w:t xml:space="preserve">（企业名称）</w:t>
      </w:r>
      <w:r>
        <w:rPr>
          <w:rFonts w:hint="eastAsia" w:ascii="宋体" w:hAnsi="宋体" w:eastAsia="宋体" w:cs="Times New Roman"/>
          <w:color w:val="000000"/>
          <w:sz w:val="24"/>
          <w:szCs w:val="24"/>
        </w:rPr>
        <w:t xml:space="preserve">，从业人员人，营业收入为万元，资产总额为万元，属于</w:t>
      </w:r>
      <w:r>
        <w:rPr>
          <w:rFonts w:hint="eastAsia" w:ascii="宋体" w:hAnsi="宋体" w:eastAsia="宋体" w:cs="Times New Roman"/>
          <w:color w:val="000000"/>
          <w:sz w:val="24"/>
          <w:szCs w:val="24"/>
          <w:u w:val="single"/>
        </w:rPr>
        <w:t xml:space="preserve">（中型企业、小型企业、微型企业）</w:t>
      </w: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本企业对上述声明内容的真实性负责。如有虚假，将依法承担相应责任。</w:t>
      </w:r>
      <w:r/>
    </w:p>
    <w:p>
      <w:pPr>
        <w:ind w:right="1620"/>
        <w:spacing w:line="56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企业名称（盖章）：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ascii="宋体" w:hAnsi="宋体" w:eastAsia="宋体" w:cs="Times New Roman"/>
          <w:sz w:val="24"/>
          <w:szCs w:val="24"/>
        </w:rPr>
      </w:r>
      <w:r/>
    </w:p>
    <w:p>
      <w:pPr>
        <w:ind w:right="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填报说明：</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从业人员、营业收入、资产总额填报上一年度数据，无上一年度数据的新成立企业可不填报。</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2、请供应商如实填写，所填内容须与报价明细表一致，如填写不完整或不一致或填写有误，将承担一切不利后果。</w:t>
      </w:r>
      <w:r/>
    </w:p>
    <w:p>
      <w:pPr>
        <w:ind w:firstLine="480"/>
        <w:jc w:val="left"/>
        <w:spacing w:line="360" w:lineRule="auto"/>
        <w:rPr>
          <w:rFonts w:ascii="宋体" w:hAnsi="宋体" w:eastAsia="宋体" w:cs="Times New Roman"/>
          <w:sz w:val="24"/>
          <w:szCs w:val="24"/>
        </w:rPr>
      </w:pPr>
      <w:r>
        <w:rPr>
          <w:rFonts w:hint="eastAsia" w:ascii="宋体" w:hAnsi="宋体" w:eastAsia="宋体" w:cs="Times New Roman"/>
          <w:sz w:val="24"/>
          <w:szCs w:val="24"/>
        </w:rPr>
        <w:t xml:space="preserve">3、中标人的《中小企业声明函》随中标结果公开。</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十二、残疾人福利性单位声明函</w:t>
      </w:r>
      <w:r/>
    </w:p>
    <w:p>
      <w:pPr>
        <w:jc w:val="center"/>
        <w:spacing w:line="360" w:lineRule="auto"/>
        <w:tabs>
          <w:tab w:val="left" w:pos="360" w:leader="none"/>
        </w:tabs>
        <w:rPr>
          <w:rFonts w:ascii="宋体" w:hAnsi="宋体" w:eastAsia="宋体" w:cs="Times New Roman"/>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本单位郑重声明，根据《财政部 民政部 中国残疾人联合会关于促进残疾人就业政府采购政策的通知》（财库</w:t>
      </w:r>
      <w:r>
        <w:rPr>
          <w:rFonts w:hint="eastAsia" w:ascii="宋体" w:hAnsi="宋体" w:eastAsia="宋体" w:cs="Times New Roman"/>
          <w:color w:val="000000"/>
          <w:sz w:val="24"/>
          <w:szCs w:val="24"/>
        </w:rPr>
        <w:t xml:space="preserve">〔2017〕</w:t>
      </w:r>
      <w:r>
        <w:rPr>
          <w:rFonts w:hint="eastAsia" w:ascii="宋体" w:hAnsi="宋体" w:eastAsia="宋体" w:cs="Times New Roman"/>
          <w:color w:val="000000"/>
          <w:sz w:val="24"/>
          <w:szCs w:val="21"/>
        </w:rPr>
        <w:t xml:space="preserve">141号）的规定，本单位为符合条件的残疾人福利性单位，且本单位参加单位的项目（</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1.</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 </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2.</w:t>
      </w:r>
      <w:r>
        <w:rPr>
          <w:rFonts w:hint="eastAsia" w:ascii="宋体" w:hAnsi="宋体" w:eastAsia="宋体" w:cs="Times New Roman"/>
          <w:color w:val="000000"/>
          <w:sz w:val="24"/>
          <w:szCs w:val="21"/>
          <w:u w:val="single"/>
        </w:rPr>
        <w:t xml:space="preserve">（标的名称）</w:t>
      </w:r>
      <w:r>
        <w:rPr>
          <w:rFonts w:hint="eastAsia" w:ascii="宋体" w:hAnsi="宋体" w:eastAsia="宋体" w:cs="Times New Roman"/>
          <w:color w:val="000000"/>
          <w:sz w:val="24"/>
          <w:szCs w:val="21"/>
        </w:rPr>
        <w:t xml:space="preserve">，制造商为</w:t>
      </w:r>
      <w:r>
        <w:rPr>
          <w:rFonts w:hint="eastAsia" w:ascii="宋体" w:hAnsi="宋体" w:eastAsia="宋体" w:cs="Times New Roman"/>
          <w:color w:val="000000"/>
          <w:sz w:val="24"/>
          <w:szCs w:val="21"/>
          <w:u w:val="single"/>
        </w:rPr>
        <w:t xml:space="preserve">（企业名称）</w:t>
      </w:r>
      <w:r>
        <w:rPr>
          <w:rFonts w:hint="eastAsia" w:ascii="宋体" w:hAnsi="宋体" w:eastAsia="宋体" w:cs="Times New Roman"/>
          <w:color w:val="000000"/>
          <w:sz w:val="24"/>
          <w:szCs w:val="21"/>
        </w:rPr>
        <w:t xml:space="preserve">，属于残疾人福利性单位；</w:t>
      </w:r>
      <w:r/>
    </w:p>
    <w:p>
      <w:pPr>
        <w:ind w:firstLine="480"/>
        <w:jc w:val="left"/>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w:t>
      </w:r>
      <w:r/>
    </w:p>
    <w:p>
      <w:pPr>
        <w:ind w:firstLine="480"/>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本单位对上述声明的真实性负责。如有虚假，将依法承担相应责任。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right="162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单位名称（盖章）：</w:t>
      </w:r>
      <w:r/>
    </w:p>
    <w:p>
      <w:pPr>
        <w:ind w:right="1140" w:firstLine="2880"/>
        <w:spacing w:line="56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   期：</w:t>
      </w:r>
      <w:r/>
    </w:p>
    <w:p>
      <w:r/>
      <w:r/>
    </w:p>
    <w:p>
      <w:r/>
      <w:r/>
    </w:p>
    <w:p>
      <w:pPr>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填报说明：</w:t>
      </w:r>
      <w:r/>
    </w:p>
    <w:p>
      <w:pPr>
        <w:ind w:firstLine="480"/>
        <w:jc w:val="left"/>
        <w:spacing w:line="360" w:lineRule="auto"/>
        <w:rPr>
          <w:rFonts w:ascii="宋体" w:hAnsi="宋体" w:eastAsia="宋体" w:cs="Times New Roman"/>
          <w:bCs/>
          <w:sz w:val="24"/>
          <w:szCs w:val="24"/>
        </w:rPr>
      </w:pPr>
      <w:r>
        <w:rPr>
          <w:rFonts w:hint="eastAsia" w:ascii="宋体" w:hAnsi="宋体" w:eastAsia="宋体" w:cs="Times New Roman"/>
          <w:bCs/>
          <w:sz w:val="24"/>
          <w:szCs w:val="24"/>
        </w:rPr>
        <w:t xml:space="preserve">1、</w:t>
      </w:r>
      <w:r>
        <w:rPr>
          <w:rFonts w:hint="eastAsia" w:ascii="宋体" w:hAnsi="宋体" w:eastAsia="宋体" w:cs="Times New Roman"/>
          <w:sz w:val="24"/>
          <w:szCs w:val="24"/>
        </w:rPr>
        <w:t xml:space="preserve">请供应商如实填写，所填内容须与报价明细表一致，如填写不完整或不一致或填写有误，将承担一切不利后果。</w:t>
      </w:r>
      <w:r/>
    </w:p>
    <w:p>
      <w:pPr>
        <w:ind w:firstLine="480"/>
        <w:jc w:val="left"/>
        <w:spacing w:line="360" w:lineRule="auto"/>
        <w:rPr>
          <w:rFonts w:ascii="Times New Roman" w:hAnsi="Times New Roman" w:eastAsia="宋体" w:cs="Times New Roman"/>
          <w:sz w:val="24"/>
          <w:szCs w:val="24"/>
        </w:rPr>
      </w:pPr>
      <w:r>
        <w:rPr>
          <w:rFonts w:hint="eastAsia" w:ascii="宋体" w:hAnsi="宋体" w:eastAsia="宋体" w:cs="Times New Roman"/>
          <w:bCs/>
          <w:sz w:val="24"/>
          <w:szCs w:val="24"/>
        </w:rPr>
        <w:t xml:space="preserve">2、中标人的《残疾人福利性单位声明函》随中标结果公开。</w:t>
      </w:r>
      <w:r/>
    </w:p>
    <w:p>
      <w:r/>
      <w:r/>
    </w:p>
    <w:p>
      <w:r/>
      <w:r/>
    </w:p>
    <w:p>
      <w:r/>
      <w:r/>
    </w:p>
    <w:p>
      <w:r/>
      <w:r/>
    </w:p>
    <w:p>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十三、联合体协议（参考格式）</w:t>
      </w:r>
      <w:r/>
    </w:p>
    <w:p>
      <w:pPr>
        <w:jc w:val="center"/>
        <w:spacing w:line="360" w:lineRule="auto"/>
        <w:tabs>
          <w:tab w:val="left" w:pos="360" w:leader="none"/>
        </w:tabs>
        <w:rPr>
          <w:rFonts w:ascii="宋体" w:hAnsi="宋体" w:eastAsia="宋体" w:cs="Times New Roman"/>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eastAsia="宋体" w:cs="Times New Roman"/>
          <w:color w:val="000000"/>
          <w:sz w:val="24"/>
          <w:szCs w:val="21"/>
        </w:rPr>
      </w:pPr>
      <w:r>
        <w:rPr>
          <w:rFonts w:hint="eastAsia" w:ascii="宋体" w:hAnsi="宋体" w:eastAsia="宋体" w:cs="Times New Roman"/>
          <w:color w:val="000000"/>
          <w:sz w:val="24"/>
          <w:szCs w:val="21"/>
          <w:u w:val="single"/>
        </w:rPr>
        <w:t xml:space="preserve">（联合体中各供应商全称）</w:t>
      </w:r>
      <w:r>
        <w:rPr>
          <w:rFonts w:hint="eastAsia" w:ascii="宋体" w:hAnsi="宋体" w:eastAsia="宋体" w:cs="Times New Roman"/>
          <w:color w:val="000000"/>
          <w:sz w:val="24"/>
          <w:szCs w:val="21"/>
        </w:rPr>
        <w:t xml:space="preserve">在此达成以下协议：</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1</w:t>
      </w:r>
      <w:r>
        <w:rPr>
          <w:rFonts w:hint="eastAsia" w:ascii="宋体" w:hAnsi="宋体" w:eastAsia="宋体" w:cs="Times New Roman"/>
          <w:color w:val="000000"/>
          <w:sz w:val="24"/>
          <w:szCs w:val="21"/>
        </w:rPr>
        <w:t xml:space="preserve">、我们</w:t>
      </w:r>
      <w:r>
        <w:rPr>
          <w:rFonts w:hint="eastAsia" w:ascii="宋体" w:hAnsi="宋体" w:eastAsia="宋体" w:cs="Times New Roman"/>
          <w:color w:val="000000"/>
          <w:sz w:val="24"/>
          <w:szCs w:val="21"/>
          <w:u w:val="single"/>
        </w:rPr>
        <w:t xml:space="preserve"> （供应商1），（供应商2） ，</w:t>
      </w:r>
      <w:r>
        <w:rPr>
          <w:rFonts w:ascii="宋体" w:hAnsi="宋体" w:eastAsia="宋体" w:cs="Times New Roman"/>
          <w:color w:val="000000"/>
          <w:sz w:val="24"/>
          <w:szCs w:val="21"/>
          <w:u w:val="single"/>
        </w:rPr>
        <w:t xml:space="preserve">……</w:t>
      </w:r>
      <w:r>
        <w:rPr>
          <w:rFonts w:hint="eastAsia" w:ascii="宋体" w:hAnsi="宋体" w:eastAsia="宋体" w:cs="Times New Roman"/>
          <w:color w:val="000000"/>
          <w:sz w:val="24"/>
          <w:szCs w:val="21"/>
        </w:rPr>
        <w:t xml:space="preserve">自愿组成联合体，参加</w:t>
      </w:r>
      <w:r>
        <w:rPr>
          <w:rFonts w:hint="eastAsia" w:ascii="宋体" w:hAnsi="宋体" w:eastAsia="宋体" w:cs="Times New Roman"/>
          <w:color w:val="000000"/>
          <w:sz w:val="24"/>
          <w:szCs w:val="24"/>
        </w:rPr>
        <w:t xml:space="preserve">连云港市公共资源交易中心</w:t>
      </w:r>
      <w:r>
        <w:rPr>
          <w:rFonts w:hint="eastAsia" w:ascii="宋体" w:hAnsi="宋体" w:eastAsia="宋体" w:cs="Times New Roman"/>
          <w:color w:val="000000"/>
          <w:sz w:val="24"/>
          <w:szCs w:val="21"/>
        </w:rPr>
        <w:t xml:space="preserve">组织的</w:t>
      </w:r>
      <w:r>
        <w:rPr>
          <w:rFonts w:hint="eastAsia" w:ascii="宋体" w:hAnsi="宋体" w:eastAsia="宋体" w:cs="Times New Roman"/>
          <w:color w:val="000000"/>
          <w:sz w:val="24"/>
          <w:szCs w:val="24"/>
          <w:u w:val="single"/>
        </w:rPr>
        <w:t xml:space="preserve">（项目名称）</w:t>
      </w:r>
      <w:r>
        <w:rPr>
          <w:rFonts w:hint="eastAsia" w:ascii="宋体" w:hAnsi="宋体" w:eastAsia="宋体" w:cs="Times New Roman"/>
          <w:color w:val="000000"/>
          <w:sz w:val="24"/>
          <w:szCs w:val="24"/>
        </w:rPr>
        <w:t xml:space="preserve">（项目编号：，分包号：）</w:t>
      </w:r>
      <w:r>
        <w:rPr>
          <w:rFonts w:hint="eastAsia" w:ascii="宋体" w:hAnsi="宋体" w:eastAsia="宋体" w:cs="Times New Roman"/>
          <w:color w:val="000000"/>
          <w:sz w:val="24"/>
          <w:szCs w:val="21"/>
        </w:rPr>
        <w:t xml:space="preserve">的政府采购活动，我联合体指定</w:t>
      </w:r>
      <w:r>
        <w:rPr>
          <w:rFonts w:hint="eastAsia" w:ascii="宋体" w:hAnsi="宋体" w:eastAsia="宋体" w:cs="Times New Roman"/>
          <w:color w:val="000000"/>
          <w:sz w:val="24"/>
          <w:szCs w:val="21"/>
          <w:u w:val="single"/>
        </w:rPr>
        <w:t xml:space="preserve">（供应商*）</w:t>
      </w:r>
      <w:r>
        <w:rPr>
          <w:rFonts w:hint="eastAsia" w:ascii="宋体" w:hAnsi="宋体" w:eastAsia="宋体" w:cs="Times New Roman"/>
          <w:color w:val="000000"/>
          <w:sz w:val="24"/>
          <w:szCs w:val="21"/>
        </w:rPr>
        <w:t xml:space="preserve">为牵头单位（牵头单位必须为联合体成员）。</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2</w:t>
      </w:r>
      <w:r>
        <w:rPr>
          <w:rFonts w:hint="eastAsia" w:ascii="宋体" w:hAnsi="宋体" w:eastAsia="宋体" w:cs="Times New Roman"/>
          <w:color w:val="000000"/>
          <w:sz w:val="24"/>
          <w:szCs w:val="21"/>
        </w:rPr>
        <w:t xml:space="preserve">、若我们联合中标、成交，</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1</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w:t>
      </w:r>
      <w:r>
        <w:rPr>
          <w:rFonts w:hint="eastAsia" w:ascii="宋体" w:hAnsi="宋体" w:eastAsia="宋体" w:cs="Times New Roman"/>
          <w:color w:val="000000"/>
          <w:sz w:val="24"/>
          <w:szCs w:val="21"/>
          <w:u w:val="single"/>
        </w:rPr>
        <w:t xml:space="preserve">（供应商单位</w:t>
      </w:r>
      <w:r>
        <w:rPr>
          <w:rFonts w:ascii="宋体" w:hAnsi="宋体" w:eastAsia="宋体" w:cs="Times New Roman"/>
          <w:color w:val="000000"/>
          <w:sz w:val="24"/>
          <w:szCs w:val="21"/>
          <w:u w:val="single"/>
        </w:rPr>
        <w:t xml:space="preserve">2</w:t>
      </w:r>
      <w:r>
        <w:rPr>
          <w:rFonts w:hint="eastAsia" w:ascii="宋体" w:hAnsi="宋体" w:eastAsia="宋体" w:cs="Times New Roman"/>
          <w:color w:val="000000"/>
          <w:sz w:val="24"/>
          <w:szCs w:val="21"/>
          <w:u w:val="single"/>
        </w:rPr>
        <w:t xml:space="preserve">全称）</w:t>
      </w:r>
      <w:r>
        <w:rPr>
          <w:rFonts w:hint="eastAsia" w:ascii="宋体" w:hAnsi="宋体" w:eastAsia="宋体" w:cs="Times New Roman"/>
          <w:color w:val="000000"/>
          <w:sz w:val="24"/>
          <w:szCs w:val="21"/>
        </w:rPr>
        <w:t xml:space="preserve">实施项目中</w:t>
      </w:r>
      <w:r>
        <w:rPr>
          <w:rFonts w:hint="eastAsia" w:ascii="宋体" w:hAnsi="宋体" w:eastAsia="宋体" w:cs="Times New Roman"/>
          <w:color w:val="000000"/>
          <w:sz w:val="24"/>
          <w:szCs w:val="21"/>
          <w:u w:val="single"/>
        </w:rPr>
        <w:t xml:space="preserve">（工作内容）</w:t>
      </w:r>
      <w:r>
        <w:rPr>
          <w:rFonts w:hint="eastAsia" w:ascii="宋体" w:hAnsi="宋体" w:eastAsia="宋体" w:cs="Times New Roman"/>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t xml:space="preserve">3</w:t>
      </w:r>
      <w:r>
        <w:rPr>
          <w:rFonts w:hint="eastAsia" w:ascii="宋体" w:hAnsi="宋体" w:eastAsia="宋体" w:cs="Times New Roman"/>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eastAsia="宋体" w:cs="Times New Roman"/>
          <w:color w:val="000000"/>
          <w:sz w:val="24"/>
          <w:szCs w:val="21"/>
        </w:rPr>
        <w:t xml:space="preserve">%</w:t>
      </w:r>
      <w:r>
        <w:rPr>
          <w:rFonts w:hint="eastAsia" w:ascii="宋体" w:hAnsi="宋体" w:eastAsia="宋体" w:cs="Times New Roman"/>
          <w:color w:val="000000"/>
          <w:sz w:val="24"/>
          <w:szCs w:val="21"/>
        </w:rPr>
        <w:t xml:space="preserve">。（可选）</w:t>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500" w:lineRule="exact"/>
        <w:rPr>
          <w:rFonts w:ascii="宋体" w:hAnsi="宋体" w:eastAsia="宋体" w:cs="Times New Roman"/>
          <w:color w:val="000000"/>
          <w:sz w:val="24"/>
          <w:szCs w:val="21"/>
        </w:rPr>
      </w:pPr>
      <w:r>
        <w:rPr>
          <w:rFonts w:ascii="宋体" w:hAnsi="宋体" w:eastAsia="宋体" w:cs="Times New Roman"/>
          <w:color w:val="000000"/>
          <w:sz w:val="24"/>
          <w:szCs w:val="21"/>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供应商1全称（公章）：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供应商2全称（公章）：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法定代表人</w:t>
      </w:r>
      <w:r>
        <w:rPr>
          <w:rFonts w:ascii="宋体" w:hAnsi="宋体" w:eastAsia="宋体" w:cs="Times New Roman"/>
          <w:color w:val="000000"/>
          <w:sz w:val="24"/>
          <w:szCs w:val="21"/>
        </w:rPr>
        <w:t xml:space="preserve">（单位负责人）</w:t>
      </w:r>
      <w:r>
        <w:rPr>
          <w:rFonts w:hint="eastAsia" w:ascii="宋体" w:hAnsi="宋体" w:eastAsia="宋体" w:cs="Times New Roman"/>
          <w:color w:val="000000"/>
          <w:sz w:val="24"/>
          <w:szCs w:val="21"/>
        </w:rPr>
        <w:t xml:space="preserve">或委托代理人（签字或盖章）：</w:t>
      </w:r>
      <w:r/>
    </w:p>
    <w:p>
      <w:pPr>
        <w:ind w:firstLine="480"/>
        <w:spacing w:line="360" w:lineRule="auto"/>
        <w:rPr>
          <w:rFonts w:ascii="宋体" w:hAnsi="宋体" w:eastAsia="宋体" w:cs="Times New Roman"/>
          <w:color w:val="000000"/>
          <w:sz w:val="24"/>
          <w:szCs w:val="21"/>
        </w:rPr>
      </w:pPr>
      <w:r>
        <w:rPr>
          <w:rFonts w:hint="eastAsia" w:ascii="宋体" w:hAnsi="宋体" w:eastAsia="宋体" w:cs="Times New Roman"/>
          <w:color w:val="000000"/>
          <w:sz w:val="24"/>
          <w:szCs w:val="21"/>
        </w:rPr>
        <w:t xml:space="preserve">日期：     年   月   日</w:t>
      </w:r>
      <w:r/>
    </w:p>
    <w:p>
      <w:pPr>
        <w:ind w:firstLine="480"/>
        <w:spacing w:line="360" w:lineRule="auto"/>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w:t>
      </w:r>
      <w:r/>
    </w:p>
    <w:p>
      <w:pPr>
        <w:ind w:firstLine="480"/>
        <w:spacing w:line="5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500" w:lineRule="exact"/>
      </w:pPr>
      <w:r>
        <w:rPr>
          <w:rFonts w:hint="eastAsia" w:ascii="宋体" w:hAnsi="宋体" w:eastAsia="宋体" w:cs="Times New Roman"/>
          <w:color w:val="000000"/>
          <w:sz w:val="24"/>
          <w:szCs w:val="21"/>
        </w:rPr>
        <w:t xml:space="preserve">备注：本招标文件中要求加盖公章的地方，仅需加盖牵头单位的公章。</w:t>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730"/>
        <w:tblW w:w="92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722"/>
        <w:gridCol w:w="1060"/>
        <w:gridCol w:w="92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1061" w:type="dxa"/>
            <w:vAlign w:val="center"/>
            <w:textDirection w:val="lrTb"/>
            <w:noWrap w:val="false"/>
          </w:tcPr>
          <w:p>
            <w:pPr>
              <w:jc w:val="center"/>
              <w:spacing w:line="360" w:lineRule="auto"/>
              <w:widowControl/>
              <w:rPr>
                <w:rFonts w:ascii="Times New Roman" w:hAnsi="Times New Roman" w:eastAsia="宋体"/>
                <w:bCs/>
                <w:color w:val="000000"/>
                <w:szCs w:val="24"/>
              </w:rPr>
            </w:pPr>
            <w:r>
              <w:rPr>
                <w:rFonts w:hint="eastAsia" w:ascii="Times New Roman" w:hAnsi="Times New Roman"/>
                <w:b/>
                <w:color w:val="000000"/>
                <w:szCs w:val="24"/>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22"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06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20" w:type="dxa"/>
            <w:vAlign w:val="center"/>
            <w:textDirection w:val="lrTb"/>
            <w:noWrap w:val="false"/>
          </w:tcPr>
          <w:p>
            <w:pPr>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2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2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ascii="Times New Roman" w:hAnsi="Times New Roman"/>
                <w:color w:val="000000"/>
                <w:szCs w:val="24"/>
              </w:rPr>
            </w:pPr>
            <w:r>
              <w:rPr>
                <w:rFonts w:ascii="Times New Roman" w:hAnsi="Times New Roman"/>
                <w:color w:val="000000"/>
                <w:szCs w:val="24"/>
              </w:rPr>
            </w:r>
            <w:r/>
          </w:p>
        </w:tc>
        <w:tc>
          <w:tcPr>
            <w:gridSpan w:val="5"/>
            <w:tcW w:w="3916"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00" w:type="dxa"/>
            <w:vAlign w:val="center"/>
            <w:textDirection w:val="lrTb"/>
            <w:noWrap/>
          </w:tcPr>
          <w:p>
            <w:pPr>
              <w:spacing w:line="360" w:lineRule="auto"/>
              <w:widowControl/>
              <w:rPr>
                <w:rFonts w:ascii="宋体" w:hAnsi="宋体" w:eastAsia="宋体" w:cs="Times New Roman"/>
                <w:b/>
                <w:bCs/>
                <w:sz w:val="24"/>
                <w:szCs w:val="32"/>
              </w:rPr>
            </w:pPr>
            <w:r>
              <w:rPr>
                <w:rFonts w:hint="eastAsia" w:ascii="宋体" w:hAnsi="宋体" w:eastAsia="宋体" w:cs="Times New Roman"/>
                <w:b/>
                <w:bCs/>
                <w:sz w:val="24"/>
                <w:szCs w:val="32"/>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eastAsia="宋体" w:cs="宋体"/>
          <w:color w:val="000000"/>
          <w:szCs w:val="24"/>
        </w:rPr>
      </w:pPr>
      <w:r>
        <w:rPr>
          <w:rFonts w:hint="eastAsia" w:ascii="宋体" w:hAnsi="宋体" w:eastAsia="宋体" w:cs="宋体"/>
          <w:color w:val="000000"/>
          <w:szCs w:val="24"/>
        </w:rPr>
        <w:t xml:space="preserve">填报说明：</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1、“制造商企业类型”栏填写内容为“大型”“中型”“小型”“微型”“监狱企业”或“残疾人福利性单位”。</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2、以上报价包含货物费用、运杂费、安装施工费、集成费、税金和其他费用。</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3、请供应商如实、正确填写本表，所填内容将作为评审的依据，其内容应与对应的证明资料相符。</w:t>
      </w:r>
      <w:r/>
    </w:p>
    <w:p>
      <w:pPr>
        <w:ind w:firstLine="420"/>
        <w:spacing w:line="360" w:lineRule="auto"/>
        <w:rPr>
          <w:rFonts w:ascii="宋体" w:hAnsi="宋体" w:eastAsia="宋体" w:cs="宋体"/>
          <w:color w:val="000000"/>
          <w:szCs w:val="24"/>
        </w:rPr>
      </w:pPr>
      <w:r>
        <w:rPr>
          <w:rFonts w:hint="eastAsia" w:ascii="宋体" w:hAnsi="宋体" w:eastAsia="宋体" w:cs="宋体"/>
          <w:color w:val="000000"/>
          <w:szCs w:val="24"/>
        </w:rPr>
        <w:t xml:space="preserve">4、行数或事项不够，可自行增加。投标人需认真填写本报价表，尤其注意规格型号的准确填写。</w:t>
      </w:r>
      <w:r/>
    </w:p>
    <w:p>
      <w:pPr>
        <w:ind w:firstLine="420"/>
        <w:spacing w:line="360" w:lineRule="auto"/>
        <w:rPr>
          <w:rFonts w:ascii="宋体" w:hAnsi="宋体"/>
          <w:color w:val="000000"/>
          <w:szCs w:val="24"/>
        </w:rPr>
      </w:pPr>
      <w:r>
        <w:rPr>
          <w:rFonts w:hint="eastAsia" w:ascii="宋体" w:hAnsi="宋体"/>
          <w:color w:val="000000"/>
          <w:szCs w:val="24"/>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pPr>
        <w:jc w:val="left"/>
        <w:keepLines/>
        <w:keepNext/>
        <w:spacing w:before="360" w:after="200" w:line="360" w:lineRule="auto"/>
        <w:rPr>
          <w:rFonts w:ascii="Arial" w:hAnsi="Arial" w:eastAsia="宋体" w:cs="Arial"/>
          <w:sz w:val="32"/>
        </w:rPr>
        <w:outlineLvl w:val="1"/>
      </w:pPr>
      <w:r>
        <w:rPr>
          <w:rFonts w:hint="eastAsia" w:ascii="Arial" w:hAnsi="Arial" w:eastAsia="宋体" w:cs="Arial"/>
          <w:sz w:val="32"/>
        </w:rPr>
        <w:t xml:space="preserve">十五、关于符合本国产品标准的声明函（分包号：**）</w:t>
      </w:r>
      <w:r/>
    </w:p>
    <w:p>
      <w:pPr>
        <w:pStyle w:val="752"/>
        <w:ind w:firstLine="420"/>
        <w:spacing w:before="0" w:beforeAutospacing="0" w:after="0" w:afterAutospacing="0" w:line="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752"/>
        <w:ind w:firstLine="420"/>
        <w:spacing w:before="0" w:beforeAutospacing="0" w:after="0" w:afterAutospacing="0" w:line="360" w:lineRule="auto"/>
        <w:rPr>
          <w:rFonts w:ascii="宋体" w:hAnsi="宋体" w:eastAsia="宋体" w:cs="宋体"/>
          <w:szCs w:val="24"/>
        </w:rPr>
      </w:pPr>
      <w:r>
        <w:rPr>
          <w:rFonts w:hint="eastAsia" w:ascii="宋体" w:hAnsi="宋体" w:eastAsia="宋体" w:cs="宋体"/>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52"/>
        <w:ind w:firstLine="420"/>
        <w:spacing w:before="30" w:beforeAutospacing="0" w:after="30" w:afterAutospacing="0" w:line="360" w:lineRule="auto"/>
        <w:rPr>
          <w:rFonts w:ascii="宋体" w:hAnsi="宋体" w:eastAsia="宋体" w:cs="宋体"/>
          <w:szCs w:val="24"/>
        </w:rPr>
      </w:pP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2153285</wp:posOffset>
                </wp:positionH>
                <wp:positionV relativeFrom="paragraph">
                  <wp:posOffset>692150</wp:posOffset>
                </wp:positionV>
                <wp:extent cx="565785" cy="130810"/>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69504;o:allowoverlap:true;o:allowincell:true;mso-position-horizontal-relative:text;margin-left:169.5pt;mso-position-horizontal:absolute;mso-position-vertical-relative:text;margin-top:54.5pt;mso-position-vertical:absolute;width:44.5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3097530</wp:posOffset>
                </wp:positionH>
                <wp:positionV relativeFrom="paragraph">
                  <wp:posOffset>693420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61312;o:allowoverlap:true;o:allowincell:true;mso-position-horizontal-relative:text;margin-left:243.9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86360</wp:posOffset>
                </wp:positionH>
                <wp:positionV relativeFrom="paragraph">
                  <wp:posOffset>709930</wp:posOffset>
                </wp:positionV>
                <wp:extent cx="364490" cy="9779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67456;o:allowoverlap:true;o:allowincell:true;mso-position-horizontal-relative:text;margin-left:6.8pt;mso-position-horizontal:absolute;mso-position-vertical-relative:text;margin-top:55.9pt;mso-position-vertical:absolute;width:28.7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3977640</wp:posOffset>
                </wp:positionH>
                <wp:positionV relativeFrom="paragraph">
                  <wp:posOffset>389890</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60288;o:allowoverlap:true;o:allowincell:true;mso-position-horizontal-relative:text;margin-left:313.2pt;mso-position-horizontal:absolute;mso-position-vertical-relative:text;margin-top:30.7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2829560</wp:posOffset>
                </wp:positionH>
                <wp:positionV relativeFrom="paragraph">
                  <wp:posOffset>434975</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9264;o:allowoverlap:true;o:allowincell:true;mso-position-horizontal-relative:text;margin-left:222.8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4728845</wp:posOffset>
                </wp:positionH>
                <wp:positionV relativeFrom="paragraph">
                  <wp:posOffset>96520</wp:posOffset>
                </wp:positionV>
                <wp:extent cx="577215" cy="9207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6432;o:allowoverlap:true;o:allowincell:true;mso-position-horizontal-relative:text;margin-left:372.3pt;mso-position-horizontal:absolute;mso-position-vertical-relative:text;margin-top:7.6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shd w:val="clear" w:color="auto" w:fill="ffffff"/>
        </w:rPr>
        <w:t xml:space="preserve">1.</w:t>
      </w:r>
      <w:r>
        <w:rPr>
          <w:rStyle w:val="758"/>
          <w:rFonts w:hint="eastAsia" w:ascii="宋体" w:hAnsi="宋体" w:eastAsia="宋体" w:cs="宋体"/>
          <w:i w:val="0"/>
          <w:szCs w:val="24"/>
          <w:u w:val="single"/>
          <w:shd w:val="clear" w:color="auto" w:fill="ffffff"/>
        </w:rPr>
        <w:t xml:space="preserve">（产品名称1）</w:t>
      </w:r>
      <w:r>
        <w:rPr>
          <w:rStyle w:val="758"/>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758"/>
          <w:rFonts w:hint="eastAsia" w:ascii="宋体" w:hAnsi="宋体" w:eastAsia="宋体" w:cs="宋体"/>
          <w:i w:val="0"/>
          <w:szCs w:val="24"/>
          <w:u w:val="single"/>
          <w:shd w:val="clear" w:color="auto" w:fill="ffffff"/>
        </w:rPr>
        <w:t xml:space="preserve">（厂名）</w:t>
      </w:r>
      <w:r>
        <w:rPr>
          <w:rStyle w:val="758"/>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758"/>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58"/>
          <w:rFonts w:hint="eastAsia" w:ascii="宋体" w:hAnsi="宋体" w:eastAsia="宋体" w:cs="宋体"/>
          <w:i w:val="0"/>
          <w:szCs w:val="24"/>
          <w:u w:val="single"/>
          <w:shd w:val="clear" w:color="auto" w:fill="ffffff"/>
        </w:rPr>
        <w:t xml:space="preserve">（产品名称1） </w:t>
      </w:r>
      <w:r>
        <w:rPr>
          <w:rFonts w:hint="eastAsia" w:ascii="宋体" w:hAnsi="宋体" w:eastAsia="宋体" w:cs="宋体"/>
          <w:szCs w:val="24"/>
          <w:shd w:val="clear" w:color="auto" w:fill="ffffff"/>
        </w:rPr>
        <w:t xml:space="preserve">的中国境内生产的组件成本占比≥</w:t>
      </w:r>
      <w:r>
        <w:rPr>
          <w:rStyle w:val="758"/>
          <w:rFonts w:hint="eastAsia" w:ascii="宋体" w:hAnsi="宋体" w:eastAsia="宋体" w:cs="宋体"/>
          <w:i w:val="0"/>
          <w:szCs w:val="24"/>
          <w:u w:val="single"/>
          <w:shd w:val="clear" w:color="auto" w:fill="ffffff"/>
        </w:rPr>
        <w:t xml:space="preserve">（规定比例）</w:t>
      </w:r>
      <w:r>
        <w:rPr>
          <w:rStyle w:val="758"/>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758"/>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58"/>
          <w:rFonts w:hint="eastAsia" w:ascii="宋体" w:hAnsi="宋体" w:eastAsia="宋体" w:cs="宋体"/>
          <w:i w:val="0"/>
          <w:szCs w:val="24"/>
          <w:u w:val="single"/>
          <w:shd w:val="clear" w:color="auto" w:fill="ffffff"/>
        </w:rPr>
        <w:t xml:space="preserve">（关键组件）</w:t>
      </w:r>
      <w:r>
        <w:rPr>
          <w:rStyle w:val="758"/>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758"/>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758"/>
          <w:rFonts w:hint="eastAsia" w:ascii="宋体" w:hAnsi="宋体" w:eastAsia="宋体" w:cs="宋体"/>
          <w:i w:val="0"/>
          <w:szCs w:val="24"/>
          <w:u w:val="single"/>
          <w:shd w:val="clear" w:color="auto" w:fill="ffffff"/>
        </w:rPr>
        <w:t xml:space="preserve">（关键工序）</w:t>
      </w:r>
      <w:r>
        <w:rPr>
          <w:rStyle w:val="758"/>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752"/>
        <w:ind w:firstLine="420"/>
        <w:spacing w:before="30" w:beforeAutospacing="0" w:after="30" w:afterAutospacing="0" w:line="360" w:lineRule="auto"/>
        <w:rPr>
          <w:rFonts w:ascii="宋体" w:hAnsi="宋体" w:eastAsia="宋体" w:cs="宋体"/>
          <w:szCs w:val="24"/>
        </w:rPr>
      </w:pP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1677035</wp:posOffset>
                </wp:positionH>
                <wp:positionV relativeFrom="paragraph">
                  <wp:posOffset>692785</wp:posOffset>
                </wp:positionV>
                <wp:extent cx="908685" cy="14097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4384;o:allowoverlap:true;o:allowincell:true;mso-position-horizontal-relative:text;margin-left:132.0pt;mso-position-horizontal:absolute;mso-position-vertical-relative:text;margin-top:54.5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4819015</wp:posOffset>
                </wp:positionH>
                <wp:positionV relativeFrom="paragraph">
                  <wp:posOffset>357505</wp:posOffset>
                </wp:positionV>
                <wp:extent cx="462280" cy="1473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71552;o:allowoverlap:true;o:allowincell:true;mso-position-horizontal-relative:text;margin-left:379.4pt;mso-position-horizontal:absolute;mso-position-vertical-relative:text;margin-top:28.1pt;mso-position-vertical:absolute;width:36.4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2861945</wp:posOffset>
                </wp:positionH>
                <wp:positionV relativeFrom="paragraph">
                  <wp:posOffset>686435</wp:posOffset>
                </wp:positionV>
                <wp:extent cx="816610" cy="14732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8480;o:allowoverlap:true;o:allowincell:true;mso-position-horizontal-relative:text;margin-left:225.3pt;mso-position-horizontal:absolute;mso-position-vertical-relative:text;margin-top:54.0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4523740</wp:posOffset>
                </wp:positionH>
                <wp:positionV relativeFrom="paragraph">
                  <wp:posOffset>116840</wp:posOffset>
                </wp:positionV>
                <wp:extent cx="718185"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70528;o:allowoverlap:true;o:allowincell:true;mso-position-horizontal-relative:text;margin-left:356.2pt;mso-position-horizontal:absolute;mso-position-vertical-relative:text;margin-top:9.2pt;mso-position-vertical:absolute;width:56.5pt;height:7.7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123190</wp:posOffset>
                </wp:positionH>
                <wp:positionV relativeFrom="paragraph">
                  <wp:posOffset>692785</wp:posOffset>
                </wp:positionV>
                <wp:extent cx="821690" cy="1028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65408;o:allowoverlap:true;o:allowincell:true;mso-position-horizontal-relative:text;margin-left:9.7pt;mso-position-horizontal:absolute;mso-position-vertical-relative:text;margin-top:54.5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eastAsia="宋体" w:cs="宋体"/>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3360;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szCs w:val="24"/>
          <w:shd w:val="clear" w:color="auto" w:fill="ffffff"/>
        </w:rPr>
        <w:t xml:space="preserve">2.</w:t>
      </w:r>
      <w:r>
        <w:rPr>
          <w:rStyle w:val="758"/>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758"/>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758"/>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758"/>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758"/>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758"/>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58"/>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758"/>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758"/>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752"/>
        <w:ind w:firstLine="42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w:t>
      </w:r>
      <w:r/>
    </w:p>
    <w:p>
      <w:pPr>
        <w:pStyle w:val="752"/>
        <w:ind w:firstLine="42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752"/>
        <w:spacing w:before="30" w:beforeAutospacing="0" w:after="30" w:afterAutospacing="0" w:line="360" w:lineRule="auto"/>
        <w:rPr>
          <w:rFonts w:ascii="宋体" w:hAnsi="宋体" w:eastAsia="宋体" w:cs="宋体"/>
          <w:szCs w:val="24"/>
        </w:rPr>
      </w:pPr>
      <w:r>
        <w:rPr>
          <w:rFonts w:ascii="宋体" w:hAnsi="宋体" w:eastAsia="宋体" w:cs="宋体"/>
          <w:szCs w:val="24"/>
        </w:rPr>
      </w:r>
      <w:r/>
    </w:p>
    <w:p>
      <w:pPr>
        <w:pStyle w:val="752"/>
        <w:ind w:right="480" w:firstLine="3720"/>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公司（单位）名称（盖章）：　        </w:t>
      </w:r>
      <w:r/>
    </w:p>
    <w:p>
      <w:pPr>
        <w:pStyle w:val="752"/>
        <w:jc w:val="center"/>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                                日期：　   年　  月　  日         </w:t>
      </w:r>
      <w:r/>
    </w:p>
    <w:p>
      <w:pPr>
        <w:pStyle w:val="752"/>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752"/>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752"/>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752"/>
        <w:spacing w:before="30" w:beforeAutospacing="0" w:after="30" w:afterAutospacing="0" w:line="360" w:lineRule="auto"/>
        <w:rPr>
          <w:rFonts w:ascii="宋体" w:hAnsi="宋体" w:eastAsia="宋体" w:cs="宋体"/>
          <w:szCs w:val="24"/>
        </w:rPr>
      </w:pPr>
      <w:r>
        <w:rPr>
          <w:rFonts w:hint="eastAsia" w:ascii="宋体" w:hAnsi="宋体" w:eastAsia="宋体" w:cs="宋体"/>
          <w:szCs w:val="24"/>
          <w:shd w:val="clear" w:color="auto" w:fill="ffffff"/>
        </w:rPr>
        <w:t xml:space="preserve">4.该产品的关键组件要求实施前，“关键组件”栏可不填，下同。</w:t>
      </w:r>
      <w:r/>
    </w:p>
    <w:p>
      <w:pPr>
        <w:pStyle w:val="752"/>
        <w:spacing w:before="30" w:beforeAutospacing="0" w:after="30" w:afterAutospacing="0" w:line="360" w:lineRule="auto"/>
        <w:rPr>
          <w:rFonts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jc w:val="left"/>
        <w:spacing w:line="360" w:lineRule="auto"/>
        <w:rPr>
          <w:rFonts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6.用斜线划除的地方无需填写。</w:t>
      </w:r>
      <w:r/>
    </w:p>
    <w:p>
      <w:pPr>
        <w:jc w:val="left"/>
        <w:spacing w:line="360" w:lineRule="auto"/>
        <w:rPr>
          <w:rFonts w:ascii="宋体" w:hAnsi="宋体"/>
          <w:sz w:val="24"/>
          <w:szCs w:val="24"/>
        </w:rPr>
      </w:pPr>
      <w:r>
        <w:rPr>
          <w:rFonts w:hint="eastAsia" w:ascii="宋体" w:hAnsi="宋体"/>
          <w:sz w:val="24"/>
          <w:szCs w:val="24"/>
        </w:rPr>
        <w:t xml:space="preserve">7.请供应商如实填写，如填写有误，将承担一切不利后果。</w:t>
      </w:r>
      <w:r/>
    </w:p>
    <w:p>
      <w:pPr>
        <w:pStyle w:val="752"/>
        <w:spacing w:before="0" w:beforeAutospacing="0" w:after="150" w:afterAutospacing="0" w:line="27" w:lineRule="atLeast"/>
        <w:shd w:val="clear" w:color="auto" w:fill="ffffff"/>
        <w:widowControl/>
        <w:rPr>
          <w:rFonts w:ascii="宋体" w:hAnsi="宋体"/>
          <w:szCs w:val="24"/>
        </w:rPr>
      </w:pPr>
      <w:r>
        <w:rPr>
          <w:rFonts w:hint="eastAsia" w:ascii="宋体" w:hAnsi="宋体"/>
          <w:szCs w:val="24"/>
        </w:rPr>
        <w:t xml:space="preserve">8.供应商提供虚假《声明函》、虚假证明文件谋取中标的，依照《中华人民共和国政府采购法》等法律法规规定追究相应责任。</w:t>
      </w:r>
      <w:r/>
    </w:p>
    <w:p>
      <w:pPr>
        <w:pStyle w:val="752"/>
        <w:spacing w:before="0" w:beforeAutospacing="0" w:after="150" w:afterAutospacing="0" w:line="27" w:lineRule="atLeast"/>
        <w:shd w:val="clear" w:color="auto" w:fill="ffffff"/>
        <w:widowControl/>
      </w:pPr>
      <w:r>
        <w:rPr>
          <w:rFonts w:hint="eastAsia" w:ascii="宋体" w:hAnsi="宋体" w:eastAsia="宋体" w:cs="宋体"/>
          <w:color w:val="333333"/>
          <w:szCs w:val="24"/>
          <w:shd w:val="clear" w:color="auto" w:fill="ffffff"/>
        </w:rPr>
        <w:t xml:space="preserve">9.</w:t>
      </w:r>
      <w:r>
        <w:rPr>
          <w:rFonts w:hint="eastAsia" w:ascii="宋体" w:hAnsi="宋体"/>
          <w:szCs w:val="24"/>
        </w:rPr>
        <w:t xml:space="preserve">中标人的</w:t>
      </w:r>
      <w:r>
        <w:rPr>
          <w:rFonts w:hint="eastAsia" w:ascii="宋体" w:hAnsi="宋体" w:eastAsia="宋体" w:cs="宋体"/>
          <w:color w:val="333333"/>
          <w:szCs w:val="24"/>
          <w:shd w:val="clear" w:color="auto" w:fill="ffffff"/>
        </w:rPr>
        <w:t xml:space="preserve">《声明函》或有关证明文件</w:t>
      </w:r>
      <w:r>
        <w:rPr>
          <w:rFonts w:hint="eastAsia" w:ascii="宋体" w:hAnsi="宋体"/>
          <w:szCs w:val="24"/>
        </w:rPr>
        <w:t xml:space="preserve">随中标结果公开，接受社会监督。</w:t>
      </w:r>
      <w:r/>
    </w:p>
    <w:p>
      <w:pPr>
        <w:jc w:val="left"/>
        <w:keepLines/>
        <w:keepNext/>
        <w:spacing w:before="360" w:after="200" w:line="360" w:lineRule="auto"/>
        <w:rPr>
          <w:rFonts w:ascii="Arial" w:hAnsi="Arial" w:eastAsia="宋体" w:cs="Arial"/>
          <w:iCs/>
          <w:sz w:val="32"/>
        </w:rPr>
        <w:outlineLvl w:val="1"/>
      </w:pPr>
      <w:r>
        <w:rPr>
          <w:rFonts w:hint="eastAsia" w:ascii="Arial" w:hAnsi="Arial" w:eastAsia="宋体" w:cs="Arial"/>
          <w:iCs/>
          <w:sz w:val="32"/>
        </w:rPr>
        <w:t xml:space="preserve">十六、技术要求响应及偏离表</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eastAsia="宋体" w:cs="Arial"/>
          <w:sz w:val="36"/>
        </w:rPr>
      </w:pPr>
      <w:r>
        <w:rPr>
          <w:rFonts w:hint="eastAsia" w:ascii="宋体" w:hAnsi="宋体" w:eastAsia="宋体" w:cs="方正仿宋_GBK"/>
          <w:color w:val="000000"/>
          <w:sz w:val="24"/>
          <w:szCs w:val="24"/>
        </w:rPr>
        <w:t xml:space="preserve">项目名称：      项目编号：      分包号：</w:t>
      </w:r>
      <w:r/>
    </w:p>
    <w:tbl>
      <w:tblPr>
        <w:tblStyle w:val="730"/>
        <w:tblW w:w="853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2237"/>
        <w:gridCol w:w="2760"/>
        <w:gridCol w:w="2775"/>
      </w:tblGrid>
      <w:tr>
        <w:trPr>
          <w:cantSplit/>
          <w:jc w:val="center"/>
        </w:trPr>
        <w:tc>
          <w:tcPr>
            <w:tcW w:w="764"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237"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760"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77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6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23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6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7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pPr>
        <w:jc w:val="left"/>
        <w:keepLines/>
        <w:keepNext/>
        <w:spacing w:before="360" w:after="200" w:line="360" w:lineRule="auto"/>
        <w:rPr>
          <w:rFonts w:ascii="Arial" w:hAnsi="Arial" w:eastAsia="宋体" w:cs="Arial"/>
          <w:iCs/>
          <w:sz w:val="32"/>
        </w:rPr>
        <w:outlineLvl w:val="1"/>
      </w:pPr>
      <w:r/>
      <w:bookmarkStart w:id="12" w:name="_Hlt26955054"/>
      <w:r/>
      <w:bookmarkEnd w:id="12"/>
      <w:r>
        <w:rPr>
          <w:rFonts w:hint="eastAsia" w:ascii="Arial" w:hAnsi="Arial" w:eastAsia="宋体" w:cs="Arial"/>
          <w:iCs/>
          <w:sz w:val="32"/>
        </w:rPr>
        <w:t xml:space="preserve">十七、商务要求响应及偏离表</w:t>
      </w:r>
      <w:r/>
    </w:p>
    <w:p>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730"/>
        <w:tblW w:w="842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346"/>
        <w:gridCol w:w="2565"/>
        <w:gridCol w:w="2415"/>
      </w:tblGrid>
      <w:tr>
        <w:trPr>
          <w:cantSplit/>
        </w:trPr>
        <w:tc>
          <w:tcPr>
            <w:tcW w:w="1101" w:type="dxa"/>
            <w:vAlign w:val="center"/>
            <w:textDirection w:val="lrTb"/>
            <w:noWrap w:val="false"/>
          </w:tcPr>
          <w:p>
            <w:pPr>
              <w:jc w:val="center"/>
              <w:spacing w:line="360" w:lineRule="auto"/>
              <w:rPr>
                <w:rFonts w:ascii="宋体" w:hAnsi="宋体" w:eastAsia="宋体" w:cs="Times New Roman"/>
                <w:color w:val="000000"/>
                <w:sz w:val="24"/>
                <w:szCs w:val="24"/>
              </w:rPr>
            </w:pPr>
            <w:r/>
            <w:bookmarkStart w:id="13" w:name="_Hlt26671343"/>
            <w:r/>
            <w:bookmarkEnd w:id="13"/>
            <w:r/>
            <w:bookmarkStart w:id="14" w:name="_Hlt24879081"/>
            <w:r/>
            <w:bookmarkEnd w:id="14"/>
            <w:r/>
            <w:bookmarkStart w:id="15" w:name="_Hlt26580838"/>
            <w:r/>
            <w:bookmarkEnd w:id="15"/>
            <w:r/>
            <w:bookmarkStart w:id="16" w:name="_Hlt26609391"/>
            <w:r/>
            <w:bookmarkEnd w:id="16"/>
            <w:r/>
            <w:bookmarkStart w:id="17" w:name="_Hlt26782999"/>
            <w:r/>
            <w:bookmarkEnd w:id="17"/>
            <w:r/>
            <w:bookmarkStart w:id="18" w:name="_Hlt26955064"/>
            <w:r/>
            <w:bookmarkEnd w:id="18"/>
            <w:r/>
            <w:bookmarkStart w:id="19" w:name="_Hlt26671372"/>
            <w:r/>
            <w:bookmarkEnd w:id="19"/>
            <w:r/>
            <w:bookmarkStart w:id="20" w:name="_Hlt26955056"/>
            <w:r/>
            <w:bookmarkEnd w:id="20"/>
            <w:r>
              <w:rPr>
                <w:rFonts w:hint="eastAsia" w:ascii="宋体" w:hAnsi="宋体" w:eastAsia="宋体" w:cs="Times New Roman"/>
                <w:color w:val="000000"/>
                <w:sz w:val="24"/>
                <w:szCs w:val="24"/>
              </w:rPr>
              <w:t xml:space="preserve">序号</w:t>
            </w:r>
            <w:r/>
          </w:p>
        </w:tc>
        <w:tc>
          <w:tcPr>
            <w:tcW w:w="2346"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招标文件要求</w:t>
            </w:r>
            <w:r/>
          </w:p>
        </w:tc>
        <w:tc>
          <w:tcPr>
            <w:tcW w:w="256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投标响应情况</w:t>
            </w:r>
            <w:r/>
          </w:p>
        </w:tc>
        <w:tc>
          <w:tcPr>
            <w:tcW w:w="2415" w:type="dxa"/>
            <w:vAlign w:val="center"/>
            <w:textDirection w:val="lrTb"/>
            <w:noWrap w:val="false"/>
          </w:tcPr>
          <w:p>
            <w:pPr>
              <w:jc w:val="cente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超出、符合或偏离</w:t>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trHeight w:val="640"/>
        </w:trPr>
        <w:tc>
          <w:tcPr>
            <w:tcW w:w="11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3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5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4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bookmarkStart w:id="21" w:name="_Hlt26671374"/>
      <w:r/>
      <w:bookmarkEnd w:id="21"/>
      <w:r/>
      <w:bookmarkStart w:id="22" w:name="_格式2__法定代表人授权书"/>
      <w:r/>
      <w:bookmarkEnd w:id="22"/>
      <w:r/>
      <w:bookmarkStart w:id="23" w:name="_Hlt26955066"/>
      <w:r/>
      <w:bookmarkEnd w:id="23"/>
      <w:r/>
      <w:bookmarkStart w:id="24" w:name="_Hlt26609389"/>
      <w:r/>
      <w:bookmarkEnd w:id="24"/>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十八、类似项目业绩一览表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分包号：</w:t>
      </w:r>
      <w:r/>
    </w:p>
    <w:tbl>
      <w:tblPr>
        <w:tblStyle w:val="730"/>
        <w:tblW w:w="845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895"/>
        <w:gridCol w:w="1911"/>
        <w:gridCol w:w="2070"/>
        <w:gridCol w:w="1665"/>
      </w:tblGrid>
      <w:tr>
        <w:trPr>
          <w:cantSplit/>
          <w:jc w:val="center"/>
        </w:trPr>
        <w:tc>
          <w:tcPr>
            <w:tcW w:w="91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序号</w:t>
            </w:r>
            <w:r/>
          </w:p>
        </w:tc>
        <w:tc>
          <w:tcPr>
            <w:tcW w:w="189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项目名称</w:t>
            </w:r>
            <w:r/>
          </w:p>
        </w:tc>
        <w:tc>
          <w:tcPr>
            <w:tcW w:w="1911"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签订时间</w:t>
            </w:r>
            <w:r/>
          </w:p>
        </w:tc>
        <w:tc>
          <w:tcPr>
            <w:tcW w:w="2070"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采购单位</w:t>
            </w:r>
            <w:r/>
          </w:p>
        </w:tc>
        <w:tc>
          <w:tcPr>
            <w:tcW w:w="1665" w:type="dxa"/>
            <w:vAlign w:val="center"/>
            <w:textDirection w:val="lrTb"/>
            <w:noWrap w:val="false"/>
          </w:tcPr>
          <w:p>
            <w:pPr>
              <w:jc w:val="center"/>
              <w:spacing w:line="360" w:lineRule="auto"/>
              <w:rPr>
                <w:rFonts w:ascii="宋体" w:hAnsi="宋体" w:eastAsia="宋体" w:cs="Times New Roman"/>
                <w:bCs/>
                <w:color w:val="000000"/>
                <w:sz w:val="24"/>
                <w:szCs w:val="24"/>
              </w:rPr>
            </w:pPr>
            <w:r>
              <w:rPr>
                <w:rFonts w:hint="eastAsia" w:ascii="宋体" w:hAnsi="宋体" w:eastAsia="宋体" w:cs="Times New Roman"/>
                <w:bCs/>
                <w:color w:val="000000"/>
                <w:sz w:val="24"/>
                <w:szCs w:val="24"/>
              </w:rPr>
              <w:t xml:space="preserve">主要标的</w:t>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1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189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11"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0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6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r/>
      <w:r/>
    </w:p>
    <w:p>
      <w:r/>
      <w:r/>
    </w:p>
    <w:p>
      <w:r/>
      <w:r/>
    </w:p>
    <w:p>
      <w:r/>
      <w:r/>
    </w:p>
    <w:p>
      <w:r/>
      <w:r/>
    </w:p>
    <w:p>
      <w:r/>
      <w:r/>
    </w:p>
    <w:p>
      <w:r/>
      <w:r/>
    </w:p>
    <w:p>
      <w:r/>
      <w:r/>
    </w:p>
    <w:p>
      <w:r/>
      <w:r/>
    </w:p>
    <w:p>
      <w:r/>
      <w:r/>
    </w:p>
    <w:p>
      <w:r/>
      <w:r/>
    </w:p>
    <w:p>
      <w:r/>
      <w:r/>
    </w:p>
    <w:p>
      <w:r/>
      <w:r/>
    </w:p>
    <w:p>
      <w:r/>
      <w:r/>
    </w:p>
    <w:p>
      <w:pPr>
        <w:jc w:val="left"/>
        <w:keepLines/>
        <w:keepNext/>
        <w:spacing w:before="360" w:after="200" w:line="360" w:lineRule="auto"/>
        <w:rPr>
          <w:rFonts w:ascii="Arial" w:hAnsi="Arial" w:eastAsia="宋体" w:cs="Arial"/>
          <w:iCs/>
          <w:sz w:val="36"/>
        </w:rPr>
        <w:outlineLvl w:val="1"/>
      </w:pPr>
      <w:r>
        <w:rPr>
          <w:rFonts w:hint="eastAsia" w:ascii="Arial" w:hAnsi="Arial" w:eastAsia="宋体" w:cs="Arial"/>
          <w:iCs/>
          <w:sz w:val="36"/>
        </w:rPr>
        <w:t xml:space="preserve">十九、项目团队人员一览表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rPr>
          <w:rFonts w:ascii="宋体" w:hAnsi="宋体" w:eastAsia="宋体" w:cs="Times New Roman"/>
          <w:bCs/>
          <w:color w:val="000000"/>
          <w:sz w:val="24"/>
          <w:szCs w:val="24"/>
        </w:rPr>
      </w:pPr>
      <w:r>
        <w:rPr>
          <w:rFonts w:hint="eastAsia" w:ascii="宋体" w:hAnsi="宋体" w:eastAsia="宋体" w:cs="方正仿宋_GBK"/>
          <w:color w:val="000000"/>
          <w:sz w:val="24"/>
          <w:szCs w:val="24"/>
        </w:rPr>
        <w:t xml:space="preserve">项目名称：          项目编号：         分包号：</w:t>
      </w:r>
      <w:r/>
    </w:p>
    <w:tbl>
      <w:tblPr>
        <w:tblStyle w:val="730"/>
        <w:tblW w:w="85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417"/>
        <w:gridCol w:w="1654"/>
        <w:gridCol w:w="1635"/>
        <w:gridCol w:w="1410"/>
        <w:gridCol w:w="1770"/>
      </w:tblGrid>
      <w:tr>
        <w:trPr>
          <w:cantSplit/>
          <w:jc w:val="center"/>
        </w:trPr>
        <w:tc>
          <w:tcPr>
            <w:tcW w:w="7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17"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1654"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63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学历</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年龄</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根据项目需求、评分办法确定一览表格式</w:t>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7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7"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5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35"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1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770"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r/>
      <w:r/>
    </w:p>
    <w:p>
      <w:r/>
      <w:r/>
    </w:p>
    <w:p>
      <w:pPr>
        <w:rPr>
          <w:sz w:val="24"/>
          <w:szCs w:val="24"/>
        </w:rPr>
      </w:pPr>
      <w:r>
        <w:rPr>
          <w:sz w:val="24"/>
          <w:szCs w:val="24"/>
        </w:rPr>
        <w:t xml:space="preserve">注：表格格式不为固定格式，请各投标人根据招标文件具体内容自行编制。</w:t>
      </w:r>
      <w:r/>
    </w:p>
    <w:p>
      <w:pPr>
        <w:rPr>
          <w:sz w:val="24"/>
          <w:szCs w:val="24"/>
        </w:rPr>
      </w:pPr>
      <w:r>
        <w:rPr>
          <w:sz w:val="24"/>
          <w:szCs w:val="24"/>
        </w:rPr>
      </w:r>
      <w:r/>
    </w:p>
    <w:p>
      <w:r/>
      <w:r/>
    </w:p>
    <w:p>
      <w:r/>
      <w:r/>
    </w:p>
    <w:p>
      <w:r/>
      <w:r/>
    </w:p>
    <w:p>
      <w:r/>
      <w:r/>
    </w:p>
    <w:p>
      <w:r/>
      <w:r/>
    </w:p>
    <w:p>
      <w:r/>
      <w:r/>
    </w:p>
    <w:p>
      <w:r/>
      <w:r/>
    </w:p>
    <w:p>
      <w:r/>
      <w:r/>
    </w:p>
    <w:p>
      <w:pPr>
        <w:jc w:val="left"/>
        <w:spacing w:line="500" w:lineRule="exact"/>
        <w:rPr>
          <w:rFonts w:ascii="黑体" w:hAnsi="黑体" w:eastAsia="黑体" w:cs="Times New Roman"/>
          <w:b/>
          <w:color w:val="000000"/>
          <w:sz w:val="32"/>
          <w:szCs w:val="32"/>
        </w:rPr>
      </w:pPr>
      <w:r>
        <w:rPr>
          <w:rFonts w:ascii="黑体" w:hAnsi="黑体" w:eastAsia="黑体" w:cs="Times New Roman"/>
          <w:b/>
          <w:color w:val="000000"/>
          <w:sz w:val="32"/>
          <w:szCs w:val="32"/>
        </w:rPr>
      </w:r>
      <w:r/>
    </w:p>
    <w:p>
      <w:pPr>
        <w:jc w:val="left"/>
        <w:rPr>
          <w:rFonts w:ascii="Times New Roman" w:hAnsi="Times New Roman" w:eastAsia="仿宋_GB2312" w:cs="Times New Roman"/>
          <w:color w:val="000000"/>
          <w:sz w:val="22"/>
          <w:szCs w:val="20"/>
        </w:rPr>
      </w:pPr>
      <w:r>
        <w:rPr>
          <w:rFonts w:hint="eastAsia" w:ascii="宋体" w:hAnsi="宋体" w:eastAsia="宋体" w:cs="宋体"/>
          <w:bCs/>
          <w:color w:val="000000"/>
          <w:sz w:val="32"/>
          <w:szCs w:val="36"/>
        </w:rPr>
        <w:t xml:space="preserve">二十、开标一览表</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投标人全称（CA公章）：</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p>
      <w:pPr>
        <w:ind w:firstLine="480"/>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项目编号：                                   分包号：</w:t>
      </w:r>
      <w:r/>
    </w:p>
    <w:tbl>
      <w:tblPr>
        <w:tblStyle w:val="755"/>
        <w:tblW w:w="8475" w:type="dxa"/>
        <w:tblInd w:w="11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974"/>
        <w:gridCol w:w="5501"/>
      </w:tblGrid>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投标货物名称</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总价（小写）</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                          元</w:t>
            </w:r>
            <w:r/>
          </w:p>
        </w:tc>
      </w:tr>
      <w:tr>
        <w:trPr/>
        <w:tc>
          <w:tcPr>
            <w:tcW w:w="2974" w:type="dxa"/>
            <w:textDirection w:val="lrTb"/>
            <w:noWrap w:val="false"/>
          </w:tcPr>
          <w:p>
            <w:pPr>
              <w:jc w:val="cente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核心产品</w:t>
            </w:r>
            <w:r/>
          </w:p>
        </w:tc>
        <w:tc>
          <w:tcPr>
            <w:tcW w:w="5501" w:type="dxa"/>
            <w:textDirection w:val="lrTb"/>
            <w:noWrap w:val="false"/>
          </w:tcPr>
          <w:p>
            <w:pPr>
              <w:jc w:val="cente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jc w:val="right"/>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   年     月     日</w:t>
      </w:r>
      <w:r/>
    </w:p>
    <w:p>
      <w:pPr>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highlight w:val="yellow"/>
        </w:rPr>
      </w:pPr>
      <w:r>
        <w:rPr>
          <w:rFonts w:ascii="宋体" w:hAnsi="宋体" w:eastAsia="宋体" w:cs="Times New Roman"/>
          <w:color w:val="000000"/>
          <w:sz w:val="24"/>
          <w:szCs w:val="24"/>
          <w:highlight w:val="yellow"/>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jc w:val="center"/>
        <w:rPr>
          <w:rFonts w:ascii="黑体" w:hAnsi="黑体" w:eastAsia="黑体" w:cs="仿宋"/>
          <w:bCs/>
          <w:color w:val="000000"/>
          <w:sz w:val="36"/>
          <w:szCs w:val="36"/>
        </w:rPr>
      </w:pPr>
      <w:r>
        <w:rPr>
          <w:rFonts w:hint="eastAsia" w:ascii="黑体" w:hAnsi="黑体" w:eastAsia="黑体" w:cs="仿宋"/>
          <w:bCs/>
          <w:color w:val="000000"/>
          <w:sz w:val="36"/>
          <w:szCs w:val="36"/>
        </w:rPr>
        <w:t xml:space="preserve">质疑函范本</w:t>
      </w:r>
      <w:r/>
    </w:p>
    <w:p>
      <w:pPr>
        <w:spacing w:line="500" w:lineRule="exact"/>
        <w:rPr>
          <w:rFonts w:ascii="宋体" w:hAnsi="宋体" w:eastAsia="宋体" w:cs="仿宋"/>
          <w:bCs/>
          <w:color w:val="000000"/>
          <w:sz w:val="24"/>
          <w:szCs w:val="24"/>
        </w:rPr>
      </w:pPr>
      <w:r>
        <w:rPr>
          <w:rFonts w:hint="eastAsia" w:ascii="宋体" w:hAnsi="宋体" w:eastAsia="宋体" w:cs="仿宋"/>
          <w:bCs/>
          <w:color w:val="000000"/>
          <w:sz w:val="24"/>
          <w:szCs w:val="24"/>
        </w:rPr>
        <w:t xml:space="preserve">致：</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质疑供应商：</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联系人：联系电话：</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授权代表：</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联系电话：</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质疑项目的编号：包号：</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采购人名称：</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质疑事项1：</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事实依据：</w:t>
      </w:r>
      <w:r/>
    </w:p>
    <w:p>
      <w:pPr>
        <w:spacing w:line="500" w:lineRule="exact"/>
        <w:rPr>
          <w:rFonts w:ascii="宋体" w:hAnsi="宋体" w:eastAsia="宋体" w:cs="仿宋"/>
          <w:color w:val="000000"/>
          <w:sz w:val="24"/>
          <w:szCs w:val="24"/>
        </w:rPr>
      </w:pPr>
      <w:r>
        <w:rPr>
          <w:rFonts w:ascii="宋体" w:hAnsi="宋体" w:eastAsia="宋体" w:cs="仿宋"/>
          <w:color w:val="000000"/>
          <w:sz w:val="24"/>
          <w:szCs w:val="24"/>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法律依据：</w:t>
      </w:r>
      <w:r/>
    </w:p>
    <w:p>
      <w:pPr>
        <w:spacing w:line="500" w:lineRule="exact"/>
        <w:rPr>
          <w:rFonts w:ascii="宋体" w:hAnsi="宋体" w:eastAsia="宋体" w:cs="仿宋"/>
          <w:color w:val="000000"/>
          <w:sz w:val="24"/>
          <w:szCs w:val="24"/>
          <w:u w:val="single"/>
        </w:rPr>
      </w:pPr>
      <w:r>
        <w:rPr>
          <w:rFonts w:ascii="宋体" w:hAnsi="宋体" w:eastAsia="宋体" w:cs="仿宋"/>
          <w:color w:val="000000"/>
          <w:sz w:val="24"/>
          <w:szCs w:val="24"/>
          <w:u w:val="single"/>
        </w:rPr>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质疑事项2</w:t>
      </w:r>
      <w:r/>
    </w:p>
    <w:p>
      <w:pPr>
        <w:spacing w:line="500" w:lineRule="exact"/>
        <w:rPr>
          <w:rFonts w:ascii="宋体" w:hAnsi="宋体" w:eastAsia="宋体" w:cs="仿宋"/>
          <w:color w:val="000000"/>
          <w:sz w:val="24"/>
          <w:szCs w:val="24"/>
        </w:rPr>
      </w:pPr>
      <w:r>
        <w:rPr>
          <w:rFonts w:hint="eastAsia" w:ascii="宋体" w:hAnsi="宋体" w:eastAsia="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eastAsia="宋体" w:cs="仿宋"/>
          <w:color w:val="000000"/>
          <w:sz w:val="24"/>
          <w:szCs w:val="24"/>
          <w:u w:val="single"/>
        </w:rPr>
      </w:pPr>
      <w:r>
        <w:rPr>
          <w:rFonts w:hint="eastAsia" w:ascii="宋体" w:hAnsi="宋体" w:eastAsia="宋体" w:cs="仿宋"/>
          <w:color w:val="000000"/>
          <w:sz w:val="24"/>
          <w:szCs w:val="24"/>
        </w:rPr>
        <w:t xml:space="preserve">请求：</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签字（签章）：                   公章：                      </w:t>
      </w:r>
      <w:r/>
    </w:p>
    <w:p>
      <w:pPr>
        <w:spacing w:line="500" w:lineRule="exact"/>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日期：    </w:t>
      </w:r>
      <w:r/>
    </w:p>
    <w:p>
      <w:pPr>
        <w:spacing w:line="500" w:lineRule="exact"/>
        <w:rPr>
          <w:rFonts w:ascii="宋体" w:hAnsi="宋体" w:eastAsia="宋体" w:cs="Times New Roman"/>
          <w:b/>
          <w:color w:val="000000"/>
          <w:sz w:val="24"/>
          <w:szCs w:val="24"/>
        </w:rPr>
      </w:pPr>
      <w:r>
        <w:rPr>
          <w:rFonts w:hint="eastAsia" w:ascii="宋体" w:hAnsi="宋体" w:eastAsia="宋体" w:cs="Times New Roman"/>
          <w:b/>
          <w:color w:val="000000"/>
          <w:sz w:val="24"/>
          <w:szCs w:val="24"/>
        </w:rPr>
        <w:t xml:space="preserve">质疑函制作说明：</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1.供应商提出质疑时，应提交质疑函和必要的证明材料。</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5.质疑函的质疑请求应与质疑事项相关。</w:t>
      </w:r>
      <w:r/>
    </w:p>
    <w:p>
      <w:pPr>
        <w:ind w:firstLine="480"/>
        <w:jc w:val="left"/>
        <w:spacing w:line="5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p>
      <w:pPr>
        <w:ind w:firstLine="480"/>
        <w:jc w:val="left"/>
        <w:spacing w:line="500" w:lineRule="exact"/>
        <w:widowControl/>
        <w:rPr>
          <w:sz w:val="24"/>
          <w:szCs w:val="24"/>
        </w:rPr>
      </w:pPr>
      <w:r>
        <w:rPr>
          <w:rFonts w:hint="eastAsia" w:ascii="宋体" w:hAnsi="宋体" w:eastAsia="宋体" w:cs="Times New Roman"/>
          <w:sz w:val="24"/>
          <w:szCs w:val="24"/>
        </w:rPr>
        <w:t xml:space="preserve">具体要求详见第二章 投标人须知 八、询问与质疑。</w:t>
      </w:r>
      <w:r/>
    </w:p>
    <w:p>
      <w:r/>
      <w:r/>
    </w:p>
    <w:p>
      <w:r/>
      <w:r/>
    </w:p>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egoe UI">
    <w:panose1 w:val="020B0502040204020203"/>
  </w:font>
  <w:font w:name="Symbol">
    <w:panose1 w:val="05050102010706020507"/>
  </w:font>
  <w:font w:name="Wingdings">
    <w:panose1 w:val="05000000000000000000"/>
  </w:font>
  <w:font w:name="华文楷体">
    <w:panose1 w:val="02010600040101010101"/>
  </w:font>
  <w:font w:name="Calibri">
    <w:panose1 w:val="020F0502020204030204"/>
  </w:font>
  <w:font w:name="汉仪书宋二S">
    <w:panose1 w:val="020B0503020202020204"/>
  </w:font>
  <w:font w:name="MS Mincho">
    <w:panose1 w:val="02020603050405090304"/>
  </w:font>
  <w:font w:name="楷体_GB2312">
    <w:panose1 w:val="02010609060101010101"/>
  </w:font>
  <w:font w:name="黑体">
    <w:panose1 w:val="02010609060101010101"/>
  </w:font>
  <w:font w:name="华文中宋">
    <w:panose1 w:val="02010600040101010101"/>
  </w:font>
  <w:font w:name="仿宋_GB2312">
    <w:panose1 w:val="02010609060101010101"/>
  </w:font>
  <w:font w:name="Courier New">
    <w:panose1 w:val="02070309020205020404"/>
  </w:font>
  <w:font w:name="等线 Light">
    <w:panose1 w:val="02010600030101010101"/>
  </w:font>
  <w:font w:name="等线">
    <w:panose1 w:val="02010600030101010101"/>
  </w:font>
  <w:font w:name="仿宋">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2"/>
      <w:jc w:val="center"/>
    </w:pPr>
    <w:r/>
    <w:r/>
  </w:p>
  <w:p>
    <w:pPr>
      <w:pStyle w:val="7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9270858"/>
      <w:rPr/>
    </w:sdtPr>
    <w:sdtContent>
      <w:p>
        <w:pPr>
          <w:pStyle w:val="742"/>
          <w:jc w:val="center"/>
        </w:pPr>
        <w:r>
          <w:fldChar w:fldCharType="begin"/>
        </w:r>
        <w:r>
          <w:instrText xml:space="preserve"> PAGE   \* MERGEFORMAT </w:instrText>
        </w:r>
        <w:r>
          <w:fldChar w:fldCharType="separate"/>
        </w:r>
        <w:r>
          <w:rPr>
            <w:lang w:val="zh-CN"/>
          </w:rPr>
          <w:t xml:space="preserve">13</w:t>
        </w:r>
        <w:r>
          <w:rPr>
            <w:lang w:val="zh-CN"/>
          </w:rPr>
          <w:fldChar w:fldCharType="end"/>
        </w:r>
        <w:r/>
      </w:p>
    </w:sdtContent>
  </w:sdt>
  <w:p>
    <w:pPr>
      <w:pStyle w:val="74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6"/>
  </w:num>
  <w:num w:numId="3">
    <w:abstractNumId w:val="2"/>
  </w:num>
  <w:num w:numId="4">
    <w:abstractNumId w:val="1"/>
  </w:num>
  <w:num w:numId="5">
    <w:abstractNumId w:val="0"/>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6">
    <w:name w:val="Heading 4 Char"/>
    <w:basedOn w:val="729"/>
    <w:link w:val="723"/>
    <w:uiPriority w:val="9"/>
    <w:rPr>
      <w:rFonts w:ascii="Arial" w:hAnsi="Arial" w:eastAsia="Arial" w:cs="Arial"/>
      <w:b/>
      <w:bCs/>
      <w:sz w:val="26"/>
      <w:szCs w:val="26"/>
    </w:rPr>
  </w:style>
  <w:style w:type="character" w:styleId="687">
    <w:name w:val="Heading 5 Char"/>
    <w:basedOn w:val="729"/>
    <w:link w:val="724"/>
    <w:uiPriority w:val="9"/>
    <w:rPr>
      <w:rFonts w:ascii="Arial" w:hAnsi="Arial" w:eastAsia="Arial" w:cs="Arial"/>
      <w:b/>
      <w:bCs/>
      <w:sz w:val="24"/>
      <w:szCs w:val="24"/>
    </w:rPr>
  </w:style>
  <w:style w:type="character" w:styleId="688">
    <w:name w:val="Heading 6 Char"/>
    <w:basedOn w:val="729"/>
    <w:link w:val="725"/>
    <w:uiPriority w:val="9"/>
    <w:rPr>
      <w:rFonts w:ascii="Arial" w:hAnsi="Arial" w:eastAsia="Arial" w:cs="Arial"/>
      <w:b/>
      <w:bCs/>
      <w:sz w:val="22"/>
      <w:szCs w:val="22"/>
    </w:rPr>
  </w:style>
  <w:style w:type="character" w:styleId="689">
    <w:name w:val="Heading 7 Char"/>
    <w:basedOn w:val="729"/>
    <w:link w:val="726"/>
    <w:uiPriority w:val="9"/>
    <w:rPr>
      <w:rFonts w:ascii="Arial" w:hAnsi="Arial" w:eastAsia="Arial" w:cs="Arial"/>
      <w:b/>
      <w:bCs/>
      <w:i/>
      <w:iCs/>
      <w:sz w:val="22"/>
      <w:szCs w:val="22"/>
    </w:rPr>
  </w:style>
  <w:style w:type="character" w:styleId="690">
    <w:name w:val="Heading 8 Char"/>
    <w:basedOn w:val="729"/>
    <w:link w:val="727"/>
    <w:uiPriority w:val="9"/>
    <w:rPr>
      <w:rFonts w:ascii="Arial" w:hAnsi="Arial" w:eastAsia="Arial" w:cs="Arial"/>
      <w:i/>
      <w:iCs/>
      <w:sz w:val="22"/>
      <w:szCs w:val="22"/>
    </w:rPr>
  </w:style>
  <w:style w:type="character" w:styleId="691">
    <w:name w:val="Heading 9 Char"/>
    <w:basedOn w:val="729"/>
    <w:link w:val="728"/>
    <w:uiPriority w:val="9"/>
    <w:rPr>
      <w:rFonts w:ascii="Arial" w:hAnsi="Arial" w:eastAsia="Arial" w:cs="Arial"/>
      <w:i/>
      <w:iCs/>
      <w:sz w:val="21"/>
      <w:szCs w:val="21"/>
    </w:rPr>
  </w:style>
  <w:style w:type="character" w:styleId="692">
    <w:name w:val="Title Char"/>
    <w:basedOn w:val="729"/>
    <w:link w:val="753"/>
    <w:uiPriority w:val="10"/>
    <w:rPr>
      <w:sz w:val="48"/>
      <w:szCs w:val="48"/>
    </w:rPr>
  </w:style>
  <w:style w:type="character" w:styleId="693">
    <w:name w:val="Subtitle Char"/>
    <w:basedOn w:val="729"/>
    <w:link w:val="746"/>
    <w:uiPriority w:val="11"/>
    <w:rPr>
      <w:sz w:val="24"/>
      <w:szCs w:val="24"/>
    </w:rPr>
  </w:style>
  <w:style w:type="character" w:styleId="694">
    <w:name w:val="Quote Char"/>
    <w:link w:val="799"/>
    <w:uiPriority w:val="29"/>
    <w:rPr>
      <w:i/>
    </w:rPr>
  </w:style>
  <w:style w:type="character" w:styleId="695">
    <w:name w:val="Intense Quote Char"/>
    <w:link w:val="804"/>
    <w:uiPriority w:val="30"/>
    <w:rPr>
      <w:i/>
    </w:rPr>
  </w:style>
  <w:style w:type="paragraph" w:styleId="696">
    <w:name w:val="Caption"/>
    <w:basedOn w:val="719"/>
    <w:next w:val="719"/>
    <w:uiPriority w:val="35"/>
    <w:semiHidden/>
    <w:unhideWhenUsed/>
    <w:qFormat/>
    <w:pPr>
      <w:spacing w:line="276" w:lineRule="auto"/>
    </w:pPr>
    <w:rPr>
      <w:b/>
      <w:bCs/>
      <w:color w:val="4f81bd" w:themeColor="accent1"/>
      <w:sz w:val="18"/>
      <w:szCs w:val="18"/>
    </w:rPr>
  </w:style>
  <w:style w:type="table" w:styleId="697">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8">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9">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0">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1">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2">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3">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4">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6">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7">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08">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09">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0">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1">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2">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3">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4">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5">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16">
    <w:name w:val="Footnote Text Char"/>
    <w:link w:val="747"/>
    <w:uiPriority w:val="99"/>
    <w:rPr>
      <w:sz w:val="18"/>
    </w:rPr>
  </w:style>
  <w:style w:type="character" w:styleId="717">
    <w:name w:val="Endnote Text Char"/>
    <w:link w:val="740"/>
    <w:uiPriority w:val="99"/>
    <w:rPr>
      <w:sz w:val="20"/>
    </w:rPr>
  </w:style>
  <w:style w:type="paragraph" w:styleId="718">
    <w:name w:val="TOC Heading"/>
    <w:uiPriority w:val="39"/>
    <w:unhideWhenUsed/>
  </w:style>
  <w:style w:type="paragraph" w:styleId="719"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720">
    <w:name w:val="Heading 1"/>
    <w:basedOn w:val="719"/>
    <w:next w:val="719"/>
    <w:link w:val="764"/>
    <w:uiPriority w:val="9"/>
    <w:qFormat/>
    <w:pPr>
      <w:keepLines/>
      <w:keepNext/>
      <w:spacing w:before="340" w:after="330" w:line="578" w:lineRule="auto"/>
      <w:outlineLvl w:val="0"/>
    </w:pPr>
    <w:rPr>
      <w:b/>
      <w:bCs/>
      <w:sz w:val="44"/>
      <w:szCs w:val="44"/>
    </w:rPr>
  </w:style>
  <w:style w:type="paragraph" w:styleId="721">
    <w:name w:val="Heading 2"/>
    <w:basedOn w:val="719"/>
    <w:next w:val="719"/>
    <w:link w:val="766"/>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22">
    <w:name w:val="Heading 3"/>
    <w:basedOn w:val="719"/>
    <w:next w:val="719"/>
    <w:link w:val="767"/>
    <w:uiPriority w:val="9"/>
    <w:unhideWhenUsed/>
    <w:qFormat/>
    <w:pPr>
      <w:keepLines/>
      <w:keepNext/>
      <w:spacing w:before="260" w:after="260" w:line="416" w:lineRule="auto"/>
      <w:outlineLvl w:val="2"/>
    </w:pPr>
    <w:rPr>
      <w:b/>
      <w:bCs/>
      <w:sz w:val="32"/>
      <w:szCs w:val="32"/>
    </w:rPr>
  </w:style>
  <w:style w:type="paragraph" w:styleId="723">
    <w:name w:val="Heading 4"/>
    <w:basedOn w:val="719"/>
    <w:next w:val="719"/>
    <w:link w:val="943"/>
    <w:uiPriority w:val="9"/>
    <w:semiHidden/>
    <w:unhideWhenUsed/>
    <w:qFormat/>
    <w:pPr>
      <w:keepLines/>
      <w:keepNext/>
      <w:spacing w:before="280" w:after="290" w:line="376" w:lineRule="auto"/>
      <w:outlineLvl w:val="3"/>
    </w:pPr>
    <w:rPr>
      <w:rFonts w:ascii="Times New Roman" w:hAnsi="Times New Roman" w:eastAsia="宋体" w:cs="Times New Roman"/>
      <w:color w:val="2f5496"/>
      <w:sz w:val="28"/>
      <w:szCs w:val="28"/>
    </w:rPr>
  </w:style>
  <w:style w:type="paragraph" w:styleId="724">
    <w:name w:val="Heading 5"/>
    <w:basedOn w:val="719"/>
    <w:next w:val="719"/>
    <w:link w:val="944"/>
    <w:uiPriority w:val="9"/>
    <w:semiHidden/>
    <w:unhideWhenUsed/>
    <w:qFormat/>
    <w:pPr>
      <w:keepLines/>
      <w:keepNext/>
      <w:spacing w:before="280" w:after="290" w:line="376" w:lineRule="auto"/>
      <w:outlineLvl w:val="4"/>
    </w:pPr>
    <w:rPr>
      <w:rFonts w:ascii="Times New Roman" w:hAnsi="Times New Roman" w:eastAsia="宋体" w:cs="Times New Roman"/>
      <w:color w:val="2f5496"/>
      <w:sz w:val="24"/>
      <w:szCs w:val="24"/>
    </w:rPr>
  </w:style>
  <w:style w:type="paragraph" w:styleId="725">
    <w:name w:val="Heading 6"/>
    <w:basedOn w:val="719"/>
    <w:next w:val="719"/>
    <w:link w:val="945"/>
    <w:uiPriority w:val="9"/>
    <w:semiHidden/>
    <w:unhideWhenUsed/>
    <w:qFormat/>
    <w:pPr>
      <w:keepLines/>
      <w:keepNext/>
      <w:spacing w:before="240" w:after="64" w:line="320" w:lineRule="auto"/>
      <w:outlineLvl w:val="5"/>
    </w:pPr>
    <w:rPr>
      <w:rFonts w:ascii="Times New Roman" w:hAnsi="Times New Roman" w:eastAsia="宋体" w:cs="Times New Roman"/>
      <w:b/>
      <w:bCs/>
      <w:color w:val="2f5496"/>
      <w:sz w:val="20"/>
      <w:szCs w:val="20"/>
    </w:rPr>
  </w:style>
  <w:style w:type="paragraph" w:styleId="726">
    <w:name w:val="Heading 7"/>
    <w:basedOn w:val="719"/>
    <w:next w:val="719"/>
    <w:link w:val="946"/>
    <w:uiPriority w:val="9"/>
    <w:semiHidden/>
    <w:unhideWhenUsed/>
    <w:qFormat/>
    <w:pPr>
      <w:keepLines/>
      <w:keepNext/>
      <w:spacing w:before="240" w:after="64" w:line="320" w:lineRule="auto"/>
      <w:outlineLvl w:val="6"/>
    </w:pPr>
    <w:rPr>
      <w:rFonts w:ascii="Times New Roman" w:hAnsi="Times New Roman" w:eastAsia="宋体" w:cs="Times New Roman"/>
      <w:b/>
      <w:bCs/>
      <w:color w:val="000000"/>
      <w:sz w:val="20"/>
      <w:szCs w:val="20"/>
    </w:rPr>
  </w:style>
  <w:style w:type="paragraph" w:styleId="727">
    <w:name w:val="Heading 8"/>
    <w:basedOn w:val="719"/>
    <w:next w:val="719"/>
    <w:link w:val="947"/>
    <w:uiPriority w:val="9"/>
    <w:semiHidden/>
    <w:unhideWhenUsed/>
    <w:qFormat/>
    <w:pPr>
      <w:keepLines/>
      <w:keepNext/>
      <w:spacing w:before="240" w:after="64" w:line="320" w:lineRule="auto"/>
      <w:outlineLvl w:val="7"/>
    </w:pPr>
    <w:rPr>
      <w:rFonts w:ascii="Times New Roman" w:hAnsi="Times New Roman" w:eastAsia="宋体" w:cs="Times New Roman"/>
      <w:color w:val="000000"/>
      <w:sz w:val="20"/>
      <w:szCs w:val="20"/>
    </w:rPr>
  </w:style>
  <w:style w:type="paragraph" w:styleId="728">
    <w:name w:val="Heading 9"/>
    <w:basedOn w:val="719"/>
    <w:next w:val="719"/>
    <w:link w:val="948"/>
    <w:uiPriority w:val="9"/>
    <w:semiHidden/>
    <w:unhideWhenUsed/>
    <w:qFormat/>
    <w:pPr>
      <w:keepLines/>
      <w:keepNext/>
      <w:spacing w:before="240" w:after="64" w:line="320" w:lineRule="auto"/>
      <w:outlineLvl w:val="8"/>
    </w:pPr>
    <w:rPr>
      <w:rFonts w:ascii="Times New Roman" w:hAnsi="Times New Roman" w:eastAsia="等线 Light" w:cs="Times New Roman"/>
      <w:color w:val="000000"/>
      <w:sz w:val="20"/>
      <w:szCs w:val="20"/>
    </w:rPr>
  </w:style>
  <w:style w:type="character" w:styleId="729" w:default="1">
    <w:name w:val="Default Paragraph Font"/>
    <w:uiPriority w:val="1"/>
    <w:semiHidden/>
    <w:unhideWhenUsed/>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toc 7"/>
    <w:basedOn w:val="719"/>
    <w:next w:val="719"/>
    <w:uiPriority w:val="39"/>
    <w:unhideWhenUsed/>
    <w:qFormat/>
    <w:pPr>
      <w:ind w:left="1701"/>
      <w:spacing w:after="57"/>
    </w:pPr>
  </w:style>
  <w:style w:type="paragraph" w:styleId="732">
    <w:name w:val="Document Map"/>
    <w:basedOn w:val="719"/>
    <w:link w:val="765"/>
    <w:uiPriority w:val="99"/>
    <w:semiHidden/>
    <w:unhideWhenUsed/>
    <w:qFormat/>
    <w:rPr>
      <w:rFonts w:ascii="宋体" w:eastAsia="宋体"/>
      <w:sz w:val="18"/>
      <w:szCs w:val="18"/>
    </w:rPr>
  </w:style>
  <w:style w:type="paragraph" w:styleId="733">
    <w:name w:val="annotation text"/>
    <w:basedOn w:val="719"/>
    <w:link w:val="769"/>
    <w:uiPriority w:val="0"/>
    <w:qFormat/>
    <w:pPr>
      <w:ind w:firstLine="922"/>
      <w:jc w:val="left"/>
      <w:spacing w:line="360" w:lineRule="auto"/>
    </w:pPr>
    <w:rPr>
      <w:rFonts w:ascii="Times New Roman" w:hAnsi="Times New Roman" w:eastAsia="宋体" w:cs="Times New Roman"/>
      <w:szCs w:val="24"/>
    </w:rPr>
  </w:style>
  <w:style w:type="paragraph" w:styleId="734">
    <w:name w:val="Body Text Indent"/>
    <w:basedOn w:val="719"/>
    <w:link w:val="781"/>
    <w:uiPriority w:val="99"/>
    <w:semiHidden/>
    <w:unhideWhenUsed/>
    <w:qFormat/>
    <w:pPr>
      <w:ind w:left="420"/>
      <w:spacing w:after="120"/>
    </w:pPr>
  </w:style>
  <w:style w:type="paragraph" w:styleId="735">
    <w:name w:val="toc 5"/>
    <w:basedOn w:val="719"/>
    <w:next w:val="719"/>
    <w:uiPriority w:val="39"/>
    <w:unhideWhenUsed/>
    <w:qFormat/>
    <w:pPr>
      <w:ind w:left="1134"/>
      <w:spacing w:after="57"/>
    </w:pPr>
  </w:style>
  <w:style w:type="paragraph" w:styleId="736">
    <w:name w:val="toc 3"/>
    <w:basedOn w:val="719"/>
    <w:next w:val="719"/>
    <w:uiPriority w:val="39"/>
    <w:unhideWhenUsed/>
    <w:qFormat/>
    <w:pPr>
      <w:ind w:left="567"/>
      <w:spacing w:after="57"/>
    </w:pPr>
  </w:style>
  <w:style w:type="paragraph" w:styleId="737">
    <w:name w:val="Plain Text"/>
    <w:basedOn w:val="719"/>
    <w:link w:val="782"/>
    <w:uiPriority w:val="0"/>
    <w:qFormat/>
    <w:rPr>
      <w:rFonts w:ascii="宋体" w:hAnsi="Courier New" w:eastAsia="宋体" w:cs="Times New Roman"/>
      <w:szCs w:val="20"/>
    </w:rPr>
  </w:style>
  <w:style w:type="paragraph" w:styleId="738">
    <w:name w:val="toc 8"/>
    <w:basedOn w:val="719"/>
    <w:next w:val="719"/>
    <w:uiPriority w:val="39"/>
    <w:unhideWhenUsed/>
    <w:qFormat/>
    <w:pPr>
      <w:ind w:left="1984"/>
      <w:spacing w:after="57"/>
    </w:pPr>
  </w:style>
  <w:style w:type="paragraph" w:styleId="739">
    <w:name w:val="Date"/>
    <w:basedOn w:val="719"/>
    <w:next w:val="719"/>
    <w:link w:val="768"/>
    <w:uiPriority w:val="99"/>
    <w:semiHidden/>
    <w:unhideWhenUsed/>
    <w:qFormat/>
    <w:pPr>
      <w:ind w:left="100"/>
    </w:pPr>
  </w:style>
  <w:style w:type="paragraph" w:styleId="740">
    <w:name w:val="endnote text"/>
    <w:basedOn w:val="719"/>
    <w:link w:val="783"/>
    <w:uiPriority w:val="99"/>
    <w:semiHidden/>
    <w:unhideWhenUsed/>
    <w:qFormat/>
    <w:rPr>
      <w:sz w:val="20"/>
    </w:rPr>
  </w:style>
  <w:style w:type="paragraph" w:styleId="741">
    <w:name w:val="Balloon Text"/>
    <w:basedOn w:val="719"/>
    <w:link w:val="770"/>
    <w:uiPriority w:val="99"/>
    <w:semiHidden/>
    <w:unhideWhenUsed/>
    <w:qFormat/>
    <w:rPr>
      <w:sz w:val="18"/>
      <w:szCs w:val="18"/>
    </w:rPr>
  </w:style>
  <w:style w:type="paragraph" w:styleId="742">
    <w:name w:val="Footer"/>
    <w:basedOn w:val="719"/>
    <w:link w:val="763"/>
    <w:uiPriority w:val="99"/>
    <w:unhideWhenUsed/>
    <w:qFormat/>
    <w:pPr>
      <w:jc w:val="left"/>
      <w:tabs>
        <w:tab w:val="center" w:pos="4153" w:leader="none"/>
        <w:tab w:val="right" w:pos="8306" w:leader="none"/>
      </w:tabs>
    </w:pPr>
    <w:rPr>
      <w:sz w:val="18"/>
      <w:szCs w:val="18"/>
    </w:rPr>
  </w:style>
  <w:style w:type="paragraph" w:styleId="743">
    <w:name w:val="Header"/>
    <w:basedOn w:val="719"/>
    <w:link w:val="7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44">
    <w:name w:val="toc 1"/>
    <w:basedOn w:val="719"/>
    <w:next w:val="719"/>
    <w:uiPriority w:val="39"/>
    <w:unhideWhenUsed/>
    <w:qFormat/>
    <w:pPr>
      <w:jc w:val="center"/>
      <w:spacing w:line="480" w:lineRule="auto"/>
      <w:tabs>
        <w:tab w:val="right" w:pos="9628" w:leader="dot"/>
      </w:tabs>
    </w:pPr>
    <w:rPr>
      <w:b/>
      <w:sz w:val="44"/>
      <w:szCs w:val="44"/>
    </w:rPr>
  </w:style>
  <w:style w:type="paragraph" w:styleId="745">
    <w:name w:val="toc 4"/>
    <w:basedOn w:val="719"/>
    <w:next w:val="719"/>
    <w:uiPriority w:val="39"/>
    <w:unhideWhenUsed/>
    <w:qFormat/>
    <w:pPr>
      <w:ind w:left="850"/>
      <w:spacing w:after="57"/>
    </w:pPr>
  </w:style>
  <w:style w:type="paragraph" w:styleId="746">
    <w:name w:val="Subtitle"/>
    <w:basedOn w:val="719"/>
    <w:next w:val="719"/>
    <w:link w:val="950"/>
    <w:uiPriority w:val="11"/>
    <w:qFormat/>
    <w:pPr>
      <w:jc w:val="center"/>
      <w:spacing w:before="240" w:after="60" w:line="312" w:lineRule="auto"/>
      <w:outlineLvl w:val="1"/>
    </w:pPr>
    <w:rPr>
      <w:rFonts w:ascii="等线 Light" w:hAnsi="等线 Light" w:eastAsia="等线 Light" w:cs="Times New Roman"/>
      <w:color w:val="000000"/>
      <w:spacing w:val="15"/>
      <w:sz w:val="28"/>
      <w:szCs w:val="28"/>
    </w:rPr>
  </w:style>
  <w:style w:type="paragraph" w:styleId="747">
    <w:name w:val="footnote text"/>
    <w:basedOn w:val="719"/>
    <w:link w:val="785"/>
    <w:uiPriority w:val="99"/>
    <w:semiHidden/>
    <w:unhideWhenUsed/>
    <w:qFormat/>
    <w:pPr>
      <w:spacing w:after="40"/>
    </w:pPr>
    <w:rPr>
      <w:sz w:val="18"/>
    </w:rPr>
  </w:style>
  <w:style w:type="paragraph" w:styleId="748">
    <w:name w:val="toc 6"/>
    <w:basedOn w:val="719"/>
    <w:next w:val="719"/>
    <w:uiPriority w:val="39"/>
    <w:unhideWhenUsed/>
    <w:qFormat/>
    <w:pPr>
      <w:ind w:left="1417"/>
      <w:spacing w:after="57"/>
    </w:pPr>
  </w:style>
  <w:style w:type="paragraph" w:styleId="749">
    <w:name w:val="table of figures"/>
    <w:basedOn w:val="719"/>
    <w:next w:val="719"/>
    <w:uiPriority w:val="99"/>
    <w:unhideWhenUsed/>
    <w:qFormat/>
  </w:style>
  <w:style w:type="paragraph" w:styleId="750">
    <w:name w:val="toc 2"/>
    <w:basedOn w:val="719"/>
    <w:next w:val="719"/>
    <w:uiPriority w:val="39"/>
    <w:unhideWhenUsed/>
    <w:qFormat/>
    <w:pPr>
      <w:ind w:left="283"/>
      <w:spacing w:after="57"/>
    </w:pPr>
  </w:style>
  <w:style w:type="paragraph" w:styleId="751">
    <w:name w:val="toc 9"/>
    <w:basedOn w:val="719"/>
    <w:next w:val="719"/>
    <w:uiPriority w:val="39"/>
    <w:unhideWhenUsed/>
    <w:qFormat/>
    <w:pPr>
      <w:ind w:left="2268"/>
      <w:spacing w:after="57"/>
    </w:pPr>
  </w:style>
  <w:style w:type="paragraph" w:styleId="752">
    <w:name w:val="Normal (Web)"/>
    <w:basedOn w:val="719"/>
    <w:uiPriority w:val="99"/>
    <w:unhideWhenUsed/>
    <w:qFormat/>
    <w:pPr>
      <w:jc w:val="left"/>
      <w:spacing w:before="100" w:beforeAutospacing="1" w:after="100" w:afterAutospacing="1"/>
    </w:pPr>
    <w:rPr>
      <w:rFonts w:cs="Times New Roman"/>
      <w:sz w:val="24"/>
    </w:rPr>
  </w:style>
  <w:style w:type="paragraph" w:styleId="753">
    <w:name w:val="Title"/>
    <w:basedOn w:val="719"/>
    <w:next w:val="719"/>
    <w:link w:val="949"/>
    <w:uiPriority w:val="10"/>
    <w:qFormat/>
    <w:pPr>
      <w:jc w:val="center"/>
      <w:spacing w:before="240" w:after="60"/>
      <w:outlineLvl w:val="0"/>
    </w:pPr>
    <w:rPr>
      <w:rFonts w:ascii="等线 Light" w:hAnsi="等线 Light" w:eastAsia="等线 Light" w:cs="Times New Roman"/>
      <w:spacing w:val="-10"/>
      <w:sz w:val="56"/>
      <w:szCs w:val="56"/>
    </w:rPr>
  </w:style>
  <w:style w:type="paragraph" w:styleId="754">
    <w:name w:val="annotation subject"/>
    <w:basedOn w:val="733"/>
    <w:next w:val="733"/>
    <w:link w:val="953"/>
    <w:uiPriority w:val="99"/>
    <w:semiHidden/>
    <w:unhideWhenUsed/>
    <w:qFormat/>
    <w:pPr>
      <w:ind w:firstLine="0"/>
      <w:spacing w:line="240" w:lineRule="auto"/>
    </w:pPr>
    <w:rPr>
      <w:b/>
      <w:bCs/>
      <w:sz w:val="20"/>
    </w:rPr>
  </w:style>
  <w:style w:type="table" w:styleId="755">
    <w:name w:val="Table Grid"/>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6">
    <w:name w:val="Strong"/>
    <w:basedOn w:val="729"/>
    <w:uiPriority w:val="22"/>
    <w:qFormat/>
    <w:rPr>
      <w:b/>
      <w:bCs/>
    </w:rPr>
  </w:style>
  <w:style w:type="character" w:styleId="757">
    <w:name w:val="endnote reference"/>
    <w:basedOn w:val="729"/>
    <w:uiPriority w:val="99"/>
    <w:semiHidden/>
    <w:unhideWhenUsed/>
    <w:qFormat/>
    <w:rPr>
      <w:vertAlign w:val="superscript"/>
    </w:rPr>
  </w:style>
  <w:style w:type="character" w:styleId="758">
    <w:name w:val="Emphasis"/>
    <w:uiPriority w:val="0"/>
    <w:qFormat/>
    <w:rPr>
      <w:i/>
    </w:rPr>
  </w:style>
  <w:style w:type="character" w:styleId="759">
    <w:name w:val="Hyperlink"/>
    <w:uiPriority w:val="99"/>
    <w:qFormat/>
    <w:rPr>
      <w:color w:val="0000ff"/>
      <w:u w:val="none"/>
    </w:rPr>
  </w:style>
  <w:style w:type="character" w:styleId="760">
    <w:name w:val="annotation reference"/>
    <w:uiPriority w:val="0"/>
    <w:qFormat/>
    <w:rPr>
      <w:sz w:val="21"/>
      <w:szCs w:val="21"/>
    </w:rPr>
  </w:style>
  <w:style w:type="character" w:styleId="761">
    <w:name w:val="footnote reference"/>
    <w:basedOn w:val="729"/>
    <w:uiPriority w:val="99"/>
    <w:unhideWhenUsed/>
    <w:qFormat/>
    <w:rPr>
      <w:vertAlign w:val="superscript"/>
    </w:rPr>
  </w:style>
  <w:style w:type="character" w:styleId="762" w:customStyle="1">
    <w:name w:val="页眉 Char"/>
    <w:basedOn w:val="729"/>
    <w:link w:val="743"/>
    <w:uiPriority w:val="99"/>
    <w:qFormat/>
    <w:rPr>
      <w:sz w:val="18"/>
      <w:szCs w:val="18"/>
    </w:rPr>
  </w:style>
  <w:style w:type="character" w:styleId="763" w:customStyle="1">
    <w:name w:val="页脚 Char"/>
    <w:basedOn w:val="729"/>
    <w:link w:val="742"/>
    <w:uiPriority w:val="99"/>
    <w:qFormat/>
    <w:rPr>
      <w:sz w:val="18"/>
      <w:szCs w:val="18"/>
    </w:rPr>
  </w:style>
  <w:style w:type="character" w:styleId="764" w:customStyle="1">
    <w:name w:val="标题 1 Char"/>
    <w:basedOn w:val="729"/>
    <w:link w:val="720"/>
    <w:uiPriority w:val="9"/>
    <w:qFormat/>
    <w:rPr>
      <w:b/>
      <w:bCs/>
      <w:sz w:val="44"/>
      <w:szCs w:val="44"/>
    </w:rPr>
  </w:style>
  <w:style w:type="character" w:styleId="765" w:customStyle="1">
    <w:name w:val="文档结构图 Char"/>
    <w:basedOn w:val="729"/>
    <w:link w:val="732"/>
    <w:uiPriority w:val="99"/>
    <w:semiHidden/>
    <w:qFormat/>
    <w:rPr>
      <w:rFonts w:ascii="宋体" w:eastAsia="宋体"/>
      <w:sz w:val="18"/>
      <w:szCs w:val="18"/>
    </w:rPr>
  </w:style>
  <w:style w:type="character" w:styleId="766" w:customStyle="1">
    <w:name w:val="标题 2 Char"/>
    <w:basedOn w:val="729"/>
    <w:link w:val="721"/>
    <w:uiPriority w:val="9"/>
    <w:qFormat/>
    <w:rPr>
      <w:rFonts w:asciiTheme="majorHAnsi" w:hAnsiTheme="majorHAnsi" w:eastAsiaTheme="majorEastAsia" w:cstheme="majorBidi"/>
      <w:b/>
      <w:bCs/>
      <w:sz w:val="32"/>
      <w:szCs w:val="32"/>
    </w:rPr>
  </w:style>
  <w:style w:type="character" w:styleId="767" w:customStyle="1">
    <w:name w:val="标题 3 Char"/>
    <w:basedOn w:val="729"/>
    <w:link w:val="722"/>
    <w:uiPriority w:val="9"/>
    <w:qFormat/>
    <w:rPr>
      <w:b/>
      <w:bCs/>
      <w:sz w:val="32"/>
      <w:szCs w:val="32"/>
    </w:rPr>
  </w:style>
  <w:style w:type="character" w:styleId="768" w:customStyle="1">
    <w:name w:val="日期 Char"/>
    <w:basedOn w:val="729"/>
    <w:link w:val="739"/>
    <w:uiPriority w:val="99"/>
    <w:semiHidden/>
    <w:qFormat/>
  </w:style>
  <w:style w:type="character" w:styleId="769" w:customStyle="1">
    <w:name w:val="批注文字 Char"/>
    <w:basedOn w:val="729"/>
    <w:link w:val="733"/>
    <w:uiPriority w:val="0"/>
    <w:qFormat/>
    <w:rPr>
      <w:rFonts w:ascii="Times New Roman" w:hAnsi="Times New Roman" w:eastAsia="宋体" w:cs="Times New Roman"/>
      <w:szCs w:val="24"/>
    </w:rPr>
  </w:style>
  <w:style w:type="character" w:styleId="770" w:customStyle="1">
    <w:name w:val="批注框文本 Char"/>
    <w:basedOn w:val="729"/>
    <w:link w:val="741"/>
    <w:uiPriority w:val="99"/>
    <w:semiHidden/>
    <w:qFormat/>
    <w:rPr>
      <w:sz w:val="18"/>
      <w:szCs w:val="18"/>
    </w:rPr>
  </w:style>
  <w:style w:type="paragraph" w:styleId="771" w:customStyle="1">
    <w:name w:val="正文首行缩进11"/>
    <w:basedOn w:val="772"/>
    <w:uiPriority w:val="0"/>
    <w:qFormat/>
    <w:pPr>
      <w:ind w:firstLine="200"/>
      <w:spacing w:line="360" w:lineRule="auto"/>
    </w:pPr>
    <w:rPr>
      <w:rFonts w:ascii="仿宋_GB2312" w:hAnsi="Times New Roman" w:eastAsia="仿宋_GB2312"/>
      <w:sz w:val="30"/>
      <w:szCs w:val="30"/>
    </w:rPr>
  </w:style>
  <w:style w:type="paragraph" w:styleId="772" w:customStyle="1">
    <w:name w:val="正文文本11"/>
    <w:basedOn w:val="719"/>
    <w:next w:val="719"/>
    <w:uiPriority w:val="0"/>
    <w:qFormat/>
    <w:rPr>
      <w:rFonts w:ascii="楷体_GB2312" w:hAnsi="Arial" w:eastAsia="楷体_GB2312"/>
      <w:sz w:val="28"/>
      <w:szCs w:val="28"/>
      <w:lang w:eastAsia="en-US"/>
    </w:rPr>
  </w:style>
  <w:style w:type="paragraph" w:styleId="773" w:customStyle="1">
    <w:name w:val="Default"/>
    <w:link w:val="941"/>
    <w:uiPriority w:val="99"/>
    <w:qFormat/>
    <w:pPr>
      <w:widowControl w:val="off"/>
    </w:pPr>
    <w:rPr>
      <w:rFonts w:ascii="MS Mincho" w:hAnsi="Calibri" w:eastAsia="宋体" w:cs="Times New Roman"/>
      <w:color w:val="000000"/>
      <w:sz w:val="21"/>
      <w:szCs w:val="24"/>
      <w:lang w:val="en-US" w:eastAsia="zh-CN" w:bidi="ar-SA"/>
    </w:rPr>
  </w:style>
  <w:style w:type="paragraph" w:styleId="774" w:customStyle="1">
    <w:name w:val="标题 41"/>
    <w:basedOn w:val="719"/>
    <w:next w:val="719"/>
    <w:uiPriority w:val="9"/>
    <w:unhideWhenUsed/>
    <w:qFormat/>
    <w:pPr>
      <w:keepLines/>
      <w:keepNext/>
      <w:spacing w:before="80" w:after="40"/>
      <w:outlineLvl w:val="3"/>
    </w:pPr>
    <w:rPr>
      <w:rFonts w:cs="Times New Roman"/>
      <w:color w:val="2f5496"/>
      <w:sz w:val="28"/>
      <w:szCs w:val="28"/>
    </w:rPr>
  </w:style>
  <w:style w:type="paragraph" w:styleId="775" w:customStyle="1">
    <w:name w:val="标题 51"/>
    <w:basedOn w:val="719"/>
    <w:next w:val="719"/>
    <w:uiPriority w:val="9"/>
    <w:unhideWhenUsed/>
    <w:qFormat/>
    <w:pPr>
      <w:keepLines/>
      <w:keepNext/>
      <w:spacing w:before="80" w:after="40"/>
      <w:outlineLvl w:val="4"/>
    </w:pPr>
    <w:rPr>
      <w:rFonts w:cs="Times New Roman"/>
      <w:color w:val="2f5496"/>
      <w:sz w:val="24"/>
      <w:szCs w:val="24"/>
    </w:rPr>
  </w:style>
  <w:style w:type="paragraph" w:styleId="776" w:customStyle="1">
    <w:name w:val="标题 61"/>
    <w:basedOn w:val="719"/>
    <w:next w:val="719"/>
    <w:uiPriority w:val="9"/>
    <w:unhideWhenUsed/>
    <w:qFormat/>
    <w:pPr>
      <w:keepLines/>
      <w:keepNext/>
      <w:spacing w:before="40"/>
      <w:outlineLvl w:val="5"/>
    </w:pPr>
    <w:rPr>
      <w:rFonts w:cs="Times New Roman"/>
      <w:b/>
      <w:bCs/>
      <w:color w:val="2f5496"/>
    </w:rPr>
  </w:style>
  <w:style w:type="paragraph" w:styleId="777" w:customStyle="1">
    <w:name w:val="标题 71"/>
    <w:basedOn w:val="719"/>
    <w:next w:val="719"/>
    <w:uiPriority w:val="9"/>
    <w:unhideWhenUsed/>
    <w:qFormat/>
    <w:pPr>
      <w:keepLines/>
      <w:keepNext/>
      <w:spacing w:before="40"/>
      <w:outlineLvl w:val="6"/>
    </w:pPr>
    <w:rPr>
      <w:rFonts w:cs="Times New Roman"/>
      <w:b/>
      <w:bCs/>
      <w:color w:val="000000"/>
    </w:rPr>
  </w:style>
  <w:style w:type="paragraph" w:styleId="778" w:customStyle="1">
    <w:name w:val="标题 81"/>
    <w:basedOn w:val="719"/>
    <w:next w:val="719"/>
    <w:uiPriority w:val="9"/>
    <w:unhideWhenUsed/>
    <w:qFormat/>
    <w:pPr>
      <w:keepLines/>
      <w:keepNext/>
      <w:outlineLvl w:val="7"/>
    </w:pPr>
    <w:rPr>
      <w:rFonts w:cs="Times New Roman"/>
      <w:color w:val="000000"/>
    </w:rPr>
  </w:style>
  <w:style w:type="paragraph" w:styleId="779" w:customStyle="1">
    <w:name w:val="标题 91"/>
    <w:basedOn w:val="719"/>
    <w:next w:val="719"/>
    <w:uiPriority w:val="9"/>
    <w:unhideWhenUsed/>
    <w:qFormat/>
    <w:pPr>
      <w:keepLines/>
      <w:keepNext/>
      <w:outlineLvl w:val="8"/>
    </w:pPr>
    <w:rPr>
      <w:rFonts w:eastAsia="等线 Light" w:cs="Times New Roman"/>
      <w:color w:val="000000"/>
    </w:rPr>
  </w:style>
  <w:style w:type="paragraph" w:styleId="780" w:customStyle="1">
    <w:name w:val="题注1"/>
    <w:basedOn w:val="719"/>
    <w:next w:val="719"/>
    <w:uiPriority w:val="35"/>
    <w:semiHidden/>
    <w:unhideWhenUsed/>
    <w:qFormat/>
    <w:pPr>
      <w:spacing w:line="276" w:lineRule="auto"/>
    </w:pPr>
    <w:rPr>
      <w:b/>
      <w:bCs/>
      <w:color w:val="4472c4"/>
      <w:sz w:val="18"/>
      <w:szCs w:val="18"/>
    </w:rPr>
  </w:style>
  <w:style w:type="character" w:styleId="781" w:customStyle="1">
    <w:name w:val="正文文本缩进 Char"/>
    <w:basedOn w:val="729"/>
    <w:link w:val="734"/>
    <w:uiPriority w:val="99"/>
    <w:semiHidden/>
    <w:qFormat/>
    <w:rPr>
      <w:rFonts w:asciiTheme="minorHAnsi" w:hAnsiTheme="minorHAnsi" w:eastAsiaTheme="minorEastAsia" w:cstheme="minorBidi"/>
      <w:sz w:val="21"/>
      <w:szCs w:val="22"/>
    </w:rPr>
  </w:style>
  <w:style w:type="character" w:styleId="782" w:customStyle="1">
    <w:name w:val="纯文本 Char"/>
    <w:basedOn w:val="729"/>
    <w:link w:val="737"/>
    <w:uiPriority w:val="0"/>
    <w:qFormat/>
    <w:rPr>
      <w:rFonts w:ascii="宋体" w:hAnsi="Courier New"/>
      <w:sz w:val="21"/>
    </w:rPr>
  </w:style>
  <w:style w:type="character" w:styleId="783" w:customStyle="1">
    <w:name w:val="尾注文本 Char"/>
    <w:basedOn w:val="729"/>
    <w:link w:val="740"/>
    <w:uiPriority w:val="99"/>
    <w:semiHidden/>
    <w:qFormat/>
    <w:rPr>
      <w:rFonts w:asciiTheme="minorHAnsi" w:hAnsiTheme="minorHAnsi" w:eastAsiaTheme="minorEastAsia" w:cstheme="minorBidi"/>
      <w:szCs w:val="22"/>
    </w:rPr>
  </w:style>
  <w:style w:type="paragraph" w:styleId="784" w:customStyle="1">
    <w:name w:val="副标题1"/>
    <w:basedOn w:val="719"/>
    <w:next w:val="719"/>
    <w:uiPriority w:val="11"/>
    <w:qFormat/>
    <w:pPr>
      <w:jc w:val="center"/>
      <w:spacing w:after="160"/>
    </w:pPr>
    <w:rPr>
      <w:rFonts w:ascii="等线 Light" w:hAnsi="等线 Light" w:eastAsia="等线 Light" w:cs="Times New Roman"/>
      <w:color w:val="000000"/>
      <w:spacing w:val="15"/>
      <w:sz w:val="28"/>
      <w:szCs w:val="28"/>
    </w:rPr>
  </w:style>
  <w:style w:type="character" w:styleId="785" w:customStyle="1">
    <w:name w:val="脚注文本 Char"/>
    <w:basedOn w:val="729"/>
    <w:link w:val="747"/>
    <w:uiPriority w:val="99"/>
    <w:semiHidden/>
    <w:qFormat/>
    <w:rPr>
      <w:rFonts w:asciiTheme="minorHAnsi" w:hAnsiTheme="minorHAnsi" w:eastAsiaTheme="minorEastAsia" w:cstheme="minorBidi"/>
      <w:sz w:val="18"/>
      <w:szCs w:val="22"/>
    </w:rPr>
  </w:style>
  <w:style w:type="paragraph" w:styleId="786" w:customStyle="1">
    <w:name w:val="标题1"/>
    <w:basedOn w:val="719"/>
    <w:next w:val="719"/>
    <w:uiPriority w:val="10"/>
    <w:qFormat/>
    <w:pPr>
      <w:contextualSpacing/>
      <w:jc w:val="center"/>
      <w:spacing w:after="80"/>
    </w:pPr>
    <w:rPr>
      <w:rFonts w:ascii="等线 Light" w:hAnsi="等线 Light" w:eastAsia="等线 Light" w:cs="Times New Roman"/>
      <w:spacing w:val="-10"/>
      <w:sz w:val="56"/>
      <w:szCs w:val="56"/>
    </w:rPr>
  </w:style>
  <w:style w:type="paragraph" w:styleId="787" w:customStyle="1">
    <w:name w:val="批注主题1"/>
    <w:basedOn w:val="733"/>
    <w:next w:val="733"/>
    <w:uiPriority w:val="99"/>
    <w:semiHidden/>
    <w:unhideWhenUsed/>
    <w:qFormat/>
    <w:pPr>
      <w:ind w:firstLine="0"/>
      <w:spacing w:line="240" w:lineRule="auto"/>
    </w:pPr>
    <w:rPr>
      <w:rFonts w:ascii="等线" w:hAnsi="等线" w:eastAsia="等线"/>
      <w:b/>
      <w:bCs/>
      <w:szCs w:val="22"/>
    </w:rPr>
  </w:style>
  <w:style w:type="table" w:styleId="788" w:customStyle="1">
    <w:name w:val="网格型1"/>
    <w:basedOn w:val="73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9" w:customStyle="1">
    <w:name w:val="标题 4 Char"/>
    <w:basedOn w:val="729"/>
    <w:uiPriority w:val="9"/>
    <w:qFormat/>
    <w:rPr>
      <w:rFonts w:cs="Times New Roman"/>
      <w:color w:val="2f5496"/>
      <w:sz w:val="28"/>
      <w:szCs w:val="28"/>
    </w:rPr>
  </w:style>
  <w:style w:type="character" w:styleId="790" w:customStyle="1">
    <w:name w:val="标题 5 Char"/>
    <w:basedOn w:val="729"/>
    <w:uiPriority w:val="9"/>
    <w:qFormat/>
    <w:rPr>
      <w:rFonts w:cs="Times New Roman"/>
      <w:color w:val="2f5496"/>
      <w:sz w:val="24"/>
      <w:szCs w:val="24"/>
    </w:rPr>
  </w:style>
  <w:style w:type="character" w:styleId="791" w:customStyle="1">
    <w:name w:val="标题 6 Char"/>
    <w:basedOn w:val="729"/>
    <w:uiPriority w:val="9"/>
    <w:qFormat/>
    <w:rPr>
      <w:rFonts w:cs="Times New Roman"/>
      <w:b/>
      <w:bCs/>
      <w:color w:val="2f5496"/>
    </w:rPr>
  </w:style>
  <w:style w:type="character" w:styleId="792" w:customStyle="1">
    <w:name w:val="标题 7 Char"/>
    <w:basedOn w:val="729"/>
    <w:uiPriority w:val="9"/>
    <w:qFormat/>
    <w:rPr>
      <w:rFonts w:cs="Times New Roman"/>
      <w:b/>
      <w:bCs/>
      <w:color w:val="000000"/>
    </w:rPr>
  </w:style>
  <w:style w:type="character" w:styleId="793" w:customStyle="1">
    <w:name w:val="标题 8 Char"/>
    <w:basedOn w:val="729"/>
    <w:uiPriority w:val="9"/>
    <w:qFormat/>
    <w:rPr>
      <w:rFonts w:cs="Times New Roman"/>
      <w:color w:val="000000"/>
    </w:rPr>
  </w:style>
  <w:style w:type="character" w:styleId="794" w:customStyle="1">
    <w:name w:val="标题 9 Char"/>
    <w:basedOn w:val="729"/>
    <w:uiPriority w:val="9"/>
    <w:qFormat/>
    <w:rPr>
      <w:rFonts w:eastAsia="等线 Light" w:cs="Times New Roman"/>
      <w:color w:val="000000"/>
    </w:rPr>
  </w:style>
  <w:style w:type="character" w:styleId="795" w:customStyle="1">
    <w:name w:val="标题 Char"/>
    <w:basedOn w:val="729"/>
    <w:uiPriority w:val="10"/>
    <w:qFormat/>
    <w:rPr>
      <w:rFonts w:ascii="等线 Light" w:hAnsi="等线 Light" w:eastAsia="等线 Light" w:cs="Times New Roman"/>
      <w:spacing w:val="-10"/>
      <w:sz w:val="56"/>
      <w:szCs w:val="56"/>
    </w:rPr>
  </w:style>
  <w:style w:type="character" w:styleId="796" w:customStyle="1">
    <w:name w:val="副标题 Char"/>
    <w:basedOn w:val="729"/>
    <w:uiPriority w:val="11"/>
    <w:qFormat/>
    <w:rPr>
      <w:rFonts w:ascii="等线 Light" w:hAnsi="等线 Light" w:eastAsia="等线 Light" w:cs="Times New Roman"/>
      <w:color w:val="000000"/>
      <w:spacing w:val="15"/>
      <w:sz w:val="28"/>
      <w:szCs w:val="28"/>
    </w:rPr>
  </w:style>
  <w:style w:type="paragraph" w:styleId="797" w:customStyle="1">
    <w:name w:val="引用1"/>
    <w:basedOn w:val="719"/>
    <w:next w:val="719"/>
    <w:uiPriority w:val="29"/>
    <w:qFormat/>
    <w:pPr>
      <w:jc w:val="center"/>
      <w:spacing w:before="160" w:after="160"/>
    </w:pPr>
    <w:rPr>
      <w:i/>
      <w:iCs/>
      <w:color w:val="000000"/>
    </w:rPr>
  </w:style>
  <w:style w:type="character" w:styleId="798" w:customStyle="1">
    <w:name w:val="引用 Char"/>
    <w:basedOn w:val="729"/>
    <w:uiPriority w:val="29"/>
    <w:qFormat/>
    <w:rPr>
      <w:i/>
      <w:iCs/>
      <w:color w:val="000000"/>
    </w:rPr>
  </w:style>
  <w:style w:type="paragraph" w:styleId="799">
    <w:name w:val="Quote"/>
    <w:basedOn w:val="719"/>
    <w:next w:val="719"/>
    <w:link w:val="951"/>
    <w:uiPriority w:val="29"/>
    <w:qFormat/>
    <w:pPr>
      <w:ind w:left="864" w:right="864"/>
      <w:jc w:val="center"/>
      <w:spacing w:before="200" w:after="160"/>
    </w:pPr>
    <w:rPr>
      <w:rFonts w:ascii="Times New Roman" w:hAnsi="Times New Roman" w:eastAsia="宋体" w:cs="Times New Roman"/>
      <w:i/>
      <w:iCs/>
      <w:color w:val="000000"/>
      <w:sz w:val="20"/>
      <w:szCs w:val="20"/>
    </w:rPr>
  </w:style>
  <w:style w:type="paragraph" w:styleId="800">
    <w:name w:val="List Paragraph"/>
    <w:basedOn w:val="719"/>
    <w:uiPriority w:val="34"/>
    <w:qFormat/>
    <w:pPr>
      <w:contextualSpacing/>
      <w:ind w:left="720"/>
    </w:pPr>
  </w:style>
  <w:style w:type="character" w:styleId="801" w:customStyle="1">
    <w:name w:val="明显强调1"/>
    <w:basedOn w:val="729"/>
    <w:uiPriority w:val="21"/>
    <w:qFormat/>
    <w:rPr>
      <w:i/>
      <w:iCs/>
      <w:color w:val="2f5496"/>
    </w:rPr>
  </w:style>
  <w:style w:type="paragraph" w:styleId="802" w:customStyle="1">
    <w:name w:val="明显引用1"/>
    <w:basedOn w:val="719"/>
    <w:next w:val="719"/>
    <w:uiPriority w:val="30"/>
    <w:qFormat/>
    <w:pPr>
      <w:ind w:left="864" w:right="864"/>
      <w:jc w:val="center"/>
      <w:spacing w:before="360" w:after="360"/>
      <w:pBdr>
        <w:top w:val="single" w:color="2F5496" w:sz="4" w:space="10"/>
        <w:bottom w:val="single" w:color="2F5496" w:sz="4" w:space="10"/>
      </w:pBdr>
    </w:pPr>
    <w:rPr>
      <w:i/>
      <w:iCs/>
      <w:color w:val="2f5496"/>
    </w:rPr>
  </w:style>
  <w:style w:type="character" w:styleId="803" w:customStyle="1">
    <w:name w:val="明显引用 Char"/>
    <w:basedOn w:val="729"/>
    <w:uiPriority w:val="30"/>
    <w:qFormat/>
    <w:rPr>
      <w:i/>
      <w:iCs/>
      <w:color w:val="2f5496"/>
    </w:rPr>
  </w:style>
  <w:style w:type="paragraph" w:styleId="804">
    <w:name w:val="Intense Quote"/>
    <w:basedOn w:val="719"/>
    <w:next w:val="719"/>
    <w:link w:val="952"/>
    <w:uiPriority w:val="30"/>
    <w:qFormat/>
    <w:pPr>
      <w:ind w:left="864" w:right="864"/>
      <w:jc w:val="center"/>
      <w:spacing w:before="360" w:after="360"/>
      <w:pBdr>
        <w:top w:val="single" w:color="4F81BD" w:themeColor="accent1" w:sz="4" w:space="10"/>
        <w:bottom w:val="single" w:color="4F81BD" w:themeColor="accent1" w:sz="4" w:space="10"/>
      </w:pBdr>
    </w:pPr>
    <w:rPr>
      <w:rFonts w:ascii="Times New Roman" w:hAnsi="Times New Roman" w:eastAsia="宋体" w:cs="Times New Roman"/>
      <w:i/>
      <w:iCs/>
      <w:color w:val="2f5496"/>
      <w:sz w:val="20"/>
      <w:szCs w:val="20"/>
    </w:rPr>
  </w:style>
  <w:style w:type="character" w:styleId="805" w:customStyle="1">
    <w:name w:val="明显参考1"/>
    <w:basedOn w:val="729"/>
    <w:uiPriority w:val="32"/>
    <w:qFormat/>
    <w:rPr>
      <w:b/>
      <w:bCs/>
      <w:smallCaps/>
      <w:color w:val="2f5496"/>
      <w:spacing w:val="5"/>
    </w:rPr>
  </w:style>
  <w:style w:type="character" w:styleId="806" w:customStyle="1">
    <w:name w:val="Heading 1 Char"/>
    <w:basedOn w:val="729"/>
    <w:uiPriority w:val="9"/>
    <w:qFormat/>
    <w:rPr>
      <w:rFonts w:ascii="Arial" w:hAnsi="Arial" w:eastAsia="Arial" w:cs="Arial"/>
      <w:sz w:val="40"/>
      <w:szCs w:val="40"/>
    </w:rPr>
  </w:style>
  <w:style w:type="character" w:styleId="807" w:customStyle="1">
    <w:name w:val="Heading 2 Char"/>
    <w:basedOn w:val="729"/>
    <w:uiPriority w:val="9"/>
    <w:qFormat/>
    <w:rPr>
      <w:rFonts w:ascii="Arial" w:hAnsi="Arial" w:eastAsia="Arial" w:cs="Arial"/>
      <w:sz w:val="34"/>
    </w:rPr>
  </w:style>
  <w:style w:type="character" w:styleId="808" w:customStyle="1">
    <w:name w:val="Heading 3 Char"/>
    <w:basedOn w:val="729"/>
    <w:uiPriority w:val="9"/>
    <w:qFormat/>
    <w:rPr>
      <w:rFonts w:ascii="Arial" w:hAnsi="Arial" w:eastAsia="Arial" w:cs="Arial"/>
      <w:sz w:val="30"/>
      <w:szCs w:val="30"/>
    </w:rPr>
  </w:style>
  <w:style w:type="paragraph" w:styleId="809" w:customStyle="1">
    <w:name w:val="无间隔1"/>
    <w:next w:val="810"/>
    <w:uiPriority w:val="1"/>
    <w:qFormat/>
    <w:rPr>
      <w:rFonts w:ascii="等线" w:hAnsi="等线" w:eastAsia="等线" w:cs="Times New Roman"/>
      <w:lang w:val="en-US" w:eastAsia="zh-CN" w:bidi="ar-SA"/>
    </w:rPr>
  </w:style>
  <w:style w:type="paragraph" w:styleId="810">
    <w:name w:val="No Spacing"/>
    <w:uiPriority w:val="99"/>
    <w:qFormat/>
    <w:pPr>
      <w:jc w:val="both"/>
      <w:widowControl w:val="off"/>
    </w:pPr>
    <w:rPr>
      <w:rFonts w:asciiTheme="minorHAnsi" w:hAnsiTheme="minorHAnsi" w:eastAsiaTheme="minorEastAsia" w:cstheme="minorBidi"/>
      <w:sz w:val="21"/>
      <w:szCs w:val="22"/>
      <w:lang w:val="en-US" w:eastAsia="zh-CN" w:bidi="ar-SA"/>
    </w:rPr>
  </w:style>
  <w:style w:type="character" w:styleId="811" w:customStyle="1">
    <w:name w:val="Header Char"/>
    <w:basedOn w:val="729"/>
    <w:uiPriority w:val="99"/>
    <w:qFormat/>
  </w:style>
  <w:style w:type="character" w:styleId="812" w:customStyle="1">
    <w:name w:val="Footer Char"/>
    <w:basedOn w:val="729"/>
    <w:uiPriority w:val="99"/>
    <w:qFormat/>
  </w:style>
  <w:style w:type="character" w:styleId="813" w:customStyle="1">
    <w:name w:val="Caption Char"/>
    <w:uiPriority w:val="99"/>
    <w:qFormat/>
  </w:style>
  <w:style w:type="table" w:styleId="814" w:customStyle="1">
    <w:name w:val="Table Grid Light"/>
    <w:basedOn w:val="73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5" w:customStyle="1">
    <w:name w:val="无格式表格 11"/>
    <w:basedOn w:val="73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无格式表格 21"/>
    <w:basedOn w:val="730"/>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无格式表格 31"/>
    <w:basedOn w:val="730"/>
    <w:uiPriority w:val="99"/>
    <w:qFormat/>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无格式表格 41"/>
    <w:basedOn w:val="730"/>
    <w:uiPriority w:val="99"/>
    <w:qFormat/>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无格式表格 51"/>
    <w:basedOn w:val="730"/>
    <w:uiPriority w:val="99"/>
    <w:qFormat/>
    <w:tblPr>
      <w:tblCellMar>
        <w:left w:w="108" w:type="dxa"/>
        <w:top w:w="0" w:type="dxa"/>
        <w:right w:w="108"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网格表 1 浅色1"/>
    <w:basedOn w:val="73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821" w:customStyle="1">
    <w:name w:val="Grid Table 1 Light - Accent 1"/>
    <w:basedOn w:val="730"/>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b/>
        <w:color w:val="404040"/>
      </w:rPr>
    </w:tblStylePr>
    <w:tblStylePr w:type="firstRow">
      <w:rPr>
        <w:b/>
        <w:color w:val="404040"/>
      </w:rPr>
      <w:tcPr>
        <w:tcBorders>
          <w:bottom w:val="single" w:color="91ACDC" w:sz="12" w:space="0"/>
        </w:tcBorders>
      </w:tcPr>
    </w:tblStylePr>
    <w:tblStylePr w:type="lastCol">
      <w:rPr>
        <w:b/>
        <w:color w:val="404040"/>
      </w:rPr>
    </w:tblStylePr>
    <w:tblStylePr w:type="lastRow">
      <w:rPr>
        <w:b/>
        <w:color w:val="404040"/>
      </w:rPr>
    </w:tblStylePr>
  </w:style>
  <w:style w:type="table" w:styleId="822" w:customStyle="1">
    <w:name w:val="Grid Table 1 Light - Accent 2"/>
    <w:basedOn w:val="730"/>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b/>
        <w:color w:val="404040"/>
      </w:rPr>
    </w:tblStylePr>
    <w:tblStylePr w:type="firstRow">
      <w:rPr>
        <w:b/>
        <w:color w:val="404040"/>
      </w:rPr>
      <w:tcPr>
        <w:tcBorders>
          <w:bottom w:val="single" w:color="F4B286" w:sz="12" w:space="0"/>
        </w:tcBorders>
      </w:tcPr>
    </w:tblStylePr>
    <w:tblStylePr w:type="lastCol">
      <w:rPr>
        <w:b/>
        <w:color w:val="404040"/>
      </w:rPr>
    </w:tblStylePr>
    <w:tblStylePr w:type="lastRow">
      <w:rPr>
        <w:b/>
        <w:color w:val="404040"/>
      </w:rPr>
    </w:tblStylePr>
  </w:style>
  <w:style w:type="table" w:styleId="823" w:customStyle="1">
    <w:name w:val="Grid Table 1 Light - Accent 3"/>
    <w:basedOn w:val="730"/>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b/>
        <w:color w:val="404040"/>
      </w:rPr>
    </w:tblStylePr>
    <w:tblStylePr w:type="firstRow">
      <w:rPr>
        <w:b/>
        <w:color w:val="404040"/>
      </w:rPr>
      <w:tcPr>
        <w:tcBorders>
          <w:bottom w:val="single" w:color="CACACA" w:sz="12" w:space="0"/>
        </w:tcBorders>
      </w:tcPr>
    </w:tblStylePr>
    <w:tblStylePr w:type="lastCol">
      <w:rPr>
        <w:b/>
        <w:color w:val="404040"/>
      </w:rPr>
    </w:tblStylePr>
    <w:tblStylePr w:type="lastRow">
      <w:rPr>
        <w:b/>
        <w:color w:val="404040"/>
      </w:rPr>
    </w:tblStylePr>
  </w:style>
  <w:style w:type="table" w:styleId="824" w:customStyle="1">
    <w:name w:val="Grid Table 1 Light - Accent 4"/>
    <w:basedOn w:val="730"/>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b/>
        <w:color w:val="404040"/>
      </w:rPr>
    </w:tblStylePr>
    <w:tblStylePr w:type="firstRow">
      <w:rPr>
        <w:b/>
        <w:color w:val="404040"/>
      </w:rPr>
      <w:tcPr>
        <w:tcBorders>
          <w:bottom w:val="single" w:color="FFDA6A" w:sz="12" w:space="0"/>
        </w:tcBorders>
      </w:tcPr>
    </w:tblStylePr>
    <w:tblStylePr w:type="lastCol">
      <w:rPr>
        <w:b/>
        <w:color w:val="404040"/>
      </w:rPr>
    </w:tblStylePr>
    <w:tblStylePr w:type="lastRow">
      <w:rPr>
        <w:b/>
        <w:color w:val="404040"/>
      </w:rPr>
    </w:tblStylePr>
  </w:style>
  <w:style w:type="table" w:styleId="825" w:customStyle="1">
    <w:name w:val="Grid Table 1 Light - Accent 5"/>
    <w:basedOn w:val="730"/>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b/>
        <w:color w:val="404040"/>
      </w:rPr>
    </w:tblStylePr>
    <w:tblStylePr w:type="firstRow">
      <w:rPr>
        <w:b/>
        <w:color w:val="404040"/>
      </w:rPr>
      <w:tcPr>
        <w:tcBorders>
          <w:bottom w:val="single" w:color="9EC4E6" w:sz="12" w:space="0"/>
        </w:tcBorders>
      </w:tcPr>
    </w:tblStylePr>
    <w:tblStylePr w:type="lastCol">
      <w:rPr>
        <w:b/>
        <w:color w:val="404040"/>
      </w:rPr>
    </w:tblStylePr>
    <w:tblStylePr w:type="lastRow">
      <w:rPr>
        <w:b/>
        <w:color w:val="404040"/>
      </w:rPr>
    </w:tblStylePr>
  </w:style>
  <w:style w:type="table" w:styleId="826" w:customStyle="1">
    <w:name w:val="Grid Table 1 Light - Accent 6"/>
    <w:basedOn w:val="730"/>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b/>
        <w:color w:val="404040"/>
      </w:rPr>
    </w:tblStylePr>
    <w:tblStylePr w:type="firstRow">
      <w:rPr>
        <w:b/>
        <w:color w:val="404040"/>
      </w:rPr>
      <w:tcPr>
        <w:tcBorders>
          <w:bottom w:val="single" w:color="AAD190" w:sz="12" w:space="0"/>
        </w:tcBorders>
      </w:tcPr>
    </w:tblStylePr>
    <w:tblStylePr w:type="lastCol">
      <w:rPr>
        <w:b/>
        <w:color w:val="404040"/>
      </w:rPr>
    </w:tblStylePr>
    <w:tblStylePr w:type="lastRow">
      <w:rPr>
        <w:b/>
        <w:color w:val="404040"/>
      </w:rPr>
    </w:tblStylePr>
  </w:style>
  <w:style w:type="table" w:styleId="827" w:customStyle="1">
    <w:name w:val="网格表 21"/>
    <w:basedOn w:val="730"/>
    <w:uiPriority w:val="99"/>
    <w:qFormat/>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828" w:customStyle="1">
    <w:name w:val="Grid Table 2 - Accent 1"/>
    <w:basedOn w:val="730"/>
    <w:uiPriority w:val="99"/>
    <w:qFormat/>
    <w:tblPr>
      <w:tblBorders>
        <w:bottom w:val="single" w:color="537DC8" w:sz="4" w:space="0"/>
        <w:insideH w:val="single" w:color="537DC8" w:sz="4" w:space="0"/>
        <w:insideV w:val="single" w:color="537DC8"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sz="4" w:space="0"/>
          <w:left w:val="none" w:color="000000" w:sz="4" w:space="0"/>
          <w:bottom w:val="none" w:color="000000" w:sz="4" w:space="0"/>
          <w:right w:val="none" w:color="000000" w:sz="4" w:space="0"/>
        </w:tcBorders>
      </w:tcPr>
    </w:tblStylePr>
  </w:style>
  <w:style w:type="table" w:styleId="829" w:customStyle="1">
    <w:name w:val="Grid Table 2 - Accent 2"/>
    <w:basedOn w:val="730"/>
    <w:uiPriority w:val="99"/>
    <w:qFormat/>
    <w:tblPr>
      <w:tblBorders>
        <w:bottom w:val="single" w:color="F4B184" w:sz="4" w:space="0"/>
        <w:insideH w:val="single" w:color="F4B184" w:sz="4" w:space="0"/>
        <w:insideV w:val="single" w:color="F4B184"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sz="4" w:space="0"/>
          <w:left w:val="none" w:color="000000" w:sz="4" w:space="0"/>
          <w:bottom w:val="none" w:color="000000" w:sz="4" w:space="0"/>
          <w:right w:val="none" w:color="000000" w:sz="4" w:space="0"/>
        </w:tcBorders>
      </w:tcPr>
    </w:tblStylePr>
  </w:style>
  <w:style w:type="table" w:styleId="830" w:customStyle="1">
    <w:name w:val="Grid Table 2 - Accent 3"/>
    <w:basedOn w:val="730"/>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sz="4" w:space="0"/>
          <w:left w:val="none" w:color="000000" w:sz="4" w:space="0"/>
          <w:bottom w:val="none" w:color="000000" w:sz="4" w:space="0"/>
          <w:right w:val="none" w:color="000000" w:sz="4" w:space="0"/>
        </w:tcBorders>
      </w:tcPr>
    </w:tblStylePr>
  </w:style>
  <w:style w:type="table" w:styleId="831" w:customStyle="1">
    <w:name w:val="Grid Table 2 - Accent 4"/>
    <w:basedOn w:val="730"/>
    <w:uiPriority w:val="99"/>
    <w:qFormat/>
    <w:tblPr>
      <w:tblBorders>
        <w:bottom w:val="single" w:color="FFD865" w:sz="4" w:space="0"/>
        <w:insideH w:val="single" w:color="FFD865" w:sz="4" w:space="0"/>
        <w:insideV w:val="single" w:color="FFD865"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sz="4" w:space="0"/>
          <w:left w:val="none" w:color="000000" w:sz="4" w:space="0"/>
          <w:bottom w:val="none" w:color="000000" w:sz="4" w:space="0"/>
          <w:right w:val="none" w:color="000000" w:sz="4" w:space="0"/>
        </w:tcBorders>
      </w:tcPr>
    </w:tblStylePr>
  </w:style>
  <w:style w:type="table" w:styleId="832" w:customStyle="1">
    <w:name w:val="Grid Table 2 - Accent 5"/>
    <w:basedOn w:val="730"/>
    <w:uiPriority w:val="99"/>
    <w:qFormat/>
    <w:tblPr>
      <w:tblBorders>
        <w:bottom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sz="4" w:space="0"/>
          <w:left w:val="none" w:color="000000" w:sz="4" w:space="0"/>
          <w:bottom w:val="none" w:color="000000" w:sz="4" w:space="0"/>
          <w:right w:val="none" w:color="000000" w:sz="4" w:space="0"/>
        </w:tcBorders>
      </w:tcPr>
    </w:tblStylePr>
  </w:style>
  <w:style w:type="table" w:styleId="833" w:customStyle="1">
    <w:name w:val="Grid Table 2 - Accent 6"/>
    <w:basedOn w:val="730"/>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sz="4" w:space="0"/>
          <w:left w:val="none" w:color="000000" w:sz="4" w:space="0"/>
          <w:bottom w:val="none" w:color="000000" w:sz="4" w:space="0"/>
          <w:right w:val="none" w:color="000000" w:sz="4" w:space="0"/>
        </w:tcBorders>
      </w:tcPr>
    </w:tblStylePr>
  </w:style>
  <w:style w:type="table" w:styleId="834" w:customStyle="1">
    <w:name w:val="网格表 31"/>
    <w:basedOn w:val="730"/>
    <w:uiPriority w:val="99"/>
    <w:qFormat/>
    <w:tblPr>
      <w:tblBorders>
        <w:bottom w:val="single" w:color="6A6A6A" w:sz="4" w:space="0"/>
        <w:insideH w:val="single" w:color="6A6A6A" w:sz="4" w:space="0"/>
        <w:insideV w:val="single" w:color="6A6A6A"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basedOn w:val="730"/>
    <w:uiPriority w:val="99"/>
    <w:qFormat/>
    <w:tblPr>
      <w:tblBorders>
        <w:bottom w:val="single" w:color="537DC8" w:sz="4" w:space="0"/>
        <w:insideH w:val="single" w:color="537DC8" w:sz="4" w:space="0"/>
        <w:insideV w:val="single" w:color="537DC8" w:sz="4" w:space="0"/>
      </w:tblBorders>
      <w:tblCellMar>
        <w:left w:w="108" w:type="dxa"/>
        <w:top w:w="0" w:type="dxa"/>
        <w:right w:w="108" w:type="dxa"/>
        <w:bottom w:w="0" w:type="dxa"/>
      </w:tblCellMar>
    </w:tblPr>
    <w:tblStylePr w:type="band1Horz">
      <w:rPr>
        <w:rFonts w:ascii="Arial" w:hAnsi="Arial"/>
        <w:color w:val="404040"/>
        <w:sz w:val="22"/>
      </w:rPr>
      <w:tcPr>
        <w:shd w:val="clear" w:color="d8e2f3" w:fill="d8e2f3"/>
      </w:tcPr>
    </w:tblStylePr>
    <w:tblStylePr w:type="band1Vert">
      <w:rPr>
        <w:rFonts w:ascii="Arial" w:hAnsi="Arial"/>
        <w:color w:val="404040"/>
        <w:sz w:val="22"/>
      </w:rPr>
      <w:tcPr>
        <w:shd w:val="clear" w:color="d8e2f3" w:fill="d8e2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basedOn w:val="730"/>
    <w:uiPriority w:val="99"/>
    <w:qFormat/>
    <w:tblPr>
      <w:tblBorders>
        <w:bottom w:val="single" w:color="F4B184" w:sz="4" w:space="0"/>
        <w:insideH w:val="single" w:color="F4B184" w:sz="4" w:space="0"/>
        <w:insideV w:val="single" w:color="F4B184"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basedOn w:val="730"/>
    <w:uiPriority w:val="99"/>
    <w:qFormat/>
    <w:tblPr>
      <w:tblBorders>
        <w:bottom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basedOn w:val="730"/>
    <w:uiPriority w:val="99"/>
    <w:qFormat/>
    <w:tblPr>
      <w:tblBorders>
        <w:bottom w:val="single" w:color="FFD865" w:sz="4" w:space="0"/>
        <w:insideH w:val="single" w:color="FFD865" w:sz="4" w:space="0"/>
        <w:insideV w:val="single" w:color="FFD865"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basedOn w:val="730"/>
    <w:uiPriority w:val="99"/>
    <w:qFormat/>
    <w:tblPr>
      <w:tblBorders>
        <w:bottom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basedOn w:val="730"/>
    <w:uiPriority w:val="99"/>
    <w:qFormat/>
    <w:tblPr>
      <w:tblBorders>
        <w:bottom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网格表 41"/>
    <w:basedOn w:val="73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42" w:customStyle="1">
    <w:name w:val="Grid Table 4 - Accent 1"/>
    <w:basedOn w:val="730"/>
    <w:uiPriority w:val="59"/>
    <w:qFormat/>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dae3f3" w:fill="dae3f3"/>
      </w:tcPr>
    </w:tblStylePr>
    <w:tblStylePr w:type="band1Vert">
      <w:rPr>
        <w:rFonts w:ascii="Arial" w:hAnsi="Arial"/>
        <w:color w:val="404040"/>
        <w:sz w:val="22"/>
      </w:rPr>
      <w:tcPr>
        <w:shd w:val="clear" w:color="dae3f3" w:fill="dae3f3"/>
      </w:tcPr>
    </w:tblStylePr>
    <w:tblStylePr w:type="firstCol">
      <w:rPr>
        <w:b/>
        <w:color w:val="404040"/>
      </w:rPr>
    </w:tblStylePr>
    <w:tblStylePr w:type="firstRow">
      <w:rPr>
        <w:rFonts w:ascii="Arial" w:hAnsi="Arial"/>
        <w:b/>
        <w:color w:val="ffffff"/>
        <w:sz w:val="22"/>
      </w:rPr>
      <w:tcPr>
        <w:shd w:val="clear" w:color="537dc8" w:fill="537dc8"/>
        <w:tcBorders>
          <w:top w:val="single" w:color="537DC8" w:sz="4" w:space="0"/>
          <w:left w:val="single" w:color="537DC8" w:sz="4" w:space="0"/>
          <w:bottom w:val="single" w:color="537DC8" w:sz="4" w:space="0"/>
          <w:right w:val="single" w:color="537DC8" w:sz="4" w:space="0"/>
        </w:tcBorders>
      </w:tcPr>
    </w:tblStylePr>
    <w:tblStylePr w:type="lastCol">
      <w:rPr>
        <w:b/>
        <w:color w:val="404040"/>
      </w:rPr>
    </w:tblStylePr>
    <w:tblStylePr w:type="lastRow">
      <w:rPr>
        <w:b/>
        <w:color w:val="404040"/>
      </w:rPr>
      <w:tcPr>
        <w:tcBorders>
          <w:top w:val="single" w:color="537DC8" w:sz="4" w:space="0"/>
        </w:tcBorders>
      </w:tcPr>
    </w:tblStylePr>
  </w:style>
  <w:style w:type="table" w:styleId="843" w:customStyle="1">
    <w:name w:val="Grid Table 4 - Accent 2"/>
    <w:basedOn w:val="730"/>
    <w:uiPriority w:val="59"/>
    <w:qFormat/>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be5d6" w:fill="fbe5d6"/>
      </w:tcPr>
    </w:tblStylePr>
    <w:tblStylePr w:type="band1Vert">
      <w:rPr>
        <w:rFonts w:ascii="Arial" w:hAnsi="Arial"/>
        <w:color w:val="404040"/>
        <w:sz w:val="22"/>
      </w:rPr>
      <w:tcPr>
        <w:shd w:val="clear" w:color="fbe5d6" w:fill="fbe5d6"/>
      </w:tcPr>
    </w:tblStylePr>
    <w:tblStylePr w:type="firstCol">
      <w:rPr>
        <w:b/>
        <w:color w:val="404040"/>
      </w:rPr>
    </w:tblStylePr>
    <w:tblStylePr w:type="firstRow">
      <w:rPr>
        <w:rFonts w:ascii="Arial" w:hAnsi="Arial"/>
        <w:b/>
        <w:color w:val="ffffff"/>
        <w:sz w:val="22"/>
      </w:rPr>
      <w:tcPr>
        <w:shd w:val="clear" w:color="f4b184" w:fill="f4b184"/>
        <w:tcBorders>
          <w:top w:val="single" w:color="F4B184" w:sz="4" w:space="0"/>
          <w:left w:val="single" w:color="F4B184" w:sz="4" w:space="0"/>
          <w:bottom w:val="single" w:color="F4B184" w:sz="4" w:space="0"/>
          <w:right w:val="single" w:color="F4B184" w:sz="4" w:space="0"/>
        </w:tcBorders>
      </w:tcPr>
    </w:tblStylePr>
    <w:tblStylePr w:type="lastCol">
      <w:rPr>
        <w:b/>
        <w:color w:val="404040"/>
      </w:rPr>
    </w:tblStylePr>
    <w:tblStylePr w:type="lastRow">
      <w:rPr>
        <w:b/>
        <w:color w:val="404040"/>
      </w:rPr>
      <w:tcPr>
        <w:tcBorders>
          <w:top w:val="single" w:color="F4B184" w:sz="4" w:space="0"/>
        </w:tcBorders>
      </w:tcPr>
    </w:tblStylePr>
  </w:style>
  <w:style w:type="table" w:styleId="844" w:customStyle="1">
    <w:name w:val="Grid Table 4 - Accent 3"/>
    <w:basedOn w:val="730"/>
    <w:uiPriority w:val="59"/>
    <w:qFormat/>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cecec" w:fill="ececec"/>
      </w:tcPr>
    </w:tblStylePr>
    <w:tblStylePr w:type="band1Vert">
      <w:rPr>
        <w:rFonts w:ascii="Arial" w:hAnsi="Arial"/>
        <w:color w:val="404040"/>
        <w:sz w:val="22"/>
      </w:rPr>
      <w:tcPr>
        <w:shd w:val="clear" w:color="ececec" w:fill="ececec"/>
      </w:tcPr>
    </w:tblStylePr>
    <w:tblStylePr w:type="firstCol">
      <w:rPr>
        <w:b/>
        <w:color w:val="404040"/>
      </w:rPr>
    </w:tblStylePr>
    <w:tblStylePr w:type="firstRow">
      <w:rPr>
        <w:rFonts w:ascii="Arial" w:hAnsi="Arial"/>
        <w:b/>
        <w:color w:val="ffffff"/>
        <w:sz w:val="22"/>
      </w:rPr>
      <w:tcPr>
        <w:shd w:val="clear" w:color="a5a5a5" w:fill="a5a5a5"/>
        <w:tcBorders>
          <w:top w:val="single" w:color="A5A5A5" w:sz="4" w:space="0"/>
          <w:left w:val="single" w:color="A5A5A5" w:sz="4" w:space="0"/>
          <w:bottom w:val="single" w:color="A5A5A5" w:sz="4" w:space="0"/>
          <w:right w:val="single" w:color="A5A5A5" w:sz="4" w:space="0"/>
        </w:tcBorders>
      </w:tcPr>
    </w:tblStylePr>
    <w:tblStylePr w:type="lastCol">
      <w:rPr>
        <w:b/>
        <w:color w:val="404040"/>
      </w:rPr>
    </w:tblStylePr>
    <w:tblStylePr w:type="lastRow">
      <w:rPr>
        <w:b/>
        <w:color w:val="404040"/>
      </w:rPr>
      <w:tcPr>
        <w:tcBorders>
          <w:top w:val="single" w:color="A5A5A5" w:sz="4" w:space="0"/>
        </w:tcBorders>
      </w:tcPr>
    </w:tblStylePr>
  </w:style>
  <w:style w:type="table" w:styleId="845" w:customStyle="1">
    <w:name w:val="Grid Table 4 - Accent 4"/>
    <w:basedOn w:val="730"/>
    <w:uiPriority w:val="59"/>
    <w:qFormat/>
    <w:tblPr>
      <w:tblBorders>
        <w:top w:val="single" w:color="FFDB6F" w:sz="4" w:space="0"/>
        <w:left w:val="single" w:color="FFDB6F" w:sz="4" w:space="0"/>
        <w:bottom w:val="single" w:color="FFDB6F" w:sz="4" w:space="0"/>
        <w:right w:val="single" w:color="FFDB6F" w:sz="4" w:space="0"/>
        <w:insideH w:val="single" w:color="FFDB6F" w:sz="4" w:space="0"/>
        <w:insideV w:val="single" w:color="FFDB6F" w:sz="4" w:space="0"/>
      </w:tblBorders>
      <w:tblCellMar>
        <w:left w:w="108" w:type="dxa"/>
        <w:top w:w="0" w:type="dxa"/>
        <w:right w:w="108" w:type="dxa"/>
        <w:bottom w:w="0" w:type="dxa"/>
      </w:tblCellMar>
    </w:tblPr>
    <w:tblStylePr w:type="band1Horz">
      <w:rPr>
        <w:rFonts w:ascii="Arial" w:hAnsi="Arial"/>
        <w:color w:val="404040"/>
        <w:sz w:val="22"/>
      </w:rPr>
      <w:tcPr>
        <w:shd w:val="clear" w:color="fff2cb" w:fill="fff2cb"/>
      </w:tcPr>
    </w:tblStylePr>
    <w:tblStylePr w:type="band1Vert">
      <w:rPr>
        <w:rFonts w:ascii="Arial" w:hAnsi="Arial"/>
        <w:color w:val="404040"/>
        <w:sz w:val="22"/>
      </w:rPr>
      <w:tcPr>
        <w:shd w:val="clear" w:color="fff2cb" w:fill="fff2cb"/>
      </w:tcPr>
    </w:tblStylePr>
    <w:tblStylePr w:type="firstCol">
      <w:rPr>
        <w:b/>
        <w:color w:val="404040"/>
      </w:rPr>
    </w:tblStylePr>
    <w:tblStylePr w:type="firstRow">
      <w:rPr>
        <w:rFonts w:ascii="Arial" w:hAnsi="Arial"/>
        <w:b/>
        <w:color w:val="ffffff"/>
        <w:sz w:val="22"/>
      </w:rPr>
      <w:tcPr>
        <w:shd w:val="clear" w:color="ffd865" w:fill="ffd865"/>
        <w:tcBorders>
          <w:top w:val="single" w:color="FFD865" w:sz="4" w:space="0"/>
          <w:left w:val="single" w:color="FFD865" w:sz="4" w:space="0"/>
          <w:bottom w:val="single" w:color="FFD865" w:sz="4" w:space="0"/>
          <w:right w:val="single" w:color="FFD865" w:sz="4" w:space="0"/>
        </w:tcBorders>
      </w:tcPr>
    </w:tblStylePr>
    <w:tblStylePr w:type="lastCol">
      <w:rPr>
        <w:b/>
        <w:color w:val="404040"/>
      </w:rPr>
    </w:tblStylePr>
    <w:tblStylePr w:type="lastRow">
      <w:rPr>
        <w:b/>
        <w:color w:val="404040"/>
      </w:rPr>
      <w:tcPr>
        <w:tcBorders>
          <w:top w:val="single" w:color="FFD865" w:sz="4" w:space="0"/>
        </w:tcBorders>
      </w:tcPr>
    </w:tblStylePr>
  </w:style>
  <w:style w:type="table" w:styleId="846" w:customStyle="1">
    <w:name w:val="Grid Table 4 - Accent 5"/>
    <w:basedOn w:val="730"/>
    <w:uiPriority w:val="59"/>
    <w:qFormat/>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deaf6" w:fill="ddeaf6"/>
      </w:tcPr>
    </w:tblStylePr>
    <w:tblStylePr w:type="band1Vert">
      <w:rPr>
        <w:rFonts w:ascii="Arial" w:hAnsi="Arial"/>
        <w:color w:val="404040"/>
        <w:sz w:val="22"/>
      </w:rPr>
      <w:tcPr>
        <w:shd w:val="clear" w:color="ddeaf6" w:fill="ddeaf6"/>
      </w:tcPr>
    </w:tblStylePr>
    <w:tblStylePr w:type="firstCol">
      <w:rPr>
        <w:b/>
        <w:color w:val="404040"/>
      </w:rPr>
    </w:tblStylePr>
    <w:tblStylePr w:type="firstRow">
      <w:rPr>
        <w:rFonts w:ascii="Arial" w:hAnsi="Arial"/>
        <w:b/>
        <w:color w:val="ffffff"/>
        <w:sz w:val="22"/>
      </w:rPr>
      <w:tcPr>
        <w:shd w:val="clear" w:color="5b9bd5" w:fill="5b9bd5"/>
        <w:tcBorders>
          <w:top w:val="single" w:color="5B9BD5" w:sz="4" w:space="0"/>
          <w:left w:val="single" w:color="5B9BD5" w:sz="4" w:space="0"/>
          <w:bottom w:val="single" w:color="5B9BD5" w:sz="4" w:space="0"/>
          <w:right w:val="single" w:color="5B9BD5" w:sz="4" w:space="0"/>
        </w:tcBorders>
      </w:tcPr>
    </w:tblStylePr>
    <w:tblStylePr w:type="lastCol">
      <w:rPr>
        <w:b/>
        <w:color w:val="404040"/>
      </w:rPr>
    </w:tblStylePr>
    <w:tblStylePr w:type="lastRow">
      <w:rPr>
        <w:b/>
        <w:color w:val="404040"/>
      </w:rPr>
      <w:tcPr>
        <w:tcBorders>
          <w:top w:val="single" w:color="5B9BD5" w:sz="4" w:space="0"/>
        </w:tcBorders>
      </w:tcPr>
    </w:tblStylePr>
  </w:style>
  <w:style w:type="table" w:styleId="847" w:customStyle="1">
    <w:name w:val="Grid Table 4 - Accent 6"/>
    <w:basedOn w:val="730"/>
    <w:uiPriority w:val="59"/>
    <w:qFormat/>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e1efd8" w:fill="e1efd8"/>
      </w:tcPr>
    </w:tblStylePr>
    <w:tblStylePr w:type="band1Vert">
      <w:rPr>
        <w:rFonts w:ascii="Arial" w:hAnsi="Arial"/>
        <w:color w:val="404040"/>
        <w:sz w:val="22"/>
      </w:rPr>
      <w:tcPr>
        <w:shd w:val="clear" w:color="e1efd8" w:fill="e1efd8"/>
      </w:tcPr>
    </w:tblStylePr>
    <w:tblStylePr w:type="firstCol">
      <w:rPr>
        <w:b/>
        <w:color w:val="404040"/>
      </w:rPr>
    </w:tblStylePr>
    <w:tblStylePr w:type="firstRow">
      <w:rPr>
        <w:rFonts w:ascii="Arial" w:hAnsi="Arial"/>
        <w:b/>
        <w:color w:val="ffffff"/>
        <w:sz w:val="22"/>
      </w:rPr>
      <w:tcPr>
        <w:shd w:val="clear" w:color="70ad47" w:fill="70ad47"/>
        <w:tcBorders>
          <w:top w:val="single" w:color="70AD47" w:sz="4" w:space="0"/>
          <w:left w:val="single" w:color="70AD47" w:sz="4" w:space="0"/>
          <w:bottom w:val="single" w:color="70AD47" w:sz="4" w:space="0"/>
          <w:right w:val="single" w:color="70AD47" w:sz="4" w:space="0"/>
        </w:tcBorders>
      </w:tcPr>
    </w:tblStylePr>
    <w:tblStylePr w:type="lastCol">
      <w:rPr>
        <w:b/>
        <w:color w:val="404040"/>
      </w:rPr>
    </w:tblStylePr>
    <w:tblStylePr w:type="lastRow">
      <w:rPr>
        <w:b/>
        <w:color w:val="404040"/>
      </w:rPr>
      <w:tcPr>
        <w:tcBorders>
          <w:top w:val="single" w:color="70AD47" w:sz="4" w:space="0"/>
        </w:tcBorders>
      </w:tcPr>
    </w:tblStylePr>
  </w:style>
  <w:style w:type="table" w:styleId="848" w:customStyle="1">
    <w:name w:val="网格表 5 深色1"/>
    <w:basedOn w:val="73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49" w:customStyle="1">
    <w:name w:val="Grid Table 5 Dark- Accent 1"/>
    <w:basedOn w:val="73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a9bee4" w:fill="a9bee4"/>
      </w:tcPr>
    </w:tblStylePr>
    <w:tblStylePr w:type="band1Vert">
      <w:tcPr>
        <w:shd w:val="clear" w:color="a9bee4" w:fill="a9bee4"/>
      </w:tcPr>
    </w:tblStylePr>
    <w:tblStylePr w:type="firstCol">
      <w:rPr>
        <w:rFonts w:ascii="Arial" w:hAnsi="Arial"/>
        <w:b/>
        <w:color w:val="ffffff"/>
        <w:sz w:val="22"/>
      </w:rPr>
      <w:tcPr>
        <w:shd w:val="clear" w:color="4472c4" w:fill="4472c4"/>
      </w:tcPr>
    </w:tblStylePr>
    <w:tblStylePr w:type="firstRow">
      <w:rPr>
        <w:rFonts w:ascii="Arial" w:hAnsi="Arial"/>
        <w:b/>
        <w:color w:val="ffffff"/>
        <w:sz w:val="22"/>
      </w:rPr>
      <w:tcPr>
        <w:shd w:val="clear" w:color="4472c4" w:fill="4472c4"/>
      </w:tcPr>
    </w:tblStylePr>
    <w:tblStylePr w:type="lastCol">
      <w:rPr>
        <w:rFonts w:ascii="Arial" w:hAnsi="Arial"/>
        <w:b/>
        <w:color w:val="ffffff"/>
        <w:sz w:val="22"/>
      </w:rPr>
      <w:tcPr>
        <w:shd w:val="clear" w:color="4472c4" w:fill="4472c4"/>
      </w:tcPr>
    </w:tblStylePr>
    <w:tblStylePr w:type="lastRow">
      <w:rPr>
        <w:rFonts w:ascii="Arial" w:hAnsi="Arial"/>
        <w:b/>
        <w:color w:val="ffffff"/>
        <w:sz w:val="22"/>
      </w:rPr>
      <w:tcPr>
        <w:shd w:val="clear" w:color="4472c4" w:fill="4472c4"/>
        <w:tcBorders>
          <w:top w:val="single" w:color="FFFFFF" w:sz="4" w:space="0"/>
        </w:tcBorders>
      </w:tcPr>
    </w:tblStylePr>
  </w:style>
  <w:style w:type="table" w:styleId="850" w:customStyle="1">
    <w:name w:val="Grid Table 5 Dark - Accent 2"/>
    <w:basedOn w:val="73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6c3a0" w:fill="f6c3a0"/>
      </w:tcPr>
    </w:tblStylePr>
    <w:tblStylePr w:type="band1Vert">
      <w:tcPr>
        <w:shd w:val="clear" w:color="f6c3a0" w:fill="f6c3a0"/>
      </w:tcPr>
    </w:tblStylePr>
    <w:tblStylePr w:type="firstCol">
      <w:rPr>
        <w:rFonts w:ascii="Arial" w:hAnsi="Arial"/>
        <w:b/>
        <w:color w:val="ffffff"/>
        <w:sz w:val="22"/>
      </w:rPr>
      <w:tcPr>
        <w:shd w:val="clear" w:color="ed7d31" w:fill="ed7d31"/>
      </w:tcPr>
    </w:tblStylePr>
    <w:tblStylePr w:type="firstRow">
      <w:rPr>
        <w:rFonts w:ascii="Arial" w:hAnsi="Arial"/>
        <w:b/>
        <w:color w:val="ffffff"/>
        <w:sz w:val="22"/>
      </w:rPr>
      <w:tcPr>
        <w:shd w:val="clear" w:color="ed7d31" w:fill="ed7d31"/>
      </w:tcPr>
    </w:tblStylePr>
    <w:tblStylePr w:type="lastCol">
      <w:rPr>
        <w:rFonts w:ascii="Arial" w:hAnsi="Arial"/>
        <w:b/>
        <w:color w:val="ffffff"/>
        <w:sz w:val="22"/>
      </w:rPr>
      <w:tcPr>
        <w:shd w:val="clear" w:color="ed7d31" w:fill="ed7d31"/>
      </w:tcPr>
    </w:tblStylePr>
    <w:tblStylePr w:type="lastRow">
      <w:rPr>
        <w:rFonts w:ascii="Arial" w:hAnsi="Arial"/>
        <w:b/>
        <w:color w:val="ffffff"/>
        <w:sz w:val="22"/>
      </w:rPr>
      <w:tcPr>
        <w:shd w:val="clear" w:color="ed7d31" w:fill="ed7d31"/>
        <w:tcBorders>
          <w:top w:val="single" w:color="FFFFFF" w:sz="4" w:space="0"/>
        </w:tcBorders>
      </w:tcPr>
    </w:tblStylePr>
  </w:style>
  <w:style w:type="table" w:styleId="851" w:customStyle="1">
    <w:name w:val="Grid Table 5 Dark - Accent 3"/>
    <w:basedOn w:val="73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d5d5d5" w:fill="d5d5d5"/>
      </w:tcPr>
    </w:tblStylePr>
    <w:tblStylePr w:type="band1Vert">
      <w:tcPr>
        <w:shd w:val="clear" w:color="d5d5d5" w:fill="d5d5d5"/>
      </w:tcPr>
    </w:tblStylePr>
    <w:tblStylePr w:type="firstCol">
      <w:rPr>
        <w:rFonts w:ascii="Arial" w:hAnsi="Arial"/>
        <w:b/>
        <w:color w:val="ffffff"/>
        <w:sz w:val="22"/>
      </w:rPr>
      <w:tcPr>
        <w:shd w:val="clear" w:color="a5a5a5" w:fill="a5a5a5"/>
      </w:tcPr>
    </w:tblStylePr>
    <w:tblStylePr w:type="firstRow">
      <w:rPr>
        <w:rFonts w:ascii="Arial" w:hAnsi="Arial"/>
        <w:b/>
        <w:color w:val="ffffff"/>
        <w:sz w:val="22"/>
      </w:rPr>
      <w:tcPr>
        <w:shd w:val="clear" w:color="a5a5a5" w:fill="a5a5a5"/>
      </w:tcPr>
    </w:tblStylePr>
    <w:tblStylePr w:type="lastCol">
      <w:rPr>
        <w:rFonts w:ascii="Arial" w:hAnsi="Arial"/>
        <w:b/>
        <w:color w:val="ffffff"/>
        <w:sz w:val="22"/>
      </w:rPr>
      <w:tcPr>
        <w:shd w:val="clear" w:color="a5a5a5" w:fill="a5a5a5"/>
      </w:tcPr>
    </w:tblStylePr>
    <w:tblStylePr w:type="lastRow">
      <w:rPr>
        <w:rFonts w:ascii="Arial" w:hAnsi="Arial"/>
        <w:b/>
        <w:color w:val="ffffff"/>
        <w:sz w:val="22"/>
      </w:rPr>
      <w:tcPr>
        <w:shd w:val="clear" w:color="a5a5a5" w:fill="a5a5a5"/>
        <w:tcBorders>
          <w:top w:val="single" w:color="FFFFFF" w:sz="4" w:space="0"/>
        </w:tcBorders>
      </w:tcPr>
    </w:tblStylePr>
  </w:style>
  <w:style w:type="table" w:styleId="852" w:customStyle="1">
    <w:name w:val="Grid Table 5 Dark- Accent 4"/>
    <w:basedOn w:val="73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ffe28a" w:fill="ffe28a"/>
      </w:tcPr>
    </w:tblStylePr>
    <w:tblStylePr w:type="band1Vert">
      <w:tcPr>
        <w:shd w:val="clear" w:color="ffe28a" w:fill="ffe28a"/>
      </w:tcPr>
    </w:tblStylePr>
    <w:tblStylePr w:type="firstCol">
      <w:rPr>
        <w:rFonts w:ascii="Arial" w:hAnsi="Arial"/>
        <w:b/>
        <w:color w:val="ffffff"/>
        <w:sz w:val="22"/>
      </w:rPr>
      <w:tcPr>
        <w:shd w:val="clear" w:color="ffc000" w:fill="ffc000"/>
      </w:tcPr>
    </w:tblStylePr>
    <w:tblStylePr w:type="firstRow">
      <w:rPr>
        <w:rFonts w:ascii="Arial" w:hAnsi="Arial"/>
        <w:b/>
        <w:color w:val="ffffff"/>
        <w:sz w:val="22"/>
      </w:rPr>
      <w:tcPr>
        <w:shd w:val="clear" w:color="ffc000" w:fill="ffc000"/>
      </w:tcPr>
    </w:tblStylePr>
    <w:tblStylePr w:type="lastCol">
      <w:rPr>
        <w:rFonts w:ascii="Arial" w:hAnsi="Arial"/>
        <w:b/>
        <w:color w:val="ffffff"/>
        <w:sz w:val="22"/>
      </w:rPr>
      <w:tcPr>
        <w:shd w:val="clear" w:color="ffc000" w:fill="ffc000"/>
      </w:tcPr>
    </w:tblStylePr>
    <w:tblStylePr w:type="lastRow">
      <w:rPr>
        <w:rFonts w:ascii="Arial" w:hAnsi="Arial"/>
        <w:b/>
        <w:color w:val="ffffff"/>
        <w:sz w:val="22"/>
      </w:rPr>
      <w:tcPr>
        <w:shd w:val="clear" w:color="ffc000" w:fill="ffc000"/>
        <w:tcBorders>
          <w:top w:val="single" w:color="FFFFFF" w:sz="4" w:space="0"/>
        </w:tcBorders>
      </w:tcPr>
    </w:tblStylePr>
  </w:style>
  <w:style w:type="table" w:styleId="853" w:customStyle="1">
    <w:name w:val="Grid Table 5 Dark - Accent 5"/>
    <w:basedOn w:val="73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3d0eb" w:fill="b3d0eb"/>
      </w:tcPr>
    </w:tblStylePr>
    <w:tblStylePr w:type="band1Vert">
      <w:tcPr>
        <w:shd w:val="clear" w:color="b3d0eb" w:fill="b3d0eb"/>
      </w:tcPr>
    </w:tblStylePr>
    <w:tblStylePr w:type="firstCol">
      <w:rPr>
        <w:rFonts w:ascii="Arial" w:hAnsi="Arial"/>
        <w:b/>
        <w:color w:val="ffffff"/>
        <w:sz w:val="22"/>
      </w:rPr>
      <w:tcPr>
        <w:shd w:val="clear" w:color="5b9bd5" w:fill="5b9bd5"/>
      </w:tcPr>
    </w:tblStylePr>
    <w:tblStylePr w:type="firstRow">
      <w:rPr>
        <w:rFonts w:ascii="Arial" w:hAnsi="Arial"/>
        <w:b/>
        <w:color w:val="ffffff"/>
        <w:sz w:val="22"/>
      </w:rPr>
      <w:tcPr>
        <w:shd w:val="clear" w:color="5b9bd5" w:fill="5b9bd5"/>
      </w:tcPr>
    </w:tblStylePr>
    <w:tblStylePr w:type="lastCol">
      <w:rPr>
        <w:rFonts w:ascii="Arial" w:hAnsi="Arial"/>
        <w:b/>
        <w:color w:val="ffffff"/>
        <w:sz w:val="22"/>
      </w:rPr>
      <w:tcPr>
        <w:shd w:val="clear" w:color="5b9bd5" w:fill="5b9bd5"/>
      </w:tcPr>
    </w:tblStylePr>
    <w:tblStylePr w:type="lastRow">
      <w:rPr>
        <w:rFonts w:ascii="Arial" w:hAnsi="Arial"/>
        <w:b/>
        <w:color w:val="ffffff"/>
        <w:sz w:val="22"/>
      </w:rPr>
      <w:tcPr>
        <w:shd w:val="clear" w:color="5b9bd5" w:fill="5b9bd5"/>
        <w:tcBorders>
          <w:top w:val="single" w:color="FFFFFF" w:sz="4" w:space="0"/>
        </w:tcBorders>
      </w:tcPr>
    </w:tblStylePr>
  </w:style>
  <w:style w:type="table" w:styleId="854" w:customStyle="1">
    <w:name w:val="Grid Table 5 Dark - Accent 6"/>
    <w:basedOn w:val="73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108" w:type="dxa"/>
        <w:top w:w="0" w:type="dxa"/>
        <w:right w:w="108" w:type="dxa"/>
        <w:bottom w:w="0" w:type="dxa"/>
      </w:tblCellMar>
    </w:tblPr>
    <w:tblStylePr w:type="band1Horz">
      <w:tcPr>
        <w:shd w:val="clear" w:color="bcdba8" w:fill="bcdba8"/>
      </w:tcPr>
    </w:tblStylePr>
    <w:tblStylePr w:type="band1Vert">
      <w:tcPr>
        <w:shd w:val="clear" w:color="bcdba8" w:fill="bcdba8"/>
      </w:tcPr>
    </w:tblStylePr>
    <w:tblStylePr w:type="firstCol">
      <w:rPr>
        <w:rFonts w:ascii="Arial" w:hAnsi="Arial"/>
        <w:b/>
        <w:color w:val="ffffff"/>
        <w:sz w:val="22"/>
      </w:rPr>
      <w:tcPr>
        <w:shd w:val="clear" w:color="70ad47" w:fill="70ad47"/>
      </w:tcPr>
    </w:tblStylePr>
    <w:tblStylePr w:type="firstRow">
      <w:rPr>
        <w:rFonts w:ascii="Arial" w:hAnsi="Arial"/>
        <w:b/>
        <w:color w:val="ffffff"/>
        <w:sz w:val="22"/>
      </w:rPr>
      <w:tcPr>
        <w:shd w:val="clear" w:color="70ad47" w:fill="70ad47"/>
      </w:tcPr>
    </w:tblStylePr>
    <w:tblStylePr w:type="lastCol">
      <w:rPr>
        <w:rFonts w:ascii="Arial" w:hAnsi="Arial"/>
        <w:b/>
        <w:color w:val="ffffff"/>
        <w:sz w:val="22"/>
      </w:rPr>
      <w:tcPr>
        <w:shd w:val="clear" w:color="70ad47" w:fill="70ad47"/>
      </w:tcPr>
    </w:tblStylePr>
    <w:tblStylePr w:type="lastRow">
      <w:rPr>
        <w:rFonts w:ascii="Arial" w:hAnsi="Arial"/>
        <w:b/>
        <w:color w:val="ffffff"/>
        <w:sz w:val="22"/>
      </w:rPr>
      <w:tcPr>
        <w:shd w:val="clear" w:color="70ad47" w:fill="70ad47"/>
        <w:tcBorders>
          <w:top w:val="single" w:color="FFFFFF" w:sz="4" w:space="0"/>
        </w:tcBorders>
      </w:tcPr>
    </w:tblStylePr>
  </w:style>
  <w:style w:type="table" w:styleId="855" w:customStyle="1">
    <w:name w:val="网格表 6 彩色1"/>
    <w:basedOn w:val="73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cbcbcb" w:fill="cbcbcb"/>
      </w:tcPr>
    </w:tblStylePr>
    <w:tblStylePr w:type="band1Vert">
      <w:tcPr>
        <w:shd w:val="clear" w:color="cbcbcb" w:fill="cbcbcb"/>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12" w:space="0"/>
        </w:tcBorders>
      </w:tcPr>
    </w:tblStylePr>
    <w:tblStylePr w:type="lastCol">
      <w:rPr>
        <w:b/>
        <w:color w:val="000000"/>
      </w:rPr>
    </w:tblStylePr>
    <w:tblStylePr w:type="lastRow">
      <w:rPr>
        <w:b/>
        <w:color w:val="000000"/>
      </w:rPr>
    </w:tblStylePr>
  </w:style>
  <w:style w:type="table" w:styleId="856" w:customStyle="1">
    <w:name w:val="Grid Table 6 Colorful - Accent 1"/>
    <w:basedOn w:val="730"/>
    <w:uiPriority w:val="99"/>
    <w:qFormat/>
    <w:tblPr>
      <w:tblBorders>
        <w:top w:val="single" w:color="A0B7E1" w:sz="4" w:space="0"/>
        <w:left w:val="single" w:color="A0B7E1" w:sz="4" w:space="0"/>
        <w:bottom w:val="single" w:color="A0B7E1" w:sz="4" w:space="0"/>
        <w:right w:val="single" w:color="A0B7E1" w:sz="4" w:space="0"/>
        <w:insideH w:val="single" w:color="A0B7E1" w:sz="4" w:space="0"/>
        <w:insideV w:val="single" w:color="A0B7E1" w:sz="4" w:space="0"/>
      </w:tblBorders>
      <w:tblCellMar>
        <w:left w:w="108" w:type="dxa"/>
        <w:top w:w="0" w:type="dxa"/>
        <w:right w:w="108" w:type="dxa"/>
        <w:bottom w:w="0" w:type="dxa"/>
      </w:tblCellMar>
    </w:tblPr>
    <w:tblStylePr w:type="band1Horz">
      <w:rPr>
        <w:rFonts w:ascii="Arial" w:hAnsi="Arial"/>
        <w:color w:val="4472c4"/>
        <w:sz w:val="22"/>
      </w:rPr>
      <w:tcPr>
        <w:shd w:val="clear" w:color="d8e2f3" w:fill="d8e2f3"/>
      </w:tcPr>
    </w:tblStylePr>
    <w:tblStylePr w:type="band1Vert">
      <w:tcPr>
        <w:shd w:val="clear" w:color="d8e2f3" w:fill="d8e2f3"/>
      </w:tcPr>
    </w:tblStylePr>
    <w:tblStylePr w:type="band2Horz">
      <w:rPr>
        <w:rFonts w:ascii="Arial" w:hAnsi="Arial"/>
        <w:color w:val="4472c4"/>
        <w:sz w:val="22"/>
      </w:rPr>
    </w:tblStylePr>
    <w:tblStylePr w:type="firstCol">
      <w:rPr>
        <w:b/>
        <w:color w:val="4472c4"/>
      </w:rPr>
    </w:tblStylePr>
    <w:tblStylePr w:type="firstRow">
      <w:rPr>
        <w:b/>
        <w:color w:val="4472c4"/>
      </w:rPr>
      <w:tcPr>
        <w:tcBorders>
          <w:bottom w:val="single" w:color="A0B7E1" w:sz="12" w:space="0"/>
        </w:tcBorders>
      </w:tcPr>
    </w:tblStylePr>
    <w:tblStylePr w:type="lastCol">
      <w:rPr>
        <w:b/>
        <w:color w:val="4472c4"/>
      </w:rPr>
    </w:tblStylePr>
    <w:tblStylePr w:type="lastRow">
      <w:rPr>
        <w:b/>
        <w:color w:val="4472c4"/>
      </w:rPr>
    </w:tblStylePr>
  </w:style>
  <w:style w:type="table" w:styleId="857" w:customStyle="1">
    <w:name w:val="Grid Table 6 Colorful - Accent 2"/>
    <w:basedOn w:val="730"/>
    <w:uiPriority w:val="99"/>
    <w:qFormat/>
    <w:tblPr>
      <w:tblBorders>
        <w:top w:val="single" w:color="F4B184" w:sz="4" w:space="0"/>
        <w:left w:val="single" w:color="F4B184" w:sz="4" w:space="0"/>
        <w:bottom w:val="single" w:color="F4B184" w:sz="4" w:space="0"/>
        <w:right w:val="single" w:color="F4B184" w:sz="4" w:space="0"/>
        <w:insideH w:val="single" w:color="F4B184" w:sz="4" w:space="0"/>
        <w:insideV w:val="single" w:color="F4B184" w:sz="4" w:space="0"/>
      </w:tblBorders>
      <w:tblCellMar>
        <w:left w:w="108" w:type="dxa"/>
        <w:top w:w="0" w:type="dxa"/>
        <w:right w:w="108" w:type="dxa"/>
        <w:bottom w:w="0" w:type="dxa"/>
      </w:tblCellMar>
    </w:tblPr>
    <w:tblStylePr w:type="band1Horz">
      <w:rPr>
        <w:rFonts w:ascii="Arial" w:hAnsi="Arial"/>
        <w:color w:val="ed7d31"/>
        <w:sz w:val="22"/>
      </w:rPr>
      <w:tcPr>
        <w:shd w:val="clear" w:color="fbe5d6" w:fill="fbe5d6"/>
      </w:tcPr>
    </w:tblStylePr>
    <w:tblStylePr w:type="band1Vert">
      <w:tcPr>
        <w:shd w:val="clear" w:color="fbe5d6" w:fill="fbe5d6"/>
      </w:tcPr>
    </w:tblStylePr>
    <w:tblStylePr w:type="band2Horz">
      <w:rPr>
        <w:rFonts w:ascii="Arial" w:hAnsi="Arial"/>
        <w:color w:val="ed7d31"/>
        <w:sz w:val="22"/>
      </w:rPr>
    </w:tblStylePr>
    <w:tblStylePr w:type="firstCol">
      <w:rPr>
        <w:b/>
        <w:color w:val="ed7d31"/>
      </w:rPr>
    </w:tblStylePr>
    <w:tblStylePr w:type="firstRow">
      <w:rPr>
        <w:b/>
        <w:color w:val="ed7d31"/>
      </w:rPr>
      <w:tcPr>
        <w:tcBorders>
          <w:bottom w:val="single" w:color="F4B184" w:sz="12" w:space="0"/>
        </w:tcBorders>
      </w:tcPr>
    </w:tblStylePr>
    <w:tblStylePr w:type="lastCol">
      <w:rPr>
        <w:b/>
        <w:color w:val="ed7d31"/>
      </w:rPr>
    </w:tblStylePr>
    <w:tblStylePr w:type="lastRow">
      <w:rPr>
        <w:b/>
        <w:color w:val="ed7d31"/>
      </w:rPr>
    </w:tblStylePr>
  </w:style>
  <w:style w:type="table" w:styleId="858" w:customStyle="1">
    <w:name w:val="Grid Table 6 Colorful - Accent 3"/>
    <w:basedOn w:val="730"/>
    <w:uiPriority w:val="99"/>
    <w:qFormat/>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A5A5A5" w:sz="12" w:space="0"/>
        </w:tcBorders>
      </w:tcPr>
    </w:tblStylePr>
    <w:tblStylePr w:type="lastCol">
      <w:rPr>
        <w:b/>
        <w:color w:val="a5a5a5"/>
      </w:rPr>
    </w:tblStylePr>
    <w:tblStylePr w:type="lastRow">
      <w:rPr>
        <w:b/>
        <w:color w:val="a5a5a5"/>
      </w:rPr>
    </w:tblStylePr>
  </w:style>
  <w:style w:type="table" w:styleId="859" w:customStyle="1">
    <w:name w:val="Grid Table 6 Colorful - Accent 4"/>
    <w:basedOn w:val="730"/>
    <w:uiPriority w:val="99"/>
    <w:qFormat/>
    <w:tblPr>
      <w:tblBorders>
        <w:top w:val="single" w:color="FFD865" w:sz="4" w:space="0"/>
        <w:left w:val="single" w:color="FFD865" w:sz="4" w:space="0"/>
        <w:bottom w:val="single" w:color="FFD865" w:sz="4" w:space="0"/>
        <w:right w:val="single" w:color="FFD865" w:sz="4" w:space="0"/>
        <w:insideH w:val="single" w:color="FFD865" w:sz="4" w:space="0"/>
        <w:insideV w:val="single" w:color="FFD865" w:sz="4" w:space="0"/>
      </w:tblBorders>
      <w:tblCellMar>
        <w:left w:w="108" w:type="dxa"/>
        <w:top w:w="0" w:type="dxa"/>
        <w:right w:w="108" w:type="dxa"/>
        <w:bottom w:w="0" w:type="dxa"/>
      </w:tblCellMar>
    </w:tblPr>
    <w:tblStylePr w:type="band1Horz">
      <w:rPr>
        <w:rFonts w:ascii="Arial" w:hAnsi="Arial"/>
        <w:color w:val="ffc000"/>
        <w:sz w:val="22"/>
      </w:rPr>
      <w:tcPr>
        <w:shd w:val="clear" w:color="fff2cb" w:fill="fff2cb"/>
      </w:tcPr>
    </w:tblStylePr>
    <w:tblStylePr w:type="band1Vert">
      <w:tcPr>
        <w:shd w:val="clear" w:color="fff2cb" w:fill="fff2cb"/>
      </w:tcPr>
    </w:tblStylePr>
    <w:tblStylePr w:type="band2Horz">
      <w:rPr>
        <w:rFonts w:ascii="Arial" w:hAnsi="Arial"/>
        <w:color w:val="ffc000"/>
        <w:sz w:val="22"/>
      </w:rPr>
    </w:tblStylePr>
    <w:tblStylePr w:type="firstCol">
      <w:rPr>
        <w:b/>
        <w:color w:val="ffc000"/>
      </w:rPr>
    </w:tblStylePr>
    <w:tblStylePr w:type="firstRow">
      <w:rPr>
        <w:b/>
        <w:color w:val="ffc000"/>
      </w:rPr>
      <w:tcPr>
        <w:tcBorders>
          <w:bottom w:val="single" w:color="FFD865" w:sz="12" w:space="0"/>
        </w:tcBorders>
      </w:tcPr>
    </w:tblStylePr>
    <w:tblStylePr w:type="lastCol">
      <w:rPr>
        <w:b/>
        <w:color w:val="ffc000"/>
      </w:rPr>
    </w:tblStylePr>
    <w:tblStylePr w:type="lastRow">
      <w:rPr>
        <w:b/>
        <w:color w:val="ffc000"/>
      </w:rPr>
    </w:tblStylePr>
  </w:style>
  <w:style w:type="table" w:styleId="860" w:customStyle="1">
    <w:name w:val="Grid Table 6 Colorful - Accent 5"/>
    <w:basedOn w:val="730"/>
    <w:uiPriority w:val="99"/>
    <w:qFormat/>
    <w:tblPr>
      <w:tblBorders>
        <w:top w:val="single" w:color="5B9BD5" w:sz="4" w:space="0"/>
        <w:left w:val="single" w:color="5B9BD5" w:sz="4" w:space="0"/>
        <w:bottom w:val="single" w:color="5B9BD5" w:sz="4" w:space="0"/>
        <w:right w:val="single" w:color="5B9BD5" w:sz="4" w:space="0"/>
        <w:insideH w:val="single" w:color="5B9BD5" w:sz="4" w:space="0"/>
        <w:insideV w:val="single" w:color="5B9BD5" w:sz="4" w:space="0"/>
      </w:tblBorders>
      <w:tblCellMar>
        <w:left w:w="108" w:type="dxa"/>
        <w:top w:w="0" w:type="dxa"/>
        <w:right w:w="108" w:type="dxa"/>
        <w:bottom w:w="0" w:type="dxa"/>
      </w:tblCellMar>
    </w:tblPr>
    <w:tblStylePr w:type="band1Horz">
      <w:rPr>
        <w:rFonts w:ascii="Arial" w:hAnsi="Arial"/>
        <w:color w:val="245a8c"/>
        <w:sz w:val="22"/>
      </w:rPr>
      <w:tcPr>
        <w:shd w:val="clear" w:color="ddeaf6" w:fill="ddeaf6"/>
      </w:tcPr>
    </w:tblStylePr>
    <w:tblStylePr w:type="band1Vert">
      <w:tcPr>
        <w:shd w:val="clear" w:color="ddeaf6" w:fill="ddeaf6"/>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5B9BD5" w:sz="12" w:space="0"/>
        </w:tcBorders>
      </w:tcPr>
    </w:tblStylePr>
    <w:tblStylePr w:type="lastCol">
      <w:rPr>
        <w:b/>
        <w:color w:val="245a8c"/>
      </w:rPr>
    </w:tblStylePr>
    <w:tblStylePr w:type="lastRow">
      <w:rPr>
        <w:b/>
        <w:color w:val="245a8c"/>
      </w:rPr>
    </w:tblStylePr>
  </w:style>
  <w:style w:type="table" w:styleId="861" w:customStyle="1">
    <w:name w:val="Grid Table 6 Colorful - Accent 6"/>
    <w:basedOn w:val="730"/>
    <w:uiPriority w:val="99"/>
    <w:qFormat/>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CellMar>
        <w:left w:w="108" w:type="dxa"/>
        <w:top w:w="0" w:type="dxa"/>
        <w:right w:w="108" w:type="dxa"/>
        <w:bottom w:w="0" w:type="dxa"/>
      </w:tblCellMar>
    </w:tblPr>
    <w:tblStylePr w:type="band1Horz">
      <w:rPr>
        <w:rFonts w:ascii="Arial" w:hAnsi="Arial"/>
        <w:color w:val="245a8c"/>
        <w:sz w:val="22"/>
      </w:rPr>
      <w:tcPr>
        <w:shd w:val="clear" w:color="e1efd8" w:fill="e1efd8"/>
      </w:tcPr>
    </w:tblStylePr>
    <w:tblStylePr w:type="band1Vert">
      <w:tcPr>
        <w:shd w:val="clear" w:color="e1efd8" w:fill="e1efd8"/>
      </w:tcPr>
    </w:tblStylePr>
    <w:tblStylePr w:type="band2Horz">
      <w:rPr>
        <w:rFonts w:ascii="Arial" w:hAnsi="Arial"/>
        <w:color w:val="245a8c"/>
        <w:sz w:val="22"/>
      </w:rPr>
    </w:tblStylePr>
    <w:tblStylePr w:type="firstCol">
      <w:rPr>
        <w:b/>
        <w:color w:val="245a8c"/>
      </w:rPr>
    </w:tblStylePr>
    <w:tblStylePr w:type="firstRow">
      <w:rPr>
        <w:b/>
        <w:color w:val="245a8c"/>
      </w:rPr>
      <w:tcPr>
        <w:tcBorders>
          <w:bottom w:val="single" w:color="70AD47" w:sz="12" w:space="0"/>
        </w:tcBorders>
      </w:tcPr>
    </w:tblStylePr>
    <w:tblStylePr w:type="lastCol">
      <w:rPr>
        <w:b/>
        <w:color w:val="245a8c"/>
      </w:rPr>
    </w:tblStylePr>
    <w:tblStylePr w:type="lastRow">
      <w:rPr>
        <w:b/>
        <w:color w:val="245a8c"/>
      </w:rPr>
    </w:tblStylePr>
  </w:style>
  <w:style w:type="table" w:styleId="862" w:customStyle="1">
    <w:name w:val="网格表 7 彩色1"/>
    <w:basedOn w:val="730"/>
    <w:uiPriority w:val="99"/>
    <w:qFormat/>
    <w:tblPr>
      <w:tblBorders>
        <w:bottom w:val="single" w:color="7F7F7F" w:sz="4" w:space="0"/>
        <w:right w:val="single" w:color="7F7F7F" w:sz="4" w:space="0"/>
        <w:insideH w:val="single" w:color="7F7F7F" w:sz="4" w:space="0"/>
        <w:insideV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f2f2f2" w:fill="f2f2f2"/>
      </w:tcPr>
    </w:tblStylePr>
    <w:tblStylePr w:type="band1Vert">
      <w:tcPr>
        <w:shd w:val="clear" w:color="f2f2f2" w:fill="f2f2f2"/>
      </w:tcPr>
    </w:tblStylePr>
    <w:tblStylePr w:type="band2Horz">
      <w:rPr>
        <w:rFonts w:ascii="Arial" w:hAnsi="Arial"/>
        <w:color w:val="000000"/>
        <w:sz w:val="22"/>
      </w:rPr>
    </w:tblStylePr>
    <w:tblStylePr w:type="firstCol">
      <w:rPr>
        <w:rFonts w:ascii="Arial" w:hAnsi="Arial"/>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000000"/>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000000"/>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863" w:customStyle="1">
    <w:name w:val="Grid Table 7 Colorful - Accent 1"/>
    <w:basedOn w:val="730"/>
    <w:uiPriority w:val="99"/>
    <w:qFormat/>
    <w:tblPr>
      <w:tblBorders>
        <w:bottom w:val="single" w:color="A0B7E1" w:sz="4" w:space="0"/>
        <w:right w:val="single" w:color="A0B7E1" w:sz="4" w:space="0"/>
        <w:insideH w:val="single" w:color="A0B7E1" w:sz="4" w:space="0"/>
        <w:insideV w:val="single" w:color="A0B7E1" w:sz="4" w:space="0"/>
      </w:tblBorders>
      <w:tblCellMar>
        <w:left w:w="108" w:type="dxa"/>
        <w:top w:w="0" w:type="dxa"/>
        <w:right w:w="108" w:type="dxa"/>
        <w:bottom w:w="0" w:type="dxa"/>
      </w:tblCellMar>
    </w:tblPr>
    <w:tblStylePr w:type="band1Horz">
      <w:rPr>
        <w:rFonts w:ascii="Arial" w:hAnsi="Arial"/>
        <w:color w:val="4472c4"/>
        <w:sz w:val="22"/>
      </w:rPr>
      <w:tcPr>
        <w:shd w:val="clear" w:color="d8e2f3" w:fill="d8e2f3"/>
      </w:tcPr>
    </w:tblStylePr>
    <w:tblStylePr w:type="band1Vert">
      <w:tcPr>
        <w:shd w:val="clear" w:color="d8e2f3" w:fill="d8e2f3"/>
      </w:tcPr>
    </w:tblStylePr>
    <w:tblStylePr w:type="band2Horz">
      <w:rPr>
        <w:rFonts w:ascii="Arial" w:hAnsi="Arial"/>
        <w:color w:val="4472c4"/>
        <w:sz w:val="22"/>
      </w:rPr>
    </w:tblStylePr>
    <w:tblStylePr w:type="firstCol">
      <w:rPr>
        <w:rFonts w:ascii="Arial" w:hAnsi="Arial"/>
        <w:i/>
        <w:color w:val="4472c4"/>
        <w:sz w:val="22"/>
      </w:rPr>
      <w:pPr>
        <w:jc w:val="right"/>
      </w:pPr>
      <w:tcPr>
        <w:shd w:val="clear" w:color="ffffff" w:fill="auto"/>
        <w:tcBorders>
          <w:top w:val="none" w:color="000000" w:sz="4" w:space="0"/>
          <w:left w:val="none" w:color="000000" w:sz="4" w:space="0"/>
          <w:bottom w:val="none" w:color="000000" w:sz="4" w:space="0"/>
          <w:right w:val="single" w:color="A0B7E1" w:sz="4" w:space="0"/>
        </w:tcBorders>
      </w:tcPr>
    </w:tblStylePr>
    <w:tblStylePr w:type="firstRow">
      <w:rPr>
        <w:rFonts w:ascii="Arial" w:hAnsi="Arial"/>
        <w:b/>
        <w:color w:val="4472c4"/>
        <w:sz w:val="22"/>
      </w:rPr>
      <w:tcPr>
        <w:shd w:val="clear" w:color="ffffff" w:fill="ffffff"/>
        <w:tcBorders>
          <w:top w:val="none" w:color="000000" w:sz="4" w:space="0"/>
          <w:left w:val="none" w:color="000000" w:sz="4" w:space="0"/>
          <w:bottom w:val="single" w:color="A0B7E1" w:sz="4" w:space="0"/>
          <w:right w:val="none" w:color="000000" w:sz="4" w:space="0"/>
        </w:tcBorders>
      </w:tcPr>
    </w:tblStylePr>
    <w:tblStylePr w:type="lastCol">
      <w:rPr>
        <w:rFonts w:ascii="Arial" w:hAnsi="Arial"/>
        <w:i/>
        <w:color w:val="4472c4"/>
        <w:sz w:val="22"/>
      </w:rPr>
      <w:tcPr>
        <w:shd w:val="clear" w:color="ffffff" w:fill="auto"/>
        <w:tcBorders>
          <w:top w:val="none" w:color="000000" w:sz="4" w:space="0"/>
          <w:left w:val="single" w:color="A0B7E1" w:sz="4" w:space="0"/>
          <w:bottom w:val="none" w:color="000000" w:sz="4" w:space="0"/>
          <w:right w:val="none" w:color="000000" w:sz="4" w:space="0"/>
        </w:tcBorders>
      </w:tcPr>
    </w:tblStylePr>
    <w:tblStylePr w:type="lastRow">
      <w:rPr>
        <w:rFonts w:ascii="Arial" w:hAnsi="Arial"/>
        <w:b/>
        <w:color w:val="4472c4"/>
        <w:sz w:val="22"/>
      </w:rPr>
      <w:tcPr>
        <w:shd w:val="clear" w:color="ffffff" w:fill="ffffff"/>
        <w:tcBorders>
          <w:top w:val="single" w:color="A0B7E1" w:sz="4" w:space="0"/>
          <w:left w:val="none" w:color="000000" w:sz="4" w:space="0"/>
          <w:bottom w:val="none" w:color="000000" w:sz="4" w:space="0"/>
          <w:right w:val="none" w:color="000000" w:sz="4" w:space="0"/>
        </w:tcBorders>
      </w:tcPr>
    </w:tblStylePr>
  </w:style>
  <w:style w:type="table" w:styleId="864" w:customStyle="1">
    <w:name w:val="Grid Table 7 Colorful - Accent 2"/>
    <w:basedOn w:val="730"/>
    <w:uiPriority w:val="99"/>
    <w:qFormat/>
    <w:tblPr>
      <w:tblBorders>
        <w:bottom w:val="single" w:color="F4B184" w:sz="4" w:space="0"/>
        <w:right w:val="single" w:color="F4B184" w:sz="4" w:space="0"/>
        <w:insideH w:val="single" w:color="F4B184" w:sz="4" w:space="0"/>
        <w:insideV w:val="single" w:color="F4B184" w:sz="4" w:space="0"/>
      </w:tblBorders>
      <w:tblCellMar>
        <w:left w:w="108" w:type="dxa"/>
        <w:top w:w="0" w:type="dxa"/>
        <w:right w:w="108" w:type="dxa"/>
        <w:bottom w:w="0" w:type="dxa"/>
      </w:tblCellMar>
    </w:tblPr>
    <w:tblStylePr w:type="band1Horz">
      <w:rPr>
        <w:rFonts w:ascii="Arial" w:hAnsi="Arial"/>
        <w:color w:val="ed7d31"/>
        <w:sz w:val="22"/>
      </w:rPr>
      <w:tcPr>
        <w:shd w:val="clear" w:color="fbe5d6" w:fill="fbe5d6"/>
      </w:tcPr>
    </w:tblStylePr>
    <w:tblStylePr w:type="band1Vert">
      <w:tcPr>
        <w:shd w:val="clear" w:color="fbe5d6" w:fill="fbe5d6"/>
      </w:tcPr>
    </w:tblStylePr>
    <w:tblStylePr w:type="band2Horz">
      <w:rPr>
        <w:rFonts w:ascii="Arial" w:hAnsi="Arial"/>
        <w:color w:val="ed7d31"/>
        <w:sz w:val="22"/>
      </w:rPr>
    </w:tblStylePr>
    <w:tblStylePr w:type="firstCol">
      <w:rPr>
        <w:rFonts w:ascii="Arial" w:hAnsi="Arial"/>
        <w:i/>
        <w:color w:val="ed7d31"/>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b/>
        <w:color w:val="ed7d31"/>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ed7d31"/>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b/>
        <w:color w:val="ed7d31"/>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865" w:customStyle="1">
    <w:name w:val="Grid Table 7 Colorful - Accent 3"/>
    <w:basedOn w:val="730"/>
    <w:uiPriority w:val="99"/>
    <w:qFormat/>
    <w:tblPr>
      <w:tblBorders>
        <w:bottom w:val="single" w:color="A5A5A5" w:sz="4" w:space="0"/>
        <w:right w:val="single" w:color="A5A5A5" w:sz="4" w:space="0"/>
        <w:insideH w:val="single" w:color="A5A5A5" w:sz="4" w:space="0"/>
        <w:insideV w:val="single" w:color="A5A5A5" w:sz="4" w:space="0"/>
      </w:tblBorders>
      <w:tblCellMar>
        <w:left w:w="108" w:type="dxa"/>
        <w:top w:w="0" w:type="dxa"/>
        <w:right w:w="108" w:type="dxa"/>
        <w:bottom w:w="0" w:type="dxa"/>
      </w:tblCellMar>
    </w:tblPr>
    <w:tblStylePr w:type="band1Horz">
      <w:rPr>
        <w:rFonts w:ascii="Arial" w:hAnsi="Arial"/>
        <w:color w:val="a5a5a5"/>
        <w:sz w:val="22"/>
      </w:rPr>
      <w:tcPr>
        <w:shd w:val="clear" w:color="ececec" w:fill="ececec"/>
      </w:tcPr>
    </w:tblStylePr>
    <w:tblStylePr w:type="band1Vert">
      <w:tcPr>
        <w:shd w:val="clear" w:color="ececec" w:fill="ececec"/>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A5A5A5" w:sz="4" w:space="0"/>
        </w:tcBorders>
      </w:tcPr>
    </w:tblStylePr>
    <w:tblStylePr w:type="firstRow">
      <w:rPr>
        <w:rFonts w:ascii="Arial" w:hAnsi="Arial"/>
        <w:b/>
        <w:color w:val="a5a5a5"/>
        <w:sz w:val="22"/>
      </w:rPr>
      <w:tcPr>
        <w:shd w:val="clear" w:color="ffffff" w:fill="ffffff"/>
        <w:tcBorders>
          <w:top w:val="none" w:color="000000" w:sz="4" w:space="0"/>
          <w:left w:val="none" w:color="000000" w:sz="4" w:space="0"/>
          <w:bottom w:val="single" w:color="A5A5A5"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A5A5A5" w:sz="4" w:space="0"/>
          <w:bottom w:val="none" w:color="000000" w:sz="4" w:space="0"/>
          <w:right w:val="none" w:color="000000" w:sz="4" w:space="0"/>
        </w:tcBorders>
      </w:tcPr>
    </w:tblStylePr>
    <w:tblStylePr w:type="lastRow">
      <w:rPr>
        <w:rFonts w:ascii="Arial" w:hAnsi="Arial"/>
        <w:b/>
        <w:color w:val="a5a5a5"/>
        <w:sz w:val="22"/>
      </w:rPr>
      <w:tcPr>
        <w:shd w:val="clear" w:color="ffffff" w:fill="ffffff"/>
        <w:tcBorders>
          <w:top w:val="single" w:color="A5A5A5" w:sz="4" w:space="0"/>
          <w:left w:val="none" w:color="000000" w:sz="4" w:space="0"/>
          <w:bottom w:val="none" w:color="000000" w:sz="4" w:space="0"/>
          <w:right w:val="none" w:color="000000" w:sz="4" w:space="0"/>
        </w:tcBorders>
      </w:tcPr>
    </w:tblStylePr>
  </w:style>
  <w:style w:type="table" w:styleId="866" w:customStyle="1">
    <w:name w:val="Grid Table 7 Colorful - Accent 4"/>
    <w:basedOn w:val="730"/>
    <w:uiPriority w:val="99"/>
    <w:qFormat/>
    <w:tblPr>
      <w:tblBorders>
        <w:bottom w:val="single" w:color="FFD865" w:sz="4" w:space="0"/>
        <w:right w:val="single" w:color="FFD865" w:sz="4" w:space="0"/>
        <w:insideH w:val="single" w:color="FFD865" w:sz="4" w:space="0"/>
        <w:insideV w:val="single" w:color="FFD865" w:sz="4" w:space="0"/>
      </w:tblBorders>
      <w:tblCellMar>
        <w:left w:w="108" w:type="dxa"/>
        <w:top w:w="0" w:type="dxa"/>
        <w:right w:w="108" w:type="dxa"/>
        <w:bottom w:w="0" w:type="dxa"/>
      </w:tblCellMar>
    </w:tblPr>
    <w:tblStylePr w:type="band1Horz">
      <w:rPr>
        <w:rFonts w:ascii="Arial" w:hAnsi="Arial"/>
        <w:color w:val="ffc000"/>
        <w:sz w:val="22"/>
      </w:rPr>
      <w:tcPr>
        <w:shd w:val="clear" w:color="fff2cb" w:fill="fff2cb"/>
      </w:tcPr>
    </w:tblStylePr>
    <w:tblStylePr w:type="band1Vert">
      <w:tcPr>
        <w:shd w:val="clear" w:color="fff2cb" w:fill="fff2cb"/>
      </w:tcPr>
    </w:tblStylePr>
    <w:tblStylePr w:type="band2Horz">
      <w:rPr>
        <w:rFonts w:ascii="Arial" w:hAnsi="Arial"/>
        <w:color w:val="ffc000"/>
        <w:sz w:val="22"/>
      </w:rPr>
    </w:tblStylePr>
    <w:tblStylePr w:type="firstCol">
      <w:rPr>
        <w:rFonts w:ascii="Arial" w:hAnsi="Arial"/>
        <w:i/>
        <w:color w:val="ffc000"/>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b/>
        <w:color w:val="ffc000"/>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c000"/>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b/>
        <w:color w:val="ffc000"/>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867" w:customStyle="1">
    <w:name w:val="Grid Table 7 Colorful - Accent 5"/>
    <w:basedOn w:val="730"/>
    <w:uiPriority w:val="99"/>
    <w:qFormat/>
    <w:tblPr>
      <w:tblBorders>
        <w:bottom w:val="single" w:color="A2C6E7" w:sz="4" w:space="0"/>
        <w:right w:val="single" w:color="A2C6E7" w:sz="4" w:space="0"/>
        <w:insideH w:val="single" w:color="A2C6E7" w:sz="4" w:space="0"/>
        <w:insideV w:val="single" w:color="A2C6E7" w:sz="4" w:space="0"/>
      </w:tblBorders>
      <w:tblCellMar>
        <w:left w:w="108" w:type="dxa"/>
        <w:top w:w="0" w:type="dxa"/>
        <w:right w:w="108" w:type="dxa"/>
        <w:bottom w:w="0" w:type="dxa"/>
      </w:tblCellMar>
    </w:tblPr>
    <w:tblStylePr w:type="band1Horz">
      <w:rPr>
        <w:rFonts w:ascii="Arial" w:hAnsi="Arial"/>
        <w:color w:val="245a8c"/>
        <w:sz w:val="22"/>
      </w:rPr>
      <w:tcPr>
        <w:shd w:val="clear" w:color="ddeaf6" w:fill="ddeaf6"/>
      </w:tcPr>
    </w:tblStylePr>
    <w:tblStylePr w:type="band1Vert">
      <w:tcPr>
        <w:shd w:val="clear" w:color="ddeaf6" w:fill="ddeaf6"/>
      </w:tcPr>
    </w:tblStylePr>
    <w:tblStylePr w:type="band2Horz">
      <w:rPr>
        <w:rFonts w:ascii="Arial" w:hAnsi="Arial"/>
        <w:color w:val="245a8c"/>
        <w:sz w:val="22"/>
      </w:rPr>
    </w:tblStylePr>
    <w:tblStylePr w:type="firstCol">
      <w:rPr>
        <w:rFonts w:ascii="Arial" w:hAnsi="Arial"/>
        <w:i/>
        <w:color w:val="245a8c"/>
        <w:sz w:val="22"/>
      </w:rPr>
      <w:pPr>
        <w:jc w:val="right"/>
      </w:pPr>
      <w:tcPr>
        <w:shd w:val="clear" w:color="ffffff" w:fill="auto"/>
        <w:tcBorders>
          <w:top w:val="none" w:color="000000" w:sz="4" w:space="0"/>
          <w:left w:val="none" w:color="000000" w:sz="4" w:space="0"/>
          <w:bottom w:val="none" w:color="000000" w:sz="4" w:space="0"/>
          <w:right w:val="single" w:color="A2C6E7" w:sz="4" w:space="0"/>
        </w:tcBorders>
      </w:tcPr>
    </w:tblStylePr>
    <w:tblStylePr w:type="firstRow">
      <w:rPr>
        <w:rFonts w:ascii="Arial" w:hAnsi="Arial"/>
        <w:b/>
        <w:color w:val="245a8c"/>
        <w:sz w:val="22"/>
      </w:rPr>
      <w:tcPr>
        <w:shd w:val="clear" w:color="ffffff" w:fill="ffffff"/>
        <w:tcBorders>
          <w:top w:val="none" w:color="000000" w:sz="4" w:space="0"/>
          <w:left w:val="none" w:color="000000" w:sz="4" w:space="0"/>
          <w:bottom w:val="single" w:color="A2C6E7" w:sz="4" w:space="0"/>
          <w:right w:val="none" w:color="000000" w:sz="4" w:space="0"/>
        </w:tcBorders>
      </w:tcPr>
    </w:tblStylePr>
    <w:tblStylePr w:type="lastCol">
      <w:rPr>
        <w:rFonts w:ascii="Arial" w:hAnsi="Arial"/>
        <w:i/>
        <w:color w:val="245a8c"/>
        <w:sz w:val="22"/>
      </w:rPr>
      <w:tcPr>
        <w:shd w:val="clear" w:color="ffffff" w:fill="auto"/>
        <w:tcBorders>
          <w:top w:val="none" w:color="000000" w:sz="4" w:space="0"/>
          <w:left w:val="single" w:color="A2C6E7" w:sz="4" w:space="0"/>
          <w:bottom w:val="none" w:color="000000" w:sz="4" w:space="0"/>
          <w:right w:val="none" w:color="000000" w:sz="4" w:space="0"/>
        </w:tcBorders>
      </w:tcPr>
    </w:tblStylePr>
    <w:tblStylePr w:type="lastRow">
      <w:rPr>
        <w:rFonts w:ascii="Arial" w:hAnsi="Arial"/>
        <w:b/>
        <w:color w:val="245a8c"/>
        <w:sz w:val="22"/>
      </w:rPr>
      <w:tcPr>
        <w:shd w:val="clear" w:color="ffffff" w:fill="ffffff"/>
        <w:tcBorders>
          <w:top w:val="single" w:color="A2C6E7" w:sz="4" w:space="0"/>
          <w:left w:val="none" w:color="000000" w:sz="4" w:space="0"/>
          <w:bottom w:val="none" w:color="000000" w:sz="4" w:space="0"/>
          <w:right w:val="none" w:color="000000" w:sz="4" w:space="0"/>
        </w:tcBorders>
      </w:tcPr>
    </w:tblStylePr>
  </w:style>
  <w:style w:type="table" w:styleId="868" w:customStyle="1">
    <w:name w:val="Grid Table 7 Colorful - Accent 6"/>
    <w:basedOn w:val="730"/>
    <w:uiPriority w:val="99"/>
    <w:qFormat/>
    <w:tblPr>
      <w:tblBorders>
        <w:bottom w:val="single" w:color="ADD394" w:sz="4" w:space="0"/>
        <w:right w:val="single" w:color="ADD394" w:sz="4" w:space="0"/>
        <w:insideH w:val="single" w:color="ADD394" w:sz="4" w:space="0"/>
        <w:insideV w:val="single" w:color="ADD394" w:sz="4" w:space="0"/>
      </w:tblBorders>
      <w:tblCellMar>
        <w:left w:w="108" w:type="dxa"/>
        <w:top w:w="0" w:type="dxa"/>
        <w:right w:w="108" w:type="dxa"/>
        <w:bottom w:w="0" w:type="dxa"/>
      </w:tblCellMar>
    </w:tblPr>
    <w:tblStylePr w:type="band1Horz">
      <w:rPr>
        <w:rFonts w:ascii="Arial" w:hAnsi="Arial"/>
        <w:color w:val="406429"/>
        <w:sz w:val="22"/>
      </w:rPr>
      <w:tcPr>
        <w:shd w:val="clear" w:color="e1efd8" w:fill="e1efd8"/>
      </w:tcPr>
    </w:tblStylePr>
    <w:tblStylePr w:type="band1Vert">
      <w:tcPr>
        <w:shd w:val="clear" w:color="e1efd8" w:fill="e1efd8"/>
      </w:tcPr>
    </w:tblStylePr>
    <w:tblStylePr w:type="band2Horz">
      <w:rPr>
        <w:rFonts w:ascii="Arial" w:hAnsi="Arial"/>
        <w:color w:val="406429"/>
        <w:sz w:val="22"/>
      </w:rPr>
    </w:tblStylePr>
    <w:tblStylePr w:type="firstCol">
      <w:rPr>
        <w:rFonts w:ascii="Arial" w:hAnsi="Arial"/>
        <w:i/>
        <w:color w:val="406429"/>
        <w:sz w:val="22"/>
      </w:rPr>
      <w:pPr>
        <w:jc w:val="right"/>
      </w:pPr>
      <w:tcPr>
        <w:shd w:val="clear" w:color="ffffff" w:fill="auto"/>
        <w:tcBorders>
          <w:top w:val="none" w:color="000000" w:sz="4" w:space="0"/>
          <w:left w:val="none" w:color="000000" w:sz="4" w:space="0"/>
          <w:bottom w:val="none" w:color="000000" w:sz="4" w:space="0"/>
          <w:right w:val="single" w:color="ADD394" w:sz="4" w:space="0"/>
        </w:tcBorders>
      </w:tcPr>
    </w:tblStylePr>
    <w:tblStylePr w:type="firstRow">
      <w:rPr>
        <w:rFonts w:ascii="Arial" w:hAnsi="Arial"/>
        <w:b/>
        <w:color w:val="406429"/>
        <w:sz w:val="22"/>
      </w:rPr>
      <w:tcPr>
        <w:shd w:val="clear" w:color="ffffff" w:fill="ffffff"/>
        <w:tcBorders>
          <w:top w:val="none" w:color="000000" w:sz="4" w:space="0"/>
          <w:left w:val="none" w:color="000000" w:sz="4" w:space="0"/>
          <w:bottom w:val="single" w:color="ADD394" w:sz="4" w:space="0"/>
          <w:right w:val="none" w:color="000000" w:sz="4" w:space="0"/>
        </w:tcBorders>
      </w:tcPr>
    </w:tblStylePr>
    <w:tblStylePr w:type="lastCol">
      <w:rPr>
        <w:rFonts w:ascii="Arial" w:hAnsi="Arial"/>
        <w:i/>
        <w:color w:val="406429"/>
        <w:sz w:val="22"/>
      </w:rPr>
      <w:tcPr>
        <w:shd w:val="clear" w:color="ffffff" w:fill="auto"/>
        <w:tcBorders>
          <w:top w:val="none" w:color="000000" w:sz="4" w:space="0"/>
          <w:left w:val="single" w:color="ADD394" w:sz="4" w:space="0"/>
          <w:bottom w:val="none" w:color="000000" w:sz="4" w:space="0"/>
          <w:right w:val="none" w:color="000000" w:sz="4" w:space="0"/>
        </w:tcBorders>
      </w:tcPr>
    </w:tblStylePr>
    <w:tblStylePr w:type="lastRow">
      <w:rPr>
        <w:rFonts w:ascii="Arial" w:hAnsi="Arial"/>
        <w:b/>
        <w:color w:val="406429"/>
        <w:sz w:val="22"/>
      </w:rPr>
      <w:tcPr>
        <w:shd w:val="clear" w:color="ffffff" w:fill="ffffff"/>
        <w:tcBorders>
          <w:top w:val="single" w:color="ADD394" w:sz="4" w:space="0"/>
          <w:left w:val="none" w:color="000000" w:sz="4" w:space="0"/>
          <w:bottom w:val="none" w:color="000000" w:sz="4" w:space="0"/>
          <w:right w:val="none" w:color="000000" w:sz="4" w:space="0"/>
        </w:tcBorders>
      </w:tcPr>
    </w:tblStylePr>
  </w:style>
  <w:style w:type="table" w:styleId="869" w:customStyle="1">
    <w:name w:val="清单表 1 浅色1"/>
    <w:basedOn w:val="730"/>
    <w:uiPriority w:val="99"/>
    <w:qFormat/>
    <w:tblPr>
      <w:tblCellMar>
        <w:left w:w="108" w:type="dxa"/>
        <w:top w:w="0" w:type="dxa"/>
        <w:right w:w="108"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70" w:customStyle="1">
    <w:name w:val="List Table 1 Light - Accent 1"/>
    <w:basedOn w:val="730"/>
    <w:uiPriority w:val="99"/>
    <w:qFormat/>
    <w:tblPr>
      <w:tblCellMar>
        <w:left w:w="108" w:type="dxa"/>
        <w:top w:w="0" w:type="dxa"/>
        <w:right w:w="108" w:type="dxa"/>
        <w:bottom w:w="0" w:type="dxa"/>
      </w:tblCellMar>
    </w:tblPr>
    <w:tblStylePr w:type="band1Horz">
      <w:tcPr>
        <w:shd w:val="clear" w:color="cfdbf0" w:fill="cfdbf0"/>
      </w:tcPr>
    </w:tblStylePr>
    <w:tblStylePr w:type="band1Vert">
      <w:tcPr>
        <w:shd w:val="clear" w:color="cfdbf0" w:fill="cfdbf0"/>
      </w:tcPr>
    </w:tblStylePr>
    <w:tblStylePr w:type="firstCol">
      <w:rPr>
        <w:b/>
        <w:color w:val="404040"/>
      </w:rPr>
    </w:tblStylePr>
    <w:tblStylePr w:type="firstRow">
      <w:rPr>
        <w:b/>
        <w:color w:val="404040"/>
      </w:rPr>
      <w:tcPr>
        <w:tcBorders>
          <w:top w:val="none" w:color="000000" w:sz="4" w:space="0"/>
          <w:left w:val="none" w:color="000000" w:sz="4" w:space="0"/>
          <w:bottom w:val="single" w:color="4472C4" w:sz="4" w:space="0"/>
          <w:right w:val="none" w:color="000000" w:sz="4" w:space="0"/>
        </w:tcBorders>
      </w:tcPr>
    </w:tblStylePr>
    <w:tblStylePr w:type="lastCol">
      <w:rPr>
        <w:b/>
        <w:color w:val="404040"/>
      </w:rPr>
    </w:tblStylePr>
    <w:tblStylePr w:type="lastRow">
      <w:rPr>
        <w:b/>
        <w:color w:val="404040"/>
      </w:rPr>
      <w:tcPr>
        <w:tcBorders>
          <w:top w:val="single" w:color="4472C4" w:sz="4" w:space="0"/>
          <w:left w:val="none" w:color="000000" w:sz="4" w:space="0"/>
          <w:bottom w:val="none" w:color="000000" w:sz="4" w:space="0"/>
          <w:right w:val="none" w:color="000000" w:sz="4" w:space="0"/>
        </w:tcBorders>
      </w:tcPr>
    </w:tblStylePr>
  </w:style>
  <w:style w:type="table" w:styleId="871" w:customStyle="1">
    <w:name w:val="List Table 1 Light - Accent 2"/>
    <w:basedOn w:val="730"/>
    <w:uiPriority w:val="99"/>
    <w:qFormat/>
    <w:tblPr>
      <w:tblCellMar>
        <w:left w:w="108" w:type="dxa"/>
        <w:top w:w="0" w:type="dxa"/>
        <w:right w:w="108" w:type="dxa"/>
        <w:bottom w:w="0" w:type="dxa"/>
      </w:tblCellMar>
    </w:tblPr>
    <w:tblStylePr w:type="band1Horz">
      <w:tcPr>
        <w:shd w:val="clear" w:color="fadecb" w:fill="fadecb"/>
      </w:tcPr>
    </w:tblStylePr>
    <w:tblStylePr w:type="band1Vert">
      <w:tcPr>
        <w:shd w:val="clear" w:color="fadecb" w:fill="fadecb"/>
      </w:tcPr>
    </w:tblStylePr>
    <w:tblStylePr w:type="firstCol">
      <w:rPr>
        <w:b/>
        <w:color w:val="404040"/>
      </w:rPr>
    </w:tblStylePr>
    <w:tblStylePr w:type="firstRow">
      <w:rPr>
        <w:b/>
        <w:color w:val="404040"/>
      </w:rPr>
      <w:tcPr>
        <w:tcBorders>
          <w:top w:val="none" w:color="000000" w:sz="4" w:space="0"/>
          <w:left w:val="none" w:color="000000" w:sz="4" w:space="0"/>
          <w:bottom w:val="single" w:color="ED7D31" w:sz="4" w:space="0"/>
          <w:right w:val="none" w:color="000000" w:sz="4" w:space="0"/>
        </w:tcBorders>
      </w:tcPr>
    </w:tblStylePr>
    <w:tblStylePr w:type="lastCol">
      <w:rPr>
        <w:b/>
        <w:color w:val="404040"/>
      </w:rPr>
    </w:tblStylePr>
    <w:tblStylePr w:type="lastRow">
      <w:rPr>
        <w:b/>
        <w:color w:val="404040"/>
      </w:rPr>
      <w:tcPr>
        <w:tcBorders>
          <w:top w:val="single" w:color="ED7D31" w:sz="4" w:space="0"/>
          <w:left w:val="none" w:color="000000" w:sz="4" w:space="0"/>
          <w:bottom w:val="none" w:color="000000" w:sz="4" w:space="0"/>
          <w:right w:val="none" w:color="000000" w:sz="4" w:space="0"/>
        </w:tcBorders>
      </w:tcPr>
    </w:tblStylePr>
  </w:style>
  <w:style w:type="table" w:styleId="872" w:customStyle="1">
    <w:name w:val="List Table 1 Light - Accent 3"/>
    <w:basedOn w:val="730"/>
    <w:uiPriority w:val="99"/>
    <w:qFormat/>
    <w:tblPr>
      <w:tblCellMar>
        <w:left w:w="108" w:type="dxa"/>
        <w:top w:w="0" w:type="dxa"/>
        <w:right w:w="108" w:type="dxa"/>
        <w:bottom w:w="0" w:type="dxa"/>
      </w:tblCellMar>
    </w:tblPr>
    <w:tblStylePr w:type="band1Horz">
      <w:tcPr>
        <w:shd w:val="clear" w:color="e8e8e8" w:fill="e8e8e8"/>
      </w:tcPr>
    </w:tblStylePr>
    <w:tblStylePr w:type="band1Vert">
      <w:tcPr>
        <w:shd w:val="clear" w:color="e8e8e8" w:fill="e8e8e8"/>
      </w:tcPr>
    </w:tblStylePr>
    <w:tblStylePr w:type="firstCol">
      <w:rPr>
        <w:b/>
        <w:color w:val="404040"/>
      </w:rPr>
    </w:tblStylePr>
    <w:tblStylePr w:type="firstRow">
      <w:rPr>
        <w:b/>
        <w:color w:val="404040"/>
      </w:rPr>
      <w:tcPr>
        <w:tcBorders>
          <w:top w:val="none" w:color="000000" w:sz="4" w:space="0"/>
          <w:left w:val="none" w:color="000000" w:sz="4" w:space="0"/>
          <w:bottom w:val="single" w:color="A5A5A5" w:sz="4" w:space="0"/>
          <w:right w:val="none" w:color="000000" w:sz="4" w:space="0"/>
        </w:tcBorders>
      </w:tcPr>
    </w:tblStylePr>
    <w:tblStylePr w:type="lastCol">
      <w:rPr>
        <w:b/>
        <w:color w:val="404040"/>
      </w:rPr>
    </w:tblStylePr>
    <w:tblStylePr w:type="lastRow">
      <w:rPr>
        <w:b/>
        <w:color w:val="404040"/>
      </w:rPr>
      <w:tcPr>
        <w:tcBorders>
          <w:top w:val="single" w:color="A5A5A5" w:sz="4" w:space="0"/>
          <w:left w:val="none" w:color="000000" w:sz="4" w:space="0"/>
          <w:bottom w:val="none" w:color="000000" w:sz="4" w:space="0"/>
          <w:right w:val="none" w:color="000000" w:sz="4" w:space="0"/>
        </w:tcBorders>
      </w:tcPr>
    </w:tblStylePr>
  </w:style>
  <w:style w:type="table" w:styleId="873" w:customStyle="1">
    <w:name w:val="List Table 1 Light - Accent 4"/>
    <w:basedOn w:val="730"/>
    <w:uiPriority w:val="99"/>
    <w:qFormat/>
    <w:tblPr>
      <w:tblCellMar>
        <w:left w:w="108" w:type="dxa"/>
        <w:top w:w="0" w:type="dxa"/>
        <w:right w:w="108" w:type="dxa"/>
        <w:bottom w:w="0" w:type="dxa"/>
      </w:tblCellMar>
    </w:tblPr>
    <w:tblStylePr w:type="band1Horz">
      <w:tcPr>
        <w:shd w:val="clear" w:color="ffefbf" w:fill="ffefbf"/>
      </w:tcPr>
    </w:tblStylePr>
    <w:tblStylePr w:type="band1Vert">
      <w:tcPr>
        <w:shd w:val="clear" w:color="ffefbf" w:fill="ffefbf"/>
      </w:tcPr>
    </w:tblStylePr>
    <w:tblStylePr w:type="firstCol">
      <w:rPr>
        <w:b/>
        <w:color w:val="404040"/>
      </w:rPr>
    </w:tblStylePr>
    <w:tblStylePr w:type="firstRow">
      <w:rPr>
        <w:b/>
        <w:color w:val="404040"/>
      </w:rPr>
      <w:tcPr>
        <w:tcBorders>
          <w:top w:val="none" w:color="000000" w:sz="4" w:space="0"/>
          <w:left w:val="none" w:color="000000" w:sz="4" w:space="0"/>
          <w:bottom w:val="single" w:color="FFC000" w:sz="4" w:space="0"/>
          <w:right w:val="none" w:color="000000" w:sz="4" w:space="0"/>
        </w:tcBorders>
      </w:tcPr>
    </w:tblStylePr>
    <w:tblStylePr w:type="lastCol">
      <w:rPr>
        <w:b/>
        <w:color w:val="404040"/>
      </w:rPr>
    </w:tblStylePr>
    <w:tblStylePr w:type="lastRow">
      <w:rPr>
        <w:b/>
        <w:color w:val="404040"/>
      </w:rPr>
      <w:tcPr>
        <w:tcBorders>
          <w:top w:val="single" w:color="FFC000" w:sz="4" w:space="0"/>
          <w:left w:val="none" w:color="000000" w:sz="4" w:space="0"/>
          <w:bottom w:val="none" w:color="000000" w:sz="4" w:space="0"/>
          <w:right w:val="none" w:color="000000" w:sz="4" w:space="0"/>
        </w:tcBorders>
      </w:tcPr>
    </w:tblStylePr>
  </w:style>
  <w:style w:type="table" w:styleId="874" w:customStyle="1">
    <w:name w:val="List Table 1 Light - Accent 5"/>
    <w:basedOn w:val="730"/>
    <w:uiPriority w:val="99"/>
    <w:qFormat/>
    <w:tblPr>
      <w:tblCellMar>
        <w:left w:w="108" w:type="dxa"/>
        <w:top w:w="0" w:type="dxa"/>
        <w:right w:w="108" w:type="dxa"/>
        <w:bottom w:w="0" w:type="dxa"/>
      </w:tblCellMar>
    </w:tblPr>
    <w:tblStylePr w:type="band1Horz">
      <w:tcPr>
        <w:shd w:val="clear" w:color="d5e5f4" w:fill="d5e5f4"/>
      </w:tcPr>
    </w:tblStylePr>
    <w:tblStylePr w:type="band1Vert">
      <w:tcPr>
        <w:shd w:val="clear" w:color="d5e5f4" w:fill="d5e5f4"/>
      </w:tcPr>
    </w:tblStylePr>
    <w:tblStylePr w:type="firstCol">
      <w:rPr>
        <w:b/>
        <w:color w:val="404040"/>
      </w:rPr>
    </w:tblStylePr>
    <w:tblStylePr w:type="firstRow">
      <w:rPr>
        <w:b/>
        <w:color w:val="404040"/>
      </w:rPr>
      <w:tcPr>
        <w:tcBorders>
          <w:top w:val="none" w:color="000000" w:sz="4" w:space="0"/>
          <w:left w:val="none" w:color="000000" w:sz="4" w:space="0"/>
          <w:bottom w:val="single" w:color="5B9BD5" w:sz="4" w:space="0"/>
          <w:right w:val="none" w:color="000000" w:sz="4" w:space="0"/>
        </w:tcBorders>
      </w:tcPr>
    </w:tblStylePr>
    <w:tblStylePr w:type="lastCol">
      <w:rPr>
        <w:b/>
        <w:color w:val="404040"/>
      </w:rPr>
    </w:tblStylePr>
    <w:tblStylePr w:type="lastRow">
      <w:rPr>
        <w:b/>
        <w:color w:val="404040"/>
      </w:rPr>
      <w:tcPr>
        <w:tcBorders>
          <w:top w:val="single" w:color="5B9BD5" w:sz="4" w:space="0"/>
          <w:left w:val="none" w:color="000000" w:sz="4" w:space="0"/>
          <w:bottom w:val="none" w:color="000000" w:sz="4" w:space="0"/>
          <w:right w:val="none" w:color="000000" w:sz="4" w:space="0"/>
        </w:tcBorders>
      </w:tcPr>
    </w:tblStylePr>
  </w:style>
  <w:style w:type="table" w:styleId="875" w:customStyle="1">
    <w:name w:val="List Table 1 Light - Accent 6"/>
    <w:basedOn w:val="730"/>
    <w:uiPriority w:val="99"/>
    <w:qFormat/>
    <w:tblPr>
      <w:tblCellMar>
        <w:left w:w="108" w:type="dxa"/>
        <w:top w:w="0" w:type="dxa"/>
        <w:right w:w="108" w:type="dxa"/>
        <w:bottom w:w="0" w:type="dxa"/>
      </w:tblCellMar>
    </w:tblPr>
    <w:tblStylePr w:type="band1Horz">
      <w:tcPr>
        <w:shd w:val="clear" w:color="daebcf" w:fill="daebcf"/>
      </w:tcPr>
    </w:tblStylePr>
    <w:tblStylePr w:type="band1Vert">
      <w:tcPr>
        <w:shd w:val="clear" w:color="daebcf" w:fill="daebcf"/>
      </w:tcPr>
    </w:tblStylePr>
    <w:tblStylePr w:type="firstCol">
      <w:rPr>
        <w:b/>
        <w:color w:val="404040"/>
      </w:rPr>
    </w:tblStylePr>
    <w:tblStylePr w:type="firstRow">
      <w:rPr>
        <w:b/>
        <w:color w:val="404040"/>
      </w:rPr>
      <w:tcPr>
        <w:tcBorders>
          <w:top w:val="none" w:color="000000" w:sz="4" w:space="0"/>
          <w:left w:val="none" w:color="000000" w:sz="4" w:space="0"/>
          <w:bottom w:val="single" w:color="70AD47" w:sz="4" w:space="0"/>
          <w:right w:val="none" w:color="000000" w:sz="4" w:space="0"/>
        </w:tcBorders>
      </w:tcPr>
    </w:tblStylePr>
    <w:tblStylePr w:type="lastCol">
      <w:rPr>
        <w:b/>
        <w:color w:val="404040"/>
      </w:rPr>
    </w:tblStylePr>
    <w:tblStylePr w:type="lastRow">
      <w:rPr>
        <w:b/>
        <w:color w:val="404040"/>
      </w:rPr>
      <w:tcPr>
        <w:tcBorders>
          <w:top w:val="single" w:color="70AD47" w:sz="4" w:space="0"/>
          <w:left w:val="none" w:color="000000" w:sz="4" w:space="0"/>
          <w:bottom w:val="none" w:color="000000" w:sz="4" w:space="0"/>
          <w:right w:val="none" w:color="000000" w:sz="4" w:space="0"/>
        </w:tcBorders>
      </w:tcPr>
    </w:tblStylePr>
  </w:style>
  <w:style w:type="table" w:styleId="876" w:customStyle="1">
    <w:name w:val="清单表 21"/>
    <w:basedOn w:val="730"/>
    <w:uiPriority w:val="99"/>
    <w:qFormat/>
    <w:tblPr>
      <w:tblBorders>
        <w:top w:val="single" w:color="6F6F6F" w:sz="4" w:space="0"/>
        <w:bottom w:val="single" w:color="6F6F6F" w:sz="4" w:space="0"/>
        <w:insideH w:val="single" w:color="6F6F6F"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877" w:customStyle="1">
    <w:name w:val="List Table 2 - Accent 1"/>
    <w:basedOn w:val="730"/>
    <w:uiPriority w:val="99"/>
    <w:qFormat/>
    <w:tblPr>
      <w:tblBorders>
        <w:top w:val="single" w:color="95AFDD" w:sz="4" w:space="0"/>
        <w:bottom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rFonts w:ascii="Arial" w:hAnsi="Arial"/>
        <w:b/>
        <w:color w:val="404040"/>
        <w:sz w:val="22"/>
      </w:rPr>
    </w:tblStylePr>
    <w:tblStylePr w:type="fir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sz="4" w:space="0"/>
          <w:left w:val="none" w:color="000000" w:sz="4" w:space="0"/>
          <w:bottom w:val="single" w:color="95AFDD" w:sz="4" w:space="0"/>
          <w:right w:val="none" w:color="000000" w:sz="4" w:space="0"/>
        </w:tcBorders>
      </w:tcPr>
    </w:tblStylePr>
  </w:style>
  <w:style w:type="table" w:styleId="878" w:customStyle="1">
    <w:name w:val="List Table 2 - Accent 2"/>
    <w:basedOn w:val="730"/>
    <w:uiPriority w:val="99"/>
    <w:qFormat/>
    <w:tblPr>
      <w:tblBorders>
        <w:top w:val="single" w:color="F4B58A" w:sz="4" w:space="0"/>
        <w:bottom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rFonts w:ascii="Arial" w:hAnsi="Arial"/>
        <w:b/>
        <w:color w:val="404040"/>
        <w:sz w:val="22"/>
      </w:rPr>
    </w:tblStylePr>
    <w:tblStylePr w:type="fir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sz="4" w:space="0"/>
          <w:left w:val="none" w:color="000000" w:sz="4" w:space="0"/>
          <w:bottom w:val="single" w:color="F4B58A" w:sz="4" w:space="0"/>
          <w:right w:val="none" w:color="000000" w:sz="4" w:space="0"/>
        </w:tcBorders>
      </w:tcPr>
    </w:tblStylePr>
  </w:style>
  <w:style w:type="table" w:styleId="879" w:customStyle="1">
    <w:name w:val="List Table 2 - Accent 3"/>
    <w:basedOn w:val="730"/>
    <w:uiPriority w:val="99"/>
    <w:qFormat/>
    <w:tblPr>
      <w:tblBorders>
        <w:top w:val="single" w:color="CCCCCC" w:sz="4" w:space="0"/>
        <w:bottom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rFonts w:ascii="Arial" w:hAnsi="Arial"/>
        <w:b/>
        <w:color w:val="404040"/>
        <w:sz w:val="22"/>
      </w:rPr>
    </w:tblStylePr>
    <w:tblStylePr w:type="fir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sz="4" w:space="0"/>
          <w:left w:val="none" w:color="000000" w:sz="4" w:space="0"/>
          <w:bottom w:val="single" w:color="CCCCCC" w:sz="4" w:space="0"/>
          <w:right w:val="none" w:color="000000" w:sz="4" w:space="0"/>
        </w:tcBorders>
      </w:tcPr>
    </w:tblStylePr>
  </w:style>
  <w:style w:type="table" w:styleId="880" w:customStyle="1">
    <w:name w:val="List Table 2 - Accent 4"/>
    <w:basedOn w:val="730"/>
    <w:uiPriority w:val="99"/>
    <w:qFormat/>
    <w:tblPr>
      <w:tblBorders>
        <w:top w:val="single" w:color="FFDB6F" w:sz="4" w:space="0"/>
        <w:bottom w:val="single" w:color="FFDB6F" w:sz="4" w:space="0"/>
        <w:insideH w:val="single" w:color="FFDB6F" w:sz="4" w:space="0"/>
      </w:tblBorders>
      <w:tblCellMar>
        <w:left w:w="108" w:type="dxa"/>
        <w:top w:w="0" w:type="dxa"/>
        <w:right w:w="108"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rFonts w:ascii="Arial" w:hAnsi="Arial"/>
        <w:b/>
        <w:color w:val="404040"/>
        <w:sz w:val="22"/>
      </w:rPr>
    </w:tblStylePr>
    <w:tblStylePr w:type="fir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sz="4" w:space="0"/>
          <w:left w:val="none" w:color="000000" w:sz="4" w:space="0"/>
          <w:bottom w:val="single" w:color="FFDB6F" w:sz="4" w:space="0"/>
          <w:right w:val="none" w:color="000000" w:sz="4" w:space="0"/>
        </w:tcBorders>
      </w:tcPr>
    </w:tblStylePr>
  </w:style>
  <w:style w:type="table" w:styleId="881" w:customStyle="1">
    <w:name w:val="List Table 2 - Accent 5"/>
    <w:basedOn w:val="730"/>
    <w:uiPriority w:val="99"/>
    <w:qFormat/>
    <w:tblPr>
      <w:tblBorders>
        <w:top w:val="single" w:color="A2C6E7" w:sz="4" w:space="0"/>
        <w:bottom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rFonts w:ascii="Arial" w:hAnsi="Arial"/>
        <w:b/>
        <w:color w:val="404040"/>
        <w:sz w:val="22"/>
      </w:rPr>
    </w:tblStylePr>
    <w:tblStylePr w:type="fir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sz="4" w:space="0"/>
          <w:left w:val="none" w:color="000000" w:sz="4" w:space="0"/>
          <w:bottom w:val="single" w:color="A2C6E7" w:sz="4" w:space="0"/>
          <w:right w:val="none" w:color="000000" w:sz="4" w:space="0"/>
        </w:tcBorders>
      </w:tcPr>
    </w:tblStylePr>
  </w:style>
  <w:style w:type="table" w:styleId="882" w:customStyle="1">
    <w:name w:val="List Table 2 - Accent 6"/>
    <w:basedOn w:val="730"/>
    <w:uiPriority w:val="99"/>
    <w:qFormat/>
    <w:tblPr>
      <w:tblBorders>
        <w:top w:val="single" w:color="ADD394" w:sz="4" w:space="0"/>
        <w:bottom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rFonts w:ascii="Arial" w:hAnsi="Arial"/>
        <w:b/>
        <w:color w:val="404040"/>
        <w:sz w:val="22"/>
      </w:rPr>
    </w:tblStylePr>
    <w:tblStylePr w:type="fir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sz="4" w:space="0"/>
          <w:left w:val="none" w:color="000000" w:sz="4" w:space="0"/>
          <w:bottom w:val="single" w:color="ADD394" w:sz="4" w:space="0"/>
          <w:right w:val="none" w:color="000000" w:sz="4" w:space="0"/>
        </w:tcBorders>
      </w:tcPr>
    </w:tblStylePr>
  </w:style>
  <w:style w:type="table" w:styleId="883" w:customStyle="1">
    <w:name w:val="清单表 31"/>
    <w:basedOn w:val="730"/>
    <w:uiPriority w:val="99"/>
    <w:qFormat/>
    <w:tblPr>
      <w:tblBorders>
        <w:top w:val="single" w:color="000000" w:sz="4" w:space="0"/>
        <w:left w:val="single" w:color="000000" w:sz="4" w:space="0"/>
        <w:bottom w:val="single" w:color="000000" w:sz="4" w:space="0"/>
        <w:right w:val="single" w:color="000000"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84" w:customStyle="1">
    <w:name w:val="List Table 3 - Accent 1"/>
    <w:basedOn w:val="730"/>
    <w:uiPriority w:val="99"/>
    <w:qFormat/>
    <w:tblPr>
      <w:tblBorders>
        <w:top w:val="single" w:color="4472C4" w:sz="4" w:space="0"/>
        <w:left w:val="single" w:color="4472C4" w:sz="4" w:space="0"/>
        <w:bottom w:val="single" w:color="4472C4" w:sz="4" w:space="0"/>
        <w:right w:val="single" w:color="4472C4" w:sz="4" w:space="0"/>
      </w:tblBorders>
      <w:tblCellMar>
        <w:left w:w="108" w:type="dxa"/>
        <w:top w:w="0" w:type="dxa"/>
        <w:right w:w="108" w:type="dxa"/>
        <w:bottom w:w="0" w:type="dxa"/>
      </w:tblCellMar>
    </w:tblPr>
    <w:tblStylePr w:type="band1Horz">
      <w:rPr>
        <w:rFonts w:ascii="Arial" w:hAnsi="Arial"/>
        <w:color w:val="404040"/>
        <w:sz w:val="22"/>
      </w:rPr>
      <w:tcPr>
        <w:tcBorders>
          <w:top w:val="single" w:color="4472C4" w:sz="4" w:space="0"/>
          <w:bottom w:val="single" w:color="4472C4" w:sz="4" w:space="0"/>
        </w:tcBorders>
      </w:tcPr>
    </w:tblStylePr>
    <w:tblStylePr w:type="band1Vert">
      <w:rPr>
        <w:rFonts w:ascii="Arial" w:hAnsi="Arial"/>
        <w:color w:val="404040"/>
        <w:sz w:val="22"/>
      </w:rPr>
      <w:tcPr>
        <w:tcBorders>
          <w:left w:val="single" w:color="4472C4" w:sz="4" w:space="0"/>
          <w:right w:val="single" w:color="4472C4" w:sz="4" w:space="0"/>
        </w:tcBorders>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85" w:customStyle="1">
    <w:name w:val="List Table 3 - Accent 2"/>
    <w:basedOn w:val="730"/>
    <w:uiPriority w:val="99"/>
    <w:qFormat/>
    <w:tblPr>
      <w:tblBorders>
        <w:top w:val="single" w:color="F4B184" w:sz="4" w:space="0"/>
        <w:left w:val="single" w:color="F4B184" w:sz="4" w:space="0"/>
        <w:bottom w:val="single" w:color="F4B184" w:sz="4" w:space="0"/>
        <w:right w:val="single" w:color="F4B184"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sz="4" w:space="0"/>
          <w:bottom w:val="single" w:color="F4B184" w:sz="4" w:space="0"/>
        </w:tcBorders>
      </w:tcPr>
    </w:tblStylePr>
    <w:tblStylePr w:type="band1Vert">
      <w:rPr>
        <w:rFonts w:ascii="Arial" w:hAnsi="Arial"/>
        <w:color w:val="404040"/>
        <w:sz w:val="22"/>
      </w:rPr>
      <w:tcPr>
        <w:tcBorders>
          <w:left w:val="single" w:color="F4B184" w:sz="4" w:space="0"/>
          <w:right w:val="single" w:color="F4B184" w:sz="4" w:space="0"/>
        </w:tcBorders>
      </w:tcPr>
    </w:tblStylePr>
    <w:tblStylePr w:type="firstCol">
      <w:rPr>
        <w:b/>
        <w:color w:val="404040"/>
      </w:rPr>
    </w:tblStylePr>
    <w:tblStylePr w:type="firstRow">
      <w:rPr>
        <w:rFonts w:ascii="Arial" w:hAnsi="Arial"/>
        <w:b/>
        <w:color w:val="ffffff"/>
        <w:sz w:val="22"/>
      </w:rPr>
      <w:tcPr>
        <w:shd w:val="clear" w:color="f4b184" w:fill="f4b184"/>
      </w:tcPr>
    </w:tblStylePr>
    <w:tblStylePr w:type="lastCol">
      <w:rPr>
        <w:b/>
        <w:color w:val="404040"/>
      </w:rPr>
    </w:tblStylePr>
    <w:tblStylePr w:type="lastRow">
      <w:rPr>
        <w:b/>
        <w:color w:val="404040"/>
      </w:rPr>
    </w:tblStylePr>
  </w:style>
  <w:style w:type="table" w:styleId="886" w:customStyle="1">
    <w:name w:val="List Table 3 - Accent 3"/>
    <w:basedOn w:val="730"/>
    <w:uiPriority w:val="99"/>
    <w:qFormat/>
    <w:tblPr>
      <w:tblBorders>
        <w:top w:val="single" w:color="C9C9C9" w:sz="4" w:space="0"/>
        <w:left w:val="single" w:color="C9C9C9" w:sz="4" w:space="0"/>
        <w:bottom w:val="single" w:color="C9C9C9" w:sz="4" w:space="0"/>
        <w:right w:val="single" w:color="C9C9C9"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sz="4" w:space="0"/>
          <w:bottom w:val="single" w:color="C9C9C9" w:sz="4" w:space="0"/>
        </w:tcBorders>
      </w:tcPr>
    </w:tblStylePr>
    <w:tblStylePr w:type="band1Vert">
      <w:rPr>
        <w:rFonts w:ascii="Arial" w:hAnsi="Arial"/>
        <w:color w:val="404040"/>
        <w:sz w:val="22"/>
      </w:rPr>
      <w:tcPr>
        <w:tcBorders>
          <w:left w:val="single" w:color="C9C9C9" w:sz="4" w:space="0"/>
          <w:right w:val="single" w:color="C9C9C9" w:sz="4" w:space="0"/>
        </w:tcBorders>
      </w:tcPr>
    </w:tblStylePr>
    <w:tblStylePr w:type="firstCol">
      <w:rPr>
        <w:b/>
        <w:color w:val="404040"/>
      </w:rPr>
    </w:tblStylePr>
    <w:tblStylePr w:type="firstRow">
      <w:rPr>
        <w:rFonts w:ascii="Arial" w:hAnsi="Arial"/>
        <w:b/>
        <w:color w:val="ffffff"/>
        <w:sz w:val="22"/>
      </w:rPr>
      <w:tcPr>
        <w:shd w:val="clear" w:color="c9c9c9" w:fill="c9c9c9"/>
      </w:tcPr>
    </w:tblStylePr>
    <w:tblStylePr w:type="lastCol">
      <w:rPr>
        <w:b/>
        <w:color w:val="404040"/>
      </w:rPr>
    </w:tblStylePr>
    <w:tblStylePr w:type="lastRow">
      <w:rPr>
        <w:b/>
        <w:color w:val="404040"/>
      </w:rPr>
    </w:tblStylePr>
  </w:style>
  <w:style w:type="table" w:styleId="887" w:customStyle="1">
    <w:name w:val="List Table 3 - Accent 4"/>
    <w:basedOn w:val="730"/>
    <w:uiPriority w:val="99"/>
    <w:qFormat/>
    <w:tblPr>
      <w:tblBorders>
        <w:top w:val="single" w:color="FFD865" w:sz="4" w:space="0"/>
        <w:left w:val="single" w:color="FFD865" w:sz="4" w:space="0"/>
        <w:bottom w:val="single" w:color="FFD865" w:sz="4" w:space="0"/>
        <w:right w:val="single" w:color="FFD865"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sz="4" w:space="0"/>
          <w:bottom w:val="single" w:color="FFD865" w:sz="4" w:space="0"/>
        </w:tcBorders>
      </w:tcPr>
    </w:tblStylePr>
    <w:tblStylePr w:type="band1Vert">
      <w:rPr>
        <w:rFonts w:ascii="Arial" w:hAnsi="Arial"/>
        <w:color w:val="404040"/>
        <w:sz w:val="22"/>
      </w:rPr>
      <w:tcPr>
        <w:tcBorders>
          <w:left w:val="single" w:color="FFD865" w:sz="4" w:space="0"/>
          <w:right w:val="single" w:color="FFD865" w:sz="4" w:space="0"/>
        </w:tcBorders>
      </w:tcPr>
    </w:tblStylePr>
    <w:tblStylePr w:type="firstCol">
      <w:rPr>
        <w:b/>
        <w:color w:val="404040"/>
      </w:rPr>
    </w:tblStylePr>
    <w:tblStylePr w:type="firstRow">
      <w:rPr>
        <w:rFonts w:ascii="Arial" w:hAnsi="Arial"/>
        <w:b/>
        <w:color w:val="ffffff"/>
        <w:sz w:val="22"/>
      </w:rPr>
      <w:tcPr>
        <w:shd w:val="clear" w:color="ffd865" w:fill="ffd865"/>
      </w:tcPr>
    </w:tblStylePr>
    <w:tblStylePr w:type="lastCol">
      <w:rPr>
        <w:b/>
        <w:color w:val="404040"/>
      </w:rPr>
    </w:tblStylePr>
    <w:tblStylePr w:type="lastRow">
      <w:rPr>
        <w:b/>
        <w:color w:val="404040"/>
      </w:rPr>
    </w:tblStylePr>
  </w:style>
  <w:style w:type="table" w:styleId="888" w:customStyle="1">
    <w:name w:val="List Table 3 - Accent 5"/>
    <w:basedOn w:val="730"/>
    <w:uiPriority w:val="99"/>
    <w:qFormat/>
    <w:tblPr>
      <w:tblBorders>
        <w:top w:val="single" w:color="9BC2E5" w:sz="4" w:space="0"/>
        <w:left w:val="single" w:color="9BC2E5" w:sz="4" w:space="0"/>
        <w:bottom w:val="single" w:color="9BC2E5" w:sz="4" w:space="0"/>
        <w:right w:val="single" w:color="9BC2E5" w:sz="4" w:space="0"/>
      </w:tblBorders>
      <w:tblCellMar>
        <w:left w:w="108" w:type="dxa"/>
        <w:top w:w="0" w:type="dxa"/>
        <w:right w:w="108" w:type="dxa"/>
        <w:bottom w:w="0" w:type="dxa"/>
      </w:tblCellMar>
    </w:tblPr>
    <w:tblStylePr w:type="band1Horz">
      <w:rPr>
        <w:rFonts w:ascii="Arial" w:hAnsi="Arial"/>
        <w:color w:val="404040"/>
        <w:sz w:val="22"/>
      </w:rPr>
      <w:tcPr>
        <w:tcBorders>
          <w:top w:val="single" w:color="9BC2E5" w:sz="4" w:space="0"/>
          <w:bottom w:val="single" w:color="9BC2E5" w:sz="4" w:space="0"/>
        </w:tcBorders>
      </w:tcPr>
    </w:tblStylePr>
    <w:tblStylePr w:type="band1Vert">
      <w:rPr>
        <w:rFonts w:ascii="Arial" w:hAnsi="Arial"/>
        <w:color w:val="404040"/>
        <w:sz w:val="22"/>
      </w:rPr>
      <w:tcPr>
        <w:tcBorders>
          <w:left w:val="single" w:color="9BC2E5" w:sz="4" w:space="0"/>
          <w:right w:val="single" w:color="9BC2E5" w:sz="4" w:space="0"/>
        </w:tcBorders>
      </w:tcPr>
    </w:tblStylePr>
    <w:tblStylePr w:type="firstCol">
      <w:rPr>
        <w:b/>
        <w:color w:val="404040"/>
      </w:rPr>
    </w:tblStylePr>
    <w:tblStylePr w:type="firstRow">
      <w:rPr>
        <w:rFonts w:ascii="Arial" w:hAnsi="Arial"/>
        <w:b/>
        <w:color w:val="ffffff"/>
        <w:sz w:val="22"/>
      </w:rPr>
      <w:tcPr>
        <w:shd w:val="clear" w:color="9bc2e5" w:fill="9bc2e5"/>
      </w:tcPr>
    </w:tblStylePr>
    <w:tblStylePr w:type="lastCol">
      <w:rPr>
        <w:b/>
        <w:color w:val="404040"/>
      </w:rPr>
    </w:tblStylePr>
    <w:tblStylePr w:type="lastRow">
      <w:rPr>
        <w:b/>
        <w:color w:val="404040"/>
      </w:rPr>
    </w:tblStylePr>
  </w:style>
  <w:style w:type="table" w:styleId="889" w:customStyle="1">
    <w:name w:val="List Table 3 - Accent 6"/>
    <w:basedOn w:val="730"/>
    <w:uiPriority w:val="99"/>
    <w:qFormat/>
    <w:tblPr>
      <w:tblBorders>
        <w:top w:val="single" w:color="A9D08E" w:sz="4" w:space="0"/>
        <w:left w:val="single" w:color="A9D08E" w:sz="4" w:space="0"/>
        <w:bottom w:val="single" w:color="A9D08E" w:sz="4" w:space="0"/>
        <w:right w:val="single" w:color="A9D08E"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sz="4" w:space="0"/>
          <w:bottom w:val="single" w:color="A9D08E" w:sz="4" w:space="0"/>
        </w:tcBorders>
      </w:tcPr>
    </w:tblStylePr>
    <w:tblStylePr w:type="band1Vert">
      <w:rPr>
        <w:rFonts w:ascii="Arial" w:hAnsi="Arial"/>
        <w:color w:val="404040"/>
        <w:sz w:val="22"/>
      </w:rPr>
      <w:tcPr>
        <w:tcBorders>
          <w:left w:val="single" w:color="A9D08E" w:sz="4" w:space="0"/>
          <w:right w:val="single" w:color="A9D08E" w:sz="4" w:space="0"/>
        </w:tcBorders>
      </w:tcPr>
    </w:tblStylePr>
    <w:tblStylePr w:type="firstCol">
      <w:rPr>
        <w:b/>
        <w:color w:val="404040"/>
      </w:rPr>
    </w:tblStylePr>
    <w:tblStylePr w:type="firstRow">
      <w:rPr>
        <w:rFonts w:ascii="Arial" w:hAnsi="Arial"/>
        <w:b/>
        <w:color w:val="ffffff"/>
        <w:sz w:val="22"/>
      </w:rPr>
      <w:tcPr>
        <w:shd w:val="clear" w:color="a9d08e" w:fill="a9d08e"/>
      </w:tcPr>
    </w:tblStylePr>
    <w:tblStylePr w:type="lastCol">
      <w:rPr>
        <w:b/>
        <w:color w:val="404040"/>
      </w:rPr>
    </w:tblStylePr>
    <w:tblStylePr w:type="lastRow">
      <w:rPr>
        <w:b/>
        <w:color w:val="404040"/>
      </w:rPr>
    </w:tblStylePr>
  </w:style>
  <w:style w:type="table" w:styleId="890" w:customStyle="1">
    <w:name w:val="清单表 41"/>
    <w:basedOn w:val="73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108" w:type="dxa"/>
        <w:top w:w="0" w:type="dxa"/>
        <w:right w:w="108"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91" w:customStyle="1">
    <w:name w:val="List Table 4 - Accent 1"/>
    <w:basedOn w:val="730"/>
    <w:uiPriority w:val="99"/>
    <w:qFormat/>
    <w:tblPr>
      <w:tblBorders>
        <w:top w:val="single" w:color="95AFDD" w:sz="4" w:space="0"/>
        <w:left w:val="single" w:color="95AFDD" w:sz="4" w:space="0"/>
        <w:bottom w:val="single" w:color="95AFDD" w:sz="4" w:space="0"/>
        <w:right w:val="single" w:color="95AFDD" w:sz="4" w:space="0"/>
        <w:insideH w:val="single" w:color="95AFDD" w:sz="4" w:space="0"/>
      </w:tblBorders>
      <w:tblCellMar>
        <w:left w:w="108" w:type="dxa"/>
        <w:top w:w="0" w:type="dxa"/>
        <w:right w:w="108" w:type="dxa"/>
        <w:bottom w:w="0" w:type="dxa"/>
      </w:tblCellMar>
    </w:tblPr>
    <w:tblStylePr w:type="band1Horz">
      <w:rPr>
        <w:rFonts w:ascii="Arial" w:hAnsi="Arial"/>
        <w:color w:val="404040"/>
        <w:sz w:val="22"/>
      </w:rPr>
      <w:tcPr>
        <w:shd w:val="clear" w:color="cfdbf0" w:fill="cfdbf0"/>
      </w:tcPr>
    </w:tblStylePr>
    <w:tblStylePr w:type="band1Vert">
      <w:rPr>
        <w:rFonts w:ascii="Arial" w:hAnsi="Arial"/>
        <w:color w:val="404040"/>
        <w:sz w:val="22"/>
      </w:rPr>
      <w:tcPr>
        <w:shd w:val="clear" w:color="cfdbf0" w:fill="cfdbf0"/>
      </w:tcPr>
    </w:tblStylePr>
    <w:tblStylePr w:type="firstCol">
      <w:rPr>
        <w:b/>
        <w:color w:val="404040"/>
      </w:rPr>
    </w:tblStylePr>
    <w:tblStylePr w:type="firstRow">
      <w:rPr>
        <w:rFonts w:ascii="Arial" w:hAnsi="Arial"/>
        <w:b/>
        <w:color w:val="ffffff"/>
        <w:sz w:val="22"/>
      </w:rPr>
      <w:tcPr>
        <w:shd w:val="clear" w:color="4472c4" w:fill="4472c4"/>
      </w:tcPr>
    </w:tblStylePr>
    <w:tblStylePr w:type="lastCol">
      <w:rPr>
        <w:b/>
        <w:color w:val="404040"/>
      </w:rPr>
    </w:tblStylePr>
    <w:tblStylePr w:type="lastRow">
      <w:rPr>
        <w:b/>
        <w:color w:val="404040"/>
      </w:rPr>
    </w:tblStylePr>
  </w:style>
  <w:style w:type="table" w:styleId="892" w:customStyle="1">
    <w:name w:val="List Table 4 - Accent 2"/>
    <w:basedOn w:val="730"/>
    <w:uiPriority w:val="99"/>
    <w:qFormat/>
    <w:tblPr>
      <w:tblBorders>
        <w:top w:val="single" w:color="F4B58A" w:sz="4" w:space="0"/>
        <w:left w:val="single" w:color="F4B58A" w:sz="4" w:space="0"/>
        <w:bottom w:val="single" w:color="F4B58A" w:sz="4" w:space="0"/>
        <w:right w:val="single" w:color="F4B58A" w:sz="4" w:space="0"/>
        <w:insideH w:val="single" w:color="F4B58A" w:sz="4" w:space="0"/>
      </w:tblBorders>
      <w:tblCellMar>
        <w:left w:w="108" w:type="dxa"/>
        <w:top w:w="0" w:type="dxa"/>
        <w:right w:w="108" w:type="dxa"/>
        <w:bottom w:w="0" w:type="dxa"/>
      </w:tblCellMar>
    </w:tblPr>
    <w:tblStylePr w:type="band1Horz">
      <w:rPr>
        <w:rFonts w:ascii="Arial" w:hAnsi="Arial"/>
        <w:color w:val="404040"/>
        <w:sz w:val="22"/>
      </w:rPr>
      <w:tcPr>
        <w:shd w:val="clear" w:color="fadecb" w:fill="fadecb"/>
      </w:tcPr>
    </w:tblStylePr>
    <w:tblStylePr w:type="band1Vert">
      <w:rPr>
        <w:rFonts w:ascii="Arial" w:hAnsi="Arial"/>
        <w:color w:val="404040"/>
        <w:sz w:val="22"/>
      </w:rPr>
      <w:tcPr>
        <w:shd w:val="clear" w:color="fadecb" w:fill="fadecb"/>
      </w:tcPr>
    </w:tblStylePr>
    <w:tblStylePr w:type="firstCol">
      <w:rPr>
        <w:b/>
        <w:color w:val="404040"/>
      </w:rPr>
    </w:tblStylePr>
    <w:tblStylePr w:type="firstRow">
      <w:rPr>
        <w:rFonts w:ascii="Arial" w:hAnsi="Arial"/>
        <w:b/>
        <w:color w:val="ffffff"/>
        <w:sz w:val="22"/>
      </w:rPr>
      <w:tcPr>
        <w:shd w:val="clear" w:color="ed7d31" w:fill="ed7d31"/>
      </w:tcPr>
    </w:tblStylePr>
    <w:tblStylePr w:type="lastCol">
      <w:rPr>
        <w:b/>
        <w:color w:val="404040"/>
      </w:rPr>
    </w:tblStylePr>
    <w:tblStylePr w:type="lastRow">
      <w:rPr>
        <w:b/>
        <w:color w:val="404040"/>
      </w:rPr>
    </w:tblStylePr>
  </w:style>
  <w:style w:type="table" w:styleId="893" w:customStyle="1">
    <w:name w:val="List Table 4 - Accent 3"/>
    <w:basedOn w:val="730"/>
    <w:uiPriority w:val="99"/>
    <w:qFormat/>
    <w:tblPr>
      <w:tblBorders>
        <w:top w:val="single" w:color="CCCCCC" w:sz="4" w:space="0"/>
        <w:left w:val="single" w:color="CCCCCC" w:sz="4" w:space="0"/>
        <w:bottom w:val="single" w:color="CCCCCC" w:sz="4" w:space="0"/>
        <w:right w:val="single" w:color="CCCCCC" w:sz="4" w:space="0"/>
        <w:insideH w:val="single" w:color="CCCCCC" w:sz="4" w:space="0"/>
      </w:tblBorders>
      <w:tblCellMar>
        <w:left w:w="108" w:type="dxa"/>
        <w:top w:w="0" w:type="dxa"/>
        <w:right w:w="108" w:type="dxa"/>
        <w:bottom w:w="0" w:type="dxa"/>
      </w:tblCellMar>
    </w:tblPr>
    <w:tblStylePr w:type="band1Horz">
      <w:rPr>
        <w:rFonts w:ascii="Arial" w:hAnsi="Arial"/>
        <w:color w:val="404040"/>
        <w:sz w:val="22"/>
      </w:rPr>
      <w:tcPr>
        <w:shd w:val="clear" w:color="e8e8e8" w:fill="e8e8e8"/>
      </w:tcPr>
    </w:tblStylePr>
    <w:tblStylePr w:type="band1Vert">
      <w:rPr>
        <w:rFonts w:ascii="Arial" w:hAnsi="Arial"/>
        <w:color w:val="404040"/>
        <w:sz w:val="22"/>
      </w:rPr>
      <w:tcPr>
        <w:shd w:val="clear" w:color="e8e8e8" w:fill="e8e8e8"/>
      </w:tcPr>
    </w:tblStylePr>
    <w:tblStylePr w:type="firstCol">
      <w:rPr>
        <w:b/>
        <w:color w:val="404040"/>
      </w:rPr>
    </w:tblStylePr>
    <w:tblStylePr w:type="firstRow">
      <w:rPr>
        <w:rFonts w:ascii="Arial" w:hAnsi="Arial"/>
        <w:b/>
        <w:color w:val="ffffff"/>
        <w:sz w:val="22"/>
      </w:rPr>
      <w:tcPr>
        <w:shd w:val="clear" w:color="a5a5a5" w:fill="a5a5a5"/>
      </w:tcPr>
    </w:tblStylePr>
    <w:tblStylePr w:type="lastCol">
      <w:rPr>
        <w:b/>
        <w:color w:val="404040"/>
      </w:rPr>
    </w:tblStylePr>
    <w:tblStylePr w:type="lastRow">
      <w:rPr>
        <w:b/>
        <w:color w:val="404040"/>
      </w:rPr>
    </w:tblStylePr>
  </w:style>
  <w:style w:type="table" w:styleId="894" w:customStyle="1">
    <w:name w:val="List Table 4 - Accent 4"/>
    <w:basedOn w:val="730"/>
    <w:uiPriority w:val="99"/>
    <w:qFormat/>
    <w:tblPr>
      <w:tblBorders>
        <w:top w:val="single" w:color="FFDB6F" w:sz="4" w:space="0"/>
        <w:left w:val="single" w:color="FFDB6F" w:sz="4" w:space="0"/>
        <w:bottom w:val="single" w:color="FFDB6F" w:sz="4" w:space="0"/>
        <w:right w:val="single" w:color="FFDB6F" w:sz="4" w:space="0"/>
        <w:insideH w:val="single" w:color="FFDB6F" w:sz="4" w:space="0"/>
      </w:tblBorders>
      <w:tblCellMar>
        <w:left w:w="108" w:type="dxa"/>
        <w:top w:w="0" w:type="dxa"/>
        <w:right w:w="108" w:type="dxa"/>
        <w:bottom w:w="0" w:type="dxa"/>
      </w:tblCellMar>
    </w:tblPr>
    <w:tblStylePr w:type="band1Horz">
      <w:rPr>
        <w:rFonts w:ascii="Arial" w:hAnsi="Arial"/>
        <w:color w:val="404040"/>
        <w:sz w:val="22"/>
      </w:rPr>
      <w:tcPr>
        <w:shd w:val="clear" w:color="ffefbf" w:fill="ffefbf"/>
      </w:tcPr>
    </w:tblStylePr>
    <w:tblStylePr w:type="band1Vert">
      <w:rPr>
        <w:rFonts w:ascii="Arial" w:hAnsi="Arial"/>
        <w:color w:val="404040"/>
        <w:sz w:val="22"/>
      </w:rPr>
      <w:tcPr>
        <w:shd w:val="clear" w:color="ffefbf" w:fill="ffefbf"/>
      </w:tcPr>
    </w:tblStylePr>
    <w:tblStylePr w:type="firstCol">
      <w:rPr>
        <w:b/>
        <w:color w:val="404040"/>
      </w:rPr>
    </w:tblStylePr>
    <w:tblStylePr w:type="firstRow">
      <w:rPr>
        <w:rFonts w:ascii="Arial" w:hAnsi="Arial"/>
        <w:b/>
        <w:color w:val="ffffff"/>
        <w:sz w:val="22"/>
      </w:rPr>
      <w:tcPr>
        <w:shd w:val="clear" w:color="ffc000" w:fill="ffc000"/>
      </w:tcPr>
    </w:tblStylePr>
    <w:tblStylePr w:type="lastCol">
      <w:rPr>
        <w:b/>
        <w:color w:val="404040"/>
      </w:rPr>
    </w:tblStylePr>
    <w:tblStylePr w:type="lastRow">
      <w:rPr>
        <w:b/>
        <w:color w:val="404040"/>
      </w:rPr>
    </w:tblStylePr>
  </w:style>
  <w:style w:type="table" w:styleId="895" w:customStyle="1">
    <w:name w:val="List Table 4 - Accent 5"/>
    <w:basedOn w:val="730"/>
    <w:uiPriority w:val="99"/>
    <w:qFormat/>
    <w:tblPr>
      <w:tblBorders>
        <w:top w:val="single" w:color="A2C6E7" w:sz="4" w:space="0"/>
        <w:left w:val="single" w:color="A2C6E7" w:sz="4" w:space="0"/>
        <w:bottom w:val="single" w:color="A2C6E7" w:sz="4" w:space="0"/>
        <w:right w:val="single" w:color="A2C6E7" w:sz="4" w:space="0"/>
        <w:insideH w:val="single" w:color="A2C6E7" w:sz="4" w:space="0"/>
      </w:tblBorders>
      <w:tblCellMar>
        <w:left w:w="108" w:type="dxa"/>
        <w:top w:w="0" w:type="dxa"/>
        <w:right w:w="108" w:type="dxa"/>
        <w:bottom w:w="0" w:type="dxa"/>
      </w:tblCellMar>
    </w:tblPr>
    <w:tblStylePr w:type="band1Horz">
      <w:rPr>
        <w:rFonts w:ascii="Arial" w:hAnsi="Arial"/>
        <w:color w:val="404040"/>
        <w:sz w:val="22"/>
      </w:rPr>
      <w:tcPr>
        <w:shd w:val="clear" w:color="d5e5f4" w:fill="d5e5f4"/>
      </w:tcPr>
    </w:tblStylePr>
    <w:tblStylePr w:type="band1Vert">
      <w:rPr>
        <w:rFonts w:ascii="Arial" w:hAnsi="Arial"/>
        <w:color w:val="404040"/>
        <w:sz w:val="22"/>
      </w:rPr>
      <w:tcPr>
        <w:shd w:val="clear" w:color="d5e5f4" w:fill="d5e5f4"/>
      </w:tcPr>
    </w:tblStylePr>
    <w:tblStylePr w:type="firstCol">
      <w:rPr>
        <w:b/>
        <w:color w:val="404040"/>
      </w:rPr>
    </w:tblStylePr>
    <w:tblStylePr w:type="firstRow">
      <w:rPr>
        <w:rFonts w:ascii="Arial" w:hAnsi="Arial"/>
        <w:b/>
        <w:color w:val="ffffff"/>
        <w:sz w:val="22"/>
      </w:rPr>
      <w:tcPr>
        <w:shd w:val="clear" w:color="5b9bd5" w:fill="5b9bd5"/>
      </w:tcPr>
    </w:tblStylePr>
    <w:tblStylePr w:type="lastCol">
      <w:rPr>
        <w:b/>
        <w:color w:val="404040"/>
      </w:rPr>
    </w:tblStylePr>
    <w:tblStylePr w:type="lastRow">
      <w:rPr>
        <w:b/>
        <w:color w:val="404040"/>
      </w:rPr>
    </w:tblStylePr>
  </w:style>
  <w:style w:type="table" w:styleId="896" w:customStyle="1">
    <w:name w:val="List Table 4 - Accent 6"/>
    <w:basedOn w:val="730"/>
    <w:uiPriority w:val="99"/>
    <w:qFormat/>
    <w:tblPr>
      <w:tblBorders>
        <w:top w:val="single" w:color="ADD394" w:sz="4" w:space="0"/>
        <w:left w:val="single" w:color="ADD394" w:sz="4" w:space="0"/>
        <w:bottom w:val="single" w:color="ADD394" w:sz="4" w:space="0"/>
        <w:right w:val="single" w:color="ADD394" w:sz="4" w:space="0"/>
        <w:insideH w:val="single" w:color="ADD394" w:sz="4" w:space="0"/>
      </w:tblBorders>
      <w:tblCellMar>
        <w:left w:w="108" w:type="dxa"/>
        <w:top w:w="0" w:type="dxa"/>
        <w:right w:w="108" w:type="dxa"/>
        <w:bottom w:w="0" w:type="dxa"/>
      </w:tblCellMar>
    </w:tblPr>
    <w:tblStylePr w:type="band1Horz">
      <w:rPr>
        <w:rFonts w:ascii="Arial" w:hAnsi="Arial"/>
        <w:color w:val="404040"/>
        <w:sz w:val="22"/>
      </w:rPr>
      <w:tcPr>
        <w:shd w:val="clear" w:color="daebcf" w:fill="daebcf"/>
      </w:tcPr>
    </w:tblStylePr>
    <w:tblStylePr w:type="band1Vert">
      <w:rPr>
        <w:rFonts w:ascii="Arial" w:hAnsi="Arial"/>
        <w:color w:val="404040"/>
        <w:sz w:val="22"/>
      </w:rPr>
      <w:tcPr>
        <w:shd w:val="clear" w:color="daebcf" w:fill="daebcf"/>
      </w:tcPr>
    </w:tblStylePr>
    <w:tblStylePr w:type="firstCol">
      <w:rPr>
        <w:b/>
        <w:color w:val="404040"/>
      </w:rPr>
    </w:tblStylePr>
    <w:tblStylePr w:type="firstRow">
      <w:rPr>
        <w:rFonts w:ascii="Arial" w:hAnsi="Arial"/>
        <w:b/>
        <w:color w:val="ffffff"/>
        <w:sz w:val="22"/>
      </w:rPr>
      <w:tcPr>
        <w:shd w:val="clear" w:color="70ad47" w:fill="70ad47"/>
      </w:tcPr>
    </w:tblStylePr>
    <w:tblStylePr w:type="lastCol">
      <w:rPr>
        <w:b/>
        <w:color w:val="404040"/>
      </w:rPr>
    </w:tblStylePr>
    <w:tblStylePr w:type="lastRow">
      <w:rPr>
        <w:b/>
        <w:color w:val="404040"/>
      </w:rPr>
    </w:tblStylePr>
  </w:style>
  <w:style w:type="table" w:styleId="897" w:customStyle="1">
    <w:name w:val="清单表 5 深色1"/>
    <w:basedOn w:val="730"/>
    <w:uiPriority w:val="99"/>
    <w:qFormat/>
    <w:tblPr>
      <w:tblBorders>
        <w:top w:val="single" w:color="7F7F7F" w:sz="32" w:space="0"/>
        <w:left w:val="single" w:color="7F7F7F" w:sz="32" w:space="0"/>
        <w:bottom w:val="single" w:color="7F7F7F" w:sz="32" w:space="0"/>
        <w:right w:val="single" w:color="7F7F7F" w:sz="32" w:space="0"/>
      </w:tblBorders>
      <w:tblCellMar>
        <w:left w:w="108" w:type="dxa"/>
        <w:top w:w="0" w:type="dxa"/>
        <w:right w:w="108"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898" w:customStyle="1">
    <w:name w:val="List Table 5 Dark - Accent 1"/>
    <w:basedOn w:val="730"/>
    <w:uiPriority w:val="99"/>
    <w:qFormat/>
    <w:tblPr>
      <w:tblBorders>
        <w:top w:val="single" w:color="4472C4" w:sz="32" w:space="0"/>
        <w:left w:val="single" w:color="4472C4" w:sz="32" w:space="0"/>
        <w:bottom w:val="single" w:color="4472C4" w:sz="32" w:space="0"/>
        <w:right w:val="single" w:color="4472C4" w:sz="32" w:space="0"/>
      </w:tblBorders>
      <w:tblCellMar>
        <w:left w:w="108" w:type="dxa"/>
        <w:top w:w="0" w:type="dxa"/>
        <w:right w:w="108" w:type="dxa"/>
        <w:bottom w:w="0" w:type="dxa"/>
      </w:tblCellMar>
    </w:tblPr>
    <w:tblStylePr w:type="band1Horz">
      <w:tcPr>
        <w:shd w:val="clear" w:color="4472c4" w:fill="4472c4"/>
        <w:tcBorders>
          <w:top w:val="single" w:color="FFFFFF" w:sz="4" w:space="0"/>
          <w:bottom w:val="single" w:color="FFFFFF" w:sz="4" w:space="0"/>
        </w:tcBorders>
      </w:tcPr>
    </w:tblStylePr>
    <w:tblStylePr w:type="band1Vert">
      <w:tcPr>
        <w:shd w:val="clear" w:color="4472c4" w:fill="4472c4"/>
        <w:tcBorders>
          <w:left w:val="single" w:color="FFFFFF" w:sz="4" w:space="0"/>
          <w:right w:val="single" w:color="FFFFFF" w:sz="4" w:space="0"/>
        </w:tcBorders>
      </w:tcPr>
    </w:tblStylePr>
    <w:tblStylePr w:type="band2Horz">
      <w:tcPr>
        <w:shd w:val="clear" w:color="4472c4" w:fill="4472c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472C4" w:sz="32" w:space="0"/>
          <w:right w:val="single" w:color="FFFFFF" w:sz="4" w:space="0"/>
        </w:tcBorders>
      </w:tcPr>
    </w:tblStylePr>
    <w:tblStylePr w:type="firstRow">
      <w:rPr>
        <w:rFonts w:ascii="Arial" w:hAnsi="Arial"/>
        <w:b/>
        <w:color w:val="ffffff"/>
        <w:sz w:val="22"/>
      </w:rPr>
      <w:tcPr>
        <w:shd w:val="clear" w:color="4472c4" w:fill="4472c4"/>
        <w:tcBorders>
          <w:top w:val="single" w:color="4472C4" w:sz="32" w:space="0"/>
          <w:bottom w:val="single" w:color="FFFFFF" w:sz="12" w:space="0"/>
        </w:tcBorders>
      </w:tcPr>
    </w:tblStylePr>
    <w:tblStylePr w:type="lastCol">
      <w:tcPr>
        <w:tcBorders>
          <w:left w:val="single" w:color="FFFFFF" w:sz="4" w:space="0"/>
          <w:right w:val="single" w:color="4472C4" w:sz="32" w:space="0"/>
        </w:tcBorders>
      </w:tcPr>
    </w:tblStylePr>
    <w:tblStylePr w:type="lastRow">
      <w:rPr>
        <w:rFonts w:ascii="Arial" w:hAnsi="Arial"/>
        <w:b/>
        <w:color w:val="ffffff"/>
        <w:sz w:val="22"/>
      </w:rPr>
    </w:tblStylePr>
  </w:style>
  <w:style w:type="table" w:styleId="899" w:customStyle="1">
    <w:name w:val="List Table 5 Dark - Accent 2"/>
    <w:basedOn w:val="730"/>
    <w:uiPriority w:val="99"/>
    <w:qFormat/>
    <w:tblPr>
      <w:tblBorders>
        <w:top w:val="single" w:color="F4B184" w:sz="32" w:space="0"/>
        <w:left w:val="single" w:color="F4B184" w:sz="32" w:space="0"/>
        <w:bottom w:val="single" w:color="F4B184" w:sz="32" w:space="0"/>
        <w:right w:val="single" w:color="F4B184" w:sz="32" w:space="0"/>
      </w:tblBorders>
      <w:tblCellMar>
        <w:left w:w="108" w:type="dxa"/>
        <w:top w:w="0" w:type="dxa"/>
        <w:right w:w="108" w:type="dxa"/>
        <w:bottom w:w="0" w:type="dxa"/>
      </w:tblCellMar>
    </w:tblPr>
    <w:tblStylePr w:type="band1Horz">
      <w:tcPr>
        <w:shd w:val="clear" w:color="f4b184" w:fill="f4b184"/>
        <w:tcBorders>
          <w:top w:val="single" w:color="FFFFFF" w:sz="4" w:space="0"/>
          <w:bottom w:val="single" w:color="FFFFFF" w:sz="4" w:space="0"/>
        </w:tcBorders>
      </w:tcPr>
    </w:tblStylePr>
    <w:tblStylePr w:type="band1Vert">
      <w:tcPr>
        <w:shd w:val="clear" w:color="f4b184" w:fill="f4b184"/>
        <w:tcBorders>
          <w:left w:val="single" w:color="FFFFFF" w:sz="4" w:space="0"/>
          <w:right w:val="single" w:color="FFFFFF" w:sz="4" w:space="0"/>
        </w:tcBorders>
      </w:tcPr>
    </w:tblStylePr>
    <w:tblStylePr w:type="band2Horz">
      <w:tcPr>
        <w:shd w:val="clear" w:color="f4b184" w:fill="f4b184"/>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4B184" w:sz="32" w:space="0"/>
          <w:right w:val="single" w:color="FFFFFF" w:sz="4" w:space="0"/>
        </w:tcBorders>
      </w:tcPr>
    </w:tblStylePr>
    <w:tblStylePr w:type="firstRow">
      <w:rPr>
        <w:rFonts w:ascii="Arial" w:hAnsi="Arial"/>
        <w:b/>
        <w:color w:val="ffffff"/>
        <w:sz w:val="22"/>
      </w:rPr>
      <w:tcPr>
        <w:shd w:val="clear" w:color="f4b184" w:fill="f4b184"/>
        <w:tcBorders>
          <w:top w:val="single" w:color="F4B184" w:sz="32" w:space="0"/>
          <w:bottom w:val="single" w:color="FFFFFF" w:sz="12" w:space="0"/>
        </w:tcBorders>
      </w:tcPr>
    </w:tblStylePr>
    <w:tblStylePr w:type="lastCol">
      <w:tcPr>
        <w:tcBorders>
          <w:left w:val="single" w:color="FFFFFF" w:sz="4" w:space="0"/>
          <w:right w:val="single" w:color="F4B184" w:sz="32" w:space="0"/>
        </w:tcBorders>
      </w:tcPr>
    </w:tblStylePr>
    <w:tblStylePr w:type="lastRow">
      <w:rPr>
        <w:rFonts w:ascii="Arial" w:hAnsi="Arial"/>
        <w:b/>
        <w:color w:val="ffffff"/>
        <w:sz w:val="22"/>
      </w:rPr>
    </w:tblStylePr>
  </w:style>
  <w:style w:type="table" w:styleId="900" w:customStyle="1">
    <w:name w:val="List Table 5 Dark - Accent 3"/>
    <w:basedOn w:val="730"/>
    <w:uiPriority w:val="99"/>
    <w:qFormat/>
    <w:tblPr>
      <w:tblBorders>
        <w:top w:val="single" w:color="C9C9C9" w:sz="32" w:space="0"/>
        <w:left w:val="single" w:color="C9C9C9" w:sz="32" w:space="0"/>
        <w:bottom w:val="single" w:color="C9C9C9" w:sz="32" w:space="0"/>
        <w:right w:val="single" w:color="C9C9C9" w:sz="32" w:space="0"/>
      </w:tblBorders>
      <w:tblCellMar>
        <w:left w:w="108" w:type="dxa"/>
        <w:top w:w="0" w:type="dxa"/>
        <w:right w:w="108" w:type="dxa"/>
        <w:bottom w:w="0" w:type="dxa"/>
      </w:tblCellMar>
    </w:tblPr>
    <w:tblStylePr w:type="band1Horz">
      <w:tcPr>
        <w:shd w:val="clear" w:color="c9c9c9" w:fill="c9c9c9"/>
        <w:tcBorders>
          <w:top w:val="single" w:color="FFFFFF" w:sz="4" w:space="0"/>
          <w:bottom w:val="single" w:color="FFFFFF" w:sz="4" w:space="0"/>
        </w:tcBorders>
      </w:tcPr>
    </w:tblStylePr>
    <w:tblStylePr w:type="band1Vert">
      <w:tcPr>
        <w:shd w:val="clear" w:color="c9c9c9" w:fill="c9c9c9"/>
        <w:tcBorders>
          <w:left w:val="single" w:color="FFFFFF" w:sz="4" w:space="0"/>
          <w:right w:val="single" w:color="FFFFFF" w:sz="4" w:space="0"/>
        </w:tcBorders>
      </w:tcPr>
    </w:tblStylePr>
    <w:tblStylePr w:type="band2Horz">
      <w:tcPr>
        <w:shd w:val="clear" w:color="c9c9c9" w:fill="c9c9c9"/>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9C9C9" w:sz="32" w:space="0"/>
          <w:right w:val="single" w:color="FFFFFF" w:sz="4" w:space="0"/>
        </w:tcBorders>
      </w:tcPr>
    </w:tblStylePr>
    <w:tblStylePr w:type="firstRow">
      <w:rPr>
        <w:rFonts w:ascii="Arial" w:hAnsi="Arial"/>
        <w:b/>
        <w:color w:val="ffffff"/>
        <w:sz w:val="22"/>
      </w:rPr>
      <w:tcPr>
        <w:shd w:val="clear" w:color="c9c9c9" w:fill="c9c9c9"/>
        <w:tcBorders>
          <w:top w:val="single" w:color="C9C9C9" w:sz="32" w:space="0"/>
          <w:bottom w:val="single" w:color="FFFFFF" w:sz="12" w:space="0"/>
        </w:tcBorders>
      </w:tcPr>
    </w:tblStylePr>
    <w:tblStylePr w:type="lastCol">
      <w:tcPr>
        <w:tcBorders>
          <w:left w:val="single" w:color="FFFFFF" w:sz="4" w:space="0"/>
          <w:right w:val="single" w:color="C9C9C9" w:sz="32" w:space="0"/>
        </w:tcBorders>
      </w:tcPr>
    </w:tblStylePr>
    <w:tblStylePr w:type="lastRow">
      <w:rPr>
        <w:rFonts w:ascii="Arial" w:hAnsi="Arial"/>
        <w:b/>
        <w:color w:val="ffffff"/>
        <w:sz w:val="22"/>
      </w:rPr>
    </w:tblStylePr>
  </w:style>
  <w:style w:type="table" w:styleId="901" w:customStyle="1">
    <w:name w:val="List Table 5 Dark - Accent 4"/>
    <w:basedOn w:val="730"/>
    <w:uiPriority w:val="99"/>
    <w:qFormat/>
    <w:tblPr>
      <w:tblBorders>
        <w:top w:val="single" w:color="FFD865" w:sz="32" w:space="0"/>
        <w:left w:val="single" w:color="FFD865" w:sz="32" w:space="0"/>
        <w:bottom w:val="single" w:color="FFD865" w:sz="32" w:space="0"/>
        <w:right w:val="single" w:color="FFD865" w:sz="32" w:space="0"/>
      </w:tblBorders>
      <w:tblCellMar>
        <w:left w:w="108" w:type="dxa"/>
        <w:top w:w="0" w:type="dxa"/>
        <w:right w:w="108" w:type="dxa"/>
        <w:bottom w:w="0" w:type="dxa"/>
      </w:tblCellMar>
    </w:tblPr>
    <w:tblStylePr w:type="band1Horz">
      <w:tcPr>
        <w:shd w:val="clear" w:color="ffd865" w:fill="ffd865"/>
        <w:tcBorders>
          <w:top w:val="single" w:color="FFFFFF" w:sz="4" w:space="0"/>
          <w:bottom w:val="single" w:color="FFFFFF" w:sz="4" w:space="0"/>
        </w:tcBorders>
      </w:tcPr>
    </w:tblStylePr>
    <w:tblStylePr w:type="band1Vert">
      <w:tcPr>
        <w:shd w:val="clear" w:color="ffd865" w:fill="ffd865"/>
        <w:tcBorders>
          <w:left w:val="single" w:color="FFFFFF" w:sz="4" w:space="0"/>
          <w:right w:val="single" w:color="FFFFFF" w:sz="4" w:space="0"/>
        </w:tcBorders>
      </w:tcPr>
    </w:tblStylePr>
    <w:tblStylePr w:type="band2Horz">
      <w:tcPr>
        <w:shd w:val="clear" w:color="ffd865" w:fill="ffd86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FD865" w:sz="32" w:space="0"/>
          <w:right w:val="single" w:color="FFFFFF" w:sz="4" w:space="0"/>
        </w:tcBorders>
      </w:tcPr>
    </w:tblStylePr>
    <w:tblStylePr w:type="firstRow">
      <w:rPr>
        <w:rFonts w:ascii="Arial" w:hAnsi="Arial"/>
        <w:b/>
        <w:color w:val="ffffff"/>
        <w:sz w:val="22"/>
      </w:rPr>
      <w:tcPr>
        <w:shd w:val="clear" w:color="ffd865" w:fill="ffd865"/>
        <w:tcBorders>
          <w:top w:val="single" w:color="FFD865" w:sz="32" w:space="0"/>
          <w:bottom w:val="single" w:color="FFFFFF" w:sz="12" w:space="0"/>
        </w:tcBorders>
      </w:tcPr>
    </w:tblStylePr>
    <w:tblStylePr w:type="lastCol">
      <w:tcPr>
        <w:tcBorders>
          <w:left w:val="single" w:color="FFFFFF" w:sz="4" w:space="0"/>
          <w:right w:val="single" w:color="FFD865" w:sz="32" w:space="0"/>
        </w:tcBorders>
      </w:tcPr>
    </w:tblStylePr>
    <w:tblStylePr w:type="lastRow">
      <w:rPr>
        <w:rFonts w:ascii="Arial" w:hAnsi="Arial"/>
        <w:b/>
        <w:color w:val="ffffff"/>
        <w:sz w:val="22"/>
      </w:rPr>
    </w:tblStylePr>
  </w:style>
  <w:style w:type="table" w:styleId="902" w:customStyle="1">
    <w:name w:val="List Table 5 Dark - Accent 5"/>
    <w:basedOn w:val="730"/>
    <w:uiPriority w:val="99"/>
    <w:qFormat/>
    <w:tblPr>
      <w:tblBorders>
        <w:top w:val="single" w:color="9BC2E5" w:sz="32" w:space="0"/>
        <w:left w:val="single" w:color="9BC2E5" w:sz="32" w:space="0"/>
        <w:bottom w:val="single" w:color="9BC2E5" w:sz="32" w:space="0"/>
        <w:right w:val="single" w:color="9BC2E5" w:sz="32" w:space="0"/>
      </w:tblBorders>
      <w:tblCellMar>
        <w:left w:w="108" w:type="dxa"/>
        <w:top w:w="0" w:type="dxa"/>
        <w:right w:w="108" w:type="dxa"/>
        <w:bottom w:w="0" w:type="dxa"/>
      </w:tblCellMar>
    </w:tblPr>
    <w:tblStylePr w:type="band1Horz">
      <w:tcPr>
        <w:shd w:val="clear" w:color="9bc2e5" w:fill="9bc2e5"/>
        <w:tcBorders>
          <w:top w:val="single" w:color="FFFFFF" w:sz="4" w:space="0"/>
          <w:bottom w:val="single" w:color="FFFFFF" w:sz="4" w:space="0"/>
        </w:tcBorders>
      </w:tcPr>
    </w:tblStylePr>
    <w:tblStylePr w:type="band1Vert">
      <w:tcPr>
        <w:shd w:val="clear" w:color="9bc2e5" w:fill="9bc2e5"/>
        <w:tcBorders>
          <w:left w:val="single" w:color="FFFFFF" w:sz="4" w:space="0"/>
          <w:right w:val="single" w:color="FFFFFF" w:sz="4" w:space="0"/>
        </w:tcBorders>
      </w:tcPr>
    </w:tblStylePr>
    <w:tblStylePr w:type="band2Horz">
      <w:tcPr>
        <w:shd w:val="clear" w:color="9bc2e5" w:fill="9bc2e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BC2E5" w:sz="32" w:space="0"/>
          <w:right w:val="single" w:color="FFFFFF" w:sz="4" w:space="0"/>
        </w:tcBorders>
      </w:tcPr>
    </w:tblStylePr>
    <w:tblStylePr w:type="firstRow">
      <w:rPr>
        <w:rFonts w:ascii="Arial" w:hAnsi="Arial"/>
        <w:b/>
        <w:color w:val="ffffff"/>
        <w:sz w:val="22"/>
      </w:rPr>
      <w:tcPr>
        <w:shd w:val="clear" w:color="9bc2e5" w:fill="9bc2e5"/>
        <w:tcBorders>
          <w:top w:val="single" w:color="9BC2E5" w:sz="32" w:space="0"/>
          <w:bottom w:val="single" w:color="FFFFFF" w:sz="12" w:space="0"/>
        </w:tcBorders>
      </w:tcPr>
    </w:tblStylePr>
    <w:tblStylePr w:type="lastCol">
      <w:tcPr>
        <w:tcBorders>
          <w:left w:val="single" w:color="FFFFFF" w:sz="4" w:space="0"/>
          <w:right w:val="single" w:color="9BC2E5" w:sz="32" w:space="0"/>
        </w:tcBorders>
      </w:tcPr>
    </w:tblStylePr>
    <w:tblStylePr w:type="lastRow">
      <w:rPr>
        <w:rFonts w:ascii="Arial" w:hAnsi="Arial"/>
        <w:b/>
        <w:color w:val="ffffff"/>
        <w:sz w:val="22"/>
      </w:rPr>
    </w:tblStylePr>
  </w:style>
  <w:style w:type="table" w:styleId="903" w:customStyle="1">
    <w:name w:val="List Table 5 Dark - Accent 6"/>
    <w:basedOn w:val="730"/>
    <w:uiPriority w:val="99"/>
    <w:qFormat/>
    <w:tblPr>
      <w:tblBorders>
        <w:top w:val="single" w:color="A9D08E" w:sz="32" w:space="0"/>
        <w:left w:val="single" w:color="A9D08E" w:sz="32" w:space="0"/>
        <w:bottom w:val="single" w:color="A9D08E" w:sz="32" w:space="0"/>
        <w:right w:val="single" w:color="A9D08E" w:sz="32" w:space="0"/>
      </w:tblBorders>
      <w:tblCellMar>
        <w:left w:w="108" w:type="dxa"/>
        <w:top w:w="0" w:type="dxa"/>
        <w:right w:w="108" w:type="dxa"/>
        <w:bottom w:w="0" w:type="dxa"/>
      </w:tblCellMar>
    </w:tblPr>
    <w:tblStylePr w:type="band1Horz">
      <w:tcPr>
        <w:shd w:val="clear" w:color="a9d08e" w:fill="a9d08e"/>
        <w:tcBorders>
          <w:top w:val="single" w:color="FFFFFF" w:sz="4" w:space="0"/>
          <w:bottom w:val="single" w:color="FFFFFF" w:sz="4" w:space="0"/>
        </w:tcBorders>
      </w:tcPr>
    </w:tblStylePr>
    <w:tblStylePr w:type="band1Vert">
      <w:tcPr>
        <w:shd w:val="clear" w:color="a9d08e" w:fill="a9d08e"/>
        <w:tcBorders>
          <w:left w:val="single" w:color="FFFFFF" w:sz="4" w:space="0"/>
          <w:right w:val="single" w:color="FFFFFF" w:sz="4" w:space="0"/>
        </w:tcBorders>
      </w:tcPr>
    </w:tblStylePr>
    <w:tblStylePr w:type="band2Horz">
      <w:tcPr>
        <w:shd w:val="clear" w:color="a9d08e" w:fill="a9d08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9D08E" w:sz="32" w:space="0"/>
          <w:right w:val="single" w:color="FFFFFF" w:sz="4" w:space="0"/>
        </w:tcBorders>
      </w:tcPr>
    </w:tblStylePr>
    <w:tblStylePr w:type="firstRow">
      <w:rPr>
        <w:rFonts w:ascii="Arial" w:hAnsi="Arial"/>
        <w:b/>
        <w:color w:val="ffffff"/>
        <w:sz w:val="22"/>
      </w:rPr>
      <w:tcPr>
        <w:shd w:val="clear" w:color="a9d08e" w:fill="a9d08e"/>
        <w:tcBorders>
          <w:top w:val="single" w:color="A9D08E" w:sz="32" w:space="0"/>
          <w:bottom w:val="single" w:color="FFFFFF" w:sz="12" w:space="0"/>
        </w:tcBorders>
      </w:tcPr>
    </w:tblStylePr>
    <w:tblStylePr w:type="lastCol">
      <w:tcPr>
        <w:tcBorders>
          <w:left w:val="single" w:color="FFFFFF" w:sz="4" w:space="0"/>
          <w:right w:val="single" w:color="A9D08E" w:sz="32" w:space="0"/>
        </w:tcBorders>
      </w:tcPr>
    </w:tblStylePr>
    <w:tblStylePr w:type="lastRow">
      <w:rPr>
        <w:rFonts w:ascii="Arial" w:hAnsi="Arial"/>
        <w:b/>
        <w:color w:val="ffffff"/>
        <w:sz w:val="22"/>
      </w:rPr>
    </w:tblStylePr>
  </w:style>
  <w:style w:type="table" w:styleId="904" w:customStyle="1">
    <w:name w:val="清单表 6 彩色1"/>
    <w:basedOn w:val="730"/>
    <w:uiPriority w:val="99"/>
    <w:qFormat/>
    <w:tblPr>
      <w:tblBorders>
        <w:top w:val="single" w:color="7F7F7F" w:sz="4" w:space="0"/>
        <w:bottom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905" w:customStyle="1">
    <w:name w:val="List Table 6 Colorful - Accent 1"/>
    <w:basedOn w:val="730"/>
    <w:uiPriority w:val="99"/>
    <w:qFormat/>
    <w:tblPr>
      <w:tblBorders>
        <w:top w:val="single" w:color="4472C4" w:sz="4" w:space="0"/>
        <w:bottom w:val="single" w:color="4472C4" w:sz="4" w:space="0"/>
      </w:tblBorders>
      <w:tblCellMar>
        <w:left w:w="108" w:type="dxa"/>
        <w:top w:w="0" w:type="dxa"/>
        <w:right w:w="108" w:type="dxa"/>
        <w:bottom w:w="0" w:type="dxa"/>
      </w:tblCellMar>
    </w:tblPr>
    <w:tblStylePr w:type="band1Horz">
      <w:rPr>
        <w:rFonts w:ascii="Arial" w:hAnsi="Arial"/>
        <w:color w:val="244174"/>
        <w:sz w:val="22"/>
      </w:rPr>
      <w:tcPr>
        <w:shd w:val="clear" w:color="cfdbf0" w:fill="cfdbf0"/>
      </w:tcPr>
    </w:tblStylePr>
    <w:tblStylePr w:type="band1Vert">
      <w:tcPr>
        <w:shd w:val="clear" w:color="cfdbf0" w:fill="cfdbf0"/>
      </w:tcPr>
    </w:tblStylePr>
    <w:tblStylePr w:type="band2Horz">
      <w:rPr>
        <w:rFonts w:ascii="Arial" w:hAnsi="Arial"/>
        <w:color w:val="244174"/>
        <w:sz w:val="22"/>
      </w:rPr>
    </w:tblStylePr>
    <w:tblStylePr w:type="firstCol">
      <w:rPr>
        <w:b/>
        <w:color w:val="244174"/>
      </w:rPr>
    </w:tblStylePr>
    <w:tblStylePr w:type="firstRow">
      <w:rPr>
        <w:b/>
        <w:color w:val="244174"/>
      </w:rPr>
      <w:tcPr>
        <w:tcBorders>
          <w:bottom w:val="single" w:color="4472C4" w:sz="4" w:space="0"/>
        </w:tcBorders>
      </w:tcPr>
    </w:tblStylePr>
    <w:tblStylePr w:type="lastCol">
      <w:rPr>
        <w:b/>
        <w:color w:val="244174"/>
      </w:rPr>
    </w:tblStylePr>
    <w:tblStylePr w:type="lastRow">
      <w:rPr>
        <w:b/>
        <w:color w:val="244174"/>
      </w:rPr>
      <w:tcPr>
        <w:tcBorders>
          <w:top w:val="single" w:color="4472C4" w:sz="4" w:space="0"/>
        </w:tcBorders>
      </w:tcPr>
    </w:tblStylePr>
  </w:style>
  <w:style w:type="table" w:styleId="906" w:customStyle="1">
    <w:name w:val="List Table 6 Colorful - Accent 2"/>
    <w:basedOn w:val="730"/>
    <w:uiPriority w:val="99"/>
    <w:qFormat/>
    <w:tblPr>
      <w:tblBorders>
        <w:top w:val="single" w:color="F4B184" w:sz="4" w:space="0"/>
        <w:bottom w:val="single" w:color="F4B184" w:sz="4" w:space="0"/>
      </w:tblBorders>
      <w:tblCellMar>
        <w:left w:w="108" w:type="dxa"/>
        <w:top w:w="0" w:type="dxa"/>
        <w:right w:w="108" w:type="dxa"/>
        <w:bottom w:w="0" w:type="dxa"/>
      </w:tblCellMar>
    </w:tblPr>
    <w:tblStylePr w:type="band1Horz">
      <w:rPr>
        <w:rFonts w:ascii="Arial" w:hAnsi="Arial"/>
        <w:color w:val="ed7d31"/>
        <w:sz w:val="22"/>
      </w:rPr>
      <w:tcPr>
        <w:shd w:val="clear" w:color="fadecb" w:fill="fadecb"/>
      </w:tcPr>
    </w:tblStylePr>
    <w:tblStylePr w:type="band1Vert">
      <w:tcPr>
        <w:shd w:val="clear" w:color="fadecb" w:fill="fadecb"/>
      </w:tcPr>
    </w:tblStylePr>
    <w:tblStylePr w:type="band2Horz">
      <w:rPr>
        <w:rFonts w:ascii="Arial" w:hAnsi="Arial"/>
        <w:color w:val="ed7d31"/>
        <w:sz w:val="22"/>
      </w:rPr>
    </w:tblStylePr>
    <w:tblStylePr w:type="firstCol">
      <w:rPr>
        <w:b/>
        <w:color w:val="ed7d31"/>
      </w:rPr>
    </w:tblStylePr>
    <w:tblStylePr w:type="firstRow">
      <w:rPr>
        <w:b/>
        <w:color w:val="ed7d31"/>
      </w:rPr>
      <w:tcPr>
        <w:tcBorders>
          <w:bottom w:val="single" w:color="F4B184" w:sz="4" w:space="0"/>
        </w:tcBorders>
      </w:tcPr>
    </w:tblStylePr>
    <w:tblStylePr w:type="lastCol">
      <w:rPr>
        <w:b/>
        <w:color w:val="ed7d31"/>
      </w:rPr>
    </w:tblStylePr>
    <w:tblStylePr w:type="lastRow">
      <w:rPr>
        <w:b/>
        <w:color w:val="ed7d31"/>
      </w:rPr>
      <w:tcPr>
        <w:tcBorders>
          <w:top w:val="single" w:color="F4B184" w:sz="4" w:space="0"/>
        </w:tcBorders>
      </w:tcPr>
    </w:tblStylePr>
  </w:style>
  <w:style w:type="table" w:styleId="907" w:customStyle="1">
    <w:name w:val="List Table 6 Colorful - Accent 3"/>
    <w:basedOn w:val="730"/>
    <w:uiPriority w:val="99"/>
    <w:qFormat/>
    <w:tblPr>
      <w:tblBorders>
        <w:top w:val="single" w:color="C9C9C9" w:sz="4" w:space="0"/>
        <w:bottom w:val="single" w:color="C9C9C9" w:sz="4" w:space="0"/>
      </w:tblBorders>
      <w:tblCellMar>
        <w:left w:w="108" w:type="dxa"/>
        <w:top w:w="0" w:type="dxa"/>
        <w:right w:w="108" w:type="dxa"/>
        <w:bottom w:w="0" w:type="dxa"/>
      </w:tblCellMar>
    </w:tblPr>
    <w:tblStylePr w:type="band1Horz">
      <w:rPr>
        <w:rFonts w:ascii="Arial" w:hAnsi="Arial"/>
        <w:color w:val="a5a5a5"/>
        <w:sz w:val="22"/>
      </w:rPr>
      <w:tcPr>
        <w:shd w:val="clear" w:color="e8e8e8" w:fill="e8e8e8"/>
      </w:tcPr>
    </w:tblStylePr>
    <w:tblStylePr w:type="band1Vert">
      <w:tcPr>
        <w:shd w:val="clear" w:color="e8e8e8" w:fill="e8e8e8"/>
      </w:tcPr>
    </w:tblStylePr>
    <w:tblStylePr w:type="band2Horz">
      <w:rPr>
        <w:rFonts w:ascii="Arial" w:hAnsi="Arial"/>
        <w:color w:val="a5a5a5"/>
        <w:sz w:val="22"/>
      </w:rPr>
    </w:tblStylePr>
    <w:tblStylePr w:type="firstCol">
      <w:rPr>
        <w:b/>
        <w:color w:val="a5a5a5"/>
      </w:rPr>
    </w:tblStylePr>
    <w:tblStylePr w:type="firstRow">
      <w:rPr>
        <w:b/>
        <w:color w:val="a5a5a5"/>
      </w:rPr>
      <w:tcPr>
        <w:tcBorders>
          <w:bottom w:val="single" w:color="C9C9C9" w:sz="4" w:space="0"/>
        </w:tcBorders>
      </w:tcPr>
    </w:tblStylePr>
    <w:tblStylePr w:type="lastCol">
      <w:rPr>
        <w:b/>
        <w:color w:val="a5a5a5"/>
      </w:rPr>
    </w:tblStylePr>
    <w:tblStylePr w:type="lastRow">
      <w:rPr>
        <w:b/>
        <w:color w:val="a5a5a5"/>
      </w:rPr>
      <w:tcPr>
        <w:tcBorders>
          <w:top w:val="single" w:color="C9C9C9" w:sz="4" w:space="0"/>
        </w:tcBorders>
      </w:tcPr>
    </w:tblStylePr>
  </w:style>
  <w:style w:type="table" w:styleId="908" w:customStyle="1">
    <w:name w:val="List Table 6 Colorful - Accent 4"/>
    <w:basedOn w:val="730"/>
    <w:uiPriority w:val="99"/>
    <w:qFormat/>
    <w:tblPr>
      <w:tblBorders>
        <w:top w:val="single" w:color="FFD865" w:sz="4" w:space="0"/>
        <w:bottom w:val="single" w:color="FFD865" w:sz="4" w:space="0"/>
      </w:tblBorders>
      <w:tblCellMar>
        <w:left w:w="108" w:type="dxa"/>
        <w:top w:w="0" w:type="dxa"/>
        <w:right w:w="108" w:type="dxa"/>
        <w:bottom w:w="0" w:type="dxa"/>
      </w:tblCellMar>
    </w:tblPr>
    <w:tblStylePr w:type="band1Horz">
      <w:rPr>
        <w:rFonts w:ascii="Arial" w:hAnsi="Arial"/>
        <w:color w:val="ffc000"/>
        <w:sz w:val="22"/>
      </w:rPr>
      <w:tcPr>
        <w:shd w:val="clear" w:color="ffefbf" w:fill="ffefbf"/>
      </w:tcPr>
    </w:tblStylePr>
    <w:tblStylePr w:type="band1Vert">
      <w:tcPr>
        <w:shd w:val="clear" w:color="ffefbf" w:fill="ffefbf"/>
      </w:tcPr>
    </w:tblStylePr>
    <w:tblStylePr w:type="band2Horz">
      <w:rPr>
        <w:rFonts w:ascii="Arial" w:hAnsi="Arial"/>
        <w:color w:val="ffc000"/>
        <w:sz w:val="22"/>
      </w:rPr>
    </w:tblStylePr>
    <w:tblStylePr w:type="firstCol">
      <w:rPr>
        <w:b/>
        <w:color w:val="ffc000"/>
      </w:rPr>
    </w:tblStylePr>
    <w:tblStylePr w:type="firstRow">
      <w:rPr>
        <w:b/>
        <w:color w:val="ffc000"/>
      </w:rPr>
      <w:tcPr>
        <w:tcBorders>
          <w:bottom w:val="single" w:color="FFD865" w:sz="4" w:space="0"/>
        </w:tcBorders>
      </w:tcPr>
    </w:tblStylePr>
    <w:tblStylePr w:type="lastCol">
      <w:rPr>
        <w:b/>
        <w:color w:val="ffc000"/>
      </w:rPr>
    </w:tblStylePr>
    <w:tblStylePr w:type="lastRow">
      <w:rPr>
        <w:b/>
        <w:color w:val="ffc000"/>
      </w:rPr>
      <w:tcPr>
        <w:tcBorders>
          <w:top w:val="single" w:color="FFD865" w:sz="4" w:space="0"/>
        </w:tcBorders>
      </w:tcPr>
    </w:tblStylePr>
  </w:style>
  <w:style w:type="table" w:styleId="909" w:customStyle="1">
    <w:name w:val="List Table 6 Colorful - Accent 5"/>
    <w:basedOn w:val="730"/>
    <w:uiPriority w:val="99"/>
    <w:qFormat/>
    <w:tblPr>
      <w:tblBorders>
        <w:top w:val="single" w:color="9BC2E5" w:sz="4" w:space="0"/>
        <w:bottom w:val="single" w:color="9BC2E5" w:sz="4" w:space="0"/>
      </w:tblBorders>
      <w:tblCellMar>
        <w:left w:w="108" w:type="dxa"/>
        <w:top w:w="0" w:type="dxa"/>
        <w:right w:w="108" w:type="dxa"/>
        <w:bottom w:w="0" w:type="dxa"/>
      </w:tblCellMar>
    </w:tblPr>
    <w:tblStylePr w:type="band1Horz">
      <w:rPr>
        <w:rFonts w:ascii="Arial" w:hAnsi="Arial"/>
        <w:color w:val="5b9bd5"/>
        <w:sz w:val="22"/>
      </w:rPr>
      <w:tcPr>
        <w:shd w:val="clear" w:color="d5e5f4" w:fill="d5e5f4"/>
      </w:tcPr>
    </w:tblStylePr>
    <w:tblStylePr w:type="band1Vert">
      <w:tcPr>
        <w:shd w:val="clear" w:color="d5e5f4" w:fill="d5e5f4"/>
      </w:tcPr>
    </w:tblStylePr>
    <w:tblStylePr w:type="band2Horz">
      <w:rPr>
        <w:rFonts w:ascii="Arial" w:hAnsi="Arial"/>
        <w:color w:val="5b9bd5"/>
        <w:sz w:val="22"/>
      </w:rPr>
    </w:tblStylePr>
    <w:tblStylePr w:type="firstCol">
      <w:rPr>
        <w:b/>
        <w:color w:val="5b9bd5"/>
      </w:rPr>
    </w:tblStylePr>
    <w:tblStylePr w:type="firstRow">
      <w:rPr>
        <w:b/>
        <w:color w:val="5b9bd5"/>
      </w:rPr>
      <w:tcPr>
        <w:tcBorders>
          <w:bottom w:val="single" w:color="9BC2E5" w:sz="4" w:space="0"/>
        </w:tcBorders>
      </w:tcPr>
    </w:tblStylePr>
    <w:tblStylePr w:type="lastCol">
      <w:rPr>
        <w:b/>
        <w:color w:val="5b9bd5"/>
      </w:rPr>
    </w:tblStylePr>
    <w:tblStylePr w:type="lastRow">
      <w:rPr>
        <w:b/>
        <w:color w:val="5b9bd5"/>
      </w:rPr>
      <w:tcPr>
        <w:tcBorders>
          <w:top w:val="single" w:color="9BC2E5" w:sz="4" w:space="0"/>
        </w:tcBorders>
      </w:tcPr>
    </w:tblStylePr>
  </w:style>
  <w:style w:type="table" w:styleId="910" w:customStyle="1">
    <w:name w:val="List Table 6 Colorful - Accent 6"/>
    <w:basedOn w:val="730"/>
    <w:uiPriority w:val="99"/>
    <w:qFormat/>
    <w:tblPr>
      <w:tblBorders>
        <w:top w:val="single" w:color="A9D08E" w:sz="4" w:space="0"/>
        <w:bottom w:val="single" w:color="A9D08E" w:sz="4" w:space="0"/>
      </w:tblBorders>
      <w:tblCellMar>
        <w:left w:w="108" w:type="dxa"/>
        <w:top w:w="0" w:type="dxa"/>
        <w:right w:w="108" w:type="dxa"/>
        <w:bottom w:w="0" w:type="dxa"/>
      </w:tblCellMar>
    </w:tblPr>
    <w:tblStylePr w:type="band1Horz">
      <w:rPr>
        <w:rFonts w:ascii="Arial" w:hAnsi="Arial"/>
        <w:color w:val="70ad47"/>
        <w:sz w:val="22"/>
      </w:rPr>
      <w:tcPr>
        <w:shd w:val="clear" w:color="daebcf" w:fill="daebcf"/>
      </w:tcPr>
    </w:tblStylePr>
    <w:tblStylePr w:type="band1Vert">
      <w:tcPr>
        <w:shd w:val="clear" w:color="daebcf" w:fill="daebcf"/>
      </w:tcPr>
    </w:tblStylePr>
    <w:tblStylePr w:type="band2Horz">
      <w:rPr>
        <w:rFonts w:ascii="Arial" w:hAnsi="Arial"/>
        <w:color w:val="70ad47"/>
        <w:sz w:val="22"/>
      </w:rPr>
    </w:tblStylePr>
    <w:tblStylePr w:type="firstCol">
      <w:rPr>
        <w:b/>
        <w:color w:val="70ad47"/>
      </w:rPr>
    </w:tblStylePr>
    <w:tblStylePr w:type="firstRow">
      <w:rPr>
        <w:b/>
        <w:color w:val="70ad47"/>
      </w:rPr>
      <w:tcPr>
        <w:tcBorders>
          <w:bottom w:val="single" w:color="A9D08E" w:sz="4" w:space="0"/>
        </w:tcBorders>
      </w:tcPr>
    </w:tblStylePr>
    <w:tblStylePr w:type="lastCol">
      <w:rPr>
        <w:b/>
        <w:color w:val="70ad47"/>
      </w:rPr>
    </w:tblStylePr>
    <w:tblStylePr w:type="lastRow">
      <w:rPr>
        <w:b/>
        <w:color w:val="70ad47"/>
      </w:rPr>
      <w:tcPr>
        <w:tcBorders>
          <w:top w:val="single" w:color="A9D08E" w:sz="4" w:space="0"/>
        </w:tcBorders>
      </w:tcPr>
    </w:tblStylePr>
  </w:style>
  <w:style w:type="table" w:styleId="911" w:customStyle="1">
    <w:name w:val="清单表 7 彩色1"/>
    <w:basedOn w:val="730"/>
    <w:uiPriority w:val="99"/>
    <w:qFormat/>
    <w:tblPr>
      <w:tblBorders>
        <w:right w:val="single" w:color="7F7F7F" w:sz="4" w:space="0"/>
      </w:tblBorders>
      <w:tblCellMar>
        <w:left w:w="108" w:type="dxa"/>
        <w:top w:w="0" w:type="dxa"/>
        <w:right w:w="108"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rFonts w:ascii="Arial" w:hAnsi="Arial"/>
        <w:i/>
        <w:color w:val="000000"/>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000000"/>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000000"/>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000000"/>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12" w:customStyle="1">
    <w:name w:val="List Table 7 Colorful - Accent 1"/>
    <w:basedOn w:val="730"/>
    <w:uiPriority w:val="99"/>
    <w:qFormat/>
    <w:tblPr>
      <w:tblBorders>
        <w:right w:val="single" w:color="4472C4" w:sz="4" w:space="0"/>
      </w:tblBorders>
      <w:tblCellMar>
        <w:left w:w="108" w:type="dxa"/>
        <w:top w:w="0" w:type="dxa"/>
        <w:right w:w="108" w:type="dxa"/>
        <w:bottom w:w="0" w:type="dxa"/>
      </w:tblCellMar>
    </w:tblPr>
    <w:tblStylePr w:type="band1Horz">
      <w:rPr>
        <w:rFonts w:ascii="Arial" w:hAnsi="Arial"/>
        <w:color w:val="244174"/>
        <w:sz w:val="22"/>
      </w:rPr>
      <w:tcPr>
        <w:shd w:val="clear" w:color="cfdbf0" w:fill="cfdbf0"/>
      </w:tcPr>
    </w:tblStylePr>
    <w:tblStylePr w:type="band1Vert">
      <w:tcPr>
        <w:shd w:val="clear" w:color="cfdbf0" w:fill="cfdbf0"/>
      </w:tcPr>
    </w:tblStylePr>
    <w:tblStylePr w:type="band2Horz">
      <w:rPr>
        <w:rFonts w:ascii="Arial" w:hAnsi="Arial"/>
        <w:color w:val="244174"/>
        <w:sz w:val="22"/>
      </w:rPr>
    </w:tblStylePr>
    <w:tblStylePr w:type="firstCol">
      <w:rPr>
        <w:rFonts w:ascii="Arial" w:hAnsi="Arial"/>
        <w:i/>
        <w:color w:val="244174"/>
        <w:sz w:val="22"/>
      </w:rPr>
      <w:pPr>
        <w:jc w:val="right"/>
      </w:pPr>
      <w:tcPr>
        <w:shd w:val="clear" w:color="ffffff" w:fill="auto"/>
        <w:tcBorders>
          <w:top w:val="none" w:color="000000" w:sz="4" w:space="0"/>
          <w:left w:val="none" w:color="000000" w:sz="4" w:space="0"/>
          <w:bottom w:val="none" w:color="000000" w:sz="4" w:space="0"/>
          <w:right w:val="single" w:color="4472C4" w:sz="4" w:space="0"/>
        </w:tcBorders>
      </w:tcPr>
    </w:tblStylePr>
    <w:tblStylePr w:type="firstRow">
      <w:rPr>
        <w:rFonts w:ascii="Arial" w:hAnsi="Arial"/>
        <w:i/>
        <w:color w:val="244174"/>
        <w:sz w:val="22"/>
      </w:rPr>
      <w:tcPr>
        <w:shd w:val="clear" w:color="ffffff" w:fill="ffffff"/>
        <w:tcBorders>
          <w:top w:val="none" w:color="000000" w:sz="4" w:space="0"/>
          <w:left w:val="none" w:color="000000" w:sz="4" w:space="0"/>
          <w:bottom w:val="single" w:color="4472C4" w:sz="4" w:space="0"/>
          <w:right w:val="none" w:color="000000" w:sz="4" w:space="0"/>
        </w:tcBorders>
      </w:tcPr>
    </w:tblStylePr>
    <w:tblStylePr w:type="lastCol">
      <w:rPr>
        <w:rFonts w:ascii="Arial" w:hAnsi="Arial"/>
        <w:i/>
        <w:color w:val="244174"/>
        <w:sz w:val="22"/>
      </w:rPr>
      <w:tcPr>
        <w:shd w:val="clear" w:color="ffffff" w:fill="auto"/>
        <w:tcBorders>
          <w:top w:val="none" w:color="000000" w:sz="4" w:space="0"/>
          <w:left w:val="single" w:color="4472C4" w:sz="4" w:space="0"/>
          <w:bottom w:val="none" w:color="000000" w:sz="4" w:space="0"/>
          <w:right w:val="none" w:color="000000" w:sz="4" w:space="0"/>
        </w:tcBorders>
      </w:tcPr>
    </w:tblStylePr>
    <w:tblStylePr w:type="lastRow">
      <w:rPr>
        <w:rFonts w:ascii="Arial" w:hAnsi="Arial"/>
        <w:i/>
        <w:color w:val="244174"/>
        <w:sz w:val="22"/>
      </w:rPr>
      <w:tcPr>
        <w:shd w:val="clear" w:color="ffffff" w:fill="ffffff"/>
        <w:tcBorders>
          <w:top w:val="single" w:color="4472C4" w:sz="4" w:space="0"/>
          <w:left w:val="none" w:color="000000" w:sz="4" w:space="0"/>
          <w:bottom w:val="none" w:color="000000" w:sz="4" w:space="0"/>
          <w:right w:val="none" w:color="000000" w:sz="4" w:space="0"/>
        </w:tcBorders>
      </w:tcPr>
    </w:tblStylePr>
  </w:style>
  <w:style w:type="table" w:styleId="913" w:customStyle="1">
    <w:name w:val="List Table 7 Colorful - Accent 2"/>
    <w:basedOn w:val="730"/>
    <w:uiPriority w:val="99"/>
    <w:qFormat/>
    <w:tblPr>
      <w:tblBorders>
        <w:right w:val="single" w:color="F4B184" w:sz="4" w:space="0"/>
      </w:tblBorders>
      <w:tblCellMar>
        <w:left w:w="108" w:type="dxa"/>
        <w:top w:w="0" w:type="dxa"/>
        <w:right w:w="108" w:type="dxa"/>
        <w:bottom w:w="0" w:type="dxa"/>
      </w:tblCellMar>
    </w:tblPr>
    <w:tblStylePr w:type="band1Horz">
      <w:rPr>
        <w:rFonts w:ascii="Arial" w:hAnsi="Arial"/>
        <w:color w:val="ed7d31"/>
        <w:sz w:val="22"/>
      </w:rPr>
      <w:tcPr>
        <w:shd w:val="clear" w:color="fadecb" w:fill="fadecb"/>
      </w:tcPr>
    </w:tblStylePr>
    <w:tblStylePr w:type="band1Vert">
      <w:tcPr>
        <w:shd w:val="clear" w:color="fadecb" w:fill="fadecb"/>
      </w:tcPr>
    </w:tblStylePr>
    <w:tblStylePr w:type="band2Horz">
      <w:rPr>
        <w:rFonts w:ascii="Arial" w:hAnsi="Arial"/>
        <w:color w:val="ed7d31"/>
        <w:sz w:val="22"/>
      </w:rPr>
    </w:tblStylePr>
    <w:tblStylePr w:type="firstCol">
      <w:rPr>
        <w:rFonts w:ascii="Arial" w:hAnsi="Arial"/>
        <w:i/>
        <w:color w:val="ed7d31"/>
        <w:sz w:val="22"/>
      </w:rPr>
      <w:pPr>
        <w:jc w:val="right"/>
      </w:pPr>
      <w:tcPr>
        <w:shd w:val="clear" w:color="ffffff" w:fill="auto"/>
        <w:tcBorders>
          <w:top w:val="none" w:color="000000" w:sz="4" w:space="0"/>
          <w:left w:val="none" w:color="000000" w:sz="4" w:space="0"/>
          <w:bottom w:val="none" w:color="000000" w:sz="4" w:space="0"/>
          <w:right w:val="single" w:color="F4B184" w:sz="4" w:space="0"/>
        </w:tcBorders>
      </w:tcPr>
    </w:tblStylePr>
    <w:tblStylePr w:type="firstRow">
      <w:rPr>
        <w:rFonts w:ascii="Arial" w:hAnsi="Arial"/>
        <w:i/>
        <w:color w:val="ed7d31"/>
        <w:sz w:val="22"/>
      </w:rPr>
      <w:tcPr>
        <w:shd w:val="clear" w:color="ffffff" w:fill="ffffff"/>
        <w:tcBorders>
          <w:top w:val="none" w:color="000000" w:sz="4" w:space="0"/>
          <w:left w:val="none" w:color="000000" w:sz="4" w:space="0"/>
          <w:bottom w:val="single" w:color="F4B184" w:sz="4" w:space="0"/>
          <w:right w:val="none" w:color="000000" w:sz="4" w:space="0"/>
        </w:tcBorders>
      </w:tcPr>
    </w:tblStylePr>
    <w:tblStylePr w:type="lastCol">
      <w:rPr>
        <w:rFonts w:ascii="Arial" w:hAnsi="Arial"/>
        <w:i/>
        <w:color w:val="ed7d31"/>
        <w:sz w:val="22"/>
      </w:rPr>
      <w:tcPr>
        <w:shd w:val="clear" w:color="ffffff" w:fill="auto"/>
        <w:tcBorders>
          <w:top w:val="none" w:color="000000" w:sz="4" w:space="0"/>
          <w:left w:val="single" w:color="F4B184" w:sz="4" w:space="0"/>
          <w:bottom w:val="none" w:color="000000" w:sz="4" w:space="0"/>
          <w:right w:val="none" w:color="000000" w:sz="4" w:space="0"/>
        </w:tcBorders>
      </w:tcPr>
    </w:tblStylePr>
    <w:tblStylePr w:type="lastRow">
      <w:rPr>
        <w:rFonts w:ascii="Arial" w:hAnsi="Arial"/>
        <w:i/>
        <w:color w:val="ed7d31"/>
        <w:sz w:val="22"/>
      </w:rPr>
      <w:tcPr>
        <w:shd w:val="clear" w:color="ffffff" w:fill="ffffff"/>
        <w:tcBorders>
          <w:top w:val="single" w:color="F4B184" w:sz="4" w:space="0"/>
          <w:left w:val="none" w:color="000000" w:sz="4" w:space="0"/>
          <w:bottom w:val="none" w:color="000000" w:sz="4" w:space="0"/>
          <w:right w:val="none" w:color="000000" w:sz="4" w:space="0"/>
        </w:tcBorders>
      </w:tcPr>
    </w:tblStylePr>
  </w:style>
  <w:style w:type="table" w:styleId="914" w:customStyle="1">
    <w:name w:val="List Table 7 Colorful - Accent 3"/>
    <w:basedOn w:val="730"/>
    <w:uiPriority w:val="99"/>
    <w:qFormat/>
    <w:tblPr>
      <w:tblBorders>
        <w:right w:val="single" w:color="C9C9C9" w:sz="4" w:space="0"/>
      </w:tblBorders>
      <w:tblCellMar>
        <w:left w:w="108" w:type="dxa"/>
        <w:top w:w="0" w:type="dxa"/>
        <w:right w:w="108" w:type="dxa"/>
        <w:bottom w:w="0" w:type="dxa"/>
      </w:tblCellMar>
    </w:tblPr>
    <w:tblStylePr w:type="band1Horz">
      <w:rPr>
        <w:rFonts w:ascii="Arial" w:hAnsi="Arial"/>
        <w:color w:val="a5a5a5"/>
        <w:sz w:val="22"/>
      </w:rPr>
      <w:tcPr>
        <w:shd w:val="clear" w:color="e8e8e8" w:fill="e8e8e8"/>
      </w:tcPr>
    </w:tblStylePr>
    <w:tblStylePr w:type="band1Vert">
      <w:tcPr>
        <w:shd w:val="clear" w:color="e8e8e8" w:fill="e8e8e8"/>
      </w:tcPr>
    </w:tblStylePr>
    <w:tblStylePr w:type="band2Horz">
      <w:rPr>
        <w:rFonts w:ascii="Arial" w:hAnsi="Arial"/>
        <w:color w:val="a5a5a5"/>
        <w:sz w:val="22"/>
      </w:rPr>
    </w:tblStylePr>
    <w:tblStylePr w:type="firstCol">
      <w:rPr>
        <w:rFonts w:ascii="Arial" w:hAnsi="Arial"/>
        <w:i/>
        <w:color w:val="a5a5a5"/>
        <w:sz w:val="22"/>
      </w:rPr>
      <w:pPr>
        <w:jc w:val="right"/>
      </w:pPr>
      <w:tcPr>
        <w:shd w:val="clear" w:color="ffffff" w:fill="auto"/>
        <w:tcBorders>
          <w:top w:val="none" w:color="000000" w:sz="4" w:space="0"/>
          <w:left w:val="none" w:color="000000" w:sz="4" w:space="0"/>
          <w:bottom w:val="none" w:color="000000" w:sz="4" w:space="0"/>
          <w:right w:val="single" w:color="C9C9C9" w:sz="4" w:space="0"/>
        </w:tcBorders>
      </w:tcPr>
    </w:tblStylePr>
    <w:tblStylePr w:type="firstRow">
      <w:rPr>
        <w:rFonts w:ascii="Arial" w:hAnsi="Arial"/>
        <w:i/>
        <w:color w:val="a5a5a5"/>
        <w:sz w:val="22"/>
      </w:rPr>
      <w:tcPr>
        <w:shd w:val="clear" w:color="ffffff" w:fill="ffffff"/>
        <w:tcBorders>
          <w:top w:val="none" w:color="000000" w:sz="4" w:space="0"/>
          <w:left w:val="none" w:color="000000" w:sz="4" w:space="0"/>
          <w:bottom w:val="single" w:color="C9C9C9" w:sz="4" w:space="0"/>
          <w:right w:val="none" w:color="000000" w:sz="4" w:space="0"/>
        </w:tcBorders>
      </w:tcPr>
    </w:tblStylePr>
    <w:tblStylePr w:type="lastCol">
      <w:rPr>
        <w:rFonts w:ascii="Arial" w:hAnsi="Arial"/>
        <w:i/>
        <w:color w:val="a5a5a5"/>
        <w:sz w:val="22"/>
      </w:rPr>
      <w:tcPr>
        <w:shd w:val="clear" w:color="ffffff" w:fill="auto"/>
        <w:tcBorders>
          <w:top w:val="none" w:color="000000" w:sz="4" w:space="0"/>
          <w:left w:val="single" w:color="C9C9C9" w:sz="4" w:space="0"/>
          <w:bottom w:val="none" w:color="000000" w:sz="4" w:space="0"/>
          <w:right w:val="none" w:color="000000" w:sz="4" w:space="0"/>
        </w:tcBorders>
      </w:tcPr>
    </w:tblStylePr>
    <w:tblStylePr w:type="lastRow">
      <w:rPr>
        <w:rFonts w:ascii="Arial" w:hAnsi="Arial"/>
        <w:i/>
        <w:color w:val="a5a5a5"/>
        <w:sz w:val="22"/>
      </w:rPr>
      <w:tcPr>
        <w:shd w:val="clear" w:color="ffffff" w:fill="ffffff"/>
        <w:tcBorders>
          <w:top w:val="single" w:color="C9C9C9" w:sz="4" w:space="0"/>
          <w:left w:val="none" w:color="000000" w:sz="4" w:space="0"/>
          <w:bottom w:val="none" w:color="000000" w:sz="4" w:space="0"/>
          <w:right w:val="none" w:color="000000" w:sz="4" w:space="0"/>
        </w:tcBorders>
      </w:tcPr>
    </w:tblStylePr>
  </w:style>
  <w:style w:type="table" w:styleId="915" w:customStyle="1">
    <w:name w:val="List Table 7 Colorful - Accent 4"/>
    <w:basedOn w:val="730"/>
    <w:uiPriority w:val="99"/>
    <w:qFormat/>
    <w:tblPr>
      <w:tblBorders>
        <w:right w:val="single" w:color="FFD865" w:sz="4" w:space="0"/>
      </w:tblBorders>
      <w:tblCellMar>
        <w:left w:w="108" w:type="dxa"/>
        <w:top w:w="0" w:type="dxa"/>
        <w:right w:w="108" w:type="dxa"/>
        <w:bottom w:w="0" w:type="dxa"/>
      </w:tblCellMar>
    </w:tblPr>
    <w:tblStylePr w:type="band1Horz">
      <w:rPr>
        <w:rFonts w:ascii="Arial" w:hAnsi="Arial"/>
        <w:color w:val="ffc000"/>
        <w:sz w:val="22"/>
      </w:rPr>
      <w:tcPr>
        <w:shd w:val="clear" w:color="ffefbf" w:fill="ffefbf"/>
      </w:tcPr>
    </w:tblStylePr>
    <w:tblStylePr w:type="band1Vert">
      <w:tcPr>
        <w:shd w:val="clear" w:color="ffefbf" w:fill="ffefbf"/>
      </w:tcPr>
    </w:tblStylePr>
    <w:tblStylePr w:type="band2Horz">
      <w:rPr>
        <w:rFonts w:ascii="Arial" w:hAnsi="Arial"/>
        <w:color w:val="ffc000"/>
        <w:sz w:val="22"/>
      </w:rPr>
    </w:tblStylePr>
    <w:tblStylePr w:type="firstCol">
      <w:rPr>
        <w:rFonts w:ascii="Arial" w:hAnsi="Arial"/>
        <w:i/>
        <w:color w:val="ffc000"/>
        <w:sz w:val="22"/>
      </w:rPr>
      <w:pPr>
        <w:jc w:val="right"/>
      </w:pPr>
      <w:tcPr>
        <w:shd w:val="clear" w:color="ffffff" w:fill="auto"/>
        <w:tcBorders>
          <w:top w:val="none" w:color="000000" w:sz="4" w:space="0"/>
          <w:left w:val="none" w:color="000000" w:sz="4" w:space="0"/>
          <w:bottom w:val="none" w:color="000000" w:sz="4" w:space="0"/>
          <w:right w:val="single" w:color="FFD865" w:sz="4" w:space="0"/>
        </w:tcBorders>
      </w:tcPr>
    </w:tblStylePr>
    <w:tblStylePr w:type="firstRow">
      <w:rPr>
        <w:rFonts w:ascii="Arial" w:hAnsi="Arial"/>
        <w:i/>
        <w:color w:val="ffc000"/>
        <w:sz w:val="22"/>
      </w:rPr>
      <w:tcPr>
        <w:shd w:val="clear" w:color="ffffff" w:fill="ffffff"/>
        <w:tcBorders>
          <w:top w:val="none" w:color="000000" w:sz="4" w:space="0"/>
          <w:left w:val="none" w:color="000000" w:sz="4" w:space="0"/>
          <w:bottom w:val="single" w:color="FFD865" w:sz="4" w:space="0"/>
          <w:right w:val="none" w:color="000000" w:sz="4" w:space="0"/>
        </w:tcBorders>
      </w:tcPr>
    </w:tblStylePr>
    <w:tblStylePr w:type="lastCol">
      <w:rPr>
        <w:rFonts w:ascii="Arial" w:hAnsi="Arial"/>
        <w:i/>
        <w:color w:val="ffc000"/>
        <w:sz w:val="22"/>
      </w:rPr>
      <w:tcPr>
        <w:shd w:val="clear" w:color="ffffff" w:fill="auto"/>
        <w:tcBorders>
          <w:top w:val="none" w:color="000000" w:sz="4" w:space="0"/>
          <w:left w:val="single" w:color="FFD865" w:sz="4" w:space="0"/>
          <w:bottom w:val="none" w:color="000000" w:sz="4" w:space="0"/>
          <w:right w:val="none" w:color="000000" w:sz="4" w:space="0"/>
        </w:tcBorders>
      </w:tcPr>
    </w:tblStylePr>
    <w:tblStylePr w:type="lastRow">
      <w:rPr>
        <w:rFonts w:ascii="Arial" w:hAnsi="Arial"/>
        <w:i/>
        <w:color w:val="ffc000"/>
        <w:sz w:val="22"/>
      </w:rPr>
      <w:tcPr>
        <w:shd w:val="clear" w:color="ffffff" w:fill="ffffff"/>
        <w:tcBorders>
          <w:top w:val="single" w:color="FFD865" w:sz="4" w:space="0"/>
          <w:left w:val="none" w:color="000000" w:sz="4" w:space="0"/>
          <w:bottom w:val="none" w:color="000000" w:sz="4" w:space="0"/>
          <w:right w:val="none" w:color="000000" w:sz="4" w:space="0"/>
        </w:tcBorders>
      </w:tcPr>
    </w:tblStylePr>
  </w:style>
  <w:style w:type="table" w:styleId="916" w:customStyle="1">
    <w:name w:val="List Table 7 Colorful - Accent 5"/>
    <w:basedOn w:val="730"/>
    <w:uiPriority w:val="99"/>
    <w:qFormat/>
    <w:tblPr>
      <w:tblBorders>
        <w:right w:val="single" w:color="9BC2E5" w:sz="4" w:space="0"/>
      </w:tblBorders>
      <w:tblCellMar>
        <w:left w:w="108" w:type="dxa"/>
        <w:top w:w="0" w:type="dxa"/>
        <w:right w:w="108" w:type="dxa"/>
        <w:bottom w:w="0" w:type="dxa"/>
      </w:tblCellMar>
    </w:tblPr>
    <w:tblStylePr w:type="band1Horz">
      <w:rPr>
        <w:rFonts w:ascii="Arial" w:hAnsi="Arial"/>
        <w:color w:val="5b9bd5"/>
        <w:sz w:val="22"/>
      </w:rPr>
      <w:tcPr>
        <w:shd w:val="clear" w:color="d5e5f4" w:fill="d5e5f4"/>
      </w:tcPr>
    </w:tblStylePr>
    <w:tblStylePr w:type="band1Vert">
      <w:tcPr>
        <w:shd w:val="clear" w:color="d5e5f4" w:fill="d5e5f4"/>
      </w:tcPr>
    </w:tblStylePr>
    <w:tblStylePr w:type="band2Horz">
      <w:rPr>
        <w:rFonts w:ascii="Arial" w:hAnsi="Arial"/>
        <w:color w:val="5b9bd5"/>
        <w:sz w:val="22"/>
      </w:rPr>
    </w:tblStylePr>
    <w:tblStylePr w:type="firstCol">
      <w:rPr>
        <w:rFonts w:ascii="Arial" w:hAnsi="Arial"/>
        <w:i/>
        <w:color w:val="5b9bd5"/>
        <w:sz w:val="22"/>
      </w:rPr>
      <w:pPr>
        <w:jc w:val="right"/>
      </w:pPr>
      <w:tcPr>
        <w:shd w:val="clear" w:color="ffffff" w:fill="auto"/>
        <w:tcBorders>
          <w:top w:val="none" w:color="000000" w:sz="4" w:space="0"/>
          <w:left w:val="none" w:color="000000" w:sz="4" w:space="0"/>
          <w:bottom w:val="none" w:color="000000" w:sz="4" w:space="0"/>
          <w:right w:val="single" w:color="9BC2E5" w:sz="4" w:space="0"/>
        </w:tcBorders>
      </w:tcPr>
    </w:tblStylePr>
    <w:tblStylePr w:type="firstRow">
      <w:rPr>
        <w:rFonts w:ascii="Arial" w:hAnsi="Arial"/>
        <w:i/>
        <w:color w:val="5b9bd5"/>
        <w:sz w:val="22"/>
      </w:rPr>
      <w:tcPr>
        <w:shd w:val="clear" w:color="ffffff" w:fill="ffffff"/>
        <w:tcBorders>
          <w:top w:val="none" w:color="000000" w:sz="4" w:space="0"/>
          <w:left w:val="none" w:color="000000" w:sz="4" w:space="0"/>
          <w:bottom w:val="single" w:color="9BC2E5" w:sz="4" w:space="0"/>
          <w:right w:val="none" w:color="000000" w:sz="4" w:space="0"/>
        </w:tcBorders>
      </w:tcPr>
    </w:tblStylePr>
    <w:tblStylePr w:type="lastCol">
      <w:rPr>
        <w:rFonts w:ascii="Arial" w:hAnsi="Arial"/>
        <w:i/>
        <w:color w:val="5b9bd5"/>
        <w:sz w:val="22"/>
      </w:rPr>
      <w:tcPr>
        <w:shd w:val="clear" w:color="ffffff" w:fill="auto"/>
        <w:tcBorders>
          <w:top w:val="none" w:color="000000" w:sz="4" w:space="0"/>
          <w:left w:val="single" w:color="9BC2E5" w:sz="4" w:space="0"/>
          <w:bottom w:val="none" w:color="000000" w:sz="4" w:space="0"/>
          <w:right w:val="none" w:color="000000" w:sz="4" w:space="0"/>
        </w:tcBorders>
      </w:tcPr>
    </w:tblStylePr>
    <w:tblStylePr w:type="lastRow">
      <w:rPr>
        <w:rFonts w:ascii="Arial" w:hAnsi="Arial"/>
        <w:i/>
        <w:color w:val="5b9bd5"/>
        <w:sz w:val="22"/>
      </w:rPr>
      <w:tcPr>
        <w:shd w:val="clear" w:color="ffffff" w:fill="ffffff"/>
        <w:tcBorders>
          <w:top w:val="single" w:color="9BC2E5" w:sz="4" w:space="0"/>
          <w:left w:val="none" w:color="000000" w:sz="4" w:space="0"/>
          <w:bottom w:val="none" w:color="000000" w:sz="4" w:space="0"/>
          <w:right w:val="none" w:color="000000" w:sz="4" w:space="0"/>
        </w:tcBorders>
      </w:tcPr>
    </w:tblStylePr>
  </w:style>
  <w:style w:type="table" w:styleId="917" w:customStyle="1">
    <w:name w:val="List Table 7 Colorful - Accent 6"/>
    <w:basedOn w:val="730"/>
    <w:uiPriority w:val="99"/>
    <w:qFormat/>
    <w:tblPr>
      <w:tblBorders>
        <w:right w:val="single" w:color="A9D08E" w:sz="4" w:space="0"/>
      </w:tblBorders>
      <w:tblCellMar>
        <w:left w:w="108" w:type="dxa"/>
        <w:top w:w="0" w:type="dxa"/>
        <w:right w:w="108" w:type="dxa"/>
        <w:bottom w:w="0" w:type="dxa"/>
      </w:tblCellMar>
    </w:tblPr>
    <w:tblStylePr w:type="band1Horz">
      <w:rPr>
        <w:rFonts w:ascii="Arial" w:hAnsi="Arial"/>
        <w:color w:val="70ad47"/>
        <w:sz w:val="22"/>
      </w:rPr>
      <w:tcPr>
        <w:shd w:val="clear" w:color="daebcf" w:fill="daebcf"/>
      </w:tcPr>
    </w:tblStylePr>
    <w:tblStylePr w:type="band1Vert">
      <w:tcPr>
        <w:shd w:val="clear" w:color="daebcf" w:fill="daebcf"/>
      </w:tcPr>
    </w:tblStylePr>
    <w:tblStylePr w:type="band2Horz">
      <w:rPr>
        <w:rFonts w:ascii="Arial" w:hAnsi="Arial"/>
        <w:color w:val="70ad47"/>
        <w:sz w:val="22"/>
      </w:rPr>
    </w:tblStylePr>
    <w:tblStylePr w:type="firstCol">
      <w:rPr>
        <w:rFonts w:ascii="Arial" w:hAnsi="Arial"/>
        <w:i/>
        <w:color w:val="70ad47"/>
        <w:sz w:val="22"/>
      </w:rPr>
      <w:pPr>
        <w:jc w:val="right"/>
      </w:pPr>
      <w:tcPr>
        <w:shd w:val="clear" w:color="ffffff" w:fill="auto"/>
        <w:tcBorders>
          <w:top w:val="none" w:color="000000" w:sz="4" w:space="0"/>
          <w:left w:val="none" w:color="000000" w:sz="4" w:space="0"/>
          <w:bottom w:val="none" w:color="000000" w:sz="4" w:space="0"/>
          <w:right w:val="single" w:color="A9D08E" w:sz="4" w:space="0"/>
        </w:tcBorders>
      </w:tcPr>
    </w:tblStylePr>
    <w:tblStylePr w:type="firstRow">
      <w:rPr>
        <w:rFonts w:ascii="Arial" w:hAnsi="Arial"/>
        <w:i/>
        <w:color w:val="70ad47"/>
        <w:sz w:val="22"/>
      </w:rPr>
      <w:tcPr>
        <w:shd w:val="clear" w:color="ffffff" w:fill="ffffff"/>
        <w:tcBorders>
          <w:top w:val="none" w:color="000000" w:sz="4" w:space="0"/>
          <w:left w:val="none" w:color="000000" w:sz="4" w:space="0"/>
          <w:bottom w:val="single" w:color="A9D08E" w:sz="4" w:space="0"/>
          <w:right w:val="none" w:color="000000" w:sz="4" w:space="0"/>
        </w:tcBorders>
      </w:tcPr>
    </w:tblStylePr>
    <w:tblStylePr w:type="lastCol">
      <w:rPr>
        <w:rFonts w:ascii="Arial" w:hAnsi="Arial"/>
        <w:i/>
        <w:color w:val="70ad47"/>
        <w:sz w:val="22"/>
      </w:rPr>
      <w:tcPr>
        <w:shd w:val="clear" w:color="ffffff" w:fill="auto"/>
        <w:tcBorders>
          <w:top w:val="none" w:color="000000" w:sz="4" w:space="0"/>
          <w:left w:val="single" w:color="A9D08E" w:sz="4" w:space="0"/>
          <w:bottom w:val="none" w:color="000000" w:sz="4" w:space="0"/>
          <w:right w:val="none" w:color="000000" w:sz="4" w:space="0"/>
        </w:tcBorders>
      </w:tcPr>
    </w:tblStylePr>
    <w:tblStylePr w:type="lastRow">
      <w:rPr>
        <w:rFonts w:ascii="Arial" w:hAnsi="Arial"/>
        <w:i/>
        <w:color w:val="70ad47"/>
        <w:sz w:val="22"/>
      </w:rPr>
      <w:tcPr>
        <w:shd w:val="clear" w:color="ffffff" w:fill="ffffff"/>
        <w:tcBorders>
          <w:top w:val="single" w:color="A9D08E" w:sz="4" w:space="0"/>
          <w:left w:val="none" w:color="000000" w:sz="4" w:space="0"/>
          <w:bottom w:val="none" w:color="000000" w:sz="4" w:space="0"/>
          <w:right w:val="none" w:color="000000" w:sz="4" w:space="0"/>
        </w:tcBorders>
      </w:tcPr>
    </w:tblStylePr>
  </w:style>
  <w:style w:type="table" w:styleId="918" w:customStyle="1">
    <w:name w:val="Lined - Accent"/>
    <w:basedOn w:val="7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19" w:customStyle="1">
    <w:name w:val="Lined - Accent 1"/>
    <w:basedOn w:val="7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20" w:customStyle="1">
    <w:name w:val="Lined - Accent 2"/>
    <w:basedOn w:val="7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21" w:customStyle="1">
    <w:name w:val="Lined - Accent 3"/>
    <w:basedOn w:val="7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22" w:customStyle="1">
    <w:name w:val="Lined - Accent 4"/>
    <w:basedOn w:val="7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23" w:customStyle="1">
    <w:name w:val="Lined - Accent 5"/>
    <w:basedOn w:val="7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24" w:customStyle="1">
    <w:name w:val="Lined - Accent 6"/>
    <w:basedOn w:val="730"/>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25" w:customStyle="1">
    <w:name w:val="Bordered &amp; Lined - Accent"/>
    <w:basedOn w:val="730"/>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26" w:customStyle="1">
    <w:name w:val="Bordered &amp; Lined - Accent 1"/>
    <w:basedOn w:val="730"/>
    <w:uiPriority w:val="99"/>
    <w:qFormat/>
    <w:rPr>
      <w:color w:val="404040"/>
    </w:rPr>
    <w:tblPr>
      <w:tblBorders>
        <w:top w:val="single" w:color="254175" w:sz="4" w:space="0"/>
        <w:left w:val="single" w:color="254175" w:sz="4" w:space="0"/>
        <w:bottom w:val="single" w:color="254175" w:sz="4" w:space="0"/>
        <w:right w:val="single" w:color="254175" w:sz="4" w:space="0"/>
        <w:insideH w:val="single" w:color="254175" w:sz="4" w:space="0"/>
        <w:insideV w:val="single" w:color="25417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fill="c4d2ec"/>
      </w:tcPr>
    </w:tblStylePr>
    <w:tblStylePr w:type="band2Vert">
      <w:rPr>
        <w:rFonts w:ascii="Arial" w:hAnsi="Arial"/>
        <w:color w:val="404040"/>
        <w:sz w:val="22"/>
      </w:rPr>
      <w:tcPr>
        <w:shd w:val="clear" w:color="c4d2ec" w:fill="c4d2ec"/>
      </w:tcPr>
    </w:tblStylePr>
    <w:tblStylePr w:type="firstCol">
      <w:rPr>
        <w:rFonts w:ascii="Arial" w:hAnsi="Arial"/>
        <w:color w:val="f2f2f2"/>
        <w:sz w:val="22"/>
      </w:rPr>
      <w:tcPr>
        <w:shd w:val="clear" w:color="537dc8" w:fill="537dc8"/>
      </w:tcPr>
    </w:tblStylePr>
    <w:tblStylePr w:type="firstRow">
      <w:rPr>
        <w:rFonts w:ascii="Arial" w:hAnsi="Arial"/>
        <w:color w:val="f2f2f2"/>
        <w:sz w:val="22"/>
      </w:rPr>
      <w:tcPr>
        <w:shd w:val="clear" w:color="537dc8" w:fill="537dc8"/>
      </w:tcPr>
    </w:tblStylePr>
    <w:tblStylePr w:type="lastCol">
      <w:rPr>
        <w:rFonts w:ascii="Arial" w:hAnsi="Arial"/>
        <w:color w:val="f2f2f2"/>
        <w:sz w:val="22"/>
      </w:rPr>
      <w:tcPr>
        <w:shd w:val="clear" w:color="537dc8" w:fill="537dc8"/>
      </w:tcPr>
    </w:tblStylePr>
    <w:tblStylePr w:type="lastRow">
      <w:rPr>
        <w:rFonts w:ascii="Arial" w:hAnsi="Arial"/>
        <w:color w:val="f2f2f2"/>
        <w:sz w:val="22"/>
      </w:rPr>
      <w:tcPr>
        <w:shd w:val="clear" w:color="537dc8" w:fill="537dc8"/>
      </w:tcPr>
    </w:tblStylePr>
  </w:style>
  <w:style w:type="table" w:styleId="927" w:customStyle="1">
    <w:name w:val="Bordered &amp; Lined - Accent 2"/>
    <w:basedOn w:val="730"/>
    <w:uiPriority w:val="99"/>
    <w:qFormat/>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fill="fbe5d6"/>
      </w:tcPr>
    </w:tblStylePr>
    <w:tblStylePr w:type="band2Vert">
      <w:rPr>
        <w:rFonts w:ascii="Arial" w:hAnsi="Arial"/>
        <w:color w:val="404040"/>
        <w:sz w:val="22"/>
      </w:rPr>
      <w:tcPr>
        <w:shd w:val="clear" w:color="fbe5d6" w:fill="fbe5d6"/>
      </w:tcPr>
    </w:tblStylePr>
    <w:tblStylePr w:type="firstCol">
      <w:rPr>
        <w:rFonts w:ascii="Arial" w:hAnsi="Arial"/>
        <w:color w:val="f2f2f2"/>
        <w:sz w:val="22"/>
      </w:rPr>
      <w:tcPr>
        <w:shd w:val="clear" w:color="f4b184" w:fill="f4b184"/>
      </w:tcPr>
    </w:tblStylePr>
    <w:tblStylePr w:type="firstRow">
      <w:rPr>
        <w:rFonts w:ascii="Arial" w:hAnsi="Arial"/>
        <w:color w:val="f2f2f2"/>
        <w:sz w:val="22"/>
      </w:rPr>
      <w:tcPr>
        <w:shd w:val="clear" w:color="f4b184" w:fill="f4b184"/>
      </w:tcPr>
    </w:tblStylePr>
    <w:tblStylePr w:type="lastCol">
      <w:rPr>
        <w:rFonts w:ascii="Arial" w:hAnsi="Arial"/>
        <w:color w:val="f2f2f2"/>
        <w:sz w:val="22"/>
      </w:rPr>
      <w:tcPr>
        <w:shd w:val="clear" w:color="f4b184" w:fill="f4b184"/>
      </w:tcPr>
    </w:tblStylePr>
    <w:tblStylePr w:type="lastRow">
      <w:rPr>
        <w:rFonts w:ascii="Arial" w:hAnsi="Arial"/>
        <w:color w:val="f2f2f2"/>
        <w:sz w:val="22"/>
      </w:rPr>
      <w:tcPr>
        <w:shd w:val="clear" w:color="f4b184" w:fill="f4b184"/>
      </w:tcPr>
    </w:tblStylePr>
  </w:style>
  <w:style w:type="table" w:styleId="928" w:customStyle="1">
    <w:name w:val="Bordered &amp; Lined - Accent 3"/>
    <w:basedOn w:val="730"/>
    <w:uiPriority w:val="99"/>
    <w:qFormat/>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fill="ececec"/>
      </w:tcPr>
    </w:tblStylePr>
    <w:tblStylePr w:type="band2Vert">
      <w:rPr>
        <w:rFonts w:ascii="Arial" w:hAnsi="Arial"/>
        <w:color w:val="404040"/>
        <w:sz w:val="22"/>
      </w:rPr>
      <w:tcPr>
        <w:shd w:val="clear" w:color="ececec" w:fill="ececec"/>
      </w:tcPr>
    </w:tblStylePr>
    <w:tblStylePr w:type="firstCol">
      <w:rPr>
        <w:rFonts w:ascii="Arial" w:hAnsi="Arial"/>
        <w:color w:val="f2f2f2"/>
        <w:sz w:val="22"/>
      </w:rPr>
      <w:tcPr>
        <w:shd w:val="clear" w:color="a5a5a5" w:fill="a5a5a5"/>
      </w:tcPr>
    </w:tblStylePr>
    <w:tblStylePr w:type="firstRow">
      <w:rPr>
        <w:rFonts w:ascii="Arial" w:hAnsi="Arial"/>
        <w:color w:val="f2f2f2"/>
        <w:sz w:val="22"/>
      </w:rPr>
      <w:tcPr>
        <w:shd w:val="clear" w:color="a5a5a5" w:fill="a5a5a5"/>
      </w:tcPr>
    </w:tblStylePr>
    <w:tblStylePr w:type="lastCol">
      <w:rPr>
        <w:rFonts w:ascii="Arial" w:hAnsi="Arial"/>
        <w:color w:val="f2f2f2"/>
        <w:sz w:val="22"/>
      </w:rPr>
      <w:tcPr>
        <w:shd w:val="clear" w:color="a5a5a5" w:fill="a5a5a5"/>
      </w:tcPr>
    </w:tblStylePr>
    <w:tblStylePr w:type="lastRow">
      <w:rPr>
        <w:rFonts w:ascii="Arial" w:hAnsi="Arial"/>
        <w:color w:val="f2f2f2"/>
        <w:sz w:val="22"/>
      </w:rPr>
      <w:tcPr>
        <w:shd w:val="clear" w:color="a5a5a5" w:fill="a5a5a5"/>
      </w:tcPr>
    </w:tblStylePr>
  </w:style>
  <w:style w:type="table" w:styleId="929" w:customStyle="1">
    <w:name w:val="Bordered &amp; Lined - Accent 4"/>
    <w:basedOn w:val="730"/>
    <w:uiPriority w:val="99"/>
    <w:qFormat/>
    <w:rPr>
      <w:color w:val="404040"/>
    </w:rPr>
    <w:tblPr>
      <w:tblBorders>
        <w:top w:val="single" w:color="957000" w:sz="4" w:space="0"/>
        <w:left w:val="single" w:color="957000" w:sz="4" w:space="0"/>
        <w:bottom w:val="single" w:color="957000" w:sz="4" w:space="0"/>
        <w:right w:val="single" w:color="957000" w:sz="4" w:space="0"/>
        <w:insideH w:val="single" w:color="957000" w:sz="4" w:space="0"/>
        <w:insideV w:val="single" w:color="957000"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fill="fff2cb"/>
      </w:tcPr>
    </w:tblStylePr>
    <w:tblStylePr w:type="band2Vert">
      <w:rPr>
        <w:rFonts w:ascii="Arial" w:hAnsi="Arial"/>
        <w:color w:val="404040"/>
        <w:sz w:val="22"/>
      </w:rPr>
      <w:tcPr>
        <w:shd w:val="clear" w:color="fff2cb" w:fill="fff2cb"/>
      </w:tcPr>
    </w:tblStylePr>
    <w:tblStylePr w:type="firstCol">
      <w:rPr>
        <w:rFonts w:ascii="Arial" w:hAnsi="Arial"/>
        <w:color w:val="f2f2f2"/>
        <w:sz w:val="22"/>
      </w:rPr>
      <w:tcPr>
        <w:shd w:val="clear" w:color="ffd865" w:fill="ffd865"/>
      </w:tcPr>
    </w:tblStylePr>
    <w:tblStylePr w:type="firstRow">
      <w:rPr>
        <w:rFonts w:ascii="Arial" w:hAnsi="Arial"/>
        <w:color w:val="f2f2f2"/>
        <w:sz w:val="22"/>
      </w:rPr>
      <w:tcPr>
        <w:shd w:val="clear" w:color="ffd865" w:fill="ffd865"/>
      </w:tcPr>
    </w:tblStylePr>
    <w:tblStylePr w:type="lastCol">
      <w:rPr>
        <w:rFonts w:ascii="Arial" w:hAnsi="Arial"/>
        <w:color w:val="f2f2f2"/>
        <w:sz w:val="22"/>
      </w:rPr>
      <w:tcPr>
        <w:shd w:val="clear" w:color="ffd865" w:fill="ffd865"/>
      </w:tcPr>
    </w:tblStylePr>
    <w:tblStylePr w:type="lastRow">
      <w:rPr>
        <w:rFonts w:ascii="Arial" w:hAnsi="Arial"/>
        <w:color w:val="f2f2f2"/>
        <w:sz w:val="22"/>
      </w:rPr>
      <w:tcPr>
        <w:shd w:val="clear" w:color="ffd865" w:fill="ffd865"/>
      </w:tcPr>
    </w:tblStylePr>
  </w:style>
  <w:style w:type="table" w:styleId="930" w:customStyle="1">
    <w:name w:val="Bordered &amp; Lined - Accent 5"/>
    <w:basedOn w:val="730"/>
    <w:uiPriority w:val="99"/>
    <w:qFormat/>
    <w:rPr>
      <w:color w:val="404040"/>
    </w:rPr>
    <w:tblPr>
      <w:tblBorders>
        <w:top w:val="single" w:color="245A8D" w:sz="4" w:space="0"/>
        <w:left w:val="single" w:color="245A8D" w:sz="4" w:space="0"/>
        <w:bottom w:val="single" w:color="245A8D" w:sz="4" w:space="0"/>
        <w:right w:val="single" w:color="245A8D" w:sz="4" w:space="0"/>
        <w:insideH w:val="single" w:color="245A8D" w:sz="4" w:space="0"/>
        <w:insideV w:val="single" w:color="245A8D"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fill="ddeaf6"/>
      </w:tcPr>
    </w:tblStylePr>
    <w:tblStylePr w:type="band2Vert">
      <w:rPr>
        <w:rFonts w:ascii="Arial" w:hAnsi="Arial"/>
        <w:color w:val="404040"/>
        <w:sz w:val="22"/>
      </w:rPr>
      <w:tcPr>
        <w:shd w:val="clear" w:color="ddeaf6" w:fill="ddeaf6"/>
      </w:tcPr>
    </w:tblStylePr>
    <w:tblStylePr w:type="firstCol">
      <w:rPr>
        <w:rFonts w:ascii="Arial" w:hAnsi="Arial"/>
        <w:color w:val="f2f2f2"/>
        <w:sz w:val="22"/>
      </w:rPr>
      <w:tcPr>
        <w:shd w:val="clear" w:color="5b9bd5" w:fill="5b9bd5"/>
      </w:tcPr>
    </w:tblStylePr>
    <w:tblStylePr w:type="firstRow">
      <w:rPr>
        <w:rFonts w:ascii="Arial" w:hAnsi="Arial"/>
        <w:color w:val="f2f2f2"/>
        <w:sz w:val="22"/>
      </w:rPr>
      <w:tcPr>
        <w:shd w:val="clear" w:color="5b9bd5" w:fill="5b9bd5"/>
      </w:tcPr>
    </w:tblStylePr>
    <w:tblStylePr w:type="lastCol">
      <w:rPr>
        <w:rFonts w:ascii="Arial" w:hAnsi="Arial"/>
        <w:color w:val="f2f2f2"/>
        <w:sz w:val="22"/>
      </w:rPr>
      <w:tcPr>
        <w:shd w:val="clear" w:color="5b9bd5" w:fill="5b9bd5"/>
      </w:tcPr>
    </w:tblStylePr>
    <w:tblStylePr w:type="lastRow">
      <w:rPr>
        <w:rFonts w:ascii="Arial" w:hAnsi="Arial"/>
        <w:color w:val="f2f2f2"/>
        <w:sz w:val="22"/>
      </w:rPr>
      <w:tcPr>
        <w:shd w:val="clear" w:color="5b9bd5" w:fill="5b9bd5"/>
      </w:tcPr>
    </w:tblStylePr>
  </w:style>
  <w:style w:type="table" w:styleId="931" w:customStyle="1">
    <w:name w:val="Bordered &amp; Lined - Accent 6"/>
    <w:basedOn w:val="730"/>
    <w:uiPriority w:val="99"/>
    <w:qFormat/>
    <w:rPr>
      <w:color w:val="404040"/>
    </w:rPr>
    <w:tblPr>
      <w:tblBorders>
        <w:top w:val="single" w:color="416429" w:sz="4" w:space="0"/>
        <w:left w:val="single" w:color="416429" w:sz="4" w:space="0"/>
        <w:bottom w:val="single" w:color="416429" w:sz="4" w:space="0"/>
        <w:right w:val="single" w:color="416429" w:sz="4" w:space="0"/>
        <w:insideH w:val="single" w:color="416429" w:sz="4" w:space="0"/>
        <w:insideV w:val="single" w:color="416429"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fill="e1efd8"/>
      </w:tcPr>
    </w:tblStylePr>
    <w:tblStylePr w:type="band2Vert">
      <w:rPr>
        <w:rFonts w:ascii="Arial" w:hAnsi="Arial"/>
        <w:color w:val="404040"/>
        <w:sz w:val="22"/>
      </w:rPr>
      <w:tcPr>
        <w:shd w:val="clear" w:color="e1efd8" w:fill="e1efd8"/>
      </w:tcPr>
    </w:tblStylePr>
    <w:tblStylePr w:type="firstCol">
      <w:rPr>
        <w:rFonts w:ascii="Arial" w:hAnsi="Arial"/>
        <w:color w:val="f2f2f2"/>
        <w:sz w:val="22"/>
      </w:rPr>
      <w:tcPr>
        <w:shd w:val="clear" w:color="70ad47" w:fill="70ad47"/>
      </w:tcPr>
    </w:tblStylePr>
    <w:tblStylePr w:type="firstRow">
      <w:rPr>
        <w:rFonts w:ascii="Arial" w:hAnsi="Arial"/>
        <w:color w:val="f2f2f2"/>
        <w:sz w:val="22"/>
      </w:rPr>
      <w:tcPr>
        <w:shd w:val="clear" w:color="70ad47" w:fill="70ad47"/>
      </w:tcPr>
    </w:tblStylePr>
    <w:tblStylePr w:type="lastCol">
      <w:rPr>
        <w:rFonts w:ascii="Arial" w:hAnsi="Arial"/>
        <w:color w:val="f2f2f2"/>
        <w:sz w:val="22"/>
      </w:rPr>
      <w:tcPr>
        <w:shd w:val="clear" w:color="70ad47" w:fill="70ad47"/>
      </w:tcPr>
    </w:tblStylePr>
    <w:tblStylePr w:type="lastRow">
      <w:rPr>
        <w:rFonts w:ascii="Arial" w:hAnsi="Arial"/>
        <w:color w:val="f2f2f2"/>
        <w:sz w:val="22"/>
      </w:rPr>
      <w:tcPr>
        <w:shd w:val="clear" w:color="70ad47" w:fill="70ad47"/>
      </w:tcPr>
    </w:tblStylePr>
  </w:style>
  <w:style w:type="table" w:styleId="932" w:customStyle="1">
    <w:name w:val="Bordered"/>
    <w:basedOn w:val="730"/>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933" w:customStyle="1">
    <w:name w:val="Bordered - Accent 1"/>
    <w:basedOn w:val="730"/>
    <w:uiPriority w:val="99"/>
    <w:qFormat/>
    <w:tblPr>
      <w:tblBorders>
        <w:top w:val="single" w:color="B3C5E7" w:sz="4" w:space="0"/>
        <w:left w:val="single" w:color="B3C5E7" w:sz="4" w:space="0"/>
        <w:bottom w:val="single" w:color="B3C5E7" w:sz="4" w:space="0"/>
        <w:right w:val="single" w:color="B3C5E7" w:sz="4" w:space="0"/>
        <w:insideH w:val="single" w:color="B3C5E7" w:sz="4" w:space="0"/>
        <w:insideV w:val="single" w:color="B3C5E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sz="4" w:space="0"/>
          <w:left w:val="single" w:color="B3C5E7" w:sz="4" w:space="0"/>
          <w:bottom w:val="single" w:color="B3C5E7" w:sz="4" w:space="0"/>
          <w:right w:val="single" w:color="B3C5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sz="12" w:space="0"/>
        </w:tcBorders>
      </w:tcPr>
    </w:tblStylePr>
    <w:tblStylePr w:type="lastCol">
      <w:rPr>
        <w:rFonts w:ascii="Arial" w:hAnsi="Arial"/>
        <w:color w:val="404040"/>
        <w:sz w:val="22"/>
      </w:rPr>
      <w:tcPr>
        <w:tcBorders>
          <w:left w:val="single" w:color="4472C4" w:sz="12" w:space="0"/>
        </w:tcBorders>
      </w:tcPr>
    </w:tblStylePr>
    <w:tblStylePr w:type="lastRow">
      <w:rPr>
        <w:rFonts w:ascii="Arial" w:hAnsi="Arial"/>
        <w:color w:val="404040"/>
        <w:sz w:val="22"/>
      </w:rPr>
      <w:tcPr>
        <w:tcBorders>
          <w:top w:val="single" w:color="4472C4" w:sz="12" w:space="0"/>
        </w:tcBorders>
      </w:tcPr>
    </w:tblStylePr>
  </w:style>
  <w:style w:type="table" w:styleId="934" w:customStyle="1">
    <w:name w:val="Bordered - Accent 2"/>
    <w:basedOn w:val="730"/>
    <w:uiPriority w:val="99"/>
    <w:qFormat/>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sz="4" w:space="0"/>
          <w:left w:val="single" w:color="F7CAAB" w:sz="4" w:space="0"/>
          <w:bottom w:val="single" w:color="F7CAAB" w:sz="4" w:space="0"/>
          <w:right w:val="single" w:color="F7CAA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sz="12" w:space="0"/>
        </w:tcBorders>
      </w:tcPr>
    </w:tblStylePr>
    <w:tblStylePr w:type="lastCol">
      <w:rPr>
        <w:rFonts w:ascii="Arial" w:hAnsi="Arial"/>
        <w:color w:val="404040"/>
        <w:sz w:val="22"/>
      </w:rPr>
      <w:tcPr>
        <w:tcBorders>
          <w:left w:val="single" w:color="F4B184" w:sz="12" w:space="0"/>
        </w:tcBorders>
      </w:tcPr>
    </w:tblStylePr>
    <w:tblStylePr w:type="lastRow">
      <w:rPr>
        <w:rFonts w:ascii="Arial" w:hAnsi="Arial"/>
        <w:color w:val="404040"/>
        <w:sz w:val="22"/>
      </w:rPr>
      <w:tcPr>
        <w:tcBorders>
          <w:top w:val="single" w:color="F4B184" w:sz="12" w:space="0"/>
        </w:tcBorders>
      </w:tcPr>
    </w:tblStylePr>
  </w:style>
  <w:style w:type="table" w:styleId="935" w:customStyle="1">
    <w:name w:val="Bordered - Accent 3"/>
    <w:basedOn w:val="730"/>
    <w:uiPriority w:val="99"/>
    <w:qFormat/>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sz="4" w:space="0"/>
          <w:left w:val="single" w:color="DADADA" w:sz="4" w:space="0"/>
          <w:bottom w:val="single" w:color="DADADA" w:sz="4" w:space="0"/>
          <w:right w:val="single" w:color="DADAD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sz="12" w:space="0"/>
        </w:tcBorders>
      </w:tcPr>
    </w:tblStylePr>
    <w:tblStylePr w:type="lastCol">
      <w:rPr>
        <w:rFonts w:ascii="Arial" w:hAnsi="Arial"/>
        <w:color w:val="404040"/>
        <w:sz w:val="22"/>
      </w:rPr>
      <w:tcPr>
        <w:tcBorders>
          <w:left w:val="single" w:color="C9C9C9" w:sz="12" w:space="0"/>
        </w:tcBorders>
      </w:tcPr>
    </w:tblStylePr>
    <w:tblStylePr w:type="lastRow">
      <w:rPr>
        <w:rFonts w:ascii="Arial" w:hAnsi="Arial"/>
        <w:color w:val="404040"/>
        <w:sz w:val="22"/>
      </w:rPr>
      <w:tcPr>
        <w:tcBorders>
          <w:top w:val="single" w:color="C9C9C9" w:sz="12" w:space="0"/>
        </w:tcBorders>
      </w:tcPr>
    </w:tblStylePr>
  </w:style>
  <w:style w:type="table" w:styleId="936" w:customStyle="1">
    <w:name w:val="Bordered - Accent 4"/>
    <w:basedOn w:val="730"/>
    <w:uiPriority w:val="99"/>
    <w:qFormat/>
    <w:tblPr>
      <w:tblBorders>
        <w:top w:val="single" w:color="FFE598" w:sz="4" w:space="0"/>
        <w:left w:val="single" w:color="FFE598" w:sz="4" w:space="0"/>
        <w:bottom w:val="single" w:color="FFE598" w:sz="4" w:space="0"/>
        <w:right w:val="single" w:color="FFE598" w:sz="4" w:space="0"/>
        <w:insideH w:val="single" w:color="FFE598" w:sz="4" w:space="0"/>
        <w:insideV w:val="single" w:color="FFE598"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sz="4" w:space="0"/>
          <w:left w:val="single" w:color="FFE598" w:sz="4" w:space="0"/>
          <w:bottom w:val="single" w:color="FFE598" w:sz="4" w:space="0"/>
          <w:right w:val="single" w:color="FFE59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sz="12" w:space="0"/>
        </w:tcBorders>
      </w:tcPr>
    </w:tblStylePr>
    <w:tblStylePr w:type="lastCol">
      <w:rPr>
        <w:rFonts w:ascii="Arial" w:hAnsi="Arial"/>
        <w:color w:val="404040"/>
        <w:sz w:val="22"/>
      </w:rPr>
      <w:tcPr>
        <w:tcBorders>
          <w:left w:val="single" w:color="FFD865" w:sz="12" w:space="0"/>
        </w:tcBorders>
      </w:tcPr>
    </w:tblStylePr>
    <w:tblStylePr w:type="lastRow">
      <w:rPr>
        <w:rFonts w:ascii="Arial" w:hAnsi="Arial"/>
        <w:color w:val="404040"/>
        <w:sz w:val="22"/>
      </w:rPr>
      <w:tcPr>
        <w:tcBorders>
          <w:top w:val="single" w:color="FFD865" w:sz="12" w:space="0"/>
        </w:tcBorders>
      </w:tcPr>
    </w:tblStylePr>
  </w:style>
  <w:style w:type="table" w:styleId="937" w:customStyle="1">
    <w:name w:val="Bordered - Accent 5"/>
    <w:basedOn w:val="730"/>
    <w:uiPriority w:val="99"/>
    <w:qFormat/>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sz="4" w:space="0"/>
          <w:left w:val="single" w:color="BCD6EE" w:sz="4" w:space="0"/>
          <w:bottom w:val="single" w:color="BCD6EE" w:sz="4" w:space="0"/>
          <w:right w:val="single" w:color="BCD6EE"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sz="12" w:space="0"/>
        </w:tcBorders>
      </w:tcPr>
    </w:tblStylePr>
    <w:tblStylePr w:type="lastCol">
      <w:rPr>
        <w:rFonts w:ascii="Arial" w:hAnsi="Arial"/>
        <w:color w:val="404040"/>
        <w:sz w:val="22"/>
      </w:rPr>
      <w:tcPr>
        <w:tcBorders>
          <w:left w:val="single" w:color="9BC2E5" w:sz="12" w:space="0"/>
        </w:tcBorders>
      </w:tcPr>
    </w:tblStylePr>
    <w:tblStylePr w:type="lastRow">
      <w:rPr>
        <w:rFonts w:ascii="Arial" w:hAnsi="Arial"/>
        <w:color w:val="404040"/>
        <w:sz w:val="22"/>
      </w:rPr>
      <w:tcPr>
        <w:tcBorders>
          <w:top w:val="single" w:color="9BC2E5" w:sz="12" w:space="0"/>
        </w:tcBorders>
      </w:tcPr>
    </w:tblStylePr>
  </w:style>
  <w:style w:type="table" w:styleId="938" w:customStyle="1">
    <w:name w:val="Bordered - Accent 6"/>
    <w:basedOn w:val="730"/>
    <w:uiPriority w:val="99"/>
    <w:qFormat/>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sz="4" w:space="0"/>
          <w:left w:val="single" w:color="C4DFB2" w:sz="4" w:space="0"/>
          <w:bottom w:val="single" w:color="C4DFB2" w:sz="4" w:space="0"/>
          <w:right w:val="single" w:color="C4DF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sz="12" w:space="0"/>
        </w:tcBorders>
      </w:tcPr>
    </w:tblStylePr>
    <w:tblStylePr w:type="lastCol">
      <w:rPr>
        <w:rFonts w:ascii="Arial" w:hAnsi="Arial"/>
        <w:color w:val="404040"/>
        <w:sz w:val="22"/>
      </w:rPr>
      <w:tcPr>
        <w:tcBorders>
          <w:left w:val="single" w:color="A9D08E" w:sz="12" w:space="0"/>
        </w:tcBorders>
      </w:tcPr>
    </w:tblStylePr>
    <w:tblStylePr w:type="lastRow">
      <w:rPr>
        <w:rFonts w:ascii="Arial" w:hAnsi="Arial"/>
        <w:color w:val="404040"/>
        <w:sz w:val="22"/>
      </w:rPr>
      <w:tcPr>
        <w:tcBorders>
          <w:top w:val="single" w:color="A9D08E" w:sz="12" w:space="0"/>
        </w:tcBorders>
      </w:tcPr>
    </w:tblStylePr>
  </w:style>
  <w:style w:type="paragraph" w:styleId="939" w:customStyle="1">
    <w:name w:val="TOC 标题1"/>
    <w:uiPriority w:val="39"/>
    <w:unhideWhenUsed/>
    <w:qFormat/>
    <w:rPr>
      <w:rFonts w:ascii="等线" w:hAnsi="等线" w:eastAsia="等线" w:cs="Times New Roman"/>
      <w:lang w:val="en-US" w:eastAsia="zh-CN" w:bidi="ar-SA"/>
    </w:rPr>
  </w:style>
  <w:style w:type="character" w:styleId="940" w:customStyle="1">
    <w:name w:val="批注主题 Char"/>
    <w:basedOn w:val="769"/>
    <w:uiPriority w:val="99"/>
    <w:semiHidden/>
    <w:qFormat/>
    <w:rPr>
      <w:rFonts w:ascii="Times New Roman" w:hAnsi="Times New Roman" w:eastAsia="宋体" w:cs="Times New Roman"/>
      <w:b/>
      <w:bCs/>
      <w:szCs w:val="24"/>
    </w:rPr>
  </w:style>
  <w:style w:type="character" w:styleId="941" w:customStyle="1">
    <w:name w:val="Default Char"/>
    <w:link w:val="773"/>
    <w:uiPriority w:val="99"/>
    <w:qFormat/>
    <w:rPr>
      <w:rFonts w:ascii="MS Mincho" w:hAnsi="Calibri"/>
      <w:color w:val="000000"/>
      <w:sz w:val="21"/>
      <w:szCs w:val="24"/>
    </w:rPr>
  </w:style>
  <w:style w:type="paragraph" w:styleId="942" w:customStyle="1">
    <w:name w:val="Table Paragraph"/>
    <w:basedOn w:val="719"/>
    <w:uiPriority w:val="1"/>
    <w:qFormat/>
    <w:pPr>
      <w:jc w:val="left"/>
    </w:pPr>
    <w:rPr>
      <w:rFonts w:ascii="Times New Roman" w:hAnsi="Times New Roman" w:eastAsia="宋体" w:cs="Times New Roman"/>
      <w:sz w:val="24"/>
      <w:szCs w:val="24"/>
    </w:rPr>
  </w:style>
  <w:style w:type="character" w:styleId="943" w:customStyle="1">
    <w:name w:val="标题 4 Char1"/>
    <w:basedOn w:val="729"/>
    <w:link w:val="723"/>
    <w:uiPriority w:val="9"/>
    <w:semiHidden/>
    <w:qFormat/>
    <w:rPr>
      <w:rFonts w:asciiTheme="majorHAnsi" w:hAnsiTheme="majorHAnsi" w:eastAsiaTheme="majorEastAsia" w:cstheme="majorBidi"/>
      <w:b/>
      <w:bCs/>
      <w:sz w:val="28"/>
      <w:szCs w:val="28"/>
    </w:rPr>
  </w:style>
  <w:style w:type="character" w:styleId="944" w:customStyle="1">
    <w:name w:val="标题 5 Char1"/>
    <w:basedOn w:val="729"/>
    <w:link w:val="724"/>
    <w:uiPriority w:val="9"/>
    <w:semiHidden/>
    <w:qFormat/>
    <w:rPr>
      <w:rFonts w:asciiTheme="minorHAnsi" w:hAnsiTheme="minorHAnsi" w:eastAsiaTheme="minorEastAsia" w:cstheme="minorBidi"/>
      <w:b/>
      <w:bCs/>
      <w:sz w:val="28"/>
      <w:szCs w:val="28"/>
    </w:rPr>
  </w:style>
  <w:style w:type="character" w:styleId="945" w:customStyle="1">
    <w:name w:val="标题 6 Char1"/>
    <w:basedOn w:val="729"/>
    <w:link w:val="725"/>
    <w:uiPriority w:val="9"/>
    <w:semiHidden/>
    <w:qFormat/>
    <w:rPr>
      <w:rFonts w:asciiTheme="majorHAnsi" w:hAnsiTheme="majorHAnsi" w:eastAsiaTheme="majorEastAsia" w:cstheme="majorBidi"/>
      <w:b/>
      <w:bCs/>
      <w:sz w:val="24"/>
      <w:szCs w:val="24"/>
    </w:rPr>
  </w:style>
  <w:style w:type="character" w:styleId="946" w:customStyle="1">
    <w:name w:val="标题 7 Char1"/>
    <w:basedOn w:val="729"/>
    <w:link w:val="726"/>
    <w:uiPriority w:val="9"/>
    <w:semiHidden/>
    <w:qFormat/>
    <w:rPr>
      <w:rFonts w:asciiTheme="minorHAnsi" w:hAnsiTheme="minorHAnsi" w:eastAsiaTheme="minorEastAsia" w:cstheme="minorBidi"/>
      <w:b/>
      <w:bCs/>
      <w:sz w:val="24"/>
      <w:szCs w:val="24"/>
    </w:rPr>
  </w:style>
  <w:style w:type="character" w:styleId="947" w:customStyle="1">
    <w:name w:val="标题 8 Char1"/>
    <w:basedOn w:val="729"/>
    <w:link w:val="727"/>
    <w:uiPriority w:val="9"/>
    <w:semiHidden/>
    <w:qFormat/>
    <w:rPr>
      <w:rFonts w:asciiTheme="majorHAnsi" w:hAnsiTheme="majorHAnsi" w:eastAsiaTheme="majorEastAsia" w:cstheme="majorBidi"/>
      <w:sz w:val="24"/>
      <w:szCs w:val="24"/>
    </w:rPr>
  </w:style>
  <w:style w:type="character" w:styleId="948" w:customStyle="1">
    <w:name w:val="标题 9 Char1"/>
    <w:basedOn w:val="729"/>
    <w:link w:val="728"/>
    <w:uiPriority w:val="9"/>
    <w:semiHidden/>
    <w:qFormat/>
    <w:rPr>
      <w:rFonts w:asciiTheme="majorHAnsi" w:hAnsiTheme="majorHAnsi" w:eastAsiaTheme="majorEastAsia" w:cstheme="majorBidi"/>
      <w:sz w:val="21"/>
      <w:szCs w:val="21"/>
    </w:rPr>
  </w:style>
  <w:style w:type="character" w:styleId="949" w:customStyle="1">
    <w:name w:val="标题 Char1"/>
    <w:basedOn w:val="729"/>
    <w:link w:val="753"/>
    <w:uiPriority w:val="10"/>
    <w:qFormat/>
    <w:rPr>
      <w:rFonts w:asciiTheme="majorHAnsi" w:hAnsiTheme="majorHAnsi" w:cstheme="majorBidi"/>
      <w:b/>
      <w:bCs/>
      <w:sz w:val="32"/>
      <w:szCs w:val="32"/>
    </w:rPr>
  </w:style>
  <w:style w:type="character" w:styleId="950" w:customStyle="1">
    <w:name w:val="副标题 Char1"/>
    <w:basedOn w:val="729"/>
    <w:link w:val="746"/>
    <w:uiPriority w:val="11"/>
    <w:qFormat/>
    <w:rPr>
      <w:rFonts w:asciiTheme="majorHAnsi" w:hAnsiTheme="majorHAnsi" w:cstheme="majorBidi"/>
      <w:b/>
      <w:bCs/>
      <w:sz w:val="32"/>
      <w:szCs w:val="32"/>
    </w:rPr>
  </w:style>
  <w:style w:type="character" w:styleId="951" w:customStyle="1">
    <w:name w:val="引用 Char1"/>
    <w:basedOn w:val="729"/>
    <w:link w:val="799"/>
    <w:uiPriority w:val="99"/>
    <w:qFormat/>
    <w:rPr>
      <w:rFonts w:asciiTheme="minorHAnsi" w:hAnsiTheme="minorHAnsi" w:eastAsiaTheme="minorEastAsia" w:cstheme="minorBidi"/>
      <w:i/>
      <w:iCs/>
      <w:color w:val="3f3f3f" w:themeColor="text1" w:themeTint="BF"/>
      <w:sz w:val="21"/>
      <w:szCs w:val="22"/>
    </w:rPr>
  </w:style>
  <w:style w:type="character" w:styleId="952" w:customStyle="1">
    <w:name w:val="明显引用 Char1"/>
    <w:basedOn w:val="729"/>
    <w:link w:val="804"/>
    <w:uiPriority w:val="99"/>
    <w:qFormat/>
    <w:rPr>
      <w:rFonts w:asciiTheme="minorHAnsi" w:hAnsiTheme="minorHAnsi" w:eastAsiaTheme="minorEastAsia" w:cstheme="minorBidi"/>
      <w:i/>
      <w:iCs/>
      <w:color w:val="4f81bd" w:themeColor="accent1"/>
      <w:sz w:val="21"/>
      <w:szCs w:val="22"/>
    </w:rPr>
  </w:style>
  <w:style w:type="character" w:styleId="953" w:customStyle="1">
    <w:name w:val="批注主题 Char1"/>
    <w:basedOn w:val="769"/>
    <w:link w:val="754"/>
    <w:uiPriority w:val="99"/>
    <w:semiHidden/>
    <w:qFormat/>
    <w:rPr>
      <w:rFonts w:asciiTheme="minorHAnsi" w:hAnsiTheme="minorHAnsi" w:eastAsiaTheme="minorEastAsia" w:cstheme="minorBidi"/>
      <w:b/>
      <w:bCs/>
      <w:sz w:val="21"/>
      <w:szCs w:val="22"/>
    </w:rPr>
  </w:style>
  <w:style w:type="paragraph" w:styleId="954" w:customStyle="1">
    <w:name w:val="正文首行缩进 21"/>
    <w:uiPriority w:val="0"/>
    <w:qFormat/>
    <w:pPr>
      <w:ind w:left="200" w:firstLine="200"/>
      <w:jc w:val="both"/>
      <w:spacing w:after="120" w:line="300" w:lineRule="auto"/>
      <w:widowControl w:val="off"/>
      <w:tabs>
        <w:tab w:val="left" w:pos="420" w:leader="none"/>
      </w:tabs>
    </w:pPr>
    <w:rPr>
      <w:rFonts w:ascii="Times New Roman" w:hAnsi="Times New Roman" w:eastAsia="宋体" w:cs="Times New Roman"/>
      <w:sz w:val="21"/>
      <w:szCs w:val="22"/>
      <w:lang w:val="en-US" w:eastAsia="zh-CN" w:bidi="ar-SA"/>
    </w:rPr>
  </w:style>
  <w:style w:type="numbering" w:styleId="95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ops>
  <customShpExts>
    <customShpInfo spid="_x0000_s1026"/>
    <customShpInfo spid="_x0000_s1038"/>
    <customShpInfo spid="_x0000_s1037"/>
    <customShpInfo spid="_x0000_s1036"/>
    <customShpInfo spid="_x0000_s1035"/>
    <customShpInfo spid="_x0000_s1034"/>
    <customShpInfo spid="_x0000_s1033"/>
    <customShpInfo spid="_x0000_s1032"/>
    <customShpInfo spid="_x0000_s1031"/>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5EE8124A-A461-4606-A7B2-59746F39D079}"/>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2024年3月11日修订</dc:description>
  <cp:lastModifiedBy>程杨</cp:lastModifiedBy>
  <cp:revision>40</cp:revision>
  <dcterms:created xsi:type="dcterms:W3CDTF">2026-08-24T07:40:00Z</dcterms:created>
  <dcterms:modified xsi:type="dcterms:W3CDTF">2026-09-24T07:48:33Z</dcterms:modified>
  <cp:category>“苏采云”公开招标货物范本</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eyJoZGlkIjoiNzk4ZjkyYWVlZDEyZDU2ZDk1NmQ5MDgwZjhiZTY3MzkiLCJ1c2VySWQiOiIxMDQyMDAzNTU1In0=</vt:lpwstr>
  </property>
  <property fmtid="{D5CDD505-2E9C-101B-9397-08002B2CF9AE}" pid="3" name="KSOProductBuildVer">
    <vt:lpwstr>2052-12.1.0.28505</vt:lpwstr>
  </property>
  <property fmtid="{D5CDD505-2E9C-101B-9397-08002B2CF9AE}" pid="4" name="ICV">
    <vt:lpwstr>0380C7B060AF4ED4A0E97886D5836062_13</vt:lpwstr>
  </property>
</Properties>
</file>