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jc w:val="center"/>
        <w:spacing w:line="360" w:lineRule="auto"/>
        <w:shd w:val="clear" w:color="auto" w:fill="ffffff"/>
        <w:widowControl/>
        <w:rPr>
          <w:rFonts w:ascii="宋体" w:hAnsi="宋体" w:cs="宋体"/>
          <w:b/>
          <w:spacing w:val="-20"/>
          <w:sz w:val="48"/>
          <w:szCs w:val="48"/>
        </w:rPr>
      </w:pPr>
      <w:r>
        <w:rPr>
          <w:rFonts w:ascii="宋体" w:hAnsi="宋体" w:cs="宋体"/>
          <w:b/>
          <w:spacing w:val="-20"/>
          <w:sz w:val="48"/>
          <w:szCs w:val="48"/>
        </w:rPr>
      </w:r>
      <w:r/>
    </w:p>
    <w:p>
      <w:pPr>
        <w:jc w:val="center"/>
        <w:spacing w:line="360" w:lineRule="auto"/>
        <w:shd w:val="clear" w:color="auto" w:fill="ffffff"/>
        <w:widowControl/>
        <w:rPr>
          <w:rFonts w:ascii="宋体" w:hAnsi="宋体" w:cs="宋体"/>
          <w:b/>
          <w:sz w:val="52"/>
          <w:szCs w:val="52"/>
        </w:rPr>
      </w:pPr>
      <w:r>
        <w:rPr>
          <w:rFonts w:hint="eastAsia" w:ascii="宋体" w:hAnsi="宋体" w:cs="宋体"/>
          <w:b/>
          <w:sz w:val="52"/>
          <w:szCs w:val="52"/>
        </w:rPr>
        <w:t xml:space="preserve">南京市主城地区大比例尺地形图动态维护测绘服务（2026）</w:t>
      </w:r>
      <w:r/>
    </w:p>
    <w:p>
      <w:pPr>
        <w:jc w:val="center"/>
        <w:spacing w:line="360" w:lineRule="auto"/>
        <w:shd w:val="clear" w:color="auto" w:fill="ffffff"/>
        <w:widowControl/>
        <w:rPr>
          <w:rFonts w:ascii="宋体" w:hAnsi="宋体" w:cs="宋体"/>
          <w:b/>
          <w:sz w:val="52"/>
          <w:szCs w:val="52"/>
        </w:rPr>
      </w:pPr>
      <w:r>
        <w:rPr>
          <w:rFonts w:ascii="宋体" w:hAnsi="宋体" w:cs="宋体"/>
          <w:b/>
          <w:sz w:val="52"/>
          <w:szCs w:val="52"/>
        </w:rPr>
      </w:r>
      <w:r/>
    </w:p>
    <w:p>
      <w:pPr>
        <w:pStyle w:val="919"/>
        <w:ind w:firstLine="420"/>
        <w:rPr>
          <w:rFonts w:hint="default"/>
        </w:rPr>
      </w:pPr>
      <w:r>
        <w:rPr>
          <w:rFonts w:hint="default"/>
        </w:rPr>
      </w:r>
      <w:r/>
    </w:p>
    <w:p>
      <w:pPr>
        <w:pStyle w:val="904"/>
        <w:rPr>
          <w:rFonts w:cs="宋体"/>
        </w:rPr>
      </w:pPr>
      <w:r>
        <w:rPr>
          <w:rFonts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项目编号：JSZC-320100-JCEC-G2026-0373</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（服务类项目，非专门面向中小企业）</w:t>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72"/>
          <w:szCs w:val="72"/>
        </w:rPr>
      </w:pPr>
      <w:r>
        <w:rPr>
          <w:rFonts w:ascii="宋体" w:hAnsi="宋体" w:cs="宋体"/>
          <w:b/>
          <w:sz w:val="72"/>
          <w:szCs w:val="72"/>
        </w:rPr>
      </w:r>
      <w:r/>
    </w:p>
    <w:p>
      <w:pPr>
        <w:spacing w:line="360" w:lineRule="auto"/>
        <w:widowControl/>
        <w:rPr>
          <w:rFonts w:ascii="宋体" w:hAnsi="宋体" w:cs="宋体"/>
          <w:b/>
          <w:sz w:val="72"/>
          <w:szCs w:val="72"/>
        </w:rPr>
      </w:pPr>
      <w:r>
        <w:rPr>
          <w:rFonts w:ascii="宋体" w:hAnsi="宋体" w:cs="宋体"/>
          <w:b/>
          <w:sz w:val="72"/>
          <w:szCs w:val="72"/>
        </w:rPr>
      </w:r>
      <w:r/>
    </w:p>
    <w:p>
      <w:pPr>
        <w:pStyle w:val="882"/>
      </w:p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采购人：南京市规划和自然资源局</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202</w:t>
      </w:r>
      <w:r>
        <w:rPr>
          <w:rFonts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9</w:t>
      </w:r>
      <w:r>
        <w:rPr>
          <w:rFonts w:hint="eastAsia" w:ascii="宋体" w:hAnsi="宋体" w:cs="宋体"/>
          <w:b/>
          <w:sz w:val="36"/>
          <w:szCs w:val="36"/>
        </w:rPr>
        <w:t xml:space="preserve">月</w:t>
      </w:r>
      <w:r/>
    </w:p>
    <w:p>
      <w:pPr>
        <w:pStyle w:val="1025"/>
        <w:jc w:val="center"/>
        <w:rPr>
          <w:rFonts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lang w:val="zh-CN"/>
        </w:rPr>
      </w:r>
      <w:r/>
    </w:p>
    <w:p>
      <w:pPr>
        <w:pStyle w:val="1025"/>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895"/>
        <w:tabs>
          <w:tab w:val="right" w:pos="8296" w:leader="dot"/>
        </w:tabs>
        <w:rPr>
          <w:rFonts w:ascii="宋体" w:hAnsi="宋体" w:cs="宋体"/>
          <w:sz w:val="28"/>
          <w:szCs w:val="28"/>
        </w:rPr>
      </w:pPr>
      <w:r>
        <w:rPr>
          <w:rFonts w:ascii="宋体" w:hAnsi="宋体" w:cs="宋体"/>
          <w:sz w:val="28"/>
          <w:szCs w:val="28"/>
        </w:rPr>
      </w:r>
      <w:r/>
    </w:p>
    <w:p>
      <w:pPr>
        <w:pStyle w:val="895"/>
        <w:spacing w:line="360" w:lineRule="auto"/>
        <w:tabs>
          <w:tab w:val="right" w:pos="9638"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"_Toc29397"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招标公告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_Toc29397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895"/>
        <w:spacing w:line="360" w:lineRule="auto"/>
        <w:tabs>
          <w:tab w:val="right" w:pos="9638" w:leader="dot"/>
        </w:tabs>
        <w:rPr>
          <w:rFonts w:ascii="宋体" w:hAnsi="宋体" w:cs="宋体"/>
          <w:sz w:val="28"/>
          <w:szCs w:val="28"/>
        </w:rPr>
      </w:pPr>
      <w:r>
        <w:fldChar w:fldCharType="begin"/>
      </w:r>
      <w:r>
        <w:instrText xml:space="preserve"> HYPERLINK \l "_Toc24258"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_Toc24258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895"/>
        <w:spacing w:line="360" w:lineRule="auto"/>
        <w:tabs>
          <w:tab w:val="right" w:pos="9638" w:leader="dot"/>
        </w:tabs>
        <w:rPr>
          <w:rFonts w:ascii="宋体" w:hAnsi="宋体" w:cs="宋体"/>
          <w:sz w:val="28"/>
          <w:szCs w:val="28"/>
        </w:rPr>
      </w:pPr>
      <w:r>
        <w:fldChar w:fldCharType="begin"/>
      </w:r>
      <w:r>
        <w:instrText xml:space="preserve"> HYPERLINK \l "_Toc2306"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_Toc2306 \h </w:instrText>
      </w:r>
      <w:r>
        <w:rPr>
          <w:rFonts w:hint="eastAsia" w:ascii="宋体" w:hAnsi="宋体" w:cs="宋体"/>
          <w:sz w:val="28"/>
          <w:szCs w:val="28"/>
        </w:rPr>
        <w:fldChar w:fldCharType="separate"/>
      </w:r>
      <w:r>
        <w:rPr>
          <w:rFonts w:hint="eastAsia" w:ascii="宋体" w:hAnsi="宋体" w:cs="宋体"/>
          <w:sz w:val="28"/>
          <w:szCs w:val="28"/>
        </w:rPr>
        <w:t xml:space="preserve">17</w:t>
      </w:r>
      <w:r>
        <w:rPr>
          <w:rFonts w:hint="eastAsia" w:ascii="宋体" w:hAnsi="宋体" w:cs="宋体"/>
          <w:sz w:val="28"/>
          <w:szCs w:val="28"/>
        </w:rPr>
        <w:fldChar w:fldCharType="end"/>
      </w:r>
      <w:r>
        <w:rPr>
          <w:rFonts w:hint="eastAsia" w:ascii="宋体" w:hAnsi="宋体" w:cs="宋体"/>
          <w:sz w:val="28"/>
          <w:szCs w:val="28"/>
        </w:rPr>
        <w:fldChar w:fldCharType="end"/>
      </w:r>
      <w:r/>
    </w:p>
    <w:p>
      <w:pPr>
        <w:pStyle w:val="895"/>
        <w:spacing w:line="360" w:lineRule="auto"/>
        <w:tabs>
          <w:tab w:val="right" w:pos="9638" w:leader="dot"/>
        </w:tabs>
        <w:rPr>
          <w:rFonts w:ascii="宋体" w:hAnsi="宋体" w:cs="宋体"/>
          <w:sz w:val="28"/>
          <w:szCs w:val="28"/>
        </w:rPr>
      </w:pPr>
      <w:r>
        <w:fldChar w:fldCharType="begin"/>
      </w:r>
      <w:r>
        <w:instrText xml:space="preserve"> HYPERLINK \l "_Toc31319"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_Toc31319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p>
    <w:p>
      <w:pPr>
        <w:pStyle w:val="895"/>
        <w:spacing w:line="360" w:lineRule="auto"/>
        <w:tabs>
          <w:tab w:val="right" w:pos="9638" w:leader="dot"/>
        </w:tabs>
        <w:rPr>
          <w:rFonts w:ascii="宋体" w:hAnsi="宋体" w:cs="宋体"/>
          <w:sz w:val="28"/>
          <w:szCs w:val="28"/>
        </w:rPr>
      </w:pPr>
      <w:r>
        <w:fldChar w:fldCharType="begin"/>
      </w:r>
      <w:r>
        <w:instrText xml:space="preserve"> HYPERLINK \l "_Toc26505"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_Toc26505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rPr>
          <w:rFonts w:hint="eastAsia" w:ascii="宋体" w:hAnsi="宋体" w:cs="宋体"/>
          <w:sz w:val="28"/>
          <w:szCs w:val="28"/>
        </w:rPr>
        <w:fldChar w:fldCharType="end"/>
      </w:r>
      <w:r/>
    </w:p>
    <w:p>
      <w:pPr>
        <w:pStyle w:val="895"/>
        <w:spacing w:line="360" w:lineRule="auto"/>
        <w:tabs>
          <w:tab w:val="right" w:pos="9638" w:leader="dot"/>
        </w:tabs>
        <w:rPr>
          <w:rFonts w:ascii="宋体" w:hAnsi="宋体" w:cs="宋体"/>
          <w:sz w:val="28"/>
          <w:szCs w:val="28"/>
        </w:rPr>
      </w:pPr>
      <w:r>
        <w:fldChar w:fldCharType="begin"/>
      </w:r>
      <w:r>
        <w:instrText xml:space="preserve"> HYPERLINK \l "_Toc26645" </w:instrText>
      </w:r>
      <w:r>
        <w:fldChar w:fldCharType="separate"/>
      </w:r>
      <w:r>
        <w:rPr>
          <w:rFonts w:hint="eastAsia" w:ascii="宋体" w:hAnsi="宋体" w:cs="宋体"/>
          <w:sz w:val="28"/>
          <w:szCs w:val="28"/>
        </w:rPr>
        <w:t xml:space="preserve">第六章 投标文件格式及附件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_Toc26645 \h </w:instrText>
      </w:r>
      <w:r>
        <w:rPr>
          <w:rFonts w:hint="eastAsia" w:ascii="宋体" w:hAnsi="宋体" w:cs="宋体"/>
          <w:sz w:val="28"/>
          <w:szCs w:val="28"/>
        </w:rPr>
        <w:fldChar w:fldCharType="separate"/>
      </w:r>
      <w:r>
        <w:rPr>
          <w:rFonts w:hint="eastAsia" w:ascii="宋体" w:hAnsi="宋体" w:cs="宋体"/>
          <w:sz w:val="28"/>
          <w:szCs w:val="28"/>
        </w:rPr>
        <w:t xml:space="preserve">30</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360" w:lineRule="auto"/>
        <w:rPr>
          <w:rFonts w:ascii="宋体" w:hAnsi="宋体" w:cs="宋体"/>
          <w:sz w:val="28"/>
          <w:szCs w:val="28"/>
        </w:rPr>
      </w:pPr>
      <w:r>
        <w:rPr>
          <w:rFonts w:hint="eastAsia" w:ascii="宋体" w:hAnsi="宋体" w:cs="宋体"/>
          <w:sz w:val="28"/>
          <w:szCs w:val="28"/>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62"/>
        <w:rPr>
          <w:rFonts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62"/>
        <w:spacing w:line="360" w:lineRule="auto"/>
        <w:rPr>
          <w:rFonts w:ascii="宋体" w:hAnsi="宋体" w:cs="宋体"/>
          <w:szCs w:val="21"/>
        </w:rPr>
      </w:pPr>
      <w:r>
        <w:rPr>
          <w:rFonts w:hint="eastAsia" w:ascii="宋体" w:hAnsi="宋体" w:cs="宋体"/>
        </w:rPr>
        <w:t xml:space="preserve"> </w:t>
      </w:r>
      <w:bookmarkStart w:id="3" w:name="_Toc29397"/>
      <w:r>
        <w:rPr>
          <w:rFonts w:hint="eastAsia" w:ascii="宋体" w:hAnsi="宋体" w:cs="宋体"/>
        </w:rPr>
        <w:t xml:space="preserve">招标公告</w:t>
      </w:r>
      <w:bookmarkEnd w:id="0"/>
      <w:r/>
      <w:bookmarkEnd w:id="3"/>
      <w:r/>
      <w:r/>
    </w:p>
    <w:p>
      <w:pPr>
        <w:ind w:firstLine="369"/>
        <w:spacing w:line="360" w:lineRule="auto"/>
        <w:widowControl/>
        <w:rPr>
          <w:rFonts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南京市主城地区大比例尺地形图动态维护测绘服务（2026）</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t xml:space="preserve">2026年</w:t>
      </w:r>
      <w:r>
        <w:rPr>
          <w:rFonts w:hint="eastAsia" w:ascii="宋体" w:hAnsi="宋体" w:cs="宋体"/>
          <w:b/>
          <w:bCs/>
          <w:iCs/>
          <w:spacing w:val="8"/>
          <w:szCs w:val="21"/>
          <w:lang w:val="en-US" w:eastAsia="zh-CN"/>
        </w:rPr>
        <w:t xml:space="preserve">10</w:t>
      </w:r>
      <w:r>
        <w:rPr>
          <w:rFonts w:hint="eastAsia" w:ascii="宋体" w:hAnsi="宋体" w:cs="宋体"/>
          <w:b/>
          <w:bCs/>
          <w:iCs/>
          <w:spacing w:val="8"/>
          <w:szCs w:val="21"/>
        </w:rPr>
        <w:t xml:space="preserve">月</w:t>
      </w:r>
      <w:r>
        <w:rPr>
          <w:rFonts w:hint="eastAsia" w:ascii="宋体" w:hAnsi="宋体" w:cs="宋体"/>
          <w:b/>
          <w:bCs/>
          <w:iCs/>
          <w:spacing w:val="8"/>
          <w:szCs w:val="21"/>
          <w:lang w:val="en-US" w:eastAsia="zh-CN"/>
        </w:rPr>
        <w:t xml:space="preserve">19</w:t>
      </w:r>
      <w:r>
        <w:rPr>
          <w:rFonts w:hint="eastAsia" w:ascii="宋体" w:hAnsi="宋体" w:cs="宋体"/>
          <w:b/>
          <w:bCs/>
          <w:iCs/>
          <w:spacing w:val="8"/>
          <w:szCs w:val="21"/>
        </w:rPr>
        <w:t xml:space="preserve">日</w:t>
      </w:r>
      <w:r>
        <w:rPr>
          <w:rFonts w:hint="eastAsia" w:ascii="宋体" w:hAnsi="宋体" w:cs="宋体"/>
          <w:b/>
          <w:bCs/>
          <w:szCs w:val="21"/>
        </w:rPr>
        <w:t xml:space="preserve">09点30分</w:t>
      </w:r>
      <w:r>
        <w:rPr>
          <w:rFonts w:hint="eastAsia" w:ascii="宋体" w:hAnsi="宋体" w:cs="宋体"/>
          <w:szCs w:val="21"/>
        </w:rPr>
        <w:t xml:space="preserve">（北京时间）前递交投标文件。</w:t>
      </w:r>
      <w:r/>
    </w:p>
    <w:p>
      <w:pPr>
        <w:ind w:firstLine="452"/>
        <w:jc w:val="left"/>
        <w:spacing w:line="360" w:lineRule="auto"/>
        <w:rPr>
          <w:rFonts w:ascii="宋体" w:hAnsi="宋体" w:cs="宋体"/>
          <w:spacing w:val="8"/>
          <w:szCs w:val="21"/>
        </w:rPr>
      </w:pPr>
      <w:r>
        <w:rPr>
          <w:rFonts w:ascii="宋体" w:hAnsi="宋体" w:cs="宋体"/>
          <w:spacing w:val="8"/>
          <w:szCs w:val="21"/>
        </w:rPr>
      </w:r>
      <w:r/>
    </w:p>
    <w:p>
      <w:pPr>
        <w:jc w:val="left"/>
        <w:spacing w:line="360" w:lineRule="auto"/>
        <w:rPr>
          <w:rFonts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ascii="宋体" w:hAnsi="宋体" w:cs="宋体"/>
          <w:bCs/>
          <w:szCs w:val="21"/>
        </w:rPr>
      </w:pPr>
      <w:r>
        <w:rPr>
          <w:rFonts w:hint="eastAsia" w:ascii="宋体" w:hAnsi="宋体" w:cs="宋体"/>
          <w:bCs/>
          <w:szCs w:val="21"/>
        </w:rPr>
        <w:t xml:space="preserve">1.1项目编号：JSZC-320100-JCEC-G2026-0373</w:t>
      </w:r>
      <w:r/>
    </w:p>
    <w:p>
      <w:pPr>
        <w:ind w:firstLine="420"/>
        <w:spacing w:line="360" w:lineRule="auto"/>
        <w:rPr>
          <w:rFonts w:ascii="宋体" w:hAnsi="宋体" w:cs="宋体"/>
          <w:bCs/>
          <w:szCs w:val="21"/>
        </w:rPr>
      </w:pPr>
      <w:r>
        <w:rPr>
          <w:rFonts w:hint="eastAsia" w:ascii="宋体" w:hAnsi="宋体" w:cs="宋体"/>
          <w:bCs/>
          <w:szCs w:val="21"/>
        </w:rPr>
        <w:t xml:space="preserve">1.2项目名称：南京市主城地区大比例尺地形图动态维护测绘服务（2026）</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1.3预算金额：人民币500万元。</w:t>
      </w:r>
      <w:r/>
    </w:p>
    <w:p>
      <w:pPr>
        <w:ind w:firstLine="420"/>
        <w:spacing w:line="360" w:lineRule="auto"/>
        <w:rPr>
          <w:rFonts w:hint="default" w:ascii="宋体" w:hAnsi="宋体" w:cs="宋体"/>
          <w:bCs/>
          <w:szCs w:val="21"/>
          <w:lang w:val="en-US" w:eastAsia="zh-CN"/>
        </w:rPr>
      </w:pPr>
      <w:r>
        <w:rPr>
          <w:rFonts w:hint="eastAsia" w:ascii="宋体" w:hAnsi="宋体" w:cs="宋体"/>
          <w:bCs/>
          <w:szCs w:val="21"/>
          <w:lang w:val="en-US" w:eastAsia="zh-CN"/>
        </w:rPr>
        <w:t xml:space="preserve">1.4最高限价(如有)：500万元，投标报价超过最高限价的为无效投标</w:t>
      </w:r>
      <w:r/>
    </w:p>
    <w:p>
      <w:pPr>
        <w:ind w:firstLine="420"/>
        <w:jc w:val="left"/>
        <w:spacing w:line="360" w:lineRule="auto"/>
        <w:shd w:val="clear" w:color="auto" w:fill="ffffff"/>
        <w:widowControl/>
        <w:rPr>
          <w:rFonts w:ascii="宋体" w:hAnsi="宋体" w:cs="Arial"/>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5</w:t>
      </w:r>
      <w:r>
        <w:rPr>
          <w:rFonts w:hint="eastAsia" w:ascii="宋体" w:hAnsi="宋体" w:cs="宋体"/>
          <w:bCs/>
          <w:szCs w:val="21"/>
        </w:rPr>
        <w:t xml:space="preserve">采购需求：</w:t>
      </w:r>
      <w:r>
        <w:rPr>
          <w:rFonts w:hint="eastAsia" w:ascii="宋体" w:hAnsi="宋体" w:cs="Arial"/>
          <w:bCs/>
          <w:szCs w:val="21"/>
        </w:rPr>
        <w:t xml:space="preserve">为满足国土空间规划，城市建设、管理等领域的信息需求，拟对南京主城地区大比例尺地形图进行动态更新维护，提升基础地理信息服务能力，具体详见采购需求。</w:t>
      </w:r>
      <w:r/>
    </w:p>
    <w:p>
      <w:pPr>
        <w:ind w:firstLine="420"/>
        <w:jc w:val="left"/>
        <w:spacing w:line="360" w:lineRule="auto"/>
        <w:shd w:val="clear" w:color="auto" w:fill="ffffff"/>
        <w:widowControl/>
        <w:rPr>
          <w:rFonts w:ascii="宋体" w:hAnsi="宋体" w:cs="宋体"/>
          <w:bCs/>
          <w:szCs w:val="21"/>
          <w:highlight w:val="yellow"/>
        </w:rPr>
      </w:pPr>
      <w:r>
        <w:rPr>
          <w:rFonts w:hint="eastAsia" w:ascii="宋体" w:hAnsi="宋体" w:cs="宋体"/>
          <w:bCs/>
          <w:szCs w:val="21"/>
        </w:rPr>
        <w:t xml:space="preserve">1.</w:t>
      </w:r>
      <w:r>
        <w:rPr>
          <w:rFonts w:hint="eastAsia" w:ascii="宋体" w:hAnsi="宋体" w:cs="宋体"/>
          <w:bCs/>
          <w:szCs w:val="21"/>
          <w:lang w:val="en-US" w:eastAsia="zh-CN"/>
        </w:rPr>
        <w:t xml:space="preserve">6</w:t>
      </w:r>
      <w:r>
        <w:rPr>
          <w:rFonts w:hint="eastAsia" w:ascii="宋体" w:hAnsi="宋体" w:cs="宋体"/>
          <w:bCs/>
          <w:szCs w:val="21"/>
        </w:rPr>
        <w:t xml:space="preserve">合同履行期限：</w:t>
      </w:r>
      <w:r>
        <w:rPr>
          <w:rFonts w:hint="eastAsia"/>
        </w:rPr>
        <w:t xml:space="preserve">2</w:t>
      </w:r>
      <w:r>
        <w:t xml:space="preserve">026</w:t>
      </w:r>
      <w:r>
        <w:rPr>
          <w:rFonts w:hint="eastAsia"/>
        </w:rPr>
        <w:t xml:space="preserve">年1</w:t>
      </w:r>
      <w:r>
        <w:t xml:space="preserve">2</w:t>
      </w:r>
      <w:r>
        <w:rPr>
          <w:rFonts w:hint="eastAsia"/>
        </w:rPr>
        <w:t xml:space="preserve">月-</w:t>
      </w:r>
      <w:r>
        <w:t xml:space="preserve">2027</w:t>
      </w:r>
      <w:r>
        <w:rPr>
          <w:rFonts w:hint="eastAsia"/>
        </w:rPr>
        <w:t xml:space="preserve">年1</w:t>
      </w:r>
      <w:r>
        <w:t xml:space="preserve">1</w:t>
      </w:r>
      <w:r>
        <w:rPr>
          <w:rFonts w:hint="eastAsia"/>
        </w:rPr>
        <w:t xml:space="preserve">月。</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7</w:t>
      </w:r>
      <w:r>
        <w:rPr>
          <w:rFonts w:hint="eastAsia" w:ascii="宋体" w:hAnsi="宋体" w:cs="宋体"/>
          <w:bCs/>
          <w:szCs w:val="21"/>
        </w:rPr>
        <w:t xml:space="preserve">行业划分：</w:t>
      </w:r>
      <w:r>
        <w:rPr>
          <w:rFonts w:hint="eastAsia" w:ascii="宋体" w:hAnsi="宋体" w:cs="宋体"/>
          <w:spacing w:val="8"/>
          <w:szCs w:val="21"/>
        </w:rPr>
        <w:t xml:space="preserve">科学研究和技术服务业。</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8</w:t>
      </w:r>
      <w:r>
        <w:rPr>
          <w:rFonts w:hint="eastAsia" w:ascii="宋体" w:hAnsi="宋体" w:cs="宋体"/>
          <w:bCs/>
          <w:szCs w:val="21"/>
        </w:rPr>
        <w:t xml:space="preserve">本项目非专门面向中小企业（或监狱企业或残疾人福利性单位）采购。</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val="en-US" w:eastAsia="zh-CN"/>
        </w:rPr>
        <w:t xml:space="preserve">9</w:t>
      </w:r>
      <w:r>
        <w:rPr>
          <w:rFonts w:hint="eastAsia" w:ascii="宋体" w:hAnsi="宋体" w:cs="宋体"/>
          <w:bCs/>
          <w:szCs w:val="21"/>
        </w:rPr>
        <w:t xml:space="preserve">本项目不接受联合体投标。</w:t>
      </w:r>
      <w:r/>
    </w:p>
    <w:p>
      <w:pPr>
        <w:jc w:val="left"/>
        <w:spacing w:line="360" w:lineRule="auto"/>
        <w:rPr>
          <w:rFonts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ascii="宋体" w:hAnsi="宋体" w:cs="宋体"/>
          <w:b/>
          <w:spacing w:val="8"/>
          <w:szCs w:val="21"/>
        </w:rPr>
      </w:pPr>
      <w:r>
        <w:rPr>
          <w:rFonts w:hint="eastAsia" w:ascii="宋体" w:hAnsi="宋体" w:cs="宋体"/>
          <w:b/>
          <w:spacing w:val="8"/>
          <w:szCs w:val="21"/>
        </w:rPr>
        <w:t xml:space="preserve">2.2落实政府采购政策需满足的资格要求：无。</w:t>
      </w:r>
      <w:r/>
    </w:p>
    <w:p>
      <w:pPr>
        <w:ind w:firstLine="458"/>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58"/>
        <w:spacing w:line="360" w:lineRule="auto"/>
        <w:rPr>
          <w:rFonts w:ascii="宋体" w:hAnsi="宋体" w:cs="宋体"/>
          <w:b/>
          <w:spacing w:val="8"/>
          <w:szCs w:val="21"/>
        </w:rPr>
      </w:pPr>
      <w:r>
        <w:rPr>
          <w:rFonts w:hint="eastAsia" w:ascii="宋体" w:hAnsi="宋体" w:cs="宋体"/>
          <w:b/>
          <w:spacing w:val="8"/>
          <w:szCs w:val="21"/>
        </w:rPr>
        <w:t xml:space="preserve">（1）</w:t>
      </w:r>
      <w:r>
        <w:rPr>
          <w:rFonts w:hint="eastAsia" w:ascii="宋体" w:hAnsi="宋体" w:cs="宋体"/>
          <w:b/>
          <w:szCs w:val="21"/>
        </w:rPr>
        <w:t xml:space="preserve">供应商必须具有测绘行业主管部门颁发的乙级或以上测绘资质（专业类别应同时包括工程测量、摄影测量与遥感和地理信息系统工程专业）（须在有效期内）</w:t>
      </w:r>
      <w:r/>
    </w:p>
    <w:p>
      <w:pPr>
        <w:ind w:firstLine="426"/>
        <w:spacing w:line="360" w:lineRule="auto"/>
        <w:rPr>
          <w:rFonts w:ascii="宋体" w:hAnsi="宋体" w:cs="宋体"/>
          <w:b/>
          <w:szCs w:val="21"/>
        </w:rPr>
      </w:pPr>
      <w:r>
        <w:rPr>
          <w:rFonts w:hint="eastAsia" w:ascii="宋体" w:hAnsi="宋体" w:cs="宋体"/>
          <w:b/>
          <w:szCs w:val="21"/>
        </w:rPr>
        <w:t xml:space="preserve">2.4提供《</w:t>
      </w:r>
      <w:r>
        <w:rPr>
          <w:rFonts w:ascii="宋体" w:hAnsi="宋体" w:cs="宋体"/>
          <w:b/>
          <w:szCs w:val="21"/>
        </w:rPr>
        <w:t xml:space="preserve">南京市政府采购供应商信用承诺书</w:t>
      </w:r>
      <w:r>
        <w:rPr>
          <w:rFonts w:hint="eastAsia" w:ascii="宋体" w:hAnsi="宋体" w:cs="宋体"/>
          <w:b/>
          <w:szCs w:val="21"/>
        </w:rPr>
        <w:t xml:space="preserve">》（格式详见附件），法定代表人签字并盖单位公章。</w:t>
      </w:r>
      <w:r/>
    </w:p>
    <w:p>
      <w:pPr>
        <w:ind w:firstLine="426"/>
        <w:spacing w:line="360" w:lineRule="auto"/>
        <w:rPr>
          <w:rFonts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ascii="宋体" w:hAnsi="宋体" w:cs="宋体"/>
          <w:bCs/>
          <w:szCs w:val="21"/>
        </w:rPr>
      </w:pPr>
      <w:r>
        <w:rPr>
          <w:rFonts w:ascii="宋体" w:hAnsi="宋体" w:cs="宋体"/>
          <w:bCs/>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3.2地点：江苏政府采购网</w:t>
      </w:r>
      <w:r>
        <w:rPr>
          <w:rFonts w:hint="eastAsia" w:ascii="宋体" w:hAnsi="宋体" w:cs="宋体"/>
          <w:bCs/>
          <w:szCs w:val="21"/>
        </w:rPr>
        <w:t xml:space="preserve">苏采云系统注册登记成功后系统内免费下载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ascii="宋体" w:hAnsi="宋体" w:cs="宋体"/>
          <w:szCs w:val="21"/>
        </w:rPr>
      </w:pPr>
      <w:r>
        <w:rPr>
          <w:rFonts w:ascii="宋体" w:hAnsi="宋体" w:cs="宋体"/>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2026年</w:t>
      </w:r>
      <w:r>
        <w:rPr>
          <w:rFonts w:hint="eastAsia" w:ascii="宋体" w:hAnsi="宋体" w:cs="宋体"/>
          <w:b/>
          <w:bCs/>
          <w:lang w:val="en-US" w:eastAsia="zh-CN"/>
        </w:rPr>
        <w:t xml:space="preserve">10</w:t>
      </w:r>
      <w:r>
        <w:rPr>
          <w:rFonts w:hint="eastAsia" w:ascii="宋体" w:hAnsi="宋体" w:cs="宋体"/>
          <w:b/>
          <w:bCs/>
        </w:rPr>
        <w:t xml:space="preserve">月</w:t>
      </w:r>
      <w:r>
        <w:rPr>
          <w:rFonts w:hint="eastAsia" w:ascii="宋体" w:hAnsi="宋体" w:cs="宋体"/>
          <w:b/>
          <w:bCs/>
          <w:lang w:val="en-US" w:eastAsia="zh-CN"/>
        </w:rPr>
        <w:t xml:space="preserve">19</w:t>
      </w:r>
      <w:r>
        <w:rPr>
          <w:rFonts w:hint="eastAsia" w:ascii="宋体" w:hAnsi="宋体" w:cs="宋体"/>
          <w:b/>
          <w:bCs/>
        </w:rPr>
        <w:t xml:space="preserve">日09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05"/>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905"/>
        <w:ind w:firstLine="375"/>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ascii="宋体" w:hAnsi="宋体" w:cs="宋体"/>
          <w:spacing w:val="8"/>
          <w:szCs w:val="21"/>
        </w:rPr>
      </w:pPr>
      <w:r>
        <w:rPr>
          <w:rFonts w:ascii="宋体" w:hAnsi="宋体" w:cs="宋体"/>
          <w:spacing w:val="8"/>
          <w:szCs w:val="21"/>
        </w:rPr>
      </w:r>
      <w:r/>
    </w:p>
    <w:p>
      <w:pPr>
        <w:spacing w:line="360" w:lineRule="auto"/>
        <w:widowControl/>
        <w:rPr>
          <w:rFonts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21"/>
        <w:jc w:val="left"/>
        <w:spacing w:line="360" w:lineRule="auto"/>
        <w:rPr>
          <w:rFonts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921"/>
        <w:spacing w:line="360" w:lineRule="auto"/>
        <w:rPr>
          <w:rFonts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921"/>
        <w:spacing w:line="360" w:lineRule="auto"/>
        <w:rPr>
          <w:rFonts w:ascii="宋体" w:hAnsi="宋体" w:cs="宋体"/>
          <w:bCs/>
          <w:szCs w:val="21"/>
        </w:rPr>
      </w:pPr>
      <w:r>
        <w:rPr>
          <w:rFonts w:hint="eastAsia" w:ascii="宋体" w:hAnsi="宋体" w:cs="宋体"/>
          <w:bCs/>
          <w:szCs w:val="21"/>
        </w:rPr>
        <w:t xml:space="preserve">“苏采云”南京地区客服热线025-83633744、025-83633743。</w:t>
      </w:r>
      <w:r/>
    </w:p>
    <w:p>
      <w:pPr>
        <w:pStyle w:val="921"/>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南京地区采购活动的供应商，应以书面形式向采购人或政府采购代理机构作出信用承诺。供应商按附件格式填写</w:t>
      </w:r>
      <w:r>
        <w:rPr>
          <w:rFonts w:ascii="宋体" w:hAnsi="宋体" w:cs="宋体"/>
          <w:szCs w:val="21"/>
          <w:lang w:val="zh-CN"/>
        </w:rPr>
        <w:t xml:space="preserve">《南京市政府采购供应商信用承诺书》</w:t>
      </w:r>
      <w:r>
        <w:rPr>
          <w:rFonts w:hint="eastAsia" w:ascii="宋体" w:hAnsi="宋体" w:cs="宋体"/>
          <w:szCs w:val="21"/>
          <w:lang w:val="zh-CN"/>
        </w:rPr>
        <w:t xml:space="preserve">，</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920"/>
      </w:pPr>
      <w:r/>
      <w:r/>
    </w:p>
    <w:p>
      <w:pPr>
        <w:spacing w:line="360" w:lineRule="auto"/>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ascii="宋体" w:hAnsi="宋体" w:cs="宋体"/>
          <w:bCs/>
          <w:szCs w:val="21"/>
        </w:rPr>
      </w:pPr>
      <w:r>
        <w:rPr>
          <w:rFonts w:hint="eastAsia" w:ascii="宋体" w:hAnsi="宋体" w:cs="宋体"/>
          <w:bCs/>
          <w:szCs w:val="21"/>
        </w:rPr>
        <w:t xml:space="preserve">7.1采购人信息</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名称：南京市规划和自然资源局</w:t>
      </w:r>
      <w:r/>
    </w:p>
    <w:p>
      <w:pPr>
        <w:ind w:firstLine="363"/>
        <w:spacing w:line="360" w:lineRule="auto"/>
        <w:widowControl/>
        <w:rPr>
          <w:rFonts w:ascii="宋体" w:hAnsi="宋体" w:cs="宋体"/>
          <w:bCs/>
          <w:szCs w:val="21"/>
        </w:rPr>
      </w:pPr>
      <w:r>
        <w:rPr>
          <w:rFonts w:hint="eastAsia" w:ascii="宋体" w:hAnsi="宋体" w:cs="宋体"/>
          <w:bCs/>
          <w:szCs w:val="21"/>
          <w:lang w:val="zh-CN"/>
        </w:rPr>
        <w:t xml:space="preserve">联系人：钟主任</w:t>
      </w:r>
      <w:r>
        <w:rPr>
          <w:rFonts w:hint="eastAsia" w:ascii="宋体" w:hAnsi="宋体" w:cs="宋体"/>
          <w:bCs/>
          <w:szCs w:val="21"/>
        </w:rPr>
        <w:t xml:space="preserve">  </w:t>
      </w:r>
      <w:r/>
    </w:p>
    <w:p>
      <w:pPr>
        <w:ind w:firstLine="363"/>
        <w:spacing w:line="360" w:lineRule="auto"/>
        <w:widowControl/>
        <w:rPr>
          <w:rFonts w:ascii="宋体" w:hAnsi="宋体" w:cs="宋体"/>
          <w:bCs/>
          <w:szCs w:val="21"/>
          <w:highlight w:val="yellow"/>
        </w:rPr>
      </w:pPr>
      <w:r>
        <w:rPr>
          <w:rFonts w:hint="eastAsia" w:ascii="宋体" w:hAnsi="宋体" w:cs="宋体"/>
          <w:bCs/>
          <w:szCs w:val="21"/>
          <w:lang w:val="zh-CN"/>
        </w:rPr>
        <w:t xml:space="preserve">联系电话：0</w:t>
      </w:r>
      <w:r>
        <w:rPr>
          <w:rFonts w:ascii="宋体" w:hAnsi="宋体" w:cs="宋体"/>
          <w:bCs/>
          <w:szCs w:val="21"/>
          <w:lang w:val="zh-CN"/>
        </w:rPr>
        <w:t xml:space="preserve">25-89690919</w:t>
      </w:r>
      <w:r>
        <w:rPr>
          <w:rFonts w:hint="eastAsia" w:ascii="宋体" w:hAnsi="宋体" w:cs="宋体"/>
          <w:bCs/>
          <w:szCs w:val="21"/>
        </w:rPr>
        <w:t xml:space="preserve">   </w:t>
      </w:r>
      <w:r/>
    </w:p>
    <w:p>
      <w:pPr>
        <w:ind w:firstLine="363"/>
        <w:spacing w:line="360" w:lineRule="auto"/>
        <w:widowControl/>
        <w:rPr>
          <w:rFonts w:ascii="宋体" w:hAnsi="宋体" w:cs="宋体"/>
          <w:bCs/>
          <w:szCs w:val="21"/>
          <w:lang w:val="zh-CN"/>
        </w:rPr>
      </w:pPr>
      <w:r>
        <w:rPr>
          <w:rFonts w:hint="eastAsia" w:ascii="宋体" w:hAnsi="宋体" w:cs="宋体"/>
          <w:bCs/>
          <w:szCs w:val="21"/>
          <w:lang w:val="zh-CN"/>
        </w:rPr>
        <w:t xml:space="preserve">地    址：南京市鼓楼区中山路171号</w:t>
      </w:r>
      <w:r/>
    </w:p>
    <w:p>
      <w:pPr>
        <w:ind w:firstLine="363"/>
        <w:spacing w:line="360" w:lineRule="auto"/>
        <w:widowControl/>
        <w:rPr>
          <w:rFonts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ascii="宋体" w:hAnsi="宋体" w:cs="宋体"/>
          <w:bCs/>
          <w:szCs w:val="21"/>
        </w:rPr>
      </w:pPr>
      <w:r>
        <w:rPr>
          <w:rFonts w:hint="eastAsia" w:ascii="宋体" w:hAnsi="宋体" w:cs="宋体"/>
          <w:bCs/>
          <w:szCs w:val="21"/>
        </w:rPr>
        <w:t xml:space="preserve">联系人：张志豪 唐大维</w:t>
      </w:r>
      <w:r/>
    </w:p>
    <w:p>
      <w:pPr>
        <w:ind w:firstLine="363"/>
        <w:spacing w:line="360" w:lineRule="auto"/>
        <w:widowControl/>
        <w:rPr>
          <w:rFonts w:ascii="宋体" w:hAnsi="宋体" w:cs="宋体"/>
          <w:bCs/>
          <w:szCs w:val="21"/>
        </w:rPr>
      </w:pPr>
      <w:r>
        <w:rPr>
          <w:rFonts w:hint="eastAsia" w:ascii="宋体" w:hAnsi="宋体" w:cs="宋体"/>
          <w:bCs/>
          <w:szCs w:val="21"/>
        </w:rPr>
        <w:t xml:space="preserve">电子邮箱：zhangzhh@jcec.cn</w:t>
      </w:r>
      <w:r/>
    </w:p>
    <w:p>
      <w:pPr>
        <w:ind w:firstLine="363"/>
        <w:spacing w:line="360" w:lineRule="auto"/>
        <w:widowControl/>
        <w:rPr>
          <w:rFonts w:ascii="宋体" w:hAnsi="宋体" w:cs="宋体"/>
          <w:bCs/>
          <w:szCs w:val="21"/>
        </w:rPr>
      </w:pPr>
      <w:r>
        <w:rPr>
          <w:rFonts w:hint="eastAsia" w:ascii="宋体" w:hAnsi="宋体" w:cs="宋体"/>
          <w:bCs/>
          <w:szCs w:val="21"/>
        </w:rPr>
        <w:t xml:space="preserve">联系方式：025-83306855</w:t>
      </w:r>
      <w:r/>
    </w:p>
    <w:p>
      <w:pPr>
        <w:ind w:firstLine="363"/>
        <w:spacing w:line="360" w:lineRule="auto"/>
        <w:widowControl/>
        <w:rPr>
          <w:rFonts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ascii="宋体" w:hAnsi="宋体" w:cs="宋体"/>
          <w:bCs/>
          <w:szCs w:val="21"/>
        </w:rPr>
      </w:pPr>
      <w:r>
        <w:rPr>
          <w:rFonts w:hint="eastAsia" w:ascii="宋体" w:hAnsi="宋体" w:cs="宋体"/>
          <w:bCs/>
          <w:szCs w:val="21"/>
        </w:rPr>
        <w:t xml:space="preserve">联系人：张志豪 唐大维</w:t>
      </w:r>
      <w:r/>
    </w:p>
    <w:p>
      <w:pPr>
        <w:ind w:firstLine="363"/>
        <w:spacing w:line="360" w:lineRule="auto"/>
        <w:widowControl/>
        <w:rPr>
          <w:rFonts w:ascii="宋体" w:hAnsi="宋体" w:cs="宋体"/>
        </w:rPr>
      </w:pPr>
      <w:r>
        <w:rPr>
          <w:rFonts w:hint="eastAsia" w:ascii="宋体" w:hAnsi="宋体" w:cs="宋体"/>
          <w:bCs/>
          <w:szCs w:val="21"/>
        </w:rPr>
        <w:t xml:space="preserve">联系方式：025-83306855 </w:t>
      </w:r>
      <w:r>
        <w:rPr>
          <w:rFonts w:hint="eastAsia" w:ascii="宋体" w:hAnsi="宋体" w:cs="宋体"/>
        </w:rPr>
        <w:br w:type="page" w:clear="all"/>
      </w:r>
      <w:r/>
    </w:p>
    <w:p>
      <w:pPr>
        <w:pStyle w:val="862"/>
        <w:spacing w:line="360" w:lineRule="auto"/>
        <w:rPr>
          <w:rFonts w:ascii="宋体" w:hAnsi="宋体" w:cs="宋体"/>
        </w:rPr>
      </w:pPr>
      <w:r/>
      <w:bookmarkStart w:id="4" w:name="_Toc452625218"/>
      <w:r/>
      <w:bookmarkStart w:id="5" w:name="_Toc24258"/>
      <w:r>
        <w:rPr>
          <w:rFonts w:hint="eastAsia" w:ascii="宋体" w:hAnsi="宋体" w:cs="宋体"/>
        </w:rPr>
        <w:t xml:space="preserve"> 投标人须知</w:t>
      </w:r>
      <w:bookmarkEnd w:id="4"/>
      <w:r/>
      <w:bookmarkEnd w:id="5"/>
      <w:r/>
      <w:r/>
    </w:p>
    <w:p>
      <w:pPr>
        <w:ind w:firstLine="424"/>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（5）《南京市政府采购供应商信用承诺书》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rPr>
      </w:pPr>
      <w:r>
        <w:rPr>
          <w:rFonts w:hint="eastAsia" w:ascii="宋体" w:hAnsi="宋体" w:cs="宋体"/>
          <w:b/>
          <w:bCs/>
          <w:szCs w:val="21"/>
        </w:rPr>
        <w:t xml:space="preserve">11.6本项目预算为：详见第一章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16.2 招标代理服务费：本次招标，中标人根据参照《招标代理服务费管理暂行办法》（国家发展计划委员会计价格【2002】1980号）代理服务招标收费基准费率计算（不足捌仟按捌仟元收取），在领取中标通知书前向采购代理机构支付招标服务费。本项费用无需在投标报价表中单列。</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（2）投标文件未按照招标文件要求加盖电子公章的；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ascii="宋体" w:hAnsi="宋体" w:cs="宋体"/>
          <w:b/>
          <w:szCs w:val="21"/>
        </w:rPr>
      </w:pPr>
      <w:r/>
      <w:bookmarkStart w:id="6" w:name="OLE_LINK3"/>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bookmarkEnd w:id="6"/>
      <w:r/>
      <w:r/>
    </w:p>
    <w:p>
      <w:pPr>
        <w:ind w:firstLine="420"/>
        <w:spacing w:line="360" w:lineRule="auto"/>
        <w:shd w:val="clear" w:color="auto" w:fill="ffffff"/>
        <w:widowControl/>
        <w:rPr>
          <w:rFonts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r/>
    </w:p>
    <w:p>
      <w:pPr>
        <w:pStyle w:val="862"/>
        <w:spacing w:line="360" w:lineRule="auto"/>
        <w:rPr>
          <w:rFonts w:ascii="宋体" w:hAnsi="宋体" w:cs="宋体"/>
        </w:rPr>
      </w:pPr>
      <w:r/>
      <w:bookmarkStart w:id="7" w:name="_Toc481057145"/>
      <w:r>
        <w:rPr>
          <w:rFonts w:hint="eastAsia" w:ascii="宋体" w:hAnsi="宋体" w:cs="宋体"/>
        </w:rPr>
        <w:t xml:space="preserve"> </w:t>
      </w:r>
      <w:bookmarkStart w:id="8" w:name="_Toc2306"/>
      <w:r>
        <w:rPr>
          <w:rFonts w:hint="eastAsia" w:ascii="宋体" w:hAnsi="宋体" w:cs="宋体"/>
        </w:rPr>
        <w:t xml:space="preserve">评标标准</w:t>
      </w:r>
      <w:bookmarkEnd w:id="8"/>
      <w:r/>
      <w:bookmarkEnd w:id="7"/>
      <w:r/>
      <w:r/>
    </w:p>
    <w:p>
      <w:pPr>
        <w:ind w:firstLine="420"/>
        <w:jc w:val="left"/>
        <w:spacing w:line="360" w:lineRule="auto"/>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72"/>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72"/>
        <w:gridCol w:w="6785"/>
        <w:gridCol w:w="854"/>
      </w:tblGrid>
      <w:tr>
        <w:trPr/>
        <w:tc>
          <w:tcPr>
            <w:tcW w:w="363"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Borders>
              <w:right w:val="single" w:color="auto" w:sz="2" w:space="0"/>
            </w:tcBorders>
            <w:tcW w:w="662"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评分因素</w:t>
            </w:r>
            <w:r/>
          </w:p>
        </w:tc>
        <w:tc>
          <w:tcPr>
            <w:tcBorders>
              <w:top w:val="single" w:color="auto" w:sz="2" w:space="0"/>
              <w:left w:val="single" w:color="auto" w:sz="2" w:space="0"/>
              <w:bottom w:val="single" w:color="auto" w:sz="2" w:space="0"/>
              <w:right w:val="single" w:color="auto" w:sz="2" w:space="0"/>
            </w:tcBorders>
            <w:tcW w:w="3530"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评审标准</w:t>
            </w:r>
            <w:r/>
          </w:p>
        </w:tc>
        <w:tc>
          <w:tcPr>
            <w:tcBorders>
              <w:left w:val="single" w:color="auto" w:sz="2" w:space="0"/>
            </w:tcBorders>
            <w:tcW w:w="444" w:type="pct"/>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分值</w:t>
            </w:r>
            <w:r/>
          </w:p>
        </w:tc>
      </w:tr>
      <w:tr>
        <w:trPr>
          <w:trHeight w:val="275"/>
        </w:trPr>
        <w:tc>
          <w:tcPr>
            <w:tcW w:w="363"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1</w:t>
            </w:r>
            <w:r/>
          </w:p>
        </w:tc>
        <w:tc>
          <w:tcPr>
            <w:tcBorders>
              <w:right w:val="single" w:color="auto" w:sz="2" w:space="0"/>
            </w:tcBorders>
            <w:tcW w:w="662"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价格</w:t>
            </w:r>
            <w:r/>
          </w:p>
          <w:p>
            <w:pPr>
              <w:jc w:val="center"/>
              <w:widowControl/>
              <w:rPr>
                <w:rFonts w:ascii="宋体" w:hAnsi="宋体"/>
                <w:bCs/>
                <w:szCs w:val="21"/>
              </w:rPr>
            </w:pPr>
            <w:r>
              <w:rPr>
                <w:rFonts w:ascii="宋体" w:hAnsi="宋体"/>
                <w:bCs/>
                <w:szCs w:val="21"/>
              </w:rPr>
              <w:t xml:space="preserve">（1</w:t>
            </w:r>
            <w:r>
              <w:rPr>
                <w:rFonts w:hint="eastAsia" w:ascii="宋体" w:hAnsi="宋体"/>
                <w:bCs/>
                <w:szCs w:val="21"/>
              </w:rPr>
              <w:t xml:space="preserve">5</w:t>
            </w:r>
            <w:r>
              <w:rPr>
                <w:rFonts w:ascii="宋体" w:hAnsi="宋体"/>
                <w:bCs/>
                <w:szCs w:val="21"/>
              </w:rPr>
              <w:t xml:space="preserve">分）</w:t>
            </w:r>
            <w:r/>
          </w:p>
        </w:tc>
        <w:tc>
          <w:tcPr>
            <w:tcBorders>
              <w:top w:val="single" w:color="auto" w:sz="2" w:space="0"/>
              <w:left w:val="single" w:color="auto" w:sz="2" w:space="0"/>
              <w:bottom w:val="single" w:color="auto" w:sz="4" w:space="0"/>
              <w:right w:val="single" w:color="auto" w:sz="2" w:space="0"/>
            </w:tcBorders>
            <w:tcW w:w="3530" w:type="pct"/>
            <w:vAlign w:val="center"/>
            <w:textDirection w:val="lrTb"/>
            <w:noWrap w:val="false"/>
          </w:tcPr>
          <w:p>
            <w:pPr>
              <w:widowControl/>
              <w:rPr>
                <w:rFonts w:ascii="宋体" w:hAnsi="宋体"/>
                <w:bCs/>
                <w:szCs w:val="21"/>
              </w:rPr>
            </w:pPr>
            <w:r>
              <w:rPr>
                <w:rFonts w:hint="eastAsia" w:ascii="宋体" w:hAnsi="宋体"/>
                <w:b/>
                <w:szCs w:val="21"/>
              </w:rPr>
              <w:t xml:space="preserve">全域巡视报价：</w:t>
            </w:r>
            <w:r>
              <w:rPr>
                <w:rFonts w:hint="eastAsia" w:ascii="宋体" w:hAnsi="宋体"/>
                <w:bCs/>
                <w:szCs w:val="21"/>
              </w:rPr>
              <w:t xml:space="preserve">（该项报价为对南京市主城地区维护期内巡视总价）</w:t>
            </w:r>
            <w:r/>
          </w:p>
          <w:p>
            <w:pPr>
              <w:ind w:firstLine="420"/>
              <w:widowControl/>
              <w:rPr>
                <w:rFonts w:ascii="宋体" w:hAnsi="宋体"/>
                <w:bCs/>
                <w:szCs w:val="21"/>
              </w:rPr>
            </w:pPr>
            <w:r>
              <w:rPr>
                <w:rFonts w:hint="eastAsia" w:ascii="宋体" w:hAnsi="宋体"/>
                <w:bCs/>
                <w:szCs w:val="21"/>
              </w:rPr>
              <w:t xml:space="preserve">采用低价优先法计算，即满足招标文件要求且投标价格最低的投标报价为评标基准价，其价格分为满分。其他投标人的价格分统一按照下列公式计算：投标报价得分=（评标基准价/投标报价）×5（小数点保留两位）</w:t>
            </w:r>
            <w:r/>
          </w:p>
        </w:tc>
        <w:tc>
          <w:tcPr>
            <w:tcBorders>
              <w:left w:val="single" w:color="auto" w:sz="2" w:space="0"/>
            </w:tcBorders>
            <w:tcW w:w="444"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1</w:t>
            </w:r>
            <w:r>
              <w:rPr>
                <w:rFonts w:hint="eastAsia" w:ascii="宋体" w:hAnsi="宋体"/>
                <w:bCs/>
                <w:szCs w:val="21"/>
              </w:rPr>
              <w:t xml:space="preserve">5</w:t>
            </w:r>
            <w:r>
              <w:rPr>
                <w:rFonts w:ascii="宋体" w:hAnsi="宋体"/>
                <w:bCs/>
                <w:szCs w:val="21"/>
              </w:rPr>
              <w:t xml:space="preserve">分</w:t>
            </w:r>
            <w:r/>
          </w:p>
        </w:tc>
      </w:tr>
      <w:tr>
        <w:trPr>
          <w:trHeight w:val="190"/>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top w:val="single" w:color="auto" w:sz="4" w:space="0"/>
              <w:left w:val="single" w:color="auto" w:sz="2" w:space="0"/>
              <w:bottom w:val="single" w:color="auto" w:sz="4" w:space="0"/>
              <w:right w:val="single" w:color="auto" w:sz="2" w:space="0"/>
            </w:tcBorders>
            <w:tcW w:w="3530" w:type="pct"/>
            <w:vAlign w:val="center"/>
            <w:textDirection w:val="lrTb"/>
            <w:noWrap w:val="false"/>
          </w:tcPr>
          <w:p>
            <w:pPr>
              <w:widowControl/>
              <w:rPr>
                <w:rFonts w:ascii="宋体" w:hAnsi="宋体"/>
                <w:bCs/>
                <w:szCs w:val="21"/>
              </w:rPr>
            </w:pPr>
            <w:r>
              <w:rPr>
                <w:rFonts w:hint="eastAsia" w:ascii="宋体" w:hAnsi="宋体"/>
                <w:b/>
                <w:szCs w:val="21"/>
              </w:rPr>
              <w:t xml:space="preserve">1:500大比例尺地形图更新报价：</w:t>
            </w:r>
            <w:r>
              <w:rPr>
                <w:rFonts w:hint="eastAsia" w:ascii="宋体" w:hAnsi="宋体"/>
                <w:bCs/>
                <w:szCs w:val="21"/>
              </w:rPr>
              <w:t xml:space="preserve">（该项报价为对南京市主城地区大比例尺1:500地形图更新维护的单价，单位为：元/平方千米）</w:t>
            </w:r>
            <w:r/>
          </w:p>
          <w:p>
            <w:pPr>
              <w:ind w:firstLine="420"/>
              <w:widowControl/>
              <w:rPr>
                <w:rFonts w:ascii="宋体" w:hAnsi="宋体"/>
                <w:bCs/>
                <w:szCs w:val="21"/>
              </w:rPr>
            </w:pPr>
            <w:r>
              <w:rPr>
                <w:rFonts w:hint="eastAsia" w:ascii="宋体" w:hAnsi="宋体"/>
                <w:bCs/>
                <w:szCs w:val="21"/>
              </w:rPr>
              <w:t xml:space="preserve">采用低价优先法计算，即满足招标文件要求且投标价格最低的投标报价为评标基准价，其价格分为满分。其他投标人的价格分统一按照下列公式计算：投标报价得分=（评标基准价/投标报价）×5（小数点保留两位）</w:t>
            </w:r>
            <w:r/>
          </w:p>
        </w:tc>
        <w:tc>
          <w:tcPr>
            <w:tcBorders>
              <w:left w:val="single" w:color="auto" w:sz="2" w:space="0"/>
            </w:tcBorders>
            <w:tcW w:w="444"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r>
      <w:tr>
        <w:trPr>
          <w:trHeight w:val="99"/>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top w:val="single" w:color="auto" w:sz="4" w:space="0"/>
              <w:left w:val="single" w:color="auto" w:sz="2" w:space="0"/>
              <w:bottom w:val="single" w:color="auto" w:sz="2" w:space="0"/>
              <w:right w:val="single" w:color="auto" w:sz="2" w:space="0"/>
            </w:tcBorders>
            <w:tcW w:w="3530" w:type="pct"/>
            <w:vAlign w:val="center"/>
            <w:textDirection w:val="lrTb"/>
            <w:noWrap w:val="false"/>
          </w:tcPr>
          <w:p>
            <w:pPr>
              <w:widowControl/>
              <w:rPr>
                <w:rFonts w:ascii="宋体" w:hAnsi="宋体"/>
                <w:bCs/>
                <w:szCs w:val="21"/>
              </w:rPr>
            </w:pPr>
            <w:r>
              <w:rPr>
                <w:rFonts w:hint="eastAsia" w:ascii="宋体" w:hAnsi="宋体"/>
                <w:b/>
                <w:szCs w:val="21"/>
              </w:rPr>
              <w:t xml:space="preserve">1:1000大比例尺地形图更新报价：</w:t>
            </w:r>
            <w:r>
              <w:rPr>
                <w:rFonts w:hint="eastAsia" w:ascii="宋体" w:hAnsi="宋体"/>
                <w:bCs/>
                <w:szCs w:val="21"/>
              </w:rPr>
              <w:t xml:space="preserve">（该项报价为对南京市主城地区大比例尺1:1000地形图更新维护的单价，单位为：元/平方千米）</w:t>
            </w:r>
            <w:r/>
          </w:p>
          <w:p>
            <w:pPr>
              <w:ind w:firstLine="420"/>
              <w:widowControl/>
              <w:rPr>
                <w:rFonts w:ascii="宋体" w:hAnsi="宋体"/>
                <w:bCs/>
                <w:szCs w:val="21"/>
              </w:rPr>
            </w:pPr>
            <w:r>
              <w:rPr>
                <w:rFonts w:hint="eastAsia" w:ascii="宋体" w:hAnsi="宋体"/>
                <w:bCs/>
                <w:szCs w:val="21"/>
              </w:rPr>
              <w:t xml:space="preserve">采用低价优先法计算，即满足招标文件要求且投标价格最低的投标报价为评标基准价，其价格分为满分。其他投标人的价格分统一按照下列公式计算：投标报价得分=（评标基准价/投标报价）×5（小数点保留两位）</w:t>
            </w:r>
            <w:r/>
          </w:p>
        </w:tc>
        <w:tc>
          <w:tcPr>
            <w:tcBorders>
              <w:left w:val="single" w:color="auto" w:sz="2" w:space="0"/>
            </w:tcBorders>
            <w:tcW w:w="444"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r>
      <w:tr>
        <w:trPr/>
        <w:tc>
          <w:tcPr>
            <w:tcW w:w="363" w:type="pct"/>
            <w:vAlign w:val="center"/>
            <w:textDirection w:val="lrTb"/>
            <w:noWrap w:val="false"/>
          </w:tcPr>
          <w:p>
            <w:pPr>
              <w:jc w:val="center"/>
              <w:widowControl/>
              <w:rPr>
                <w:rFonts w:ascii="宋体" w:hAnsi="宋体"/>
                <w:bCs/>
                <w:szCs w:val="21"/>
              </w:rPr>
            </w:pPr>
            <w:r>
              <w:rPr>
                <w:rFonts w:ascii="宋体" w:hAnsi="宋体"/>
                <w:bCs/>
                <w:szCs w:val="21"/>
              </w:rPr>
              <w:t xml:space="preserve">2</w:t>
            </w:r>
            <w:r/>
          </w:p>
        </w:tc>
        <w:tc>
          <w:tcPr>
            <w:tcBorders>
              <w:right w:val="single" w:color="auto" w:sz="2" w:space="0"/>
            </w:tcBorders>
            <w:tcW w:w="662" w:type="pct"/>
            <w:vAlign w:val="center"/>
            <w:textDirection w:val="lrTb"/>
            <w:noWrap w:val="false"/>
          </w:tcPr>
          <w:p>
            <w:pPr>
              <w:jc w:val="center"/>
              <w:widowControl/>
              <w:rPr>
                <w:rFonts w:ascii="宋体" w:hAnsi="宋体"/>
                <w:bCs/>
                <w:szCs w:val="21"/>
              </w:rPr>
            </w:pPr>
            <w:r>
              <w:rPr>
                <w:rFonts w:ascii="宋体" w:hAnsi="宋体"/>
                <w:bCs/>
                <w:szCs w:val="21"/>
              </w:rPr>
              <w:t xml:space="preserve">业绩</w:t>
            </w:r>
            <w:r/>
          </w:p>
          <w:p>
            <w:pPr>
              <w:jc w:val="center"/>
              <w:widowControl/>
              <w:rPr>
                <w:rFonts w:ascii="宋体" w:hAnsi="宋体"/>
                <w:bCs/>
                <w:szCs w:val="21"/>
              </w:rPr>
            </w:pPr>
            <w:r>
              <w:rPr>
                <w:rFonts w:ascii="宋体" w:hAnsi="宋体"/>
                <w:bCs/>
                <w:szCs w:val="21"/>
              </w:rPr>
              <w:t xml:space="preserve">（9分）</w:t>
            </w:r>
            <w:r/>
          </w:p>
        </w:tc>
        <w:tc>
          <w:tcPr>
            <w:tcBorders>
              <w:top w:val="single" w:color="auto" w:sz="2" w:space="0"/>
              <w:left w:val="single" w:color="auto" w:sz="2" w:space="0"/>
              <w:bottom w:val="single" w:color="auto" w:sz="2" w:space="0"/>
              <w:right w:val="single" w:color="auto" w:sz="2" w:space="0"/>
            </w:tcBorders>
            <w:tcW w:w="3530" w:type="pct"/>
            <w:vAlign w:val="center"/>
            <w:textDirection w:val="lrTb"/>
            <w:noWrap w:val="false"/>
          </w:tcPr>
          <w:p>
            <w:pPr>
              <w:ind w:firstLine="420"/>
              <w:widowControl/>
              <w:rPr>
                <w:rFonts w:ascii="宋体" w:hAnsi="宋体"/>
                <w:bCs/>
                <w:szCs w:val="21"/>
              </w:rPr>
            </w:pPr>
            <w:r>
              <w:rPr>
                <w:rFonts w:hint="eastAsia" w:ascii="宋体" w:hAnsi="宋体"/>
                <w:bCs/>
                <w:szCs w:val="21"/>
              </w:rPr>
              <w:t xml:space="preserve">投标人自2023年1月1日（含）以来（以合同签订时间为准），承担过地市级及以上的大比例尺地形图动态维护项目，每提供1个得3分，最高9分。（须提供业绩合同复印件并加盖公章，且能反映相关信息，未提供的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ascii="宋体" w:hAnsi="宋体"/>
                <w:bCs/>
                <w:szCs w:val="21"/>
              </w:rPr>
              <w:t xml:space="preserve">9分</w:t>
            </w:r>
            <w:r/>
          </w:p>
        </w:tc>
      </w:tr>
      <w:tr>
        <w:trPr/>
        <w:tc>
          <w:tcPr>
            <w:tcW w:w="363"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3</w:t>
            </w:r>
            <w:r/>
          </w:p>
        </w:tc>
        <w:tc>
          <w:tcPr>
            <w:tcBorders>
              <w:right w:val="single" w:color="auto" w:sz="2" w:space="0"/>
            </w:tcBorders>
            <w:tcW w:w="662"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团队能力</w:t>
            </w:r>
            <w:r/>
          </w:p>
          <w:p>
            <w:pPr>
              <w:jc w:val="center"/>
              <w:widowControl/>
              <w:rPr>
                <w:rFonts w:ascii="宋体" w:hAnsi="宋体"/>
                <w:bCs/>
                <w:szCs w:val="21"/>
              </w:rPr>
            </w:pPr>
            <w:r>
              <w:rPr>
                <w:rFonts w:ascii="宋体" w:hAnsi="宋体"/>
                <w:bCs/>
                <w:szCs w:val="21"/>
              </w:rPr>
              <w:t xml:space="preserve">（</w:t>
            </w:r>
            <w:r>
              <w:rPr>
                <w:rFonts w:hint="eastAsia" w:ascii="宋体" w:hAnsi="宋体"/>
                <w:bCs/>
                <w:szCs w:val="21"/>
              </w:rPr>
              <w:t xml:space="preserve">18</w:t>
            </w:r>
            <w:r>
              <w:rPr>
                <w:rFonts w:ascii="宋体" w:hAnsi="宋体"/>
                <w:bCs/>
                <w:szCs w:val="21"/>
              </w:rPr>
              <w:t xml:space="preserve">分）</w:t>
            </w:r>
            <w:r/>
          </w:p>
        </w:tc>
        <w:tc>
          <w:tcPr>
            <w:tcBorders>
              <w:top w:val="single" w:color="auto" w:sz="2" w:space="0"/>
              <w:left w:val="single" w:color="auto" w:sz="2" w:space="0"/>
              <w:bottom w:val="single" w:color="auto" w:sz="2" w:space="0"/>
              <w:right w:val="single" w:color="auto" w:sz="2" w:space="0"/>
            </w:tcBorders>
            <w:tcW w:w="3530" w:type="pct"/>
            <w:vAlign w:val="center"/>
            <w:textDirection w:val="lrTb"/>
            <w:noWrap w:val="false"/>
          </w:tcPr>
          <w:p>
            <w:pPr>
              <w:ind w:firstLine="422"/>
              <w:widowControl/>
              <w:rPr>
                <w:rFonts w:ascii="宋体" w:hAnsi="宋体"/>
                <w:bCs/>
                <w:szCs w:val="21"/>
              </w:rPr>
            </w:pPr>
            <w:r>
              <w:rPr>
                <w:rFonts w:hint="eastAsia" w:ascii="宋体" w:hAnsi="宋体"/>
                <w:b/>
                <w:szCs w:val="21"/>
              </w:rPr>
              <w:t xml:space="preserve">3.1项目负责人：</w:t>
            </w:r>
            <w:r>
              <w:rPr>
                <w:rFonts w:hint="eastAsia" w:ascii="宋体" w:hAnsi="宋体"/>
                <w:bCs/>
                <w:szCs w:val="21"/>
              </w:rPr>
              <w:t xml:space="preserve">具有注册测绘师证书的得2分；同时具有测绘相关专业高级职称的加1分，同时具有测绘相关专业正高级职称的加2分，本项最高得4分。</w:t>
            </w:r>
            <w:r/>
          </w:p>
          <w:p>
            <w:pPr>
              <w:ind w:firstLine="420"/>
              <w:widowControl/>
              <w:rPr>
                <w:rFonts w:ascii="宋体" w:hAnsi="宋体"/>
                <w:bCs/>
                <w:szCs w:val="21"/>
              </w:rPr>
            </w:pPr>
            <w:r>
              <w:rPr>
                <w:rFonts w:hint="eastAsia" w:ascii="宋体" w:hAnsi="宋体"/>
                <w:bCs/>
                <w:szCs w:val="21"/>
              </w:rPr>
              <w:t xml:space="preserve">注：以上须提供人员证书复印件及投标人为其缴纳的2026年1月以来任意一个月的社保缴费证明材料并加盖公章，证明材料缺项或未提供的不得分。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4</w:t>
            </w:r>
            <w:r>
              <w:rPr>
                <w:rFonts w:ascii="宋体" w:hAnsi="宋体"/>
                <w:bCs/>
                <w:szCs w:val="21"/>
              </w:rPr>
              <w:t xml:space="preserve">分</w:t>
            </w:r>
            <w:r/>
          </w:p>
        </w:tc>
      </w:tr>
      <w:tr>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top w:val="single" w:color="auto" w:sz="2" w:space="0"/>
              <w:left w:val="single" w:color="auto" w:sz="2" w:space="0"/>
              <w:bottom w:val="single" w:color="auto" w:sz="2" w:space="0"/>
              <w:right w:val="single" w:color="auto" w:sz="2" w:space="0"/>
            </w:tcBorders>
            <w:tcW w:w="3530" w:type="pct"/>
            <w:textDirection w:val="lrTb"/>
            <w:noWrap w:val="false"/>
          </w:tcPr>
          <w:p>
            <w:pPr>
              <w:ind w:firstLine="422"/>
              <w:widowControl/>
              <w:rPr>
                <w:rFonts w:ascii="宋体" w:hAnsi="宋体"/>
                <w:bCs/>
                <w:szCs w:val="21"/>
              </w:rPr>
            </w:pPr>
            <w:r>
              <w:rPr>
                <w:rFonts w:hint="eastAsia" w:ascii="宋体" w:hAnsi="宋体"/>
                <w:b/>
                <w:szCs w:val="21"/>
              </w:rPr>
              <w:t xml:space="preserve">3.2技术负责人：</w:t>
            </w:r>
            <w:r>
              <w:rPr>
                <w:rFonts w:hint="eastAsia" w:ascii="宋体" w:hAnsi="宋体"/>
                <w:bCs/>
                <w:szCs w:val="21"/>
              </w:rPr>
              <w:t xml:space="preserve">具有注册测绘师证书的得2分；同时具有测绘相关专业高级职称的加1分，同时具有测绘相关专业正高级职称的加2分，本项最高得4分。</w:t>
            </w:r>
            <w:r/>
          </w:p>
          <w:p>
            <w:pPr>
              <w:ind w:firstLine="420"/>
              <w:widowControl/>
              <w:rPr>
                <w:rFonts w:ascii="宋体" w:hAnsi="宋体"/>
                <w:bCs/>
                <w:szCs w:val="21"/>
              </w:rPr>
            </w:pPr>
            <w:r>
              <w:rPr>
                <w:rFonts w:hint="eastAsia" w:ascii="宋体" w:hAnsi="宋体"/>
                <w:bCs/>
                <w:szCs w:val="21"/>
              </w:rPr>
              <w:t xml:space="preserve">注：以上须提供人员证书复印件及投标人为其缴纳的2026年1月以来任意一个月的社保缴费证明材料并加盖公章，证明材料缺项或未提供的不得分。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4分</w:t>
            </w:r>
            <w:r/>
          </w:p>
        </w:tc>
      </w:tr>
      <w:tr>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top w:val="single" w:color="auto" w:sz="2" w:space="0"/>
              <w:left w:val="single" w:color="auto" w:sz="2" w:space="0"/>
              <w:bottom w:val="single" w:color="auto" w:sz="2" w:space="0"/>
              <w:right w:val="single" w:color="auto" w:sz="2" w:space="0"/>
            </w:tcBorders>
            <w:tcW w:w="3530" w:type="pct"/>
            <w:textDirection w:val="lrTb"/>
            <w:noWrap w:val="false"/>
          </w:tcPr>
          <w:p>
            <w:pPr>
              <w:ind w:firstLine="422"/>
              <w:rPr>
                <w:rFonts w:ascii="宋体" w:hAnsi="宋体"/>
                <w:bCs/>
                <w:szCs w:val="21"/>
              </w:rPr>
            </w:pPr>
            <w:r>
              <w:rPr>
                <w:rFonts w:hint="eastAsia" w:ascii="宋体" w:hAnsi="宋体"/>
                <w:b/>
                <w:szCs w:val="21"/>
              </w:rPr>
              <w:t xml:space="preserve">3.3项目组成员：</w:t>
            </w:r>
            <w:r>
              <w:rPr>
                <w:rFonts w:hint="eastAsia" w:ascii="宋体" w:hAnsi="宋体"/>
                <w:bCs/>
                <w:szCs w:val="21"/>
              </w:rPr>
              <w:t xml:space="preserve">具有测绘相关专业工程师及以上职称的，每5人得1分，最高得4分；具有地理信息安全保密培训证书的，每3人得1分，最高得4分；具有省级及以上主管部门颁发的测绘地理信息质检人员培训证书，每2人得1分，最高得2分。本项最高得10分。</w:t>
            </w:r>
            <w:r/>
          </w:p>
          <w:p>
            <w:pPr>
              <w:ind w:firstLine="420"/>
              <w:rPr>
                <w:rFonts w:ascii="宋体" w:hAnsi="宋体"/>
                <w:bCs/>
                <w:szCs w:val="21"/>
              </w:rPr>
            </w:pPr>
            <w:r>
              <w:rPr>
                <w:rFonts w:hint="eastAsia" w:ascii="宋体" w:hAnsi="宋体"/>
                <w:bCs/>
                <w:szCs w:val="21"/>
              </w:rPr>
              <w:t xml:space="preserve">注：项目组成员不含项目负责人和技术负责人，以上证书单人不累计得分。以上须提供人员证书的复印件及投标人为其缴纳的2026年1月以来任意一个月的社保缴费证明材料并加盖公章，证明材料缺项或未提供的不得分。</w:t>
            </w:r>
            <w:r/>
          </w:p>
        </w:tc>
        <w:tc>
          <w:tcPr>
            <w:tcBorders>
              <w:left w:val="single" w:color="auto" w:sz="2" w:space="0"/>
            </w:tcBorders>
            <w:tcW w:w="444" w:type="pct"/>
            <w:vAlign w:val="center"/>
            <w:textDirection w:val="lrTb"/>
            <w:noWrap w:val="false"/>
          </w:tcPr>
          <w:p>
            <w:pPr>
              <w:jc w:val="center"/>
              <w:rPr>
                <w:rFonts w:ascii="宋体" w:hAnsi="宋体"/>
                <w:bCs/>
                <w:szCs w:val="21"/>
              </w:rPr>
            </w:pPr>
            <w:r>
              <w:rPr>
                <w:rFonts w:hint="eastAsia" w:ascii="宋体" w:hAnsi="宋体"/>
                <w:bCs/>
                <w:szCs w:val="21"/>
              </w:rPr>
              <w:t xml:space="preserve">10分</w:t>
            </w:r>
            <w:r/>
          </w:p>
        </w:tc>
      </w:tr>
      <w:tr>
        <w:trPr/>
        <w:tc>
          <w:tcPr>
            <w:tcW w:w="363" w:type="pct"/>
            <w:vAlign w:val="center"/>
            <w:textDirection w:val="lrTb"/>
            <w:noWrap w:val="false"/>
          </w:tcPr>
          <w:p>
            <w:pPr>
              <w:jc w:val="center"/>
              <w:widowControl/>
              <w:rPr>
                <w:rFonts w:ascii="宋体" w:hAnsi="宋体"/>
                <w:bCs/>
                <w:szCs w:val="21"/>
              </w:rPr>
            </w:pPr>
            <w:r>
              <w:rPr>
                <w:rFonts w:hint="eastAsia" w:ascii="宋体" w:hAnsi="宋体"/>
                <w:bCs/>
                <w:szCs w:val="21"/>
              </w:rPr>
              <w:t xml:space="preserve">4</w:t>
            </w:r>
            <w:r/>
          </w:p>
        </w:tc>
        <w:tc>
          <w:tcPr>
            <w:tcBorders>
              <w:right w:val="single" w:color="auto" w:sz="2" w:space="0"/>
            </w:tcBorders>
            <w:tcW w:w="662" w:type="pct"/>
            <w:vAlign w:val="center"/>
            <w:textDirection w:val="lrTb"/>
            <w:noWrap w:val="false"/>
          </w:tcPr>
          <w:p>
            <w:pPr>
              <w:jc w:val="center"/>
              <w:rPr>
                <w:rFonts w:ascii="宋体" w:hAnsi="宋体"/>
                <w:bCs/>
                <w:szCs w:val="21"/>
              </w:rPr>
            </w:pPr>
            <w:r>
              <w:rPr>
                <w:rFonts w:hint="eastAsia" w:ascii="宋体" w:hAnsi="宋体"/>
                <w:bCs/>
                <w:szCs w:val="21"/>
              </w:rPr>
              <w:t xml:space="preserve">仪器设备（6分）</w:t>
            </w:r>
            <w:r/>
          </w:p>
        </w:tc>
        <w:tc>
          <w:tcPr>
            <w:tcBorders>
              <w:top w:val="single" w:color="auto" w:sz="2" w:space="0"/>
              <w:left w:val="single" w:color="auto" w:sz="2" w:space="0"/>
              <w:bottom w:val="single" w:color="auto" w:sz="2" w:space="0"/>
              <w:right w:val="single" w:color="auto" w:sz="2" w:space="0"/>
            </w:tcBorders>
            <w:tcW w:w="3530" w:type="pct"/>
            <w:vAlign w:val="center"/>
            <w:textDirection w:val="lrTb"/>
            <w:noWrap w:val="false"/>
          </w:tcPr>
          <w:p>
            <w:pPr>
              <w:ind w:firstLine="420"/>
              <w:rPr>
                <w:rFonts w:ascii="宋体" w:hAnsi="宋体"/>
              </w:rPr>
            </w:pPr>
            <w:r>
              <w:rPr>
                <w:rFonts w:hint="eastAsia" w:ascii="宋体" w:hAnsi="宋体"/>
                <w:bCs/>
                <w:szCs w:val="21"/>
              </w:rPr>
              <w:t xml:space="preserve">1、</w:t>
            </w:r>
            <w:r>
              <w:rPr>
                <w:rFonts w:hint="eastAsia" w:ascii="宋体" w:hAnsi="宋体"/>
              </w:rPr>
              <w:t xml:space="preserve">投标人具有GNSS接收机数量≥15台得1分，8台≤数量＜15台得0.5分，其它不得分；投标人具有全站仪数量≥10台得1分，5台≤数量＜10台得0.5分，其它不得分。</w:t>
            </w:r>
            <w:r>
              <w:rPr>
                <w:rFonts w:hint="eastAsia" w:ascii="宋体" w:hAnsi="宋体"/>
                <w:bCs/>
                <w:szCs w:val="21"/>
              </w:rPr>
              <w:t xml:space="preserve">本项最高得2分。（需提供仪器有效期内的检定证书）</w:t>
            </w:r>
            <w:r/>
          </w:p>
          <w:p>
            <w:pPr>
              <w:ind w:firstLine="420"/>
              <w:rPr>
                <w:rFonts w:ascii="宋体" w:hAnsi="宋体"/>
                <w:bCs/>
                <w:szCs w:val="21"/>
              </w:rPr>
            </w:pPr>
            <w:r>
              <w:rPr>
                <w:rFonts w:hint="eastAsia" w:ascii="宋体" w:hAnsi="宋体"/>
                <w:bCs/>
                <w:szCs w:val="21"/>
              </w:rPr>
              <w:t xml:space="preserve">2、投标人具有高精度无人机设备（相机数大于4个，有效像素不低于9600万）2套及以上的，得2分，没有或不足不得分。（需提供仪器发票、购买合同及产品手册）</w:t>
            </w:r>
            <w:r/>
          </w:p>
          <w:p>
            <w:pPr>
              <w:ind w:firstLine="420"/>
              <w:rPr>
                <w:rFonts w:ascii="宋体" w:hAnsi="宋体"/>
                <w:bCs/>
                <w:szCs w:val="21"/>
              </w:rPr>
            </w:pPr>
            <w:r>
              <w:rPr>
                <w:rFonts w:hint="eastAsia" w:ascii="宋体" w:hAnsi="宋体"/>
                <w:bCs/>
                <w:szCs w:val="21"/>
              </w:rPr>
              <w:t xml:space="preserve">3、投标人具有车载移动三维激光雷达扫描设备的，得2分，没有不得分。（需提供的仪器发票及购买合同）</w:t>
            </w:r>
            <w:r/>
          </w:p>
        </w:tc>
        <w:tc>
          <w:tcPr>
            <w:tcBorders>
              <w:left w:val="single" w:color="auto" w:sz="2" w:space="0"/>
            </w:tcBorders>
            <w:tcW w:w="444" w:type="pct"/>
            <w:vAlign w:val="center"/>
            <w:textDirection w:val="lrTb"/>
            <w:noWrap w:val="false"/>
          </w:tcPr>
          <w:p>
            <w:pPr>
              <w:jc w:val="center"/>
              <w:rPr>
                <w:rFonts w:ascii="宋体" w:hAnsi="宋体"/>
                <w:bCs/>
                <w:szCs w:val="21"/>
              </w:rPr>
            </w:pPr>
            <w:r>
              <w:rPr>
                <w:rFonts w:hint="eastAsia" w:ascii="宋体" w:hAnsi="宋体"/>
                <w:bCs/>
                <w:szCs w:val="21"/>
              </w:rPr>
              <w:t xml:space="preserve">6分</w:t>
            </w:r>
            <w:r/>
          </w:p>
        </w:tc>
      </w:tr>
      <w:tr>
        <w:trPr/>
        <w:tc>
          <w:tcPr>
            <w:tcW w:w="363" w:type="pct"/>
            <w:vAlign w:val="center"/>
            <w:textDirection w:val="lrTb"/>
            <w:noWrap w:val="false"/>
          </w:tcPr>
          <w:p>
            <w:pPr>
              <w:jc w:val="center"/>
              <w:widowControl/>
              <w:rPr>
                <w:rFonts w:ascii="宋体" w:hAnsi="宋体"/>
                <w:bCs/>
                <w:szCs w:val="21"/>
              </w:rPr>
            </w:pPr>
            <w:r>
              <w:rPr>
                <w:rFonts w:hint="eastAsia" w:ascii="宋体" w:hAnsi="宋体"/>
                <w:bCs/>
                <w:szCs w:val="21"/>
              </w:rPr>
              <w:t xml:space="preserve">5</w:t>
            </w:r>
            <w:r/>
          </w:p>
        </w:tc>
        <w:tc>
          <w:tcPr>
            <w:tcBorders>
              <w:right w:val="single" w:color="auto" w:sz="2" w:space="0"/>
            </w:tcBorders>
            <w:tcW w:w="662" w:type="pct"/>
            <w:vAlign w:val="center"/>
            <w:textDirection w:val="lrTb"/>
            <w:noWrap w:val="false"/>
          </w:tcPr>
          <w:p>
            <w:pPr>
              <w:jc w:val="center"/>
              <w:widowControl/>
              <w:rPr>
                <w:rFonts w:ascii="宋体" w:hAnsi="宋体"/>
                <w:bCs/>
                <w:szCs w:val="21"/>
              </w:rPr>
            </w:pPr>
            <w:r>
              <w:rPr>
                <w:rFonts w:hint="eastAsia" w:ascii="宋体" w:hAnsi="宋体"/>
                <w:bCs/>
                <w:szCs w:val="21"/>
              </w:rPr>
              <w:t xml:space="preserve">履约能力</w:t>
            </w:r>
            <w:r/>
          </w:p>
          <w:p>
            <w:pPr>
              <w:jc w:val="center"/>
              <w:widowControl/>
            </w:pPr>
            <w:r>
              <w:rPr>
                <w:rFonts w:hint="eastAsia" w:ascii="宋体" w:hAnsi="宋体"/>
                <w:bCs/>
                <w:szCs w:val="21"/>
              </w:rPr>
              <w:t xml:space="preserve">（8分）</w:t>
            </w:r>
            <w:r/>
          </w:p>
        </w:tc>
        <w:tc>
          <w:tcPr>
            <w:tcBorders>
              <w:top w:val="single" w:color="auto" w:sz="2" w:space="0"/>
              <w:left w:val="single" w:color="auto" w:sz="2" w:space="0"/>
              <w:bottom w:val="single" w:color="auto" w:sz="2" w:space="0"/>
              <w:right w:val="single" w:color="auto" w:sz="2" w:space="0"/>
            </w:tcBorders>
            <w:tcW w:w="3530" w:type="pct"/>
            <w:vAlign w:val="center"/>
            <w:textDirection w:val="lrTb"/>
            <w:noWrap w:val="false"/>
          </w:tcPr>
          <w:p>
            <w:pPr>
              <w:ind w:firstLine="420"/>
              <w:rPr>
                <w:rFonts w:ascii="宋体" w:hAnsi="宋体"/>
                <w:bCs/>
                <w:szCs w:val="21"/>
              </w:rPr>
            </w:pPr>
            <w:r>
              <w:rPr>
                <w:rFonts w:hint="eastAsia" w:ascii="宋体" w:hAnsi="宋体"/>
                <w:bCs/>
                <w:szCs w:val="21"/>
              </w:rPr>
              <w:t xml:space="preserve">1、投标人具有信息安全管理体系认证证书的，得2分，没有不得分。（需提供相关证书扫描件）</w:t>
            </w:r>
            <w:r/>
          </w:p>
          <w:p>
            <w:pPr>
              <w:ind w:firstLine="420"/>
              <w:rPr>
                <w:rFonts w:ascii="宋体" w:hAnsi="宋体"/>
                <w:bCs/>
                <w:szCs w:val="21"/>
              </w:rPr>
            </w:pPr>
            <w:r>
              <w:rPr>
                <w:rFonts w:hint="eastAsia" w:ascii="宋体" w:hAnsi="宋体"/>
                <w:bCs/>
                <w:szCs w:val="21"/>
              </w:rPr>
              <w:t xml:space="preserve">2、投标人自2024年1月1日（含）以来获得过科学技术进步奖，国家或省级每项得1分，市级每项得0.5分，最高得2分。（需提供相关证书扫描件）</w:t>
            </w:r>
            <w:r/>
          </w:p>
          <w:p>
            <w:pPr>
              <w:ind w:firstLine="420"/>
              <w:rPr>
                <w:rFonts w:ascii="宋体" w:hAnsi="宋体"/>
                <w:bCs/>
                <w:szCs w:val="21"/>
              </w:rPr>
            </w:pPr>
            <w:r>
              <w:rPr>
                <w:rFonts w:hint="eastAsia" w:ascii="宋体" w:hAnsi="宋体"/>
                <w:bCs/>
                <w:szCs w:val="21"/>
              </w:rPr>
              <w:t xml:space="preserve">3、投标人具有大比例尺地形图软件类（含质检软件）软件著作权证书的，每提供一个得1分，最高得2分。（需提供相关证书复印件）</w:t>
            </w:r>
            <w:r/>
          </w:p>
          <w:p>
            <w:pPr>
              <w:ind w:firstLine="420"/>
              <w:rPr>
                <w:rFonts w:ascii="宋体" w:hAnsi="宋体"/>
                <w:bCs/>
                <w:szCs w:val="21"/>
              </w:rPr>
            </w:pPr>
            <w:r>
              <w:rPr>
                <w:rFonts w:hint="eastAsia" w:ascii="宋体" w:hAnsi="宋体"/>
                <w:bCs/>
                <w:szCs w:val="21"/>
              </w:rPr>
              <w:t xml:space="preserve">4、投标人具有地理数据采集、成图或地形图类专利证书的，每提供一个得1分，最高得2分。（需提供相关证书复印件）</w:t>
            </w:r>
            <w:r/>
          </w:p>
        </w:tc>
        <w:tc>
          <w:tcPr>
            <w:tcBorders>
              <w:left w:val="single" w:color="auto" w:sz="2" w:space="0"/>
            </w:tcBorders>
            <w:tcW w:w="444" w:type="pct"/>
            <w:vAlign w:val="center"/>
            <w:textDirection w:val="lrTb"/>
            <w:noWrap w:val="false"/>
          </w:tcPr>
          <w:p>
            <w:pPr>
              <w:jc w:val="center"/>
              <w:rPr>
                <w:rFonts w:ascii="宋体" w:hAnsi="宋体"/>
                <w:bCs/>
                <w:szCs w:val="21"/>
              </w:rPr>
            </w:pPr>
            <w:r>
              <w:rPr>
                <w:rFonts w:hint="eastAsia" w:ascii="宋体" w:hAnsi="宋体"/>
                <w:bCs/>
                <w:szCs w:val="21"/>
              </w:rPr>
              <w:t xml:space="preserve">8分</w:t>
            </w:r>
            <w:r/>
          </w:p>
        </w:tc>
      </w:tr>
      <w:tr>
        <w:trPr>
          <w:trHeight w:val="1181"/>
        </w:trPr>
        <w:tc>
          <w:tcPr>
            <w:tcW w:w="363" w:type="pct"/>
            <w:vAlign w:val="center"/>
            <w:vMerge w:val="restart"/>
            <w:textDirection w:val="lrTb"/>
            <w:noWrap w:val="false"/>
          </w:tcPr>
          <w:p>
            <w:pPr>
              <w:jc w:val="center"/>
              <w:widowControl/>
              <w:rPr>
                <w:rFonts w:ascii="宋体" w:hAnsi="宋体"/>
                <w:bCs/>
                <w:szCs w:val="21"/>
              </w:rPr>
            </w:pPr>
            <w:r>
              <w:rPr>
                <w:rFonts w:hint="eastAsia" w:ascii="宋体" w:hAnsi="宋体"/>
                <w:bCs/>
                <w:szCs w:val="21"/>
              </w:rPr>
              <w:t xml:space="preserve">6</w:t>
            </w:r>
            <w:r/>
          </w:p>
        </w:tc>
        <w:tc>
          <w:tcPr>
            <w:tcBorders>
              <w:right w:val="single" w:color="auto" w:sz="2" w:space="0"/>
            </w:tcBorders>
            <w:tcW w:w="662" w:type="pct"/>
            <w:vAlign w:val="center"/>
            <w:vMerge w:val="restart"/>
            <w:textDirection w:val="lrTb"/>
            <w:noWrap w:val="false"/>
          </w:tcPr>
          <w:p>
            <w:pPr>
              <w:jc w:val="center"/>
              <w:widowControl/>
              <w:rPr>
                <w:rFonts w:ascii="宋体" w:hAnsi="宋体"/>
                <w:bCs/>
                <w:szCs w:val="21"/>
              </w:rPr>
            </w:pPr>
            <w:r>
              <w:rPr>
                <w:rFonts w:ascii="宋体" w:hAnsi="宋体"/>
                <w:bCs/>
                <w:szCs w:val="21"/>
              </w:rPr>
              <w:t xml:space="preserve">工作方案</w:t>
            </w:r>
            <w:r/>
          </w:p>
          <w:p>
            <w:pPr>
              <w:jc w:val="center"/>
              <w:widowControl/>
              <w:rPr>
                <w:rFonts w:ascii="宋体" w:hAnsi="宋体"/>
                <w:bCs/>
                <w:szCs w:val="21"/>
              </w:rPr>
            </w:pPr>
            <w:r>
              <w:rPr>
                <w:rFonts w:ascii="宋体" w:hAnsi="宋体"/>
                <w:bCs/>
                <w:szCs w:val="21"/>
              </w:rPr>
              <w:t xml:space="preserve">（</w:t>
            </w:r>
            <w:r>
              <w:rPr>
                <w:rFonts w:hint="eastAsia" w:ascii="宋体" w:hAnsi="宋体"/>
                <w:bCs/>
                <w:szCs w:val="21"/>
              </w:rPr>
              <w:t xml:space="preserve">44</w:t>
            </w:r>
            <w:r>
              <w:rPr>
                <w:rFonts w:ascii="宋体" w:hAnsi="宋体"/>
                <w:bCs/>
                <w:szCs w:val="21"/>
              </w:rPr>
              <w:t xml:space="preserve">分）</w:t>
            </w:r>
            <w:r/>
          </w:p>
        </w:tc>
        <w:tc>
          <w:tcPr>
            <w:tcBorders>
              <w:top w:val="single" w:color="auto" w:sz="2" w:space="0"/>
              <w:left w:val="single" w:color="auto" w:sz="2" w:space="0"/>
              <w:right w:val="single" w:color="auto" w:sz="2" w:space="0"/>
            </w:tcBorders>
            <w:tcW w:w="3530" w:type="pct"/>
            <w:vAlign w:val="center"/>
            <w:textDirection w:val="lrTb"/>
            <w:noWrap w:val="false"/>
          </w:tcPr>
          <w:p>
            <w:pPr>
              <w:widowControl/>
              <w:rPr>
                <w:rFonts w:ascii="宋体" w:hAnsi="宋体"/>
                <w:b/>
                <w:bCs/>
                <w:szCs w:val="21"/>
              </w:rPr>
            </w:pPr>
            <w:r>
              <w:rPr>
                <w:rFonts w:ascii="宋体" w:hAnsi="宋体"/>
                <w:b/>
                <w:bCs/>
                <w:szCs w:val="21"/>
              </w:rPr>
              <w:t xml:space="preserve">4.1</w:t>
            </w:r>
            <w:r>
              <w:rPr>
                <w:rFonts w:hint="eastAsia" w:ascii="宋体" w:hAnsi="宋体"/>
                <w:b/>
                <w:bCs/>
                <w:szCs w:val="21"/>
              </w:rPr>
              <w:t xml:space="preserve">总体设计方案</w:t>
            </w:r>
            <w:r>
              <w:rPr>
                <w:rFonts w:ascii="宋体" w:hAnsi="宋体"/>
                <w:b/>
                <w:bCs/>
                <w:szCs w:val="21"/>
              </w:rPr>
              <w:t xml:space="preserve">：</w:t>
            </w:r>
            <w:r/>
          </w:p>
          <w:p>
            <w:pPr>
              <w:ind w:firstLine="420"/>
              <w:widowControl/>
              <w:rPr>
                <w:rFonts w:ascii="宋体" w:hAnsi="宋体"/>
                <w:bCs/>
                <w:szCs w:val="21"/>
              </w:rPr>
            </w:pPr>
            <w:r>
              <w:rPr>
                <w:rFonts w:hint="eastAsia" w:ascii="宋体" w:hAnsi="宋体"/>
                <w:bCs/>
                <w:szCs w:val="21"/>
              </w:rPr>
              <w:t xml:space="preserve">总体设计思路具备突出科学性与前瞻性，紧密贴合项目目标与发展需求；设计原则定位准确、依据充分，技术路线逻辑完整、层次清晰，关键技术选型适配性强、重难点解决方案详实可行；整体内容体系完善、论证充分，方案系统性与可落地性突出，得10分；</w:t>
            </w:r>
            <w:r/>
          </w:p>
          <w:p>
            <w:pPr>
              <w:ind w:firstLine="420"/>
              <w:widowControl/>
              <w:rPr>
                <w:rFonts w:ascii="宋体" w:hAnsi="宋体"/>
                <w:bCs/>
                <w:szCs w:val="21"/>
              </w:rPr>
            </w:pPr>
            <w:r>
              <w:rPr>
                <w:rFonts w:hint="eastAsia" w:ascii="宋体" w:hAnsi="宋体"/>
                <w:bCs/>
                <w:szCs w:val="21"/>
              </w:rPr>
              <w:t xml:space="preserve">总体设计思路具备较好科学性与前瞻性，契合项目目标；设计原则表述规范，技术路线框架完整，关键技术选型基本合理，核心技术路径具备可行性；相关内容要素齐全，但深度论证、细节优化层面尚有提升空间，得7分；</w:t>
            </w:r>
            <w:r/>
          </w:p>
          <w:p>
            <w:pPr>
              <w:ind w:firstLine="420"/>
              <w:widowControl/>
              <w:rPr>
                <w:rFonts w:ascii="宋体" w:hAnsi="宋体"/>
                <w:bCs/>
                <w:szCs w:val="21"/>
              </w:rPr>
            </w:pPr>
            <w:r>
              <w:rPr>
                <w:rFonts w:hint="eastAsia" w:ascii="宋体" w:hAnsi="宋体"/>
                <w:bCs/>
                <w:szCs w:val="21"/>
              </w:rPr>
              <w:t xml:space="preserve">总体设计思路表述相对清晰，能够体现项目基本服务方向；设计原则、技术路线、关键技术相关内容完整性一般，逻辑条理性、方案论证深度不足，部分技术方案缺乏充分说明，落地实施存在一定优化空间，得4分；</w:t>
            </w:r>
            <w:r/>
          </w:p>
          <w:p>
            <w:pPr>
              <w:ind w:firstLine="420"/>
              <w:widowControl/>
              <w:rPr>
                <w:rFonts w:ascii="宋体" w:hAnsi="宋体"/>
                <w:bCs/>
                <w:szCs w:val="21"/>
              </w:rPr>
            </w:pPr>
            <w:r>
              <w:rPr>
                <w:rFonts w:hint="eastAsia" w:ascii="宋体" w:hAnsi="宋体"/>
                <w:bCs/>
                <w:szCs w:val="21"/>
              </w:rPr>
              <w:t xml:space="preserve">总体设计思路模糊，缺乏系统性考量；设计原则、技术路线、关键技术内容残缺、逻辑混乱，技术方案合理性不足，难以有效支撑项目实施，得1分；</w:t>
            </w:r>
            <w:r/>
          </w:p>
          <w:p>
            <w:pPr>
              <w:ind w:firstLine="420"/>
              <w:widowControl/>
              <w:rPr>
                <w:rFonts w:ascii="宋体" w:hAnsi="宋体"/>
                <w:bCs/>
                <w:szCs w:val="21"/>
              </w:rPr>
            </w:pPr>
            <w:r>
              <w:rPr>
                <w:rFonts w:hint="eastAsia" w:ascii="宋体" w:hAnsi="宋体"/>
                <w:bCs/>
                <w:szCs w:val="21"/>
              </w:rPr>
              <w:t xml:space="preserve">没有此项内容不得分。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10</w:t>
            </w:r>
            <w:r>
              <w:rPr>
                <w:rFonts w:ascii="宋体" w:hAnsi="宋体"/>
                <w:bCs/>
                <w:szCs w:val="21"/>
              </w:rPr>
              <w:t xml:space="preserve">分</w:t>
            </w:r>
            <w:r/>
          </w:p>
        </w:tc>
      </w:tr>
      <w:tr>
        <w:trPr>
          <w:trHeight w:val="2198"/>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top w:val="single" w:color="auto" w:sz="2" w:space="0"/>
              <w:left w:val="single" w:color="auto" w:sz="2" w:space="0"/>
              <w:right w:val="single" w:color="auto" w:sz="2" w:space="0"/>
            </w:tcBorders>
            <w:tcW w:w="3530" w:type="pct"/>
            <w:vAlign w:val="center"/>
            <w:textDirection w:val="lrTb"/>
            <w:noWrap w:val="false"/>
          </w:tcPr>
          <w:p>
            <w:pPr>
              <w:ind w:firstLine="422"/>
              <w:widowControl/>
              <w:rPr>
                <w:rFonts w:ascii="宋体" w:hAnsi="宋体"/>
                <w:b/>
                <w:bCs/>
                <w:szCs w:val="21"/>
              </w:rPr>
            </w:pPr>
            <w:r>
              <w:rPr>
                <w:rFonts w:ascii="宋体" w:hAnsi="宋体"/>
                <w:b/>
                <w:bCs/>
                <w:szCs w:val="21"/>
              </w:rPr>
              <w:t xml:space="preserve">4.2</w:t>
            </w:r>
            <w:r>
              <w:rPr>
                <w:rFonts w:hint="eastAsia" w:ascii="宋体" w:hAnsi="宋体"/>
                <w:b/>
                <w:bCs/>
                <w:szCs w:val="21"/>
              </w:rPr>
              <w:t xml:space="preserve">技术方案：</w:t>
            </w:r>
            <w:r/>
          </w:p>
          <w:p>
            <w:pPr>
              <w:ind w:firstLine="420"/>
              <w:widowControl/>
              <w:rPr>
                <w:rFonts w:ascii="宋体" w:hAnsi="宋体"/>
                <w:bCs/>
                <w:szCs w:val="21"/>
              </w:rPr>
            </w:pPr>
            <w:r>
              <w:rPr>
                <w:rFonts w:hint="eastAsia" w:ascii="宋体" w:hAnsi="宋体"/>
                <w:bCs/>
                <w:szCs w:val="21"/>
              </w:rPr>
              <w:t xml:space="preserve">大比例尺地形图更新技术方案具备突出科学性与实操性，贴合项目目标与作业需求；技术体系完整、流程清晰，技术方法合理可行，重难点应对措施完善，整体论证充分、落地性强，可全面满足招标文件各项要求，得10分；</w:t>
            </w:r>
            <w:r/>
          </w:p>
          <w:p>
            <w:pPr>
              <w:ind w:firstLine="420"/>
              <w:widowControl/>
              <w:rPr>
                <w:rFonts w:ascii="宋体" w:hAnsi="宋体"/>
                <w:bCs/>
                <w:szCs w:val="21"/>
              </w:rPr>
            </w:pPr>
            <w:r>
              <w:rPr>
                <w:rFonts w:hint="eastAsia" w:ascii="宋体" w:hAnsi="宋体"/>
                <w:bCs/>
                <w:szCs w:val="21"/>
              </w:rPr>
              <w:t xml:space="preserve">大比例尺地形图更新技术方案具备较好科学性与实操性，契合项目目标；方案框架完整，技术路线规范、方法选型合理，整体具备可行性；内容要素齐全，仅细节论证、优化提升方面存在小幅不足，得7分；</w:t>
            </w:r>
            <w:r/>
          </w:p>
          <w:p>
            <w:pPr>
              <w:ind w:firstLine="420"/>
              <w:widowControl/>
              <w:rPr>
                <w:rFonts w:ascii="宋体" w:hAnsi="宋体"/>
                <w:bCs/>
                <w:szCs w:val="21"/>
              </w:rPr>
            </w:pPr>
            <w:r>
              <w:rPr>
                <w:rFonts w:hint="eastAsia" w:ascii="宋体" w:hAnsi="宋体"/>
                <w:bCs/>
                <w:szCs w:val="21"/>
              </w:rPr>
              <w:t xml:space="preserve">大比例尺地形图更新技术方案思路相对清晰，可体现基本作业方向；方案完整性、条理性一般，技术流程与相关说明论证不够充分，整体存在一定优化空间，仅能满足基础作业需求，得4分；</w:t>
            </w:r>
            <w:r/>
          </w:p>
          <w:p>
            <w:pPr>
              <w:ind w:firstLine="420"/>
              <w:widowControl/>
              <w:rPr>
                <w:rFonts w:ascii="宋体" w:hAnsi="宋体"/>
                <w:bCs/>
                <w:szCs w:val="21"/>
              </w:rPr>
            </w:pPr>
            <w:r>
              <w:rPr>
                <w:rFonts w:hint="eastAsia" w:ascii="宋体" w:hAnsi="宋体"/>
                <w:bCs/>
                <w:szCs w:val="21"/>
              </w:rPr>
              <w:t xml:space="preserve">大比例尺地形图更新技术方案思路模糊，缺乏系统性；方案内容残缺、逻辑混乱，技术路线与技术选型不合理，可行性差，无法有效支撑项目实施，得1分；</w:t>
            </w:r>
            <w:r/>
          </w:p>
          <w:p>
            <w:pPr>
              <w:ind w:firstLine="420"/>
              <w:widowControl/>
              <w:rPr>
                <w:rFonts w:ascii="宋体" w:hAnsi="宋体"/>
                <w:bCs/>
                <w:szCs w:val="21"/>
              </w:rPr>
            </w:pPr>
            <w:r>
              <w:rPr>
                <w:rFonts w:hint="eastAsia" w:ascii="宋体" w:hAnsi="宋体"/>
                <w:bCs/>
                <w:szCs w:val="21"/>
              </w:rPr>
              <w:t xml:space="preserve">没有此项内容不得分。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10分</w:t>
            </w:r>
            <w:r/>
          </w:p>
        </w:tc>
      </w:tr>
      <w:tr>
        <w:trPr>
          <w:trHeight w:val="699"/>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left w:val="single" w:color="auto" w:sz="2" w:space="0"/>
              <w:right w:val="single" w:color="auto" w:sz="2" w:space="0"/>
            </w:tcBorders>
            <w:tcW w:w="3530" w:type="pct"/>
            <w:vAlign w:val="center"/>
            <w:textDirection w:val="lrTb"/>
            <w:noWrap w:val="false"/>
          </w:tcPr>
          <w:p>
            <w:pPr>
              <w:ind w:firstLine="422"/>
              <w:widowControl/>
              <w:rPr>
                <w:rFonts w:ascii="宋体" w:hAnsi="宋体"/>
                <w:b/>
                <w:bCs/>
                <w:szCs w:val="21"/>
              </w:rPr>
            </w:pPr>
            <w:r>
              <w:rPr>
                <w:rFonts w:ascii="宋体" w:hAnsi="宋体"/>
                <w:b/>
                <w:bCs/>
                <w:szCs w:val="21"/>
              </w:rPr>
              <w:t xml:space="preserve">4.3</w:t>
            </w:r>
            <w:r>
              <w:rPr>
                <w:rFonts w:hint="eastAsia" w:ascii="宋体" w:hAnsi="宋体"/>
                <w:b/>
                <w:bCs/>
                <w:szCs w:val="21"/>
              </w:rPr>
              <w:t xml:space="preserve">实施方案：</w:t>
            </w:r>
            <w:r/>
          </w:p>
          <w:p>
            <w:pPr>
              <w:ind w:firstLine="420"/>
              <w:widowControl/>
              <w:rPr>
                <w:rFonts w:ascii="宋体" w:hAnsi="宋体"/>
                <w:bCs/>
                <w:szCs w:val="21"/>
              </w:rPr>
            </w:pPr>
            <w:r>
              <w:rPr>
                <w:rFonts w:hint="eastAsia" w:ascii="宋体" w:hAnsi="宋体"/>
                <w:bCs/>
                <w:szCs w:val="21"/>
              </w:rPr>
              <w:t xml:space="preserve">实施方案全面完善，具备突出的系统性与实操性，紧密贴合项目目标；进度安排科学有序、组织架构清晰合理，进度管控、风险管控、质量保障体系健全完备，管控措施详实可行，整体方案落地性强，得10分；</w:t>
            </w:r>
            <w:r/>
          </w:p>
          <w:p>
            <w:pPr>
              <w:ind w:firstLine="420"/>
              <w:widowControl/>
              <w:rPr>
                <w:rFonts w:ascii="宋体" w:hAnsi="宋体"/>
                <w:bCs/>
                <w:szCs w:val="21"/>
              </w:rPr>
            </w:pPr>
            <w:r>
              <w:rPr>
                <w:rFonts w:hint="eastAsia" w:ascii="宋体" w:hAnsi="宋体"/>
                <w:bCs/>
                <w:szCs w:val="21"/>
              </w:rPr>
              <w:t xml:space="preserve">实施方案整体较为全面，契合项目目标；进度安排、组织架构基本合理，进度控制、风险控制、质量保障措施基本齐全、具备可行性；相关内容要素完整，但在细节完善、管控细化层面尚有提升空间，得7分；</w:t>
            </w:r>
            <w:r/>
          </w:p>
          <w:p>
            <w:pPr>
              <w:ind w:firstLine="420"/>
              <w:widowControl/>
              <w:rPr>
                <w:rFonts w:ascii="宋体" w:hAnsi="宋体"/>
                <w:bCs/>
                <w:szCs w:val="21"/>
              </w:rPr>
            </w:pPr>
            <w:r>
              <w:rPr>
                <w:rFonts w:hint="eastAsia" w:ascii="宋体" w:hAnsi="宋体"/>
                <w:bCs/>
                <w:szCs w:val="21"/>
              </w:rPr>
              <w:t xml:space="preserve">实施方案内容相对单薄，能够体现基本实施思路；进度安排、组织架构合理性一般，进度控制、风险控制、质量保障措施不完善、论证不足，整体管控能力较弱，存在较大优化空间，得4分；</w:t>
            </w:r>
            <w:r/>
          </w:p>
          <w:p>
            <w:pPr>
              <w:ind w:firstLine="420"/>
              <w:widowControl/>
              <w:rPr>
                <w:rFonts w:ascii="宋体" w:hAnsi="宋体"/>
                <w:bCs/>
                <w:szCs w:val="21"/>
              </w:rPr>
            </w:pPr>
            <w:r>
              <w:rPr>
                <w:rFonts w:hint="eastAsia" w:ascii="宋体" w:hAnsi="宋体"/>
                <w:bCs/>
                <w:szCs w:val="21"/>
              </w:rPr>
              <w:t xml:space="preserve">实施方案内容模糊，缺乏系统性考量；进度安排、组织架构不合理，进度控制、风险控制、质量保障措施严重缺失，方案可行性差，无法有效支撑项目实施，得1分；</w:t>
            </w:r>
            <w:r/>
          </w:p>
          <w:p>
            <w:pPr>
              <w:ind w:firstLine="420"/>
              <w:widowControl/>
              <w:rPr>
                <w:rFonts w:ascii="宋体" w:hAnsi="宋体"/>
                <w:bCs/>
                <w:szCs w:val="21"/>
              </w:rPr>
            </w:pPr>
            <w:r>
              <w:rPr>
                <w:rFonts w:hint="eastAsia" w:ascii="宋体" w:hAnsi="宋体"/>
                <w:bCs/>
                <w:szCs w:val="21"/>
              </w:rPr>
              <w:t xml:space="preserve">没有此项内容不得分。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10分</w:t>
            </w:r>
            <w:r/>
          </w:p>
        </w:tc>
      </w:tr>
      <w:tr>
        <w:trPr>
          <w:trHeight w:val="699"/>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left w:val="single" w:color="auto" w:sz="2" w:space="0"/>
              <w:right w:val="single" w:color="auto" w:sz="2" w:space="0"/>
            </w:tcBorders>
            <w:tcW w:w="3530" w:type="pct"/>
            <w:vAlign w:val="center"/>
            <w:textDirection w:val="lrTb"/>
            <w:noWrap w:val="false"/>
          </w:tcPr>
          <w:p>
            <w:pPr>
              <w:ind w:firstLine="422"/>
              <w:widowControl/>
              <w:rPr>
                <w:rFonts w:ascii="宋体" w:hAnsi="宋体"/>
                <w:b/>
                <w:bCs/>
                <w:szCs w:val="21"/>
              </w:rPr>
            </w:pPr>
            <w:r>
              <w:rPr>
                <w:rFonts w:hint="eastAsia" w:ascii="宋体" w:hAnsi="宋体"/>
                <w:b/>
                <w:bCs/>
                <w:szCs w:val="21"/>
              </w:rPr>
              <w:t xml:space="preserve">4.4保密措施</w:t>
            </w:r>
            <w:r/>
          </w:p>
          <w:p>
            <w:pPr>
              <w:ind w:firstLine="420"/>
              <w:widowControl/>
              <w:rPr>
                <w:rFonts w:ascii="宋体" w:hAnsi="宋体"/>
                <w:bCs/>
                <w:szCs w:val="21"/>
              </w:rPr>
            </w:pPr>
            <w:r>
              <w:rPr>
                <w:rFonts w:ascii="宋体" w:hAnsi="宋体"/>
                <w:bCs/>
                <w:szCs w:val="21"/>
              </w:rPr>
              <w:t xml:space="preserve">保密措施方案内容完整、体系规范，相关保密管理制度、资料销毁制度健全完善，贴合项目目标，管控流程清晰、措施到位，可全面保障项目数据资料安全，得7分；</w:t>
            </w:r>
            <w:r/>
          </w:p>
          <w:p>
            <w:pPr>
              <w:ind w:firstLine="420"/>
              <w:widowControl/>
              <w:rPr>
                <w:rFonts w:ascii="宋体" w:hAnsi="宋体"/>
                <w:bCs/>
                <w:szCs w:val="21"/>
              </w:rPr>
            </w:pPr>
            <w:r>
              <w:rPr>
                <w:rFonts w:ascii="宋体" w:hAnsi="宋体"/>
                <w:bCs/>
                <w:szCs w:val="21"/>
              </w:rPr>
              <w:t xml:space="preserve">保密措施方案及相关保密、销毁制度基本齐全，整体思路清晰，核心管控内容基本完善，能够满足项目常规保密管理要求，无明显漏洞，得4分；</w:t>
            </w:r>
            <w:r/>
          </w:p>
          <w:p>
            <w:pPr>
              <w:ind w:firstLine="420"/>
              <w:widowControl/>
              <w:rPr>
                <w:rFonts w:ascii="宋体" w:hAnsi="宋体"/>
                <w:bCs/>
                <w:szCs w:val="21"/>
              </w:rPr>
            </w:pPr>
            <w:r>
              <w:rPr>
                <w:rFonts w:ascii="宋体" w:hAnsi="宋体"/>
                <w:bCs/>
                <w:szCs w:val="21"/>
              </w:rPr>
              <w:t xml:space="preserve">保密措施方案及相关保密、销毁制度内容简单粗糙、条款不完善，管控流程存在缺失，保密与销毁管理措施不到位，无法有效保障资料安全，得1分；</w:t>
            </w:r>
            <w:r/>
          </w:p>
          <w:p>
            <w:pPr>
              <w:ind w:firstLine="420"/>
              <w:widowControl/>
              <w:rPr>
                <w:rFonts w:ascii="宋体" w:hAnsi="宋体"/>
                <w:bCs/>
                <w:szCs w:val="21"/>
              </w:rPr>
            </w:pPr>
            <w:r>
              <w:rPr>
                <w:rFonts w:ascii="宋体" w:hAnsi="宋体"/>
                <w:bCs/>
                <w:szCs w:val="21"/>
              </w:rPr>
              <w:t xml:space="preserve">没有此项内容不得分。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7分</w:t>
            </w:r>
            <w:r/>
          </w:p>
        </w:tc>
      </w:tr>
      <w:tr>
        <w:trPr>
          <w:trHeight w:val="699"/>
        </w:trPr>
        <w:tc>
          <w:tcPr>
            <w:tcW w:w="363"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right w:val="single" w:color="auto" w:sz="2" w:space="0"/>
            </w:tcBorders>
            <w:tcW w:w="662" w:type="pct"/>
            <w:vAlign w:val="center"/>
            <w:vMerge w:val="continue"/>
            <w:textDirection w:val="lrTb"/>
            <w:noWrap w:val="false"/>
          </w:tcPr>
          <w:p>
            <w:pPr>
              <w:jc w:val="center"/>
              <w:widowControl/>
              <w:rPr>
                <w:rFonts w:ascii="宋体" w:hAnsi="宋体"/>
                <w:bCs/>
                <w:szCs w:val="21"/>
              </w:rPr>
            </w:pPr>
            <w:r>
              <w:rPr>
                <w:rFonts w:ascii="宋体" w:hAnsi="宋体"/>
                <w:bCs/>
                <w:szCs w:val="21"/>
              </w:rPr>
            </w:r>
            <w:r/>
          </w:p>
        </w:tc>
        <w:tc>
          <w:tcPr>
            <w:tcBorders>
              <w:left w:val="single" w:color="auto" w:sz="2" w:space="0"/>
              <w:right w:val="single" w:color="auto" w:sz="2" w:space="0"/>
            </w:tcBorders>
            <w:tcW w:w="3530" w:type="pct"/>
            <w:vAlign w:val="center"/>
            <w:textDirection w:val="lrTb"/>
            <w:noWrap w:val="false"/>
          </w:tcPr>
          <w:p>
            <w:pPr>
              <w:ind w:firstLine="422"/>
              <w:widowControl/>
              <w:rPr>
                <w:rFonts w:ascii="宋体" w:hAnsi="宋体"/>
                <w:b/>
                <w:bCs/>
                <w:szCs w:val="21"/>
              </w:rPr>
            </w:pPr>
            <w:r>
              <w:rPr>
                <w:rFonts w:hint="eastAsia" w:ascii="宋体" w:hAnsi="宋体"/>
                <w:b/>
                <w:bCs/>
                <w:szCs w:val="21"/>
              </w:rPr>
              <w:t xml:space="preserve">4.5合理化建议：</w:t>
            </w:r>
            <w:r/>
          </w:p>
          <w:p>
            <w:pPr>
              <w:ind w:firstLine="420"/>
              <w:widowControl/>
              <w:rPr>
                <w:rFonts w:ascii="宋体" w:hAnsi="宋体"/>
                <w:bCs/>
                <w:szCs w:val="21"/>
              </w:rPr>
            </w:pPr>
            <w:r>
              <w:rPr>
                <w:rFonts w:ascii="宋体" w:hAnsi="宋体"/>
                <w:bCs/>
                <w:szCs w:val="21"/>
              </w:rPr>
              <w:t xml:space="preserve">投标人结合采购要求及项目实际，提出科学先进、针对性强、落地性高的项目优化建议，建议内容详实、贴合项目目标，可有效提升项目实施质量与成效，得7分；</w:t>
            </w:r>
            <w:r/>
          </w:p>
          <w:p>
            <w:pPr>
              <w:ind w:firstLine="420"/>
              <w:widowControl/>
              <w:rPr>
                <w:rFonts w:ascii="宋体" w:hAnsi="宋体"/>
                <w:bCs/>
                <w:szCs w:val="21"/>
              </w:rPr>
            </w:pPr>
            <w:r>
              <w:rPr>
                <w:rFonts w:ascii="宋体" w:hAnsi="宋体"/>
                <w:bCs/>
                <w:szCs w:val="21"/>
              </w:rPr>
              <w:t xml:space="preserve">投标人结合采购要求提出相关项目优化建议，建议内容合理、具备基本可行性，能够贴合项目常规实施需求，但创新性、细致度一般，提升效果有限，得4分；</w:t>
            </w:r>
            <w:r/>
          </w:p>
          <w:p>
            <w:pPr>
              <w:ind w:firstLine="420"/>
              <w:widowControl/>
              <w:rPr>
                <w:rFonts w:ascii="宋体" w:hAnsi="宋体"/>
                <w:bCs/>
                <w:szCs w:val="21"/>
              </w:rPr>
            </w:pPr>
            <w:r>
              <w:rPr>
                <w:rFonts w:ascii="宋体" w:hAnsi="宋体"/>
                <w:bCs/>
                <w:szCs w:val="21"/>
              </w:rPr>
              <w:t xml:space="preserve">投标人未能结合采购要求提出科学有效的项目优化建议，所提建议内容空洞、针对性弱、可行性差，无法为项目实施提供有效支撑，得1分；</w:t>
            </w:r>
            <w:r/>
          </w:p>
          <w:p>
            <w:pPr>
              <w:ind w:firstLine="420"/>
              <w:widowControl/>
              <w:rPr>
                <w:rFonts w:ascii="宋体" w:hAnsi="宋体"/>
                <w:bCs/>
                <w:szCs w:val="21"/>
              </w:rPr>
            </w:pPr>
            <w:r>
              <w:rPr>
                <w:rFonts w:ascii="宋体" w:hAnsi="宋体"/>
                <w:bCs/>
                <w:szCs w:val="21"/>
              </w:rPr>
              <w:t xml:space="preserve">没有此项内容不得分。</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hint="eastAsia" w:ascii="宋体" w:hAnsi="宋体"/>
                <w:bCs/>
                <w:szCs w:val="21"/>
              </w:rPr>
              <w:t xml:space="preserve">7分</w:t>
            </w:r>
            <w:r/>
          </w:p>
        </w:tc>
      </w:tr>
      <w:tr>
        <w:trPr>
          <w:trHeight w:val="90"/>
        </w:trPr>
        <w:tc>
          <w:tcPr>
            <w:tcW w:w="363" w:type="pct"/>
            <w:vAlign w:val="center"/>
            <w:textDirection w:val="lrTb"/>
            <w:noWrap w:val="false"/>
          </w:tcPr>
          <w:p>
            <w:pPr>
              <w:jc w:val="center"/>
              <w:widowControl/>
              <w:rPr>
                <w:rFonts w:ascii="宋体" w:hAnsi="宋体"/>
                <w:bCs/>
                <w:szCs w:val="21"/>
              </w:rPr>
            </w:pPr>
            <w:r>
              <w:rPr>
                <w:rFonts w:ascii="宋体" w:hAnsi="宋体"/>
                <w:bCs/>
                <w:szCs w:val="21"/>
              </w:rPr>
            </w:r>
            <w:r/>
          </w:p>
        </w:tc>
        <w:tc>
          <w:tcPr>
            <w:gridSpan w:val="2"/>
            <w:tcBorders>
              <w:right w:val="single" w:color="auto" w:sz="2" w:space="0"/>
            </w:tcBorders>
            <w:tcW w:w="4192" w:type="pct"/>
            <w:vAlign w:val="center"/>
            <w:textDirection w:val="lrTb"/>
            <w:noWrap w:val="false"/>
          </w:tcPr>
          <w:p>
            <w:pPr>
              <w:jc w:val="center"/>
              <w:widowControl/>
              <w:rPr>
                <w:rFonts w:ascii="宋体" w:hAnsi="宋体"/>
                <w:bCs/>
                <w:szCs w:val="21"/>
              </w:rPr>
            </w:pPr>
            <w:r>
              <w:rPr>
                <w:rFonts w:ascii="宋体" w:hAnsi="宋体"/>
                <w:bCs/>
                <w:szCs w:val="21"/>
              </w:rPr>
              <w:t xml:space="preserve">合计</w:t>
            </w:r>
            <w:r/>
          </w:p>
        </w:tc>
        <w:tc>
          <w:tcPr>
            <w:tcBorders>
              <w:left w:val="single" w:color="auto" w:sz="2" w:space="0"/>
            </w:tcBorders>
            <w:tcW w:w="444" w:type="pct"/>
            <w:vAlign w:val="center"/>
            <w:textDirection w:val="lrTb"/>
            <w:noWrap w:val="false"/>
          </w:tcPr>
          <w:p>
            <w:pPr>
              <w:jc w:val="center"/>
              <w:widowControl/>
              <w:rPr>
                <w:rFonts w:ascii="宋体" w:hAnsi="宋体"/>
                <w:bCs/>
                <w:szCs w:val="21"/>
              </w:rPr>
            </w:pPr>
            <w:r>
              <w:rPr>
                <w:rFonts w:ascii="宋体" w:hAnsi="宋体"/>
                <w:bCs/>
                <w:szCs w:val="21"/>
              </w:rPr>
              <w:t xml:space="preserve">100分</w:t>
            </w:r>
            <w:r/>
          </w:p>
        </w:tc>
      </w:tr>
    </w:tbl>
    <w:p>
      <w:pPr>
        <w:pStyle w:val="920"/>
      </w:pPr>
      <w:r/>
      <w:r/>
    </w:p>
    <w:p>
      <w:pPr>
        <w:ind w:firstLine="420"/>
        <w:spacing w:line="360" w:lineRule="auto"/>
        <w:rPr>
          <w:rFonts w:ascii="宋体" w:hAnsi="宋体" w:cs="宋体"/>
          <w:bCs/>
          <w:szCs w:val="21"/>
        </w:rPr>
      </w:pPr>
      <w:r>
        <w:rPr>
          <w:rFonts w:hint="eastAsia" w:ascii="宋体" w:hAnsi="宋体" w:cs="宋体"/>
          <w:bCs/>
          <w:szCs w:val="21"/>
        </w:rPr>
        <w:t xml:space="preserve">说明：</w:t>
      </w:r>
      <w:r/>
    </w:p>
    <w:p>
      <w:pPr>
        <w:ind w:firstLine="420"/>
        <w:spacing w:line="360" w:lineRule="auto"/>
        <w:rPr>
          <w:rFonts w:ascii="宋体" w:hAnsi="宋体" w:cs="宋体"/>
        </w:rPr>
      </w:pPr>
      <w:r>
        <w:rPr>
          <w:rFonts w:hint="eastAsia" w:ascii="宋体" w:hAnsi="宋体" w:cs="宋体"/>
        </w:rPr>
        <w:t xml:space="preserve">1.所有认证、证明和业绩均以有效清晰的证明文件的复印件为依据，原件备查。</w:t>
      </w:r>
      <w:r/>
    </w:p>
    <w:p>
      <w:pPr>
        <w:ind w:firstLine="420"/>
        <w:spacing w:line="360" w:lineRule="auto"/>
        <w:rPr>
          <w:rFonts w:ascii="宋体" w:hAnsi="宋体" w:cs="宋体"/>
        </w:rPr>
      </w:pPr>
      <w:r>
        <w:rPr>
          <w:rFonts w:hint="eastAsia" w:ascii="宋体" w:hAnsi="宋体" w:cs="宋体"/>
        </w:rPr>
        <w:t xml:space="preserve">2.小微企业价格扣除</w:t>
      </w:r>
      <w:r/>
    </w:p>
    <w:p>
      <w:pPr>
        <w:ind w:firstLine="420"/>
        <w:spacing w:line="360" w:lineRule="auto"/>
        <w:rPr>
          <w:rFonts w:ascii="宋体" w:hAnsi="宋体" w:cs="宋体"/>
        </w:rPr>
      </w:pPr>
      <w:r>
        <w:rPr>
          <w:rFonts w:hint="eastAsia" w:ascii="宋体" w:hAnsi="宋体" w:cs="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rPr>
      </w:pPr>
      <w:r>
        <w:rPr>
          <w:rFonts w:hint="eastAsia" w:ascii="宋体" w:hAns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rPr>
      </w:pPr>
      <w:r>
        <w:rPr>
          <w:rFonts w:hint="eastAsia" w:ascii="宋体" w:hAnsi="宋体" w:cs="宋体"/>
        </w:rPr>
        <w:t xml:space="preserve">3.监狱和戒毒企业的价格扣除</w:t>
      </w:r>
      <w:r/>
    </w:p>
    <w:p>
      <w:pPr>
        <w:ind w:firstLine="420"/>
        <w:spacing w:line="360" w:lineRule="auto"/>
        <w:rPr>
          <w:rFonts w:ascii="宋体" w:hAnsi="宋体" w:cs="宋体"/>
        </w:rPr>
      </w:pPr>
      <w:r>
        <w:rPr>
          <w:rFonts w:hint="eastAsia" w:ascii="宋体" w:hAnsi="宋体" w:cs="宋体"/>
        </w:rPr>
        <w:t xml:space="preserve">3.1 本项目对监狱和戒毒企业，给予10%的价格扣除，用扣除后的价格参与评审。</w:t>
      </w:r>
      <w:r/>
    </w:p>
    <w:p>
      <w:pPr>
        <w:ind w:firstLine="420"/>
        <w:spacing w:line="360" w:lineRule="auto"/>
        <w:rPr>
          <w:rFonts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rPr>
        <w:t xml:space="preserve">3.3 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4.残疾人福利性单位的价格扣除</w:t>
      </w:r>
      <w:r/>
    </w:p>
    <w:p>
      <w:pPr>
        <w:ind w:firstLine="420"/>
        <w:spacing w:line="360" w:lineRule="auto"/>
        <w:rPr>
          <w:rFonts w:ascii="宋体" w:hAnsi="宋体" w:cs="宋体"/>
        </w:rPr>
      </w:pPr>
      <w:r>
        <w:rPr>
          <w:rFonts w:hint="eastAsia" w:ascii="宋体" w:hAnsi="宋体" w:cs="宋体"/>
        </w:rPr>
        <w:t xml:space="preserve">4.1 本项目对残疾人福利性单位，给予10%的价格扣除，用扣除后的价格参与评审。</w:t>
      </w:r>
      <w:r/>
    </w:p>
    <w:p>
      <w:pPr>
        <w:ind w:firstLine="420"/>
        <w:spacing w:line="360" w:lineRule="auto"/>
        <w:rPr>
          <w:rFonts w:ascii="宋体" w:hAnsi="宋体" w:cs="宋体"/>
        </w:rPr>
      </w:pPr>
      <w:r>
        <w:rPr>
          <w:rFonts w:hint="eastAsia" w:ascii="宋体" w:hAnsi="宋体" w:cs="宋体"/>
        </w:rPr>
        <w:t xml:space="preserve">4.2 残疾人福利性单位需提供《残疾人福利性单位声明函》。</w:t>
      </w:r>
      <w:r/>
    </w:p>
    <w:p>
      <w:pPr>
        <w:ind w:firstLine="420"/>
        <w:spacing w:line="360" w:lineRule="auto"/>
        <w:rPr>
          <w:rFonts w:ascii="宋体" w:hAnsi="宋体" w:cs="宋体"/>
        </w:rPr>
      </w:pPr>
      <w:r>
        <w:rPr>
          <w:rFonts w:hint="eastAsia" w:ascii="宋体" w:hAnsi="宋体" w:cs="宋体"/>
        </w:rPr>
        <w:t xml:space="preserve">4.3 残疾人福利性单位标准请参照《关于促进残疾人就业政府采购政策的通知》（财库〔2017〕141号）。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5. 监狱企业、残疾人福利性单位属于小型、微型企业的，不重复享受政策。</w:t>
      </w:r>
      <w:r/>
    </w:p>
    <w:p>
      <w:pPr>
        <w:ind w:firstLine="420"/>
        <w:spacing w:line="360" w:lineRule="auto"/>
        <w:rPr>
          <w:rFonts w:ascii="宋体" w:hAnsi="宋体" w:cs="宋体"/>
        </w:rPr>
      </w:pPr>
      <w:r>
        <w:rPr>
          <w:rFonts w:hint="eastAsia" w:ascii="宋体" w:hAnsi="宋体" w:cs="宋体"/>
        </w:rPr>
        <w:t xml:space="preserve">6.本国产品的价格扣除</w:t>
      </w:r>
      <w:r/>
    </w:p>
    <w:p>
      <w:pPr>
        <w:ind w:firstLine="420"/>
        <w:spacing w:line="360" w:lineRule="auto"/>
        <w:rPr>
          <w:rFonts w:ascii="宋体" w:hAnsi="宋体" w:cs="宋体"/>
        </w:rPr>
      </w:pPr>
      <w:r>
        <w:rPr>
          <w:rFonts w:hint="eastAsia" w:ascii="宋体" w:hAnsi="宋体" w:cs="宋体"/>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rPr>
      </w:pPr>
      <w:r>
        <w:rPr>
          <w:rFonts w:hint="eastAsia" w:ascii="宋体" w:hAnsi="宋体" w:cs="宋体"/>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rPr>
        <w:br w:type="page" w:clear="all"/>
      </w:r>
      <w:r/>
    </w:p>
    <w:p>
      <w:pPr>
        <w:pStyle w:val="885"/>
        <w:ind w:left="1260"/>
      </w:pPr>
      <w:r/>
      <w:r/>
    </w:p>
    <w:p>
      <w:pPr>
        <w:pStyle w:val="862"/>
        <w:spacing w:line="360" w:lineRule="auto"/>
        <w:rPr>
          <w:rFonts w:ascii="宋体" w:hAnsi="宋体" w:cs="宋体"/>
        </w:rPr>
      </w:pPr>
      <w:r/>
      <w:bookmarkStart w:id="9" w:name="_Toc31739"/>
      <w:r/>
      <w:bookmarkStart w:id="10" w:name="_Toc481057147"/>
      <w:r/>
      <w:bookmarkStart w:id="11" w:name="_Hlk96071152"/>
      <w:r>
        <w:rPr>
          <w:rFonts w:hint="eastAsia" w:ascii="宋体" w:hAnsi="宋体" w:cs="宋体"/>
        </w:rPr>
        <w:t xml:space="preserve"> </w:t>
      </w:r>
      <w:bookmarkStart w:id="12" w:name="_Toc31319"/>
      <w:r>
        <w:rPr>
          <w:rFonts w:hint="eastAsia" w:ascii="宋体" w:hAnsi="宋体" w:cs="宋体"/>
        </w:rPr>
        <w:t xml:space="preserve">采购需求</w:t>
      </w:r>
      <w:bookmarkEnd w:id="9"/>
      <w:r/>
      <w:bookmarkEnd w:id="12"/>
      <w:r/>
      <w:r/>
    </w:p>
    <w:p>
      <w:pPr>
        <w:ind w:firstLine="482"/>
        <w:spacing w:line="360" w:lineRule="auto"/>
        <w:rPr>
          <w:rFonts w:ascii="宋体" w:hAnsi="宋体"/>
          <w:b/>
          <w:bCs/>
          <w:sz w:val="24"/>
        </w:rPr>
      </w:pPr>
      <w:r/>
      <w:bookmarkStart w:id="13" w:name="OLE_LINK10"/>
      <w:r>
        <w:rPr>
          <w:rFonts w:ascii="宋体" w:hAnsi="宋体"/>
          <w:b/>
          <w:bCs/>
          <w:sz w:val="24"/>
        </w:rPr>
        <w:t xml:space="preserve">一、项目开展背景和工作目标</w:t>
      </w:r>
      <w:r/>
    </w:p>
    <w:p>
      <w:pPr>
        <w:ind w:firstLine="420"/>
        <w:jc w:val="left"/>
        <w:spacing w:line="360" w:lineRule="auto"/>
        <w:rPr>
          <w:rFonts w:ascii="宋体" w:hAnsi="宋体"/>
          <w:szCs w:val="21"/>
        </w:rPr>
      </w:pPr>
      <w:r>
        <w:rPr>
          <w:rFonts w:hint="eastAsia" w:ascii="宋体" w:hAnsi="宋体"/>
          <w:szCs w:val="21"/>
        </w:rPr>
        <w:t xml:space="preserve">为满足国土空间规划，城市建设、管理等领域的信息需求，2026年度南京市规划和自然资源局继续对南京主城地区大比例尺地形图进行动态更新维护，提高南京市基础地理信息数据的现势性，提升基础地理信息服务能力。</w:t>
      </w:r>
      <w:r/>
    </w:p>
    <w:p>
      <w:pPr>
        <w:ind w:firstLine="420"/>
        <w:jc w:val="left"/>
        <w:spacing w:line="360" w:lineRule="auto"/>
      </w:pPr>
      <w:r>
        <w:rPr>
          <w:rFonts w:hint="eastAsia" w:ascii="宋体" w:hAnsi="宋体"/>
          <w:szCs w:val="21"/>
        </w:rPr>
        <w:t xml:space="preserve">为提高地形图现势性，2026年度南京主城地区大比例尺地形图动态更新维护工作采用“4+1”更新模式。其中，“4”是指为满足自然资源管理和城市建设用图需求，在年度更新周期内，每个季度根据影像、城建计划、规划条件审查会、规划监督测量成果、来案更新项目和用图申请等资料，主动发现变化区域，对地形图进行及时更新；“1”是指在年度更新周期内，面向全区域全要素进行的一轮网格化实地巡查发现变化，对地形图分批更新。</w:t>
      </w:r>
      <w:r/>
    </w:p>
    <w:p>
      <w:pPr>
        <w:ind w:firstLine="482"/>
        <w:spacing w:line="360" w:lineRule="auto"/>
        <w:rPr>
          <w:rFonts w:ascii="宋体" w:hAnsi="宋体"/>
          <w:b/>
          <w:bCs/>
          <w:sz w:val="24"/>
        </w:rPr>
      </w:pPr>
      <w:r>
        <w:rPr>
          <w:rFonts w:hint="eastAsia" w:ascii="宋体" w:hAnsi="宋体"/>
          <w:b/>
          <w:bCs/>
          <w:sz w:val="24"/>
        </w:rPr>
        <w:t xml:space="preserve">二、项目主要工作内容</w:t>
      </w:r>
      <w:r/>
    </w:p>
    <w:p>
      <w:pPr>
        <w:ind w:firstLine="420"/>
        <w:jc w:val="left"/>
        <w:spacing w:line="360" w:lineRule="auto"/>
        <w:rPr>
          <w:rFonts w:ascii="宋体" w:hAnsi="宋体"/>
          <w:szCs w:val="21"/>
        </w:rPr>
      </w:pPr>
      <w:r>
        <w:rPr>
          <w:rFonts w:hint="eastAsia" w:ascii="宋体" w:hAnsi="宋体"/>
          <w:szCs w:val="21"/>
        </w:rPr>
        <w:t xml:space="preserve">采用“4+1”更新模式，对南京市主城六区（包括玄武区、秦淮区、鼓楼区、建邺区、雨花台区和栖霞区）788.3平方千米范围内的大比例尺地形图进行动态更新维护，服务周期为一年。</w:t>
      </w:r>
      <w:r/>
    </w:p>
    <w:p>
      <w:pPr>
        <w:ind w:firstLine="420"/>
        <w:jc w:val="left"/>
        <w:spacing w:line="360" w:lineRule="auto"/>
        <w:rPr>
          <w:rFonts w:ascii="宋体" w:hAnsi="宋体"/>
          <w:szCs w:val="21"/>
        </w:rPr>
      </w:pPr>
      <w:r>
        <w:rPr>
          <w:rFonts w:hint="eastAsia" w:ascii="宋体" w:hAnsi="宋体"/>
          <w:szCs w:val="21"/>
        </w:rPr>
        <w:t xml:space="preserve">（一）季度更新。在年度更新周期内，每个季度利用影像、城建计划、用地例会、规划监督测量成果、来案更新项目和用图申请等资料，主动发现变化区域，及时修测，实现地形图及时更新。主要工作包括但不限于：</w:t>
      </w:r>
      <w:r/>
    </w:p>
    <w:p>
      <w:pPr>
        <w:ind w:firstLine="420"/>
        <w:jc w:val="left"/>
        <w:spacing w:line="360" w:lineRule="auto"/>
        <w:rPr>
          <w:rFonts w:ascii="宋体" w:hAnsi="宋体"/>
          <w:szCs w:val="21"/>
        </w:rPr>
      </w:pPr>
      <w:r>
        <w:rPr>
          <w:rFonts w:hint="eastAsia" w:ascii="宋体" w:hAnsi="宋体"/>
          <w:szCs w:val="21"/>
        </w:rPr>
        <w:t xml:space="preserve">（1）每季度对收集到的规划监督测量项目成果、来案更新项目成果更新上图，对不完整的数据进行补测补调，满足数据标准要求；</w:t>
      </w:r>
      <w:bookmarkStart w:id="14" w:name="_Hlk111638452"/>
      <w:r>
        <w:rPr>
          <w:rFonts w:hint="eastAsia" w:ascii="宋体" w:hAnsi="宋体"/>
          <w:szCs w:val="21"/>
        </w:rPr>
        <w:t xml:space="preserve">对收集到的城建计划，根据建设项目的建设周期，在关键时间节点（如拆迁开始、施工开始和建设完工等），进场巡查和更新测量</w:t>
      </w:r>
      <w:bookmarkEnd w:id="14"/>
      <w:r/>
      <w:bookmarkStart w:id="15" w:name="_Hlk111637518"/>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（2）不定期接收规划条件审查会上的建设项目用地信息，及时现场巡查和更新测量，确保在最短时间内（单个项目3天）为规划审查用图提供最新现势性的地形图数据。</w:t>
      </w:r>
      <w:bookmarkEnd w:id="15"/>
      <w:r/>
      <w:r/>
    </w:p>
    <w:p>
      <w:pPr>
        <w:ind w:firstLine="420"/>
        <w:jc w:val="left"/>
        <w:spacing w:line="360" w:lineRule="auto"/>
        <w:rPr>
          <w:rFonts w:ascii="宋体" w:hAnsi="宋体"/>
          <w:szCs w:val="21"/>
        </w:rPr>
      </w:pPr>
      <w:r>
        <w:rPr>
          <w:rFonts w:hint="eastAsia" w:ascii="宋体" w:hAnsi="宋体"/>
          <w:szCs w:val="21"/>
        </w:rPr>
        <w:t xml:space="preserve">（3）通过多期影像比对发现地形变化图斑，与人工巡查相结合方式，主动发现变化区域，及时修测更新。</w:t>
      </w:r>
      <w:r/>
    </w:p>
    <w:p>
      <w:pPr>
        <w:ind w:firstLine="420"/>
        <w:jc w:val="left"/>
        <w:spacing w:line="360" w:lineRule="auto"/>
        <w:rPr>
          <w:rFonts w:ascii="宋体" w:hAnsi="宋体"/>
          <w:szCs w:val="21"/>
        </w:rPr>
      </w:pPr>
      <w:r>
        <w:rPr>
          <w:rFonts w:hint="eastAsia" w:ascii="宋体" w:hAnsi="宋体"/>
          <w:szCs w:val="21"/>
        </w:rPr>
        <w:t xml:space="preserve">（二）年度全要素巡视更新。在年度更新周期内，完成一轮地毯式全要素巡视更新，主要通过网格化实地巡查方法，对区域内的全要素进行巡查，发现变化区域，按照生产计划，根据变化类型，采用适当的作业方法分批进行更新生产，数据分批提交。</w:t>
      </w:r>
      <w:r/>
    </w:p>
    <w:p>
      <w:pPr>
        <w:ind w:firstLine="420"/>
        <w:jc w:val="left"/>
        <w:spacing w:line="360" w:lineRule="auto"/>
        <w:rPr>
          <w:rFonts w:ascii="宋体" w:hAnsi="宋体"/>
          <w:szCs w:val="21"/>
        </w:rPr>
      </w:pPr>
      <w:r>
        <w:rPr>
          <w:rFonts w:hint="eastAsia" w:ascii="宋体" w:hAnsi="宋体"/>
          <w:szCs w:val="21"/>
        </w:rPr>
        <w:t xml:space="preserve">（三）配合监理实施外业巡视、内业成果比对、资料调阅、现场核验等工作，落实监理整改意见。通过项目实施，确保项目范围内所有实际发生的地形变化更新全覆盖。</w:t>
      </w:r>
      <w:r/>
    </w:p>
    <w:p>
      <w:pPr>
        <w:ind w:firstLine="482"/>
        <w:spacing w:line="360" w:lineRule="auto"/>
        <w:rPr>
          <w:rFonts w:ascii="宋体" w:hAnsi="宋体"/>
          <w:b/>
          <w:bCs/>
          <w:sz w:val="24"/>
        </w:rPr>
      </w:pPr>
      <w:r>
        <w:rPr>
          <w:rFonts w:hint="eastAsia" w:ascii="宋体" w:hAnsi="宋体"/>
          <w:b/>
          <w:bCs/>
          <w:sz w:val="24"/>
        </w:rPr>
        <w:t xml:space="preserve">三、合同价格</w:t>
      </w:r>
      <w:r/>
    </w:p>
    <w:p>
      <w:pPr>
        <w:ind w:firstLine="420"/>
        <w:jc w:val="left"/>
        <w:spacing w:line="360" w:lineRule="auto"/>
        <w:rPr>
          <w:rFonts w:ascii="宋体" w:hAnsi="宋体"/>
          <w:szCs w:val="21"/>
        </w:rPr>
      </w:pPr>
      <w:r>
        <w:rPr>
          <w:rFonts w:hint="eastAsia" w:ascii="宋体" w:hAnsi="宋体"/>
          <w:szCs w:val="21"/>
        </w:rPr>
        <w:t xml:space="preserve">本项目为单价合同，采用巡视费用单列，更新费用按照地形图</w:t>
      </w:r>
      <w:r>
        <w:rPr>
          <w:rFonts w:ascii="宋体" w:hAnsi="宋体"/>
          <w:szCs w:val="21"/>
        </w:rPr>
        <w:t xml:space="preserve"> “</w:t>
      </w:r>
      <w:r>
        <w:rPr>
          <w:rFonts w:ascii="SimSun" w:hAnsi="SimSun" w:eastAsia="SimSun" w:cs="SimSun"/>
          <w:color w:val="000000"/>
          <w:sz w:val="21"/>
        </w:rPr>
        <w:t xml:space="preserve">服务单价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实际工作量</w:t>
      </w:r>
      <w:r>
        <w:rPr>
          <w:rFonts w:ascii="宋体" w:hAnsi="宋体"/>
          <w:szCs w:val="21"/>
        </w:rPr>
        <w:t xml:space="preserve">” </w:t>
      </w:r>
      <w:r>
        <w:rPr>
          <w:rFonts w:hint="eastAsia" w:ascii="宋体" w:hAnsi="宋体"/>
          <w:szCs w:val="21"/>
        </w:rPr>
        <w:t xml:space="preserve">进行结算，合同结算总价不得超出预算总价5</w:t>
      </w:r>
      <w:r>
        <w:rPr>
          <w:rFonts w:ascii="宋体" w:hAnsi="宋体"/>
          <w:szCs w:val="21"/>
        </w:rPr>
        <w:t xml:space="preserve">00</w:t>
      </w:r>
      <w:r>
        <w:rPr>
          <w:rFonts w:hint="eastAsia" w:ascii="宋体" w:hAnsi="宋体"/>
          <w:szCs w:val="21"/>
        </w:rPr>
        <w:t xml:space="preserve">万元。</w:t>
      </w:r>
      <w:r/>
    </w:p>
    <w:p>
      <w:pPr>
        <w:pStyle w:val="874"/>
        <w:rPr>
          <w:szCs w:val="21"/>
        </w:rPr>
      </w:pPr>
      <w:r>
        <w:rPr>
          <w:szCs w:val="21"/>
        </w:rPr>
      </w:r>
      <w:r/>
    </w:p>
    <w:p>
      <w:pPr>
        <w:ind w:firstLine="482"/>
        <w:spacing w:line="360" w:lineRule="auto"/>
        <w:rPr>
          <w:rFonts w:ascii="宋体" w:hAnsi="宋体"/>
          <w:b/>
          <w:bCs/>
          <w:sz w:val="24"/>
        </w:rPr>
      </w:pPr>
      <w:r>
        <w:rPr>
          <w:rFonts w:hint="eastAsia" w:ascii="宋体" w:hAnsi="宋体"/>
          <w:b/>
          <w:bCs/>
          <w:sz w:val="24"/>
        </w:rPr>
        <w:t xml:space="preserve">四、项目主要成果要求</w:t>
      </w:r>
      <w:r/>
    </w:p>
    <w:p>
      <w:pPr>
        <w:pStyle w:val="873"/>
      </w:pPr>
      <w:r/>
      <w:r/>
    </w:p>
    <w:tbl>
      <w:tblPr>
        <w:tblStyle w:val="9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3819"/>
        <w:gridCol w:w="1886"/>
        <w:gridCol w:w="1570"/>
        <w:gridCol w:w="1524"/>
      </w:tblGrid>
      <w:tr>
        <w:trPr>
          <w:trHeight w:val="510"/>
        </w:trPr>
        <w:tc>
          <w:tcPr>
            <w:shd w:val="clear" w:color="auto" w:fill="d8d8d8" w:themeFill="background1" w:themeFillShade="D9"/>
            <w:tcW w:w="436" w:type="pct"/>
            <w:vAlign w:val="center"/>
            <w:textDirection w:val="lrTb"/>
            <w:noWrap w:val="false"/>
          </w:tcPr>
          <w:p>
            <w:pPr>
              <w:jc w:val="center"/>
              <w:rPr>
                <w:b/>
              </w:rPr>
            </w:pPr>
            <w:r>
              <w:rPr>
                <w:b/>
              </w:rPr>
              <w:t xml:space="preserve">序号</w:t>
            </w:r>
            <w:r/>
          </w:p>
        </w:tc>
        <w:tc>
          <w:tcPr>
            <w:shd w:val="clear" w:color="auto" w:fill="d8d8d8" w:themeFill="background1" w:themeFillShade="D9"/>
            <w:tcW w:w="1980" w:type="pct"/>
            <w:vAlign w:val="center"/>
            <w:textDirection w:val="lrTb"/>
            <w:noWrap w:val="false"/>
          </w:tcPr>
          <w:p>
            <w:pPr>
              <w:jc w:val="center"/>
              <w:rPr>
                <w:b/>
              </w:rPr>
            </w:pPr>
            <w:r>
              <w:rPr>
                <w:b/>
              </w:rPr>
              <w:t xml:space="preserve">成果内容</w:t>
            </w:r>
            <w:r/>
          </w:p>
        </w:tc>
        <w:tc>
          <w:tcPr>
            <w:shd w:val="clear" w:color="auto" w:fill="d8d8d8" w:themeFill="background1" w:themeFillShade="D9"/>
            <w:tcW w:w="978" w:type="pct"/>
            <w:vAlign w:val="center"/>
            <w:textDirection w:val="lrTb"/>
            <w:noWrap w:val="false"/>
          </w:tcPr>
          <w:p>
            <w:pPr>
              <w:jc w:val="center"/>
              <w:rPr>
                <w:b/>
              </w:rPr>
            </w:pPr>
            <w:r>
              <w:rPr>
                <w:b/>
              </w:rPr>
              <w:t xml:space="preserve">资料形式</w:t>
            </w:r>
            <w:r/>
          </w:p>
        </w:tc>
        <w:tc>
          <w:tcPr>
            <w:shd w:val="clear" w:color="auto" w:fill="d8d8d8" w:themeFill="background1" w:themeFillShade="D9"/>
            <w:tcW w:w="814" w:type="pct"/>
            <w:vAlign w:val="center"/>
            <w:textDirection w:val="lrTb"/>
            <w:noWrap w:val="false"/>
          </w:tcPr>
          <w:p>
            <w:pPr>
              <w:jc w:val="center"/>
              <w:rPr>
                <w:b/>
              </w:rPr>
            </w:pPr>
            <w:r>
              <w:rPr>
                <w:b/>
              </w:rPr>
              <w:t xml:space="preserve">数量</w:t>
            </w:r>
            <w:r/>
          </w:p>
        </w:tc>
        <w:tc>
          <w:tcPr>
            <w:shd w:val="clear" w:color="auto" w:fill="d8d8d8" w:themeFill="background1" w:themeFillShade="D9"/>
            <w:tcW w:w="790" w:type="pct"/>
            <w:vAlign w:val="center"/>
            <w:textDirection w:val="lrTb"/>
            <w:noWrap w:val="false"/>
          </w:tcPr>
          <w:p>
            <w:pPr>
              <w:jc w:val="center"/>
              <w:rPr>
                <w:b/>
              </w:rPr>
            </w:pPr>
            <w:r>
              <w:rPr>
                <w:b/>
              </w:rPr>
              <w:t xml:space="preserve">备注</w:t>
            </w:r>
            <w:r/>
          </w:p>
        </w:tc>
      </w:tr>
      <w:tr>
        <w:trPr>
          <w:trHeight w:val="510"/>
        </w:trPr>
        <w:tc>
          <w:tcPr>
            <w:tcW w:w="436" w:type="pct"/>
            <w:vAlign w:val="center"/>
            <w:textDirection w:val="lrTb"/>
            <w:noWrap w:val="false"/>
          </w:tcPr>
          <w:p>
            <w:pPr>
              <w:jc w:val="center"/>
              <w:rPr>
                <w:bCs/>
              </w:rPr>
            </w:pPr>
            <w:r>
              <w:rPr>
                <w:bCs/>
              </w:rPr>
              <w:t xml:space="preserve">1</w:t>
            </w:r>
            <w:r/>
          </w:p>
        </w:tc>
        <w:tc>
          <w:tcPr>
            <w:tcW w:w="1980" w:type="pct"/>
            <w:vAlign w:val="center"/>
            <w:textDirection w:val="lrTb"/>
            <w:noWrap w:val="false"/>
          </w:tcPr>
          <w:p>
            <w:pPr>
              <w:jc w:val="center"/>
              <w:rPr>
                <w:bCs/>
              </w:rPr>
            </w:pPr>
            <w:r>
              <w:rPr>
                <w:bCs/>
              </w:rPr>
              <w:t xml:space="preserve">技术设计书（含实施方案）</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r>
            <w:r/>
          </w:p>
        </w:tc>
      </w:tr>
      <w:tr>
        <w:trPr>
          <w:trHeight w:val="397"/>
        </w:trPr>
        <w:tc>
          <w:tcPr>
            <w:tcW w:w="436" w:type="pct"/>
            <w:vAlign w:val="center"/>
            <w:textDirection w:val="lrTb"/>
            <w:noWrap w:val="false"/>
          </w:tcPr>
          <w:p>
            <w:pPr>
              <w:jc w:val="center"/>
              <w:rPr>
                <w:bCs/>
              </w:rPr>
            </w:pPr>
            <w:r>
              <w:rPr>
                <w:bCs/>
              </w:rPr>
              <w:t xml:space="preserve">2</w:t>
            </w:r>
            <w:r/>
          </w:p>
        </w:tc>
        <w:tc>
          <w:tcPr>
            <w:tcW w:w="1980" w:type="pct"/>
            <w:vAlign w:val="center"/>
            <w:textDirection w:val="lrTb"/>
            <w:noWrap w:val="false"/>
          </w:tcPr>
          <w:p>
            <w:pPr>
              <w:jc w:val="center"/>
              <w:rPr>
                <w:bCs/>
              </w:rPr>
            </w:pPr>
            <w:r>
              <w:t xml:space="preserve">来案更新工作清单</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r>
            <w:r/>
          </w:p>
        </w:tc>
      </w:tr>
      <w:tr>
        <w:trPr>
          <w:trHeight w:val="397"/>
        </w:trPr>
        <w:tc>
          <w:tcPr>
            <w:tcW w:w="436" w:type="pct"/>
            <w:vAlign w:val="center"/>
            <w:textDirection w:val="lrTb"/>
            <w:noWrap w:val="false"/>
          </w:tcPr>
          <w:p>
            <w:pPr>
              <w:jc w:val="center"/>
              <w:rPr>
                <w:bCs/>
              </w:rPr>
            </w:pPr>
            <w:r>
              <w:rPr>
                <w:bCs/>
              </w:rPr>
              <w:t xml:space="preserve">3</w:t>
            </w:r>
            <w:r/>
          </w:p>
        </w:tc>
        <w:tc>
          <w:tcPr>
            <w:tcW w:w="1980" w:type="pct"/>
            <w:vAlign w:val="center"/>
            <w:textDirection w:val="lrTb"/>
            <w:noWrap w:val="false"/>
          </w:tcPr>
          <w:p>
            <w:pPr>
              <w:jc w:val="center"/>
              <w:rPr>
                <w:bCs/>
              </w:rPr>
            </w:pPr>
            <w:r>
              <w:t xml:space="preserve">季度更新报告</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r>
            <w:r/>
          </w:p>
        </w:tc>
      </w:tr>
      <w:tr>
        <w:trPr>
          <w:trHeight w:val="397"/>
        </w:trPr>
        <w:tc>
          <w:tcPr>
            <w:tcW w:w="436" w:type="pct"/>
            <w:vAlign w:val="center"/>
            <w:textDirection w:val="lrTb"/>
            <w:noWrap w:val="false"/>
          </w:tcPr>
          <w:p>
            <w:pPr>
              <w:jc w:val="center"/>
              <w:rPr>
                <w:bCs/>
              </w:rPr>
            </w:pPr>
            <w:r>
              <w:rPr>
                <w:bCs/>
              </w:rPr>
              <w:t xml:space="preserve">4</w:t>
            </w:r>
            <w:r/>
          </w:p>
        </w:tc>
        <w:tc>
          <w:tcPr>
            <w:tcW w:w="1980" w:type="pct"/>
            <w:vAlign w:val="center"/>
            <w:textDirection w:val="lrTb"/>
            <w:noWrap w:val="false"/>
          </w:tcPr>
          <w:p>
            <w:pPr>
              <w:jc w:val="center"/>
            </w:pPr>
            <w:r>
              <w:rPr>
                <w:bCs/>
              </w:rPr>
              <w:t xml:space="preserve">季度更新1:500、1:1000地形图数据成果（含区域级、图幅级、格网级元数据）</w:t>
            </w:r>
            <w:r/>
          </w:p>
        </w:tc>
        <w:tc>
          <w:tcPr>
            <w:tcW w:w="978" w:type="pct"/>
            <w:vAlign w:val="center"/>
            <w:textDirection w:val="lrTb"/>
            <w:noWrap w:val="false"/>
          </w:tcPr>
          <w:p>
            <w:pPr>
              <w:jc w:val="center"/>
              <w:rPr>
                <w:bCs/>
              </w:rPr>
            </w:pPr>
            <w:r>
              <w:rPr>
                <w:bCs/>
              </w:rPr>
              <w:t xml:space="preserve">电子</w:t>
            </w:r>
            <w:r/>
          </w:p>
        </w:tc>
        <w:tc>
          <w:tcPr>
            <w:tcW w:w="814" w:type="pct"/>
            <w:vAlign w:val="center"/>
            <w:textDirection w:val="lrTb"/>
            <w:noWrap w:val="false"/>
          </w:tcPr>
          <w:p>
            <w:pPr>
              <w:jc w:val="center"/>
              <w:rPr>
                <w:bCs/>
              </w:rPr>
            </w:pPr>
            <w:r>
              <w:rPr>
                <w:bCs/>
              </w:rPr>
              <w:t xml:space="preserve">1套</w:t>
            </w:r>
            <w:r/>
          </w:p>
        </w:tc>
        <w:tc>
          <w:tcPr>
            <w:tcW w:w="790" w:type="pct"/>
            <w:vAlign w:val="center"/>
            <w:textDirection w:val="lrTb"/>
            <w:noWrap w:val="false"/>
          </w:tcPr>
          <w:p>
            <w:pPr>
              <w:jc w:val="center"/>
              <w:rPr>
                <w:bCs/>
              </w:rPr>
            </w:pPr>
            <w:r>
              <w:rPr>
                <w:bCs/>
              </w:rPr>
              <w:t xml:space="preserve">edb格式</w:t>
            </w:r>
            <w:r/>
          </w:p>
        </w:tc>
      </w:tr>
      <w:tr>
        <w:trPr>
          <w:trHeight w:val="397"/>
        </w:trPr>
        <w:tc>
          <w:tcPr>
            <w:tcW w:w="436" w:type="pct"/>
            <w:vAlign w:val="center"/>
            <w:textDirection w:val="lrTb"/>
            <w:noWrap w:val="false"/>
          </w:tcPr>
          <w:p>
            <w:pPr>
              <w:jc w:val="center"/>
              <w:rPr>
                <w:bCs/>
              </w:rPr>
            </w:pPr>
            <w:r>
              <w:rPr>
                <w:bCs/>
              </w:rPr>
              <w:t xml:space="preserve">5</w:t>
            </w:r>
            <w:r/>
          </w:p>
        </w:tc>
        <w:tc>
          <w:tcPr>
            <w:tcW w:w="1980" w:type="pct"/>
            <w:vAlign w:val="center"/>
            <w:textDirection w:val="lrTb"/>
            <w:noWrap w:val="false"/>
          </w:tcPr>
          <w:p>
            <w:pPr>
              <w:jc w:val="center"/>
            </w:pPr>
            <w:r>
              <w:rPr>
                <w:bCs/>
              </w:rPr>
              <w:t xml:space="preserve">季度更新</w:t>
            </w:r>
            <w:r>
              <w:t xml:space="preserve">地形图新增、删除和修改数据文件</w:t>
            </w:r>
            <w:r/>
          </w:p>
        </w:tc>
        <w:tc>
          <w:tcPr>
            <w:tcW w:w="978" w:type="pct"/>
            <w:vAlign w:val="center"/>
            <w:textDirection w:val="lrTb"/>
            <w:noWrap w:val="false"/>
          </w:tcPr>
          <w:p>
            <w:pPr>
              <w:jc w:val="center"/>
              <w:rPr>
                <w:bCs/>
              </w:rPr>
            </w:pPr>
            <w:r>
              <w:rPr>
                <w:bCs/>
              </w:rPr>
              <w:t xml:space="preserve">电子</w:t>
            </w:r>
            <w:r/>
          </w:p>
        </w:tc>
        <w:tc>
          <w:tcPr>
            <w:tcW w:w="814" w:type="pct"/>
            <w:vAlign w:val="center"/>
            <w:textDirection w:val="lrTb"/>
            <w:noWrap w:val="false"/>
          </w:tcPr>
          <w:p>
            <w:pPr>
              <w:jc w:val="center"/>
              <w:rPr>
                <w:bCs/>
              </w:rPr>
            </w:pPr>
            <w:r>
              <w:rPr>
                <w:bCs/>
              </w:rPr>
              <w:t xml:space="preserve">1套</w:t>
            </w:r>
            <w:r/>
          </w:p>
        </w:tc>
        <w:tc>
          <w:tcPr>
            <w:tcW w:w="790" w:type="pct"/>
            <w:vAlign w:val="center"/>
            <w:textDirection w:val="lrTb"/>
            <w:noWrap w:val="false"/>
          </w:tcPr>
          <w:p>
            <w:pPr>
              <w:jc w:val="center"/>
              <w:rPr>
                <w:bCs/>
              </w:rPr>
            </w:pPr>
            <w:r>
              <w:rPr>
                <w:bCs/>
              </w:rPr>
              <w:t xml:space="preserve">edb格式</w:t>
            </w:r>
            <w:r/>
          </w:p>
        </w:tc>
      </w:tr>
      <w:tr>
        <w:trPr>
          <w:trHeight w:val="397"/>
        </w:trPr>
        <w:tc>
          <w:tcPr>
            <w:tcW w:w="436" w:type="pct"/>
            <w:vAlign w:val="center"/>
            <w:textDirection w:val="lrTb"/>
            <w:noWrap w:val="false"/>
          </w:tcPr>
          <w:p>
            <w:pPr>
              <w:jc w:val="center"/>
              <w:rPr>
                <w:bCs/>
              </w:rPr>
            </w:pPr>
            <w:r>
              <w:rPr>
                <w:bCs/>
              </w:rPr>
              <w:t xml:space="preserve">6</w:t>
            </w:r>
            <w:r/>
          </w:p>
        </w:tc>
        <w:tc>
          <w:tcPr>
            <w:tcW w:w="1980" w:type="pct"/>
            <w:vAlign w:val="center"/>
            <w:textDirection w:val="lrTb"/>
            <w:noWrap w:val="false"/>
          </w:tcPr>
          <w:p>
            <w:pPr>
              <w:jc w:val="center"/>
              <w:rPr>
                <w:bCs/>
              </w:rPr>
            </w:pPr>
            <w:r>
              <w:rPr>
                <w:bCs/>
              </w:rPr>
              <w:t xml:space="preserve">年度更新1:500、1:1000地形图数据成果（</w:t>
            </w:r>
            <w:r>
              <w:t xml:space="preserve">含区域级、图幅级、格网级元数据</w:t>
            </w:r>
            <w:r>
              <w:rPr>
                <w:bCs/>
              </w:rPr>
              <w:t xml:space="preserve">）</w:t>
            </w:r>
            <w:r/>
          </w:p>
        </w:tc>
        <w:tc>
          <w:tcPr>
            <w:tcW w:w="978" w:type="pct"/>
            <w:vAlign w:val="center"/>
            <w:textDirection w:val="lrTb"/>
            <w:noWrap w:val="false"/>
          </w:tcPr>
          <w:p>
            <w:pPr>
              <w:jc w:val="center"/>
              <w:rPr>
                <w:bCs/>
              </w:rPr>
            </w:pPr>
            <w:r>
              <w:rPr>
                <w:bCs/>
              </w:rPr>
              <w:t xml:space="preserve">电子</w:t>
            </w:r>
            <w:r/>
          </w:p>
        </w:tc>
        <w:tc>
          <w:tcPr>
            <w:tcW w:w="814" w:type="pct"/>
            <w:vAlign w:val="center"/>
            <w:textDirection w:val="lrTb"/>
            <w:noWrap w:val="false"/>
          </w:tcPr>
          <w:p>
            <w:pPr>
              <w:jc w:val="center"/>
              <w:rPr>
                <w:bCs/>
              </w:rPr>
            </w:pPr>
            <w:r>
              <w:rPr>
                <w:bCs/>
              </w:rPr>
              <w:t xml:space="preserve">1套</w:t>
            </w:r>
            <w:r/>
          </w:p>
        </w:tc>
        <w:tc>
          <w:tcPr>
            <w:tcW w:w="790" w:type="pct"/>
            <w:vAlign w:val="center"/>
            <w:textDirection w:val="lrTb"/>
            <w:noWrap w:val="false"/>
          </w:tcPr>
          <w:p>
            <w:pPr>
              <w:jc w:val="center"/>
              <w:rPr>
                <w:bCs/>
              </w:rPr>
            </w:pPr>
            <w:r>
              <w:rPr>
                <w:bCs/>
              </w:rPr>
              <w:t xml:space="preserve">edb格式</w:t>
            </w:r>
            <w:r/>
          </w:p>
        </w:tc>
      </w:tr>
      <w:tr>
        <w:trPr>
          <w:trHeight w:val="397"/>
        </w:trPr>
        <w:tc>
          <w:tcPr>
            <w:tcW w:w="436" w:type="pct"/>
            <w:vAlign w:val="center"/>
            <w:textDirection w:val="lrTb"/>
            <w:noWrap w:val="false"/>
          </w:tcPr>
          <w:p>
            <w:pPr>
              <w:jc w:val="center"/>
              <w:rPr>
                <w:bCs/>
              </w:rPr>
            </w:pPr>
            <w:r>
              <w:rPr>
                <w:bCs/>
              </w:rPr>
              <w:t xml:space="preserve">7</w:t>
            </w:r>
            <w:r/>
          </w:p>
        </w:tc>
        <w:tc>
          <w:tcPr>
            <w:tcW w:w="1980" w:type="pct"/>
            <w:vAlign w:val="center"/>
            <w:textDirection w:val="lrTb"/>
            <w:noWrap w:val="false"/>
          </w:tcPr>
          <w:p>
            <w:pPr>
              <w:jc w:val="center"/>
              <w:rPr>
                <w:bCs/>
              </w:rPr>
            </w:pPr>
            <w:r>
              <w:t xml:space="preserve">年度更新地形图新增、删除和修改数据文件</w:t>
            </w:r>
            <w:r/>
          </w:p>
        </w:tc>
        <w:tc>
          <w:tcPr>
            <w:tcW w:w="978" w:type="pct"/>
            <w:vAlign w:val="center"/>
            <w:textDirection w:val="lrTb"/>
            <w:noWrap w:val="false"/>
          </w:tcPr>
          <w:p>
            <w:pPr>
              <w:jc w:val="center"/>
              <w:rPr>
                <w:bCs/>
              </w:rPr>
            </w:pPr>
            <w:r>
              <w:rPr>
                <w:bCs/>
              </w:rPr>
              <w:t xml:space="preserve">电子</w:t>
            </w:r>
            <w:r/>
          </w:p>
        </w:tc>
        <w:tc>
          <w:tcPr>
            <w:tcW w:w="814" w:type="pct"/>
            <w:vAlign w:val="center"/>
            <w:textDirection w:val="lrTb"/>
            <w:noWrap w:val="false"/>
          </w:tcPr>
          <w:p>
            <w:pPr>
              <w:jc w:val="center"/>
              <w:rPr>
                <w:bCs/>
              </w:rPr>
            </w:pPr>
            <w:r>
              <w:rPr>
                <w:bCs/>
              </w:rPr>
              <w:t xml:space="preserve">1套</w:t>
            </w:r>
            <w:r/>
          </w:p>
        </w:tc>
        <w:tc>
          <w:tcPr>
            <w:tcW w:w="790" w:type="pct"/>
            <w:vAlign w:val="center"/>
            <w:textDirection w:val="lrTb"/>
            <w:noWrap w:val="false"/>
          </w:tcPr>
          <w:p>
            <w:pPr>
              <w:jc w:val="center"/>
              <w:rPr>
                <w:bCs/>
              </w:rPr>
            </w:pPr>
            <w:r>
              <w:rPr>
                <w:bCs/>
              </w:rPr>
              <w:t xml:space="preserve">edb格式</w:t>
            </w:r>
            <w:r/>
          </w:p>
        </w:tc>
      </w:tr>
      <w:tr>
        <w:trPr>
          <w:trHeight w:val="397"/>
        </w:trPr>
        <w:tc>
          <w:tcPr>
            <w:tcW w:w="436" w:type="pct"/>
            <w:vAlign w:val="center"/>
            <w:textDirection w:val="lrTb"/>
            <w:noWrap w:val="false"/>
          </w:tcPr>
          <w:p>
            <w:pPr>
              <w:jc w:val="center"/>
              <w:rPr>
                <w:bCs/>
              </w:rPr>
            </w:pPr>
            <w:r>
              <w:rPr>
                <w:bCs/>
              </w:rPr>
              <w:t xml:space="preserve">8</w:t>
            </w:r>
            <w:r/>
          </w:p>
        </w:tc>
        <w:tc>
          <w:tcPr>
            <w:tcW w:w="1980" w:type="pct"/>
            <w:vAlign w:val="center"/>
            <w:textDirection w:val="lrTb"/>
            <w:noWrap w:val="false"/>
          </w:tcPr>
          <w:p>
            <w:pPr>
              <w:jc w:val="center"/>
              <w:rPr>
                <w:bCs/>
              </w:rPr>
            </w:pPr>
            <w:r>
              <w:rPr>
                <w:bCs/>
              </w:rPr>
              <w:t xml:space="preserve">质量检查报告</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r>
            <w:r/>
          </w:p>
        </w:tc>
      </w:tr>
      <w:tr>
        <w:trPr>
          <w:trHeight w:val="397"/>
        </w:trPr>
        <w:tc>
          <w:tcPr>
            <w:tcW w:w="436" w:type="pct"/>
            <w:vAlign w:val="center"/>
            <w:textDirection w:val="lrTb"/>
            <w:noWrap w:val="false"/>
          </w:tcPr>
          <w:p>
            <w:pPr>
              <w:jc w:val="center"/>
              <w:rPr>
                <w:bCs/>
              </w:rPr>
            </w:pPr>
            <w:r>
              <w:rPr>
                <w:bCs/>
              </w:rPr>
              <w:t xml:space="preserve">9</w:t>
            </w:r>
            <w:r/>
          </w:p>
        </w:tc>
        <w:tc>
          <w:tcPr>
            <w:tcW w:w="1980" w:type="pct"/>
            <w:vAlign w:val="center"/>
            <w:textDirection w:val="lrTb"/>
            <w:noWrap w:val="false"/>
          </w:tcPr>
          <w:p>
            <w:pPr>
              <w:jc w:val="center"/>
              <w:rPr>
                <w:bCs/>
              </w:rPr>
            </w:pPr>
            <w:r>
              <w:rPr>
                <w:bCs/>
              </w:rPr>
              <w:t xml:space="preserve">质量检验报告</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t xml:space="preserve">江苏省测绘产品质量监督检验站</w:t>
            </w:r>
            <w:r/>
          </w:p>
        </w:tc>
      </w:tr>
      <w:tr>
        <w:trPr>
          <w:trHeight w:val="397"/>
        </w:trPr>
        <w:tc>
          <w:tcPr>
            <w:tcW w:w="436" w:type="pct"/>
            <w:vAlign w:val="center"/>
            <w:textDirection w:val="lrTb"/>
            <w:noWrap w:val="false"/>
          </w:tcPr>
          <w:p>
            <w:pPr>
              <w:jc w:val="center"/>
              <w:rPr>
                <w:bCs/>
              </w:rPr>
            </w:pPr>
            <w:r>
              <w:rPr>
                <w:bCs/>
              </w:rPr>
              <w:t xml:space="preserve">10</w:t>
            </w:r>
            <w:r/>
          </w:p>
        </w:tc>
        <w:tc>
          <w:tcPr>
            <w:tcW w:w="1980" w:type="pct"/>
            <w:vAlign w:val="center"/>
            <w:textDirection w:val="lrTb"/>
            <w:noWrap w:val="false"/>
          </w:tcPr>
          <w:p>
            <w:pPr>
              <w:jc w:val="center"/>
              <w:rPr>
                <w:bCs/>
              </w:rPr>
            </w:pPr>
            <w:r>
              <w:rPr>
                <w:bCs/>
              </w:rPr>
              <w:t xml:space="preserve">技术总结</w:t>
            </w:r>
            <w:r/>
          </w:p>
        </w:tc>
        <w:tc>
          <w:tcPr>
            <w:tcW w:w="978" w:type="pct"/>
            <w:vAlign w:val="center"/>
            <w:textDirection w:val="lrTb"/>
            <w:noWrap w:val="false"/>
          </w:tcPr>
          <w:p>
            <w:pPr>
              <w:jc w:val="center"/>
              <w:rPr>
                <w:bCs/>
              </w:rPr>
            </w:pPr>
            <w:r>
              <w:rPr>
                <w:bCs/>
              </w:rPr>
              <w:t xml:space="preserve">纸质和电子</w:t>
            </w:r>
            <w:r/>
          </w:p>
        </w:tc>
        <w:tc>
          <w:tcPr>
            <w:tcW w:w="814" w:type="pct"/>
            <w:vAlign w:val="center"/>
            <w:textDirection w:val="lrTb"/>
            <w:noWrap w:val="false"/>
          </w:tcPr>
          <w:p>
            <w:pPr>
              <w:jc w:val="center"/>
              <w:rPr>
                <w:bCs/>
              </w:rPr>
            </w:pPr>
            <w:r>
              <w:rPr>
                <w:bCs/>
              </w:rPr>
              <w:t xml:space="preserve">各1套</w:t>
            </w:r>
            <w:r/>
          </w:p>
        </w:tc>
        <w:tc>
          <w:tcPr>
            <w:tcW w:w="790" w:type="pct"/>
            <w:vAlign w:val="center"/>
            <w:textDirection w:val="lrTb"/>
            <w:noWrap w:val="false"/>
          </w:tcPr>
          <w:p>
            <w:pPr>
              <w:jc w:val="center"/>
              <w:rPr>
                <w:bCs/>
              </w:rPr>
            </w:pPr>
            <w:r>
              <w:rPr>
                <w:bCs/>
              </w:rPr>
            </w:r>
            <w:r/>
          </w:p>
        </w:tc>
      </w:tr>
    </w:tbl>
    <w:p>
      <w:pPr>
        <w:pStyle w:val="874"/>
      </w:pPr>
      <w:r/>
      <w:r/>
    </w:p>
    <w:p>
      <w:pPr>
        <w:ind w:firstLine="482"/>
        <w:spacing w:line="360" w:lineRule="auto"/>
        <w:rPr>
          <w:rFonts w:ascii="宋体" w:hAnsi="宋体"/>
          <w:b/>
          <w:bCs/>
          <w:sz w:val="24"/>
        </w:rPr>
      </w:pPr>
      <w:r>
        <w:rPr>
          <w:rFonts w:hint="eastAsia" w:ascii="宋体" w:hAnsi="宋体"/>
          <w:b/>
          <w:bCs/>
          <w:sz w:val="24"/>
        </w:rPr>
        <w:t xml:space="preserve">五、付款方式</w:t>
      </w:r>
      <w:bookmarkEnd w:id="13"/>
      <w:r/>
      <w:r/>
    </w:p>
    <w:p>
      <w:pPr>
        <w:ind w:firstLine="420"/>
        <w:spacing w:line="360" w:lineRule="auto"/>
        <w:rPr>
          <w:rFonts w:ascii="宋体" w:hAnsi="宋体" w:cs="宋体"/>
          <w:szCs w:val="21"/>
        </w:rPr>
      </w:pPr>
      <w:r>
        <w:rPr>
          <w:rFonts w:hint="eastAsia" w:ascii="宋体" w:hAnsi="宋体" w:cs="宋体"/>
          <w:szCs w:val="21"/>
        </w:rPr>
        <w:t xml:space="preserve">1、合同签订后，采购人向中标人支付项目首付款50万元；</w:t>
      </w:r>
      <w:r/>
    </w:p>
    <w:p>
      <w:pPr>
        <w:ind w:firstLine="420"/>
        <w:spacing w:line="360" w:lineRule="auto"/>
        <w:rPr>
          <w:rFonts w:ascii="宋体" w:hAnsi="宋体" w:cs="宋体"/>
          <w:szCs w:val="21"/>
        </w:rPr>
      </w:pPr>
      <w:r>
        <w:rPr>
          <w:rFonts w:hint="eastAsia" w:ascii="宋体" w:hAnsi="宋体" w:cs="宋体"/>
          <w:szCs w:val="21"/>
        </w:rPr>
        <w:t xml:space="preserve">2、中标人完成一轮全区域巡查更新后，采购人向中标人支付项目中期款200万元；</w:t>
      </w:r>
      <w:r/>
    </w:p>
    <w:p>
      <w:pPr>
        <w:ind w:firstLine="420"/>
        <w:spacing w:line="360" w:lineRule="auto"/>
        <w:rPr>
          <w:rFonts w:ascii="宋体" w:hAnsi="宋体" w:cs="宋体"/>
          <w:szCs w:val="21"/>
        </w:rPr>
      </w:pPr>
      <w:r>
        <w:rPr>
          <w:rFonts w:hint="eastAsia" w:ascii="宋体" w:hAnsi="宋体" w:cs="宋体"/>
          <w:szCs w:val="21"/>
        </w:rPr>
        <w:t xml:space="preserve">3、中标人提交全部成果并验收合格后，采购人按中标人实际完成的工作量支付合同剩余款项。</w:t>
      </w:r>
      <w:r/>
    </w:p>
    <w:p>
      <w:pPr>
        <w:ind w:firstLine="420"/>
        <w:spacing w:line="360" w:lineRule="auto"/>
        <w:rPr>
          <w:rFonts w:ascii="宋体" w:hAnsi="宋体" w:cs="宋体"/>
          <w:szCs w:val="21"/>
        </w:rPr>
      </w:pPr>
      <w:r>
        <w:rPr>
          <w:rFonts w:hint="eastAsia" w:ascii="宋体" w:hAnsi="宋体" w:cs="宋体"/>
          <w:szCs w:val="21"/>
        </w:rPr>
        <w:t xml:space="preserve">4、项目范围内实际已发生变化的区域，中标人应当识别并更新而未实施的，中标人须在</w:t>
      </w:r>
      <w:r>
        <w:rPr>
          <w:rFonts w:ascii="宋体" w:hAnsi="宋体" w:cs="宋体"/>
          <w:szCs w:val="21"/>
        </w:rPr>
        <w:t xml:space="preserve">5</w:t>
      </w:r>
      <w:r>
        <w:rPr>
          <w:rFonts w:hint="eastAsia" w:ascii="宋体" w:hAnsi="宋体" w:cs="宋体"/>
          <w:szCs w:val="21"/>
        </w:rPr>
        <w:t xml:space="preserve">个工作日内完成外业核查与成果更新，整改产生的全部费用由中标人承担；经采购人认定属于重大变化的，每</w:t>
      </w:r>
      <w:r>
        <w:rPr>
          <w:rFonts w:ascii="宋体" w:hAnsi="宋体" w:cs="宋体"/>
          <w:szCs w:val="21"/>
        </w:rPr>
        <w:t xml:space="preserve">2</w:t>
      </w:r>
      <w:r>
        <w:rPr>
          <w:rFonts w:hint="eastAsia" w:ascii="宋体" w:hAnsi="宋体" w:cs="宋体"/>
          <w:szCs w:val="21"/>
        </w:rPr>
        <w:t xml:space="preserve">处扣款</w:t>
      </w:r>
      <w:r>
        <w:rPr>
          <w:rFonts w:ascii="宋体" w:hAnsi="宋体" w:cs="宋体"/>
          <w:szCs w:val="21"/>
        </w:rPr>
        <w:t xml:space="preserve">5000</w:t>
      </w:r>
      <w:r>
        <w:rPr>
          <w:rFonts w:hint="eastAsia" w:ascii="宋体" w:hAnsi="宋体" w:cs="宋体"/>
          <w:szCs w:val="21"/>
        </w:rPr>
        <w:t xml:space="preserve">元，累计达到</w:t>
      </w:r>
      <w:r>
        <w:rPr>
          <w:rFonts w:ascii="宋体" w:hAnsi="宋体" w:cs="宋体"/>
          <w:szCs w:val="21"/>
        </w:rPr>
        <w:t xml:space="preserve">20</w:t>
      </w:r>
      <w:r>
        <w:rPr>
          <w:rFonts w:hint="eastAsia" w:ascii="宋体" w:hAnsi="宋体" w:cs="宋体"/>
          <w:szCs w:val="21"/>
        </w:rPr>
        <w:t xml:space="preserve">处及以上，采购人可根据情况加重扣款，扣款总额最高不超过项目服务总费用的</w:t>
      </w:r>
      <w:r>
        <w:rPr>
          <w:rFonts w:ascii="宋体" w:hAnsi="宋体" w:cs="宋体"/>
          <w:szCs w:val="21"/>
        </w:rPr>
        <w:t xml:space="preserve">4</w:t>
      </w:r>
      <w:r>
        <w:rPr>
          <w:rFonts w:hint="eastAsia" w:ascii="宋体" w:hAnsi="宋体" w:cs="宋体"/>
          <w:szCs w:val="21"/>
        </w:rPr>
        <w:t xml:space="preserve">%。</w:t>
      </w:r>
      <w:r/>
    </w:p>
    <w:p>
      <w:pPr>
        <w:pStyle w:val="873"/>
      </w:pPr>
      <w:r/>
      <w:r/>
    </w:p>
    <w:p>
      <w:r/>
      <w:r/>
    </w:p>
    <w:p>
      <w:pPr>
        <w:pStyle w:val="873"/>
      </w:pPr>
      <w:r/>
      <w:bookmarkEnd w:id="10"/>
      <w:r/>
      <w:bookmarkEnd w:id="11"/>
      <w:r/>
      <w:r/>
    </w:p>
    <w:p>
      <w:pPr>
        <w:jc w:val="left"/>
        <w:widowControl/>
        <w:rPr>
          <w:rFonts w:ascii="宋体" w:hAnsi="宋体" w:cs="宋体"/>
          <w:b/>
          <w:bCs/>
          <w:sz w:val="32"/>
          <w:szCs w:val="44"/>
        </w:rPr>
      </w:pPr>
      <w:r>
        <w:rPr>
          <w:rFonts w:hint="eastAsia" w:ascii="宋体" w:hAnsi="宋体" w:cs="宋体"/>
        </w:rPr>
        <w:br w:type="page" w:clear="all"/>
      </w:r>
      <w:r/>
    </w:p>
    <w:p>
      <w:pPr>
        <w:pStyle w:val="862"/>
        <w:numPr>
          <w:ilvl w:val="0"/>
          <w:numId w:val="5"/>
        </w:numPr>
        <w:rPr>
          <w:rFonts w:ascii="宋体" w:hAnsi="宋体" w:cs="宋体"/>
        </w:rPr>
      </w:pPr>
      <w:r>
        <w:rPr>
          <w:rFonts w:hint="eastAsia" w:ascii="宋体" w:hAnsi="宋体" w:cs="宋体"/>
        </w:rPr>
        <w:t xml:space="preserve"> </w:t>
      </w:r>
      <w:bookmarkStart w:id="16" w:name="_Toc28129"/>
      <w:r/>
      <w:bookmarkStart w:id="17" w:name="_Toc26505"/>
      <w:r>
        <w:rPr>
          <w:rFonts w:hint="eastAsia" w:ascii="宋体" w:hAnsi="宋体" w:cs="宋体"/>
        </w:rPr>
        <w:t xml:space="preserve">合同主要条款及格式</w:t>
      </w:r>
      <w:bookmarkEnd w:id="16"/>
      <w:r/>
      <w:bookmarkEnd w:id="17"/>
      <w:r/>
      <w:r/>
    </w:p>
    <w:p>
      <w:r/>
      <w:bookmarkStart w:id="18" w:name="_Toc20823315"/>
      <w:r/>
      <w:bookmarkStart w:id="19" w:name="_Toc513029243"/>
      <w:r/>
      <w:bookmarkStart w:id="20" w:name="_Toc16938559"/>
      <w:r/>
      <w:bookmarkEnd w:id="18"/>
      <w:r/>
      <w:bookmarkEnd w:id="19"/>
      <w:r/>
      <w:bookmarkEnd w:id="20"/>
      <w:r/>
      <w:r/>
    </w:p>
    <w:p>
      <w:pPr>
        <w:jc w:val="center"/>
      </w:pPr>
      <w:r/>
      <w:bookmarkStart w:id="21" w:name="_Hlk66377681"/>
      <w:r>
        <w:rPr>
          <w:rFonts w:hint="eastAsia"/>
        </w:rPr>
        <w:t xml:space="preserve">（合同范本仅供参考，具体以实际签订为准）</w:t>
      </w:r>
      <w:r/>
    </w:p>
    <w:p>
      <w:pPr>
        <w:jc w:val="center"/>
        <w:spacing w:line="360" w:lineRule="auto"/>
        <w:shd w:val="clear" w:color="auto" w:fill="ffffff"/>
        <w:widowControl/>
        <w:rPr>
          <w:rFonts w:ascii="宋体" w:hAnsi="宋体" w:cs="宋体"/>
          <w:b/>
          <w:bCs/>
          <w:sz w:val="32"/>
          <w:szCs w:val="32"/>
        </w:rPr>
      </w:pPr>
      <w:r>
        <w:rPr>
          <w:rFonts w:ascii="宋体" w:hAnsi="宋体" w:cs="宋体"/>
          <w:b/>
          <w:bCs/>
          <w:sz w:val="32"/>
          <w:szCs w:val="32"/>
        </w:rPr>
      </w:r>
      <w:r/>
    </w:p>
    <w:p>
      <w:pPr>
        <w:jc w:val="center"/>
        <w:spacing w:line="360" w:lineRule="auto"/>
        <w:shd w:val="clear" w:color="auto" w:fill="ffffff"/>
        <w:widowControl/>
        <w:rPr>
          <w:rFonts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ascii="宋体" w:hAnsi="宋体" w:cs="宋体"/>
          <w:sz w:val="32"/>
          <w:szCs w:val="32"/>
        </w:rPr>
      </w:pPr>
      <w:r>
        <w:rPr>
          <w:rFonts w:ascii="宋体" w:hAnsi="宋体" w:cs="宋体"/>
          <w:sz w:val="32"/>
          <w:szCs w:val="32"/>
        </w:rPr>
      </w:r>
      <w:r/>
    </w:p>
    <w:p>
      <w:pPr>
        <w:pStyle w:val="908"/>
        <w:ind w:firstLine="640"/>
        <w:rPr>
          <w:rFonts w:ascii="宋体" w:hAnsi="宋体" w:cs="宋体"/>
          <w:sz w:val="32"/>
          <w:szCs w:val="32"/>
        </w:rPr>
      </w:pPr>
      <w:r>
        <w:rPr>
          <w:rFonts w:ascii="宋体" w:hAnsi="宋体" w:cs="宋体"/>
          <w:sz w:val="32"/>
          <w:szCs w:val="32"/>
        </w:rPr>
      </w:r>
      <w:r/>
    </w:p>
    <w:p>
      <w:pPr>
        <w:pStyle w:val="908"/>
        <w:ind w:firstLine="640"/>
        <w:rPr>
          <w:rFonts w:ascii="宋体" w:hAnsi="宋体" w:cs="宋体"/>
          <w:sz w:val="32"/>
          <w:szCs w:val="32"/>
        </w:rPr>
      </w:pPr>
      <w:r>
        <w:rPr>
          <w:rFonts w:ascii="宋体" w:hAnsi="宋体" w:cs="宋体"/>
          <w:sz w:val="32"/>
          <w:szCs w:val="32"/>
        </w:rPr>
      </w:r>
      <w:r/>
    </w:p>
    <w:p>
      <w:pPr>
        <w:pStyle w:val="908"/>
        <w:ind w:firstLine="640"/>
        <w:rPr>
          <w:rFonts w:ascii="宋体" w:hAnsi="宋体" w:cs="宋体"/>
          <w:sz w:val="32"/>
          <w:szCs w:val="32"/>
        </w:rPr>
      </w:pPr>
      <w:r>
        <w:rPr>
          <w:rFonts w:ascii="宋体" w:hAnsi="宋体" w:cs="宋体"/>
          <w:sz w:val="32"/>
          <w:szCs w:val="32"/>
        </w:rPr>
      </w:r>
      <w:r/>
    </w:p>
    <w:p>
      <w:pPr>
        <w:pStyle w:val="908"/>
        <w:ind w:firstLine="640"/>
        <w:rPr>
          <w:rFonts w:ascii="宋体" w:hAnsi="宋体" w:cs="宋体"/>
          <w:sz w:val="32"/>
          <w:szCs w:val="32"/>
        </w:rPr>
      </w:pPr>
      <w:r>
        <w:rPr>
          <w:rFonts w:ascii="宋体" w:hAnsi="宋体" w:cs="宋体"/>
          <w:sz w:val="32"/>
          <w:szCs w:val="32"/>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采购人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供应商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ind w:firstLine="2984"/>
        <w:spacing w:line="360" w:lineRule="auto"/>
        <w:shd w:val="clear" w:color="auto" w:fill="ffffff"/>
        <w:widowControl/>
        <w:rPr>
          <w:rFonts w:ascii="宋体" w:hAnsi="宋体" w:cs="宋体"/>
          <w:sz w:val="32"/>
          <w:szCs w:val="32"/>
        </w:rPr>
      </w:pPr>
      <w:r>
        <w:rPr>
          <w:rFonts w:ascii="宋体" w:hAnsi="宋体" w:cs="宋体"/>
          <w:sz w:val="32"/>
          <w:szCs w:val="32"/>
        </w:rPr>
      </w:r>
      <w:r/>
    </w:p>
    <w:p>
      <w:pPr>
        <w:pStyle w:val="908"/>
      </w:p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jc w:val="center"/>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南 京 市 财 政 局 监 制</w:t>
      </w:r>
      <w:r/>
    </w:p>
    <w:p>
      <w:pPr>
        <w:spacing w:line="360" w:lineRule="auto"/>
        <w:shd w:val="clear" w:color="auto" w:fill="ffffff"/>
        <w:widowControl/>
        <w:rPr>
          <w:rFonts w:ascii="宋体" w:hAnsi="宋体" w:cs="宋体"/>
        </w:rPr>
      </w:pPr>
      <w:r>
        <w:rPr>
          <w:rFonts w:hint="eastAsia" w:ascii="宋体" w:hAnsi="宋体" w:cs="宋体"/>
          <w:sz w:val="24"/>
        </w:rPr>
        <w:br w:type="page" w:clear="all"/>
      </w:r>
      <w:r>
        <w:rPr>
          <w:rFonts w:hint="eastAsia" w:ascii="宋体" w:hAnsi="宋体" w:cs="宋体"/>
        </w:rPr>
        <w:t xml:space="preserve">合同编号：</w:t>
      </w:r>
      <w:r/>
    </w:p>
    <w:p>
      <w:pPr>
        <w:spacing w:line="360" w:lineRule="auto"/>
        <w:shd w:val="clear" w:color="auto" w:fill="ffffff"/>
        <w:widowControl/>
        <w:rPr>
          <w:rFonts w:ascii="宋体" w:hAnsi="宋体" w:cs="宋体"/>
        </w:rPr>
      </w:pPr>
      <w:r>
        <w:rPr>
          <w:rFonts w:hint="eastAsia" w:ascii="宋体" w:hAnsi="宋体" w:cs="宋体"/>
        </w:rPr>
        <w:t xml:space="preserve">政府采购计划号：       号</w:t>
      </w:r>
      <w:r/>
    </w:p>
    <w:p>
      <w:pPr>
        <w:jc w:val="center"/>
        <w:spacing w:line="360" w:lineRule="auto"/>
        <w:shd w:val="clear" w:color="auto" w:fill="ffffff"/>
        <w:widowControl/>
        <w:rPr>
          <w:rFonts w:ascii="宋体" w:hAnsi="宋体" w:cs="宋体"/>
        </w:rPr>
      </w:pPr>
      <w:r>
        <w:rPr>
          <w:rFonts w:ascii="宋体" w:hAnsi="宋体" w:cs="宋体"/>
        </w:rPr>
      </w:r>
      <w:r/>
    </w:p>
    <w:tbl>
      <w:tblPr>
        <w:tblStyle w:val="87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rPr>
            </w:pPr>
            <w:r>
              <w:rPr>
                <w:rFonts w:hint="eastAsia" w:ascii="宋体" w:hAnsi="宋体" w:cs="宋体"/>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rPr>
            </w:pPr>
            <w:r>
              <w:rPr>
                <w:rFonts w:hint="eastAsia" w:ascii="宋体" w:hAnsi="宋体" w:cs="宋体"/>
              </w:rPr>
              <w:t xml:space="preserve">住所地：</w:t>
            </w:r>
            <w:r/>
          </w:p>
        </w:tc>
      </w:tr>
    </w:tbl>
    <w:p>
      <w:pPr>
        <w:ind w:firstLine="420"/>
        <w:spacing w:line="360" w:lineRule="auto"/>
        <w:rPr>
          <w:rFonts w:ascii="宋体" w:hAnsi="宋体"/>
          <w:szCs w:val="21"/>
        </w:rPr>
      </w:pPr>
      <w:r>
        <w:rPr>
          <w:rFonts w:hint="eastAsia" w:ascii="宋体" w:hAnsi="宋体"/>
          <w:szCs w:val="21"/>
        </w:rPr>
        <w:t xml:space="preserve">根据《中华人民共和国政府采购法》、《中华人民共和国民法典》的有关规定，由</w:t>
      </w:r>
      <w:r>
        <w:rPr>
          <w:rFonts w:hint="eastAsia" w:ascii="宋体" w:hAnsi="宋体" w:cs="宋体"/>
          <w:spacing w:val="8"/>
          <w:szCs w:val="21"/>
          <w:u w:val="single"/>
        </w:rPr>
        <w:t xml:space="preserve">南京市规划和自然资源局</w:t>
      </w:r>
      <w:r>
        <w:rPr>
          <w:rFonts w:hint="eastAsia" w:ascii="宋体" w:hAnsi="宋体"/>
          <w:szCs w:val="21"/>
        </w:rPr>
        <w:t xml:space="preserve">（甲方）委托</w:t>
      </w:r>
      <w:r>
        <w:rPr>
          <w:rFonts w:hint="eastAsia" w:ascii="宋体" w:hAnsi="宋体"/>
          <w:szCs w:val="21"/>
          <w:u w:val="single"/>
        </w:rPr>
        <w:t xml:space="preserve">         </w:t>
      </w:r>
      <w:r>
        <w:rPr>
          <w:rFonts w:hint="eastAsia" w:ascii="宋体" w:hAnsi="宋体"/>
          <w:szCs w:val="21"/>
        </w:rPr>
        <w:t xml:space="preserve">（乙方）承担本合同规定内容的研究。经双方友好协商，签订本合同。</w:t>
      </w:r>
      <w:r/>
    </w:p>
    <w:p>
      <w:pPr>
        <w:spacing w:line="360" w:lineRule="auto"/>
      </w:pPr>
      <w:r>
        <w:rPr>
          <w:rFonts w:hint="eastAsia"/>
        </w:rPr>
        <w:t xml:space="preserve">一、项目名称：南京市主城地区大比例尺地形图动态维护测绘服务（2026）</w:t>
      </w:r>
      <w:r/>
    </w:p>
    <w:p>
      <w:pPr>
        <w:spacing w:line="360" w:lineRule="auto"/>
      </w:pPr>
      <w:r>
        <w:rPr>
          <w:rFonts w:hint="eastAsia"/>
        </w:rPr>
        <w:t xml:space="preserve">二、内容和要求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采用“4+1”更新模式，对南京市主城六区（包括玄武区、秦淮区、鼓楼区、建邺区、雨花台区和栖霞区）788.3平方千米范围内的大比例尺地形图进行动态更新维护，服务周期为一年。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季度更新。在年度更新周期内，每个季度利用影像、城建计划、用地例会、规划监督测量成果、来案更新项目和用图申请等资料，主动发现变化区域，及时修测，实现地形图及时更新。主要工作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季度对收集到的规划监督测量项目成果、来案更新项目成果更新上图，对不完整的数据进行补测补调，满足数据标准要求；对收集到的城建计划，根据建设项目的建设周期，在关键时间节点（如拆迁开始、施工开始和建设完工等），进场巡查和更新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（2）不定期接收规划条件审查会上的建设项目用地信息，及时现场巡查和更新测量，确保在最短时间内（单个项目3天）为规划审查用图提供最新现势性的地形图数据。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（3）通过多期影像比对发现地形变化图斑，与人工巡查相结合方式，主动发现变化区域，及时修测更新。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年度全要素巡视更新。在年度更新周期内，完成一轮地毯式全要素巡视更新，主要通过网格化实地巡查方法，对区域内的全要素进行巡查，发现变化区域，按照生产计划，根据变化类型，采用适当的作业方法分批进行更新生产，数据分批提交。</w:t>
      </w:r>
      <w:r/>
    </w:p>
    <w:p>
      <w:pPr>
        <w:ind w:firstLine="420"/>
        <w:spacing w:line="360" w:lineRule="auto"/>
        <w:rPr>
          <w:rFonts w:ascii="宋体" w:hAnsi="宋体" w:cs="宋体"/>
          <w:szCs w:val="21"/>
        </w:rPr>
      </w:pPr>
      <w:r>
        <w:rPr>
          <w:rFonts w:ascii="SimSun" w:hAnsi="SimSun" w:eastAsia="SimSun" w:cs="SimSun"/>
          <w:color w:val="000000"/>
          <w:sz w:val="21"/>
        </w:rPr>
        <w:t xml:space="preserve">（三）配合监理实施外业巡视、内业成果比对、资料调阅、现场核验等工作，落实监理整改意见。通过项目实施，确保项目范围内所有实际发生的地形变化更新全覆盖</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（二）成果要求：</w:t>
      </w:r>
      <w:r/>
    </w:p>
    <w:p>
      <w:pPr>
        <w:ind w:firstLine="420"/>
        <w:spacing w:line="360" w:lineRule="auto"/>
        <w:rPr>
          <w:rFonts w:ascii="宋体" w:hAnsi="宋体" w:cs="宋体"/>
          <w:szCs w:val="21"/>
        </w:rPr>
      </w:pPr>
      <w:r>
        <w:rPr>
          <w:rFonts w:hint="eastAsia" w:ascii="宋体" w:hAnsi="宋体" w:cs="宋体"/>
          <w:szCs w:val="21"/>
        </w:rPr>
        <w:t xml:space="preserve">1、项目设计书及实施方案（要求合理划分任务区，分期分批提交成果）；</w:t>
      </w:r>
      <w:r/>
    </w:p>
    <w:p>
      <w:pPr>
        <w:ind w:firstLine="420"/>
        <w:spacing w:line="360" w:lineRule="auto"/>
        <w:rPr>
          <w:rFonts w:ascii="宋体" w:hAnsi="宋体" w:cs="宋体"/>
          <w:szCs w:val="21"/>
        </w:rPr>
      </w:pPr>
      <w:r>
        <w:rPr>
          <w:rFonts w:hint="eastAsia" w:ascii="宋体" w:hAnsi="宋体" w:cs="宋体"/>
          <w:szCs w:val="21"/>
        </w:rPr>
        <w:t xml:space="preserve">2、地形图数据成果（包括：地形图更新数据成果及区域级、图幅级、格网级元数据）；</w:t>
      </w:r>
      <w:r/>
    </w:p>
    <w:p>
      <w:pPr>
        <w:ind w:firstLine="420"/>
        <w:spacing w:line="360" w:lineRule="auto"/>
        <w:rPr>
          <w:rFonts w:ascii="宋体" w:hAnsi="宋体" w:cs="宋体"/>
          <w:szCs w:val="21"/>
        </w:rPr>
      </w:pPr>
      <w:r>
        <w:rPr>
          <w:rFonts w:hint="eastAsia" w:ascii="宋体" w:hAnsi="宋体" w:cs="宋体"/>
          <w:szCs w:val="21"/>
        </w:rPr>
        <w:t xml:space="preserve">3、地形图新增、删除和修改数据文件；</w:t>
      </w:r>
      <w:r/>
    </w:p>
    <w:p>
      <w:pPr>
        <w:ind w:firstLine="420"/>
        <w:spacing w:line="360" w:lineRule="auto"/>
        <w:rPr>
          <w:rFonts w:ascii="宋体" w:hAnsi="宋体" w:cs="宋体"/>
          <w:szCs w:val="21"/>
        </w:rPr>
      </w:pPr>
      <w:r>
        <w:rPr>
          <w:rFonts w:hint="eastAsia" w:ascii="宋体" w:hAnsi="宋体" w:cs="宋体"/>
          <w:szCs w:val="21"/>
        </w:rPr>
        <w:t xml:space="preserve">4、季度更新报告；</w:t>
      </w:r>
      <w:r/>
    </w:p>
    <w:p>
      <w:pPr>
        <w:ind w:firstLine="420"/>
        <w:spacing w:line="360" w:lineRule="auto"/>
        <w:rPr>
          <w:rFonts w:ascii="宋体" w:hAnsi="宋体" w:cs="宋体"/>
          <w:szCs w:val="21"/>
        </w:rPr>
      </w:pPr>
      <w:r>
        <w:rPr>
          <w:rFonts w:hint="eastAsia" w:ascii="宋体" w:hAnsi="宋体" w:cs="宋体"/>
          <w:szCs w:val="21"/>
        </w:rPr>
        <w:t xml:space="preserve">5、质量检查报告（包括本单位及第三方质检机构）；</w:t>
      </w:r>
      <w:r/>
    </w:p>
    <w:p>
      <w:pPr>
        <w:ind w:firstLine="420"/>
        <w:spacing w:line="360" w:lineRule="auto"/>
        <w:rPr>
          <w:rFonts w:ascii="宋体" w:hAnsi="宋体" w:cs="宋体"/>
          <w:szCs w:val="21"/>
        </w:rPr>
      </w:pPr>
      <w:r>
        <w:rPr>
          <w:rFonts w:hint="eastAsia" w:ascii="宋体" w:hAnsi="宋体" w:cs="宋体"/>
          <w:szCs w:val="21"/>
        </w:rPr>
        <w:t xml:space="preserve">6、工作（技术）总结。</w:t>
      </w:r>
      <w:r/>
    </w:p>
    <w:p>
      <w:pPr>
        <w:ind w:firstLine="422"/>
        <w:spacing w:line="360" w:lineRule="auto"/>
        <w:rPr>
          <w:rFonts w:ascii="宋体" w:hAnsi="宋体" w:cs="宋体"/>
          <w:b/>
          <w:szCs w:val="21"/>
        </w:rPr>
      </w:pPr>
      <w:r>
        <w:rPr>
          <w:rFonts w:hint="eastAsia" w:ascii="宋体" w:hAnsi="宋体" w:cs="宋体"/>
          <w:b/>
          <w:szCs w:val="21"/>
        </w:rPr>
        <w:t xml:space="preserve">（三）项目时间和进度安排：</w:t>
      </w:r>
      <w:r/>
    </w:p>
    <w:p>
      <w:pPr>
        <w:ind w:firstLine="422"/>
        <w:spacing w:line="360" w:lineRule="auto"/>
        <w:rPr>
          <w:rFonts w:ascii="宋体" w:hAnsi="宋体"/>
          <w:b/>
        </w:rPr>
      </w:pPr>
      <w:r>
        <w:rPr>
          <w:rFonts w:hint="eastAsia" w:ascii="宋体" w:hAnsi="宋体"/>
          <w:b/>
        </w:rPr>
        <w:t xml:space="preserve">四、各方承担的工作和义务</w:t>
      </w:r>
      <w:r/>
    </w:p>
    <w:p>
      <w:pPr>
        <w:ind w:firstLine="420"/>
        <w:spacing w:line="360" w:lineRule="auto"/>
      </w:pPr>
      <w:r>
        <w:rPr>
          <w:rFonts w:hint="eastAsia"/>
        </w:rPr>
        <w:t xml:space="preserve">（一）甲方：</w:t>
      </w:r>
      <w:r/>
    </w:p>
    <w:p>
      <w:pPr>
        <w:ind w:firstLine="420"/>
        <w:spacing w:line="360" w:lineRule="auto"/>
      </w:pPr>
      <w:r>
        <w:rPr>
          <w:rFonts w:hint="eastAsia"/>
        </w:rPr>
        <w:t xml:space="preserve">1、协助乙方开展现状调查和基础资料收集工作，提供相关资料。</w:t>
      </w:r>
      <w:r/>
    </w:p>
    <w:p>
      <w:pPr>
        <w:ind w:firstLine="420"/>
        <w:spacing w:line="360" w:lineRule="auto"/>
      </w:pPr>
      <w:r>
        <w:rPr>
          <w:rFonts w:hint="eastAsia"/>
        </w:rPr>
        <w:t xml:space="preserve">2、分阶段组织审查并对乙方所作的成果提出书面意见，对乙方提交的报批成果和正式成果进行验收。</w:t>
      </w:r>
      <w:r/>
    </w:p>
    <w:p>
      <w:pPr>
        <w:ind w:firstLine="420"/>
        <w:spacing w:line="360" w:lineRule="auto"/>
      </w:pPr>
      <w:r>
        <w:rPr>
          <w:rFonts w:hint="eastAsia"/>
        </w:rPr>
        <w:t xml:space="preserve">3、参与合同设定的各阶段工作，参与研究讨论工作。</w:t>
      </w:r>
      <w:r/>
    </w:p>
    <w:p>
      <w:pPr>
        <w:ind w:firstLine="420"/>
        <w:spacing w:line="360" w:lineRule="auto"/>
      </w:pPr>
      <w:r>
        <w:rPr>
          <w:rFonts w:hint="eastAsia"/>
        </w:rPr>
        <w:t xml:space="preserve">4、根据情况需要安排召开相关讨论、咨询和论证会。</w:t>
      </w:r>
      <w:r/>
    </w:p>
    <w:p>
      <w:pPr>
        <w:ind w:firstLine="420"/>
        <w:spacing w:line="360" w:lineRule="auto"/>
      </w:pPr>
      <w:r>
        <w:rPr>
          <w:rFonts w:hint="eastAsia"/>
        </w:rPr>
        <w:t xml:space="preserve">5、合理安排工作进度，及时组织成果验收。</w:t>
      </w:r>
      <w:r/>
    </w:p>
    <w:p>
      <w:pPr>
        <w:ind w:firstLine="420"/>
        <w:spacing w:line="360" w:lineRule="auto"/>
      </w:pPr>
      <w:r>
        <w:rPr>
          <w:rFonts w:hint="eastAsia"/>
        </w:rPr>
        <w:t xml:space="preserve">6、按合同要求履行付款义务。</w:t>
      </w:r>
      <w:r/>
    </w:p>
    <w:p>
      <w:pPr>
        <w:ind w:firstLine="420"/>
        <w:spacing w:line="360" w:lineRule="auto"/>
      </w:pPr>
      <w:r>
        <w:rPr>
          <w:rFonts w:hint="eastAsia"/>
        </w:rPr>
        <w:t xml:space="preserve">（二）乙方：</w:t>
      </w:r>
      <w:r/>
    </w:p>
    <w:p>
      <w:pPr>
        <w:ind w:firstLine="420"/>
        <w:spacing w:line="360" w:lineRule="auto"/>
      </w:pPr>
      <w:r>
        <w:rPr>
          <w:rFonts w:hint="eastAsia"/>
        </w:rPr>
        <w:t xml:space="preserve">1、开展现状调查和基础资料收集工作。</w:t>
      </w:r>
      <w:r/>
    </w:p>
    <w:p>
      <w:pPr>
        <w:ind w:firstLine="420"/>
        <w:spacing w:line="360" w:lineRule="auto"/>
      </w:pPr>
      <w:r>
        <w:rPr>
          <w:rFonts w:hint="eastAsia"/>
        </w:rPr>
        <w:t xml:space="preserve">2、按甲方提出的要求，按合同进度完成各阶段工作，按甲方要求制作相应成果。</w:t>
      </w:r>
      <w:r/>
    </w:p>
    <w:p>
      <w:pPr>
        <w:ind w:firstLine="420"/>
        <w:spacing w:line="360" w:lineRule="auto"/>
      </w:pPr>
      <w:r>
        <w:rPr>
          <w:rFonts w:hint="eastAsia"/>
        </w:rPr>
        <w:t xml:space="preserve">3、有义务参加甲方组织的各阶段有关的讨论、咨询和论证等各种会议，按甲方要求提供会议材料，并按甲方意见修改完善。</w:t>
      </w:r>
      <w:r/>
    </w:p>
    <w:p>
      <w:pPr>
        <w:ind w:firstLine="420"/>
        <w:spacing w:line="360" w:lineRule="auto"/>
      </w:pPr>
      <w:r>
        <w:rPr>
          <w:rFonts w:hint="eastAsia"/>
        </w:rPr>
        <w:t xml:space="preserve">4、项目负责人应参与编制过程中的重要讨论会、座谈会，并在成果汇报时到场汇报。向项目审批领导小组会汇报时，乙方应由技术负责人或总工到场汇报。</w:t>
      </w:r>
      <w:r/>
    </w:p>
    <w:p>
      <w:pPr>
        <w:ind w:firstLine="420"/>
        <w:spacing w:line="360" w:lineRule="auto"/>
      </w:pPr>
      <w:r>
        <w:rPr>
          <w:rFonts w:hint="eastAsia"/>
        </w:rPr>
        <w:t xml:space="preserve">5、乙方应认真落实甲方在项目编制各阶段提出的意见，在下一轮汇报时应附具对上一轮意见的落实情况。乙方报批成果中应附</w:t>
      </w:r>
      <w:r>
        <w:t xml:space="preserve">具</w:t>
      </w:r>
      <w:r>
        <w:rPr>
          <w:rFonts w:hint="eastAsia"/>
        </w:rPr>
        <w:t xml:space="preserve">相关</w:t>
      </w:r>
      <w:r>
        <w:t xml:space="preserve">意见内容及处理结果。</w:t>
      </w:r>
      <w:r/>
    </w:p>
    <w:p>
      <w:pPr>
        <w:ind w:firstLine="420"/>
        <w:spacing w:line="360" w:lineRule="auto"/>
      </w:pPr>
      <w:r>
        <w:t xml:space="preserve">6</w:t>
      </w:r>
      <w:r>
        <w:rPr>
          <w:rFonts w:hint="eastAsia"/>
        </w:rPr>
        <w:t xml:space="preserve">、乙方应加强成果后期跟踪与服务。成果在实施过程中出现质量问题的，乙方应及时予以修正；遇有该项目的信访案件需乙方协助甲方进行</w:t>
      </w:r>
      <w:r>
        <w:t xml:space="preserve">接待</w:t>
      </w:r>
      <w:r>
        <w:rPr>
          <w:rFonts w:hint="eastAsia"/>
        </w:rPr>
        <w:t xml:space="preserve">的，乙方有义务</w:t>
      </w:r>
      <w:r>
        <w:t xml:space="preserve">参加信访接待活动</w:t>
      </w:r>
      <w:r>
        <w:rPr>
          <w:rFonts w:hint="eastAsia"/>
        </w:rPr>
        <w:t xml:space="preserve">并</w:t>
      </w:r>
      <w:r>
        <w:t xml:space="preserve">就信访人提出的相关技术层面问</w:t>
      </w:r>
      <w:r>
        <w:rPr>
          <w:rFonts w:hint="eastAsia"/>
        </w:rPr>
        <w:t xml:space="preserve">题给予</w:t>
      </w:r>
      <w:r>
        <w:t xml:space="preserve">现场解答。</w:t>
      </w:r>
      <w:r/>
    </w:p>
    <w:p>
      <w:pPr>
        <w:ind w:firstLine="420"/>
        <w:spacing w:line="360" w:lineRule="auto"/>
      </w:pPr>
      <w:r>
        <w:t xml:space="preserve">7</w:t>
      </w:r>
      <w:r>
        <w:rPr>
          <w:rFonts w:hint="eastAsia"/>
        </w:rPr>
        <w:t xml:space="preserve">、评审费用包含在报价中，甲方向乙方支付全部费用，待评审时，乙方将评审费用给甲方，由甲方发放专家评审费。</w:t>
      </w:r>
      <w:r/>
    </w:p>
    <w:p>
      <w:pPr>
        <w:ind w:firstLine="422"/>
        <w:spacing w:line="360" w:lineRule="auto"/>
        <w:rPr>
          <w:rFonts w:ascii="宋体" w:hAnsi="宋体"/>
          <w:b/>
        </w:rPr>
      </w:pPr>
      <w:r>
        <w:rPr>
          <w:rFonts w:hint="eastAsia" w:ascii="宋体" w:hAnsi="宋体"/>
          <w:b/>
        </w:rPr>
        <w:t xml:space="preserve">五、</w:t>
      </w:r>
      <w:r>
        <w:rPr>
          <w:rFonts w:ascii="宋体" w:hAnsi="宋体"/>
          <w:b/>
        </w:rPr>
        <w:t xml:space="preserve">合同价</w:t>
      </w:r>
      <w:r>
        <w:rPr>
          <w:rFonts w:hint="eastAsia" w:ascii="宋体" w:hAnsi="宋体"/>
          <w:b/>
        </w:rPr>
        <w:t xml:space="preserve">（经费）及支付方式</w:t>
      </w:r>
      <w:r/>
    </w:p>
    <w:p>
      <w:pPr>
        <w:ind w:firstLine="422"/>
        <w:spacing w:line="360" w:lineRule="auto"/>
        <w:rPr>
          <w:rFonts w:ascii="宋体" w:hAnsi="宋体"/>
          <w:b/>
        </w:rPr>
      </w:pPr>
      <w:r>
        <w:rPr>
          <w:rFonts w:hint="eastAsia" w:ascii="宋体" w:hAnsi="宋体"/>
          <w:b/>
        </w:rPr>
        <w:t xml:space="preserve">（一）</w:t>
      </w:r>
      <w:r>
        <w:rPr>
          <w:rFonts w:ascii="宋体" w:hAnsi="宋体"/>
          <w:b/>
        </w:rPr>
        <w:t xml:space="preserve">合同价</w:t>
      </w:r>
      <w:r/>
    </w:p>
    <w:p>
      <w:pPr>
        <w:ind w:firstLine="480"/>
        <w:jc w:val="left"/>
        <w:spacing w:line="360" w:lineRule="auto"/>
        <w:rPr>
          <w:rFonts w:ascii="宋体" w:hAnsi="宋体"/>
          <w:szCs w:val="21"/>
        </w:rPr>
      </w:pPr>
      <w:r>
        <w:rPr>
          <w:rFonts w:ascii="宋体" w:hAnsi="宋体"/>
          <w:szCs w:val="21"/>
        </w:rPr>
      </w:r>
      <w:r>
        <w:rPr>
          <w:rFonts w:ascii="SimSun" w:hAnsi="SimSun" w:eastAsia="SimSun" w:cs="SimSun"/>
          <w:color w:val="000000"/>
          <w:sz w:val="21"/>
        </w:rPr>
        <w:t xml:space="preserve">本项目为单价合同，采用巡视费用单列，更新费用按照地形图 “服务单价*实际工作量” 进行结算，合同结算总价不得超出预算总价500万元</w:t>
      </w:r>
      <w:r>
        <w:rPr>
          <w:rFonts w:ascii="宋体" w:hAnsi="宋体"/>
          <w:szCs w:val="21"/>
        </w:rPr>
        <w:t xml:space="preserve">。</w:t>
      </w:r>
      <w:r/>
    </w:p>
    <w:tbl>
      <w:tblPr>
        <w:tblStyle w:val="872"/>
        <w:tblW w:w="4976" w:type="pct"/>
        <w:tblInd w:w="0" w:type="dxa"/>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3023"/>
        <w:gridCol w:w="2036"/>
        <w:gridCol w:w="3710"/>
      </w:tblGrid>
      <w:tr>
        <w:trPr>
          <w:trHeight w:val="567"/>
        </w:trPr>
        <w:tc>
          <w:tcPr>
            <w:shd w:val="clear" w:color="auto" w:fill="d7d7d7" w:themeFill="background1" w:themeFillShade="D8"/>
            <w:tcW w:w="432" w:type="pct"/>
            <w:vAlign w:val="center"/>
            <w:textDirection w:val="lrTb"/>
            <w:noWrap w:val="false"/>
          </w:tcPr>
          <w:p>
            <w:pPr>
              <w:pStyle w:val="874"/>
              <w:jc w:val="center"/>
              <w:rPr>
                <w:b/>
                <w:bCs/>
                <w:szCs w:val="21"/>
              </w:rPr>
            </w:pPr>
            <w:r>
              <w:rPr>
                <w:b/>
                <w:bCs/>
                <w:szCs w:val="21"/>
              </w:rPr>
              <w:t xml:space="preserve">序号</w:t>
            </w:r>
            <w:r/>
          </w:p>
        </w:tc>
        <w:tc>
          <w:tcPr>
            <w:shd w:val="clear" w:color="auto" w:fill="d7d7d7" w:themeFill="background1" w:themeFillShade="D8"/>
            <w:tcW w:w="1574" w:type="pct"/>
            <w:vAlign w:val="center"/>
            <w:textDirection w:val="lrTb"/>
            <w:noWrap w:val="false"/>
          </w:tcPr>
          <w:p>
            <w:pPr>
              <w:pStyle w:val="874"/>
              <w:jc w:val="center"/>
              <w:rPr>
                <w:b/>
                <w:bCs/>
                <w:szCs w:val="21"/>
              </w:rPr>
            </w:pPr>
            <w:r>
              <w:rPr>
                <w:b/>
                <w:bCs/>
                <w:szCs w:val="21"/>
              </w:rPr>
              <w:t xml:space="preserve">项目内容</w:t>
            </w:r>
            <w:r/>
          </w:p>
        </w:tc>
        <w:tc>
          <w:tcPr>
            <w:shd w:val="clear" w:color="auto" w:fill="d7d7d7" w:themeFill="background1" w:themeFillShade="D8"/>
            <w:tcW w:w="1060" w:type="pct"/>
            <w:vAlign w:val="center"/>
            <w:textDirection w:val="lrTb"/>
            <w:noWrap w:val="false"/>
          </w:tcPr>
          <w:p>
            <w:pPr>
              <w:pStyle w:val="874"/>
              <w:jc w:val="center"/>
              <w:rPr>
                <w:b/>
                <w:bCs/>
                <w:szCs w:val="21"/>
              </w:rPr>
            </w:pPr>
            <w:r>
              <w:rPr>
                <w:rFonts w:hint="eastAsia"/>
                <w:b/>
                <w:bCs/>
                <w:szCs w:val="21"/>
              </w:rPr>
              <w:t xml:space="preserve">合同</w:t>
            </w:r>
            <w:r>
              <w:rPr>
                <w:b/>
                <w:bCs/>
                <w:szCs w:val="21"/>
              </w:rPr>
              <w:t xml:space="preserve">价</w:t>
            </w:r>
            <w:r/>
          </w:p>
        </w:tc>
        <w:tc>
          <w:tcPr>
            <w:shd w:val="clear" w:color="auto" w:fill="d7d7d7" w:themeFill="background1" w:themeFillShade="D8"/>
            <w:tcW w:w="1932" w:type="pct"/>
            <w:vAlign w:val="center"/>
            <w:textDirection w:val="lrTb"/>
            <w:noWrap w:val="false"/>
          </w:tcPr>
          <w:p>
            <w:pPr>
              <w:pStyle w:val="874"/>
              <w:jc w:val="center"/>
              <w:rPr>
                <w:b/>
                <w:bCs/>
                <w:szCs w:val="21"/>
              </w:rPr>
            </w:pPr>
            <w:r>
              <w:rPr>
                <w:b/>
                <w:bCs/>
                <w:szCs w:val="21"/>
              </w:rPr>
              <w:t xml:space="preserve">备注</w:t>
            </w:r>
            <w:r/>
          </w:p>
        </w:tc>
      </w:tr>
      <w:tr>
        <w:trPr>
          <w:trHeight w:val="1140"/>
        </w:trPr>
        <w:tc>
          <w:tcPr>
            <w:tcW w:w="432" w:type="pct"/>
            <w:vAlign w:val="center"/>
            <w:textDirection w:val="lrTb"/>
            <w:noWrap w:val="false"/>
          </w:tcPr>
          <w:p>
            <w:pPr>
              <w:pStyle w:val="874"/>
              <w:jc w:val="center"/>
              <w:rPr>
                <w:szCs w:val="21"/>
              </w:rPr>
            </w:pPr>
            <w:r>
              <w:rPr>
                <w:szCs w:val="21"/>
              </w:rPr>
              <w:t xml:space="preserve">1</w:t>
            </w:r>
            <w:r/>
          </w:p>
        </w:tc>
        <w:tc>
          <w:tcPr>
            <w:tcW w:w="1574" w:type="pct"/>
            <w:vAlign w:val="center"/>
            <w:textDirection w:val="lrTb"/>
            <w:noWrap w:val="false"/>
          </w:tcPr>
          <w:p>
            <w:pPr>
              <w:pStyle w:val="874"/>
              <w:jc w:val="center"/>
              <w:rPr>
                <w:szCs w:val="21"/>
              </w:rPr>
            </w:pPr>
            <w:r>
              <w:rPr>
                <w:szCs w:val="21"/>
              </w:rPr>
              <w:t xml:space="preserve">全域巡视（总价）</w:t>
            </w:r>
            <w:r/>
          </w:p>
        </w:tc>
        <w:tc>
          <w:tcPr>
            <w:tcW w:w="1060" w:type="pct"/>
            <w:vAlign w:val="center"/>
            <w:textDirection w:val="lrTb"/>
            <w:noWrap w:val="false"/>
          </w:tcPr>
          <w:p>
            <w:pPr>
              <w:pStyle w:val="874"/>
              <w:jc w:val="center"/>
              <w:rPr>
                <w:szCs w:val="21"/>
              </w:rPr>
            </w:pPr>
            <w:r>
              <w:rPr>
                <w:rFonts w:hint="eastAsia"/>
                <w:szCs w:val="21"/>
              </w:rPr>
              <w:t xml:space="preserve">   </w:t>
            </w:r>
            <w:r>
              <w:rPr>
                <w:rFonts w:ascii="SimSun" w:hAnsi="SimSun" w:eastAsia="SimSun" w:cs="SimSun"/>
                <w:color w:val="000000"/>
                <w:sz w:val="21"/>
                <w:u w:val="single"/>
              </w:rPr>
              <w:t xml:space="preserve">      </w:t>
            </w:r>
            <w:r>
              <w:rPr>
                <w:rFonts w:hint="eastAsia"/>
                <w:szCs w:val="21"/>
              </w:rPr>
              <w:t xml:space="preserve">万元</w:t>
            </w:r>
            <w:r/>
          </w:p>
        </w:tc>
        <w:tc>
          <w:tcPr>
            <w:tcW w:w="1932" w:type="pct"/>
            <w:vAlign w:val="center"/>
            <w:textDirection w:val="lrTb"/>
            <w:noWrap w:val="false"/>
          </w:tcPr>
          <w:p>
            <w:pPr>
              <w:pStyle w:val="874"/>
              <w:rPr>
                <w:szCs w:val="21"/>
              </w:rPr>
            </w:pPr>
            <w:r>
              <w:rPr>
                <w:szCs w:val="21"/>
              </w:rPr>
              <w:t xml:space="preserve">本部分报价为</w:t>
            </w:r>
            <w:r>
              <w:rPr>
                <w:rFonts w:hint="eastAsia"/>
                <w:szCs w:val="21"/>
              </w:rPr>
              <w:t xml:space="preserve">总</w:t>
            </w:r>
            <w:r>
              <w:rPr>
                <w:szCs w:val="21"/>
              </w:rPr>
              <w:t xml:space="preserve">价，报价包含一轮地毯式全要素巡视更新及四个季度每季度巡视工作量。</w:t>
            </w:r>
            <w:r/>
          </w:p>
        </w:tc>
      </w:tr>
      <w:tr>
        <w:trPr>
          <w:trHeight w:val="1038"/>
        </w:trPr>
        <w:tc>
          <w:tcPr>
            <w:tcW w:w="432" w:type="pct"/>
            <w:vAlign w:val="center"/>
            <w:textDirection w:val="lrTb"/>
            <w:noWrap w:val="false"/>
          </w:tcPr>
          <w:p>
            <w:pPr>
              <w:pStyle w:val="874"/>
              <w:jc w:val="center"/>
              <w:rPr>
                <w:szCs w:val="21"/>
              </w:rPr>
            </w:pPr>
            <w:r>
              <w:rPr>
                <w:szCs w:val="21"/>
              </w:rPr>
              <w:t xml:space="preserve">2</w:t>
            </w:r>
            <w:r/>
          </w:p>
        </w:tc>
        <w:tc>
          <w:tcPr>
            <w:tcW w:w="1574" w:type="pct"/>
            <w:vAlign w:val="center"/>
            <w:textDirection w:val="lrTb"/>
            <w:noWrap w:val="false"/>
          </w:tcPr>
          <w:p>
            <w:pPr>
              <w:pStyle w:val="874"/>
              <w:jc w:val="center"/>
              <w:rPr>
                <w:szCs w:val="21"/>
              </w:rPr>
            </w:pPr>
            <w:r>
              <w:rPr>
                <w:szCs w:val="21"/>
              </w:rPr>
              <w:t xml:space="preserve">1:500大比例尺地形图更新</w:t>
            </w:r>
            <w:r/>
          </w:p>
        </w:tc>
        <w:tc>
          <w:tcPr>
            <w:tcW w:w="1060" w:type="pct"/>
            <w:vAlign w:val="center"/>
            <w:textDirection w:val="lrTb"/>
            <w:noWrap w:val="false"/>
          </w:tcPr>
          <w:p>
            <w:pPr>
              <w:pStyle w:val="874"/>
              <w:jc w:val="center"/>
              <w:rPr>
                <w:szCs w:val="21"/>
              </w:rPr>
            </w:pPr>
            <w:r>
              <w:rPr>
                <w:rFonts w:hint="eastAsia"/>
                <w:szCs w:val="21"/>
                <w:u w:val="single"/>
              </w:rPr>
              <w:t xml:space="preserve">  </w:t>
            </w:r>
            <w:r>
              <w:rPr>
                <w:szCs w:val="21"/>
              </w:rPr>
              <w:t xml:space="preserve">万元/平方千米</w:t>
            </w:r>
            <w:r/>
          </w:p>
        </w:tc>
        <w:tc>
          <w:tcPr>
            <w:tcW w:w="1932" w:type="pct"/>
            <w:vAlign w:val="center"/>
            <w:vMerge w:val="restart"/>
            <w:textDirection w:val="lrTb"/>
            <w:noWrap w:val="false"/>
          </w:tcPr>
          <w:p>
            <w:pPr>
              <w:pStyle w:val="874"/>
              <w:rPr>
                <w:szCs w:val="21"/>
              </w:rPr>
            </w:pPr>
            <w:r>
              <w:rPr>
                <w:szCs w:val="21"/>
              </w:rPr>
              <w:t xml:space="preserve">本部分报价为单价，最终的项目金额=</w:t>
            </w:r>
            <w:r>
              <w:rPr>
                <w:rFonts w:ascii="SimSun" w:hAnsi="SimSun" w:eastAsia="SimSun" w:cs="SimSun"/>
                <w:color w:val="000000"/>
                <w:sz w:val="21"/>
              </w:rPr>
              <w:t xml:space="preserve">服务单价</w:t>
            </w:r>
            <w:r>
              <w:rPr>
                <w:rFonts w:ascii="SimSun" w:hAnsi="SimSun" w:eastAsia="SimSun" w:cs="SimSun"/>
                <w:color w:val="000000"/>
                <w:sz w:val="21"/>
              </w:rPr>
              <w:t xml:space="preserve">*</w:t>
            </w:r>
            <w:r>
              <w:rPr>
                <w:rFonts w:ascii="SimSun" w:hAnsi="SimSun" w:eastAsia="SimSun" w:cs="SimSun"/>
                <w:color w:val="000000"/>
                <w:sz w:val="21"/>
              </w:rPr>
              <w:t xml:space="preserve">实际工作量</w:t>
            </w:r>
            <w:r>
              <w:rPr>
                <w:szCs w:val="21"/>
              </w:rPr>
              <w:t xml:space="preserve">。</w:t>
            </w:r>
            <w:r/>
          </w:p>
        </w:tc>
      </w:tr>
      <w:tr>
        <w:trPr>
          <w:cantSplit/>
          <w:trHeight w:val="924"/>
        </w:trPr>
        <w:tc>
          <w:tcPr>
            <w:tcW w:w="432" w:type="pct"/>
            <w:vAlign w:val="center"/>
            <w:textDirection w:val="lrTb"/>
            <w:noWrap w:val="false"/>
          </w:tcPr>
          <w:p>
            <w:pPr>
              <w:pStyle w:val="874"/>
              <w:jc w:val="center"/>
              <w:rPr>
                <w:szCs w:val="21"/>
              </w:rPr>
            </w:pPr>
            <w:r>
              <w:rPr>
                <w:szCs w:val="21"/>
              </w:rPr>
              <w:t xml:space="preserve">3</w:t>
            </w:r>
            <w:r/>
          </w:p>
        </w:tc>
        <w:tc>
          <w:tcPr>
            <w:tcW w:w="1574" w:type="pct"/>
            <w:vAlign w:val="center"/>
            <w:textDirection w:val="lrTb"/>
            <w:noWrap w:val="false"/>
          </w:tcPr>
          <w:p>
            <w:pPr>
              <w:pStyle w:val="874"/>
              <w:jc w:val="center"/>
              <w:rPr>
                <w:szCs w:val="21"/>
              </w:rPr>
            </w:pPr>
            <w:r>
              <w:rPr>
                <w:szCs w:val="21"/>
              </w:rPr>
              <w:t xml:space="preserve">1:1000大比例尺地形图更新</w:t>
            </w:r>
            <w:r/>
          </w:p>
        </w:tc>
        <w:tc>
          <w:tcPr>
            <w:tcW w:w="1060" w:type="pct"/>
            <w:vAlign w:val="center"/>
            <w:textDirection w:val="lrTb"/>
            <w:noWrap w:val="false"/>
          </w:tcPr>
          <w:p>
            <w:pPr>
              <w:pStyle w:val="874"/>
              <w:jc w:val="center"/>
              <w:rPr>
                <w:szCs w:val="21"/>
              </w:rPr>
            </w:pPr>
            <w:r>
              <w:rPr>
                <w:rFonts w:hint="eastAsia"/>
                <w:szCs w:val="21"/>
                <w:u w:val="single"/>
              </w:rPr>
              <w:t xml:space="preserve">  </w:t>
            </w:r>
            <w:r>
              <w:rPr>
                <w:szCs w:val="21"/>
              </w:rPr>
              <w:t xml:space="preserve">万元/平方千米</w:t>
            </w:r>
            <w:r/>
          </w:p>
        </w:tc>
        <w:tc>
          <w:tcPr>
            <w:tcW w:w="1932" w:type="pct"/>
            <w:vAlign w:val="center"/>
            <w:vMerge w:val="continue"/>
            <w:textDirection w:val="lrTb"/>
            <w:noWrap w:val="false"/>
          </w:tcPr>
          <w:p>
            <w:pPr>
              <w:pStyle w:val="874"/>
              <w:rPr>
                <w:szCs w:val="21"/>
              </w:rPr>
            </w:pPr>
            <w:r>
              <w:rPr>
                <w:szCs w:val="21"/>
              </w:rPr>
            </w:r>
            <w:r/>
          </w:p>
        </w:tc>
      </w:tr>
    </w:tbl>
    <w:p>
      <w:pPr>
        <w:pStyle w:val="873"/>
        <w:rPr>
          <w:rFonts w:ascii="宋体" w:hAnsi="宋体"/>
          <w:szCs w:val="21"/>
        </w:rPr>
      </w:pPr>
      <w:r>
        <w:rPr>
          <w:rFonts w:ascii="宋体" w:hAnsi="宋体"/>
          <w:szCs w:val="21"/>
        </w:rPr>
      </w:r>
      <w:r/>
    </w:p>
    <w:p>
      <w:pPr>
        <w:pStyle w:val="874"/>
      </w:pPr>
      <w:r/>
      <w:r/>
    </w:p>
    <w:p>
      <w:pPr>
        <w:ind w:firstLine="480"/>
        <w:jc w:val="left"/>
        <w:spacing w:line="360" w:lineRule="auto"/>
        <w:rPr>
          <w:rFonts w:ascii="宋体" w:hAnsi="宋体"/>
          <w:b/>
          <w:bCs/>
        </w:rPr>
      </w:pPr>
      <w:r>
        <w:rPr>
          <w:rFonts w:hint="eastAsia" w:ascii="宋体" w:hAnsi="宋体"/>
          <w:b/>
          <w:bCs/>
        </w:rPr>
        <w:t xml:space="preserve">（二）付款方式及时间：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1、合同签订后，甲方向乙方支付项目首付款50万元；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2、乙方完成一轮全区域巡查更新后，甲方向乙方支付项目中期款200万元；</w:t>
      </w:r>
      <w:r/>
    </w:p>
    <w:p>
      <w:pPr>
        <w:ind w:left="0" w:right="0" w:firstLine="420"/>
        <w:jc w:val="both"/>
        <w:spacing w:before="0" w:after="0" w:line="85" w:lineRule="atLeast"/>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3、乙方提交全部成果并验收合格后，甲方按乙方实际完成的工作量支付合同剩余款项。</w:t>
      </w:r>
      <w:r>
        <w:rPr>
          <w:sz w:val="21"/>
        </w:rPr>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r>
      <w:r>
        <w:rPr>
          <w:rFonts w:ascii="SimSun" w:hAnsi="SimSun" w:eastAsia="SimSun" w:cs="SimSun"/>
          <w:color w:val="000000"/>
          <w:sz w:val="21"/>
        </w:rPr>
        <w:t xml:space="preserve">4、项目范围内实际已发生变化的区域，乙方应当识别并更新而未实施的，乙方须在5个工作日内完成外业核查与成果更新，整改产生的全部费用由乙方承担；经甲方认定属于重大变化的，每2处扣款5000元，累计达到20处及以上，甲方可根据情况加重扣款，扣款总额最高不超过项目服务总费用的4%。</w:t>
      </w:r>
      <w:r/>
    </w:p>
    <w:p>
      <w:pPr>
        <w:ind w:firstLine="420"/>
        <w:jc w:val="left"/>
        <w:spacing w:line="360" w:lineRule="auto"/>
        <w:rPr>
          <w:rFonts w:ascii="宋体" w:hAnsi="宋体" w:cs="宋体"/>
          <w:bCs/>
          <w:szCs w:val="21"/>
        </w:rPr>
      </w:pPr>
      <w:r>
        <w:rPr>
          <w:rFonts w:hint="eastAsia" w:ascii="宋体" w:hAnsi="宋体" w:cs="宋体"/>
          <w:bCs/>
          <w:szCs w:val="21"/>
        </w:rPr>
        <w:t xml:space="preserve">注：所有款项的支付，乙方都需按要求开具正规的增值税发票。</w:t>
      </w:r>
      <w:r/>
    </w:p>
    <w:p>
      <w:pPr>
        <w:ind w:firstLine="422"/>
        <w:spacing w:line="360" w:lineRule="auto"/>
        <w:tabs>
          <w:tab w:val="left" w:pos="525" w:leader="none"/>
        </w:tabs>
        <w:rPr>
          <w:rFonts w:ascii="宋体" w:hAnsi="宋体"/>
          <w:b/>
          <w:bCs/>
        </w:rPr>
      </w:pPr>
      <w:r>
        <w:rPr>
          <w:rFonts w:hint="eastAsia" w:ascii="宋体" w:hAnsi="宋体"/>
          <w:b/>
          <w:bCs/>
        </w:rPr>
        <w:t xml:space="preserve">六、署名、版权及保密约定</w:t>
      </w:r>
      <w:r/>
    </w:p>
    <w:p>
      <w:pPr>
        <w:ind w:firstLine="422"/>
        <w:spacing w:line="360" w:lineRule="auto"/>
        <w:tabs>
          <w:tab w:val="left" w:pos="525" w:leader="none"/>
        </w:tabs>
        <w:rPr>
          <w:rFonts w:ascii="宋体" w:hAnsi="宋体"/>
          <w:b/>
          <w:bCs/>
        </w:rPr>
      </w:pPr>
      <w:r>
        <w:rPr>
          <w:rFonts w:hint="eastAsia" w:ascii="宋体" w:hAnsi="宋体"/>
          <w:b/>
          <w:bCs/>
        </w:rPr>
        <w:t xml:space="preserve">（一）署名</w:t>
      </w:r>
      <w:r/>
    </w:p>
    <w:p>
      <w:pPr>
        <w:ind w:firstLine="420"/>
        <w:spacing w:line="360" w:lineRule="auto"/>
        <w:rPr>
          <w:rFonts w:ascii="宋体" w:hAnsi="宋体"/>
          <w:szCs w:val="21"/>
        </w:rPr>
      </w:pPr>
      <w:r>
        <w:rPr>
          <w:rFonts w:hint="eastAsia" w:ascii="宋体" w:hAnsi="宋体"/>
          <w:szCs w:val="21"/>
        </w:rPr>
        <w:t xml:space="preserve">1、本成果由甲方署名。</w:t>
      </w:r>
      <w:r/>
    </w:p>
    <w:p>
      <w:pPr>
        <w:ind w:firstLine="420"/>
        <w:spacing w:line="360" w:lineRule="auto"/>
        <w:rPr>
          <w:rFonts w:ascii="宋体" w:hAnsi="宋体"/>
          <w:szCs w:val="21"/>
        </w:rPr>
      </w:pPr>
      <w:r>
        <w:rPr>
          <w:rFonts w:hint="eastAsia" w:ascii="宋体" w:hAnsi="宋体"/>
          <w:szCs w:val="21"/>
        </w:rPr>
        <w:t xml:space="preserve">2、成果上报审批时，乙方可在扉页标注编制单位名称、编制人员名单，同时加盖乙方成果审核章。</w:t>
      </w:r>
      <w:r/>
    </w:p>
    <w:p>
      <w:pPr>
        <w:ind w:firstLine="420"/>
        <w:spacing w:line="360" w:lineRule="auto"/>
        <w:rPr>
          <w:rFonts w:ascii="宋体" w:hAnsi="宋体"/>
          <w:szCs w:val="21"/>
        </w:rPr>
      </w:pPr>
      <w:r>
        <w:rPr>
          <w:rFonts w:hint="eastAsia" w:ascii="宋体" w:hAnsi="宋体"/>
          <w:szCs w:val="21"/>
        </w:rPr>
        <w:t xml:space="preserve">3、成果批复后，正式成果的扉页不再标注乙方相关信息，应替换为批复文件。</w:t>
      </w:r>
      <w:r/>
    </w:p>
    <w:p>
      <w:pPr>
        <w:ind w:firstLine="422"/>
        <w:spacing w:line="360" w:lineRule="auto"/>
        <w:tabs>
          <w:tab w:val="left" w:pos="525" w:leader="none"/>
        </w:tabs>
        <w:rPr>
          <w:rFonts w:ascii="宋体" w:hAnsi="宋体"/>
          <w:b/>
          <w:bCs/>
        </w:rPr>
      </w:pPr>
      <w:r>
        <w:rPr>
          <w:rFonts w:hint="eastAsia" w:ascii="宋体" w:hAnsi="宋体"/>
          <w:b/>
          <w:bCs/>
        </w:rPr>
        <w:t xml:space="preserve">（二）资料使用和管理</w:t>
      </w:r>
      <w:r/>
    </w:p>
    <w:p>
      <w:pPr>
        <w:ind w:firstLine="420"/>
        <w:spacing w:line="360" w:lineRule="auto"/>
        <w:rPr>
          <w:rFonts w:ascii="宋体" w:hAnsi="宋体"/>
          <w:szCs w:val="21"/>
        </w:rPr>
      </w:pPr>
      <w:r>
        <w:rPr>
          <w:rFonts w:hint="eastAsia" w:ascii="宋体" w:hAnsi="宋体"/>
          <w:szCs w:val="21"/>
        </w:rPr>
        <w:t xml:space="preserve">1、甲方提供的既有成果只能用于本合同约定的项目，不得扩展到其他项目或其它单位。项目完成后，相关数据应交回甲方。乙方对甲方所提供资料的使用权在合同项目完成后自行终止。</w:t>
      </w:r>
      <w:r/>
    </w:p>
    <w:p>
      <w:pPr>
        <w:ind w:firstLine="420"/>
        <w:spacing w:line="360" w:lineRule="auto"/>
        <w:rPr>
          <w:rFonts w:ascii="宋体" w:hAnsi="宋体"/>
          <w:szCs w:val="21"/>
        </w:rPr>
      </w:pPr>
      <w:r>
        <w:rPr>
          <w:rFonts w:hint="eastAsia" w:ascii="宋体" w:hAnsi="宋体"/>
          <w:szCs w:val="21"/>
        </w:rPr>
        <w:t xml:space="preserve">2、乙方应根据国家有关保密法律法规要求，承担对相关资料保密的法律义务。</w:t>
      </w:r>
      <w:r/>
    </w:p>
    <w:p>
      <w:pPr>
        <w:ind w:firstLine="422"/>
        <w:spacing w:line="360" w:lineRule="auto"/>
        <w:tabs>
          <w:tab w:val="left" w:pos="525" w:leader="none"/>
        </w:tabs>
        <w:rPr>
          <w:rFonts w:ascii="宋体" w:hAnsi="宋体"/>
          <w:b/>
          <w:bCs/>
        </w:rPr>
      </w:pPr>
      <w:r>
        <w:rPr>
          <w:rFonts w:hint="eastAsia" w:ascii="宋体" w:hAnsi="宋体"/>
          <w:b/>
          <w:bCs/>
        </w:rPr>
        <w:t xml:space="preserve">（三）版权、信息发布与学术研究</w:t>
      </w:r>
      <w:r/>
    </w:p>
    <w:p>
      <w:pPr>
        <w:ind w:firstLine="420"/>
        <w:spacing w:line="360" w:lineRule="auto"/>
        <w:rPr>
          <w:rFonts w:ascii="宋体" w:hAnsi="宋体"/>
          <w:szCs w:val="21"/>
        </w:rPr>
      </w:pPr>
      <w:r>
        <w:rPr>
          <w:rFonts w:hint="eastAsia" w:ascii="宋体" w:hAnsi="宋体"/>
          <w:szCs w:val="21"/>
        </w:rPr>
        <w:t xml:space="preserve">1、甲方拥有本成果的版权。</w:t>
      </w:r>
      <w:r/>
    </w:p>
    <w:p>
      <w:pPr>
        <w:ind w:firstLine="420"/>
        <w:spacing w:line="360" w:lineRule="auto"/>
        <w:rPr>
          <w:rFonts w:ascii="宋体" w:hAnsi="宋体"/>
          <w:szCs w:val="21"/>
        </w:rPr>
      </w:pPr>
      <w:r>
        <w:rPr>
          <w:rFonts w:hint="eastAsia" w:ascii="宋体" w:hAnsi="宋体"/>
          <w:szCs w:val="21"/>
        </w:rPr>
        <w:t xml:space="preserve">2、未经甲方同意，乙方不得以任何形式擅自对外界发布关于本项目的任何信息。</w:t>
      </w:r>
      <w:r/>
    </w:p>
    <w:p>
      <w:pPr>
        <w:ind w:firstLine="420"/>
        <w:spacing w:line="360" w:lineRule="auto"/>
        <w:rPr>
          <w:rFonts w:ascii="宋体" w:hAnsi="宋体"/>
          <w:szCs w:val="21"/>
        </w:rPr>
      </w:pPr>
      <w:r>
        <w:rPr>
          <w:rFonts w:hint="eastAsia" w:ascii="宋体" w:hAnsi="宋体"/>
          <w:szCs w:val="21"/>
        </w:rPr>
        <w:t xml:space="preserve">3、项目完成前，乙</w:t>
      </w:r>
      <w:r>
        <w:rPr>
          <w:rFonts w:ascii="宋体" w:hAnsi="宋体"/>
          <w:szCs w:val="21"/>
        </w:rPr>
        <w:t xml:space="preserve">方不得</w:t>
      </w:r>
      <w:r>
        <w:rPr>
          <w:rFonts w:hint="eastAsia" w:ascii="宋体" w:hAnsi="宋体"/>
          <w:szCs w:val="21"/>
        </w:rPr>
        <w:t xml:space="preserve">单独发表或交流与本项目有关的学术研究（含</w:t>
      </w:r>
      <w:r>
        <w:rPr>
          <w:rFonts w:ascii="宋体" w:hAnsi="宋体"/>
          <w:szCs w:val="21"/>
        </w:rPr>
        <w:t xml:space="preserve">论文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4、项目完成后，乙</w:t>
      </w:r>
      <w:r>
        <w:rPr>
          <w:rFonts w:ascii="宋体" w:hAnsi="宋体"/>
          <w:szCs w:val="21"/>
        </w:rPr>
        <w:t xml:space="preserve">方</w:t>
      </w:r>
      <w:r>
        <w:rPr>
          <w:rFonts w:hint="eastAsia" w:ascii="宋体" w:hAnsi="宋体"/>
          <w:szCs w:val="21"/>
        </w:rPr>
        <w:t xml:space="preserve">进行的与本项目成果相关学术交流（含论文）须以书面形式征得甲方同意后方可进行。</w:t>
      </w:r>
      <w:r/>
    </w:p>
    <w:p>
      <w:pPr>
        <w:ind w:firstLine="422"/>
        <w:spacing w:line="360" w:lineRule="auto"/>
        <w:tabs>
          <w:tab w:val="left" w:pos="525" w:leader="none"/>
        </w:tabs>
        <w:rPr>
          <w:rFonts w:ascii="宋体" w:hAnsi="宋体"/>
          <w:b/>
          <w:bCs/>
        </w:rPr>
      </w:pPr>
      <w:r>
        <w:rPr>
          <w:rFonts w:hint="eastAsia" w:ascii="宋体" w:hAnsi="宋体"/>
          <w:b/>
          <w:bCs/>
        </w:rPr>
        <w:t xml:space="preserve">（四）</w:t>
      </w:r>
      <w:r>
        <w:rPr>
          <w:rFonts w:ascii="宋体" w:hAnsi="宋体"/>
          <w:b/>
          <w:bCs/>
        </w:rPr>
        <w:t xml:space="preserve">保密条款</w:t>
      </w:r>
      <w:r/>
    </w:p>
    <w:p>
      <w:pPr>
        <w:ind w:firstLine="420"/>
        <w:spacing w:line="360" w:lineRule="auto"/>
        <w:rPr>
          <w:rFonts w:ascii="宋体" w:hAnsi="宋体"/>
          <w:szCs w:val="21"/>
        </w:rPr>
      </w:pPr>
      <w:r>
        <w:rPr>
          <w:rFonts w:hint="eastAsia" w:ascii="宋体" w:hAnsi="宋体"/>
          <w:szCs w:val="21"/>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p>
    <w:p>
      <w:pPr>
        <w:ind w:firstLine="420"/>
        <w:spacing w:line="360" w:lineRule="auto"/>
        <w:rPr>
          <w:rFonts w:ascii="宋体" w:hAnsi="宋体"/>
          <w:szCs w:val="21"/>
        </w:rPr>
      </w:pPr>
      <w:r>
        <w:rPr>
          <w:rFonts w:hint="eastAsia" w:ascii="宋体" w:hAnsi="宋体"/>
          <w:szCs w:val="21"/>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非执行合同需要，在事先未得到甲方同意的情况下，乙方不得使用本招标文件中所列的任何文件和资料。</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除合同本身以外，本招标文件中列明的所有资料始终为甲方的财产，若甲方要求，乙方应于其合同义务履行完毕以后将这些资料（包括所有副本）退还对方。</w:t>
      </w:r>
      <w:r/>
    </w:p>
    <w:p>
      <w:pPr>
        <w:ind w:firstLine="422"/>
        <w:spacing w:line="360" w:lineRule="auto"/>
        <w:tabs>
          <w:tab w:val="left" w:pos="525" w:leader="none"/>
        </w:tabs>
        <w:rPr>
          <w:rFonts w:ascii="宋体" w:hAnsi="宋体"/>
          <w:b/>
          <w:bCs/>
        </w:rPr>
      </w:pPr>
      <w:r>
        <w:rPr>
          <w:rFonts w:hint="eastAsia" w:ascii="宋体" w:hAnsi="宋体"/>
          <w:b/>
          <w:bCs/>
        </w:rPr>
        <w:t xml:space="preserve">七、其它事项</w:t>
      </w:r>
      <w:r/>
    </w:p>
    <w:p>
      <w:pPr>
        <w:ind w:firstLine="420"/>
        <w:spacing w:line="360" w:lineRule="auto"/>
        <w:rPr>
          <w:rFonts w:ascii="宋体" w:hAnsi="宋体"/>
          <w:szCs w:val="21"/>
        </w:rPr>
      </w:pPr>
      <w:r>
        <w:rPr>
          <w:rFonts w:hint="eastAsia" w:ascii="宋体" w:hAnsi="宋体"/>
          <w:szCs w:val="21"/>
        </w:rPr>
        <w:t xml:space="preserve">（一）工作阶段乙方的交通、住宿、餐费等费用由乙方承担；</w:t>
      </w:r>
      <w:r/>
    </w:p>
    <w:p>
      <w:pPr>
        <w:ind w:firstLine="420"/>
        <w:spacing w:line="360" w:lineRule="auto"/>
        <w:rPr>
          <w:rFonts w:ascii="宋体" w:hAnsi="宋体"/>
          <w:szCs w:val="21"/>
        </w:rPr>
      </w:pPr>
      <w:r>
        <w:rPr>
          <w:rFonts w:hint="eastAsia" w:ascii="宋体" w:hAnsi="宋体"/>
          <w:szCs w:val="21"/>
        </w:rPr>
        <w:t xml:space="preserve">（二）甲方如需解除本合同，应提前通知乙方；给乙方造成损失的，应根据实际设计进度和乙方实际发生的费用作出赔偿。</w:t>
      </w:r>
      <w:r/>
    </w:p>
    <w:p>
      <w:pPr>
        <w:ind w:firstLine="420"/>
        <w:spacing w:line="360" w:lineRule="auto"/>
        <w:rPr>
          <w:rFonts w:ascii="宋体" w:hAnsi="宋体"/>
          <w:szCs w:val="21"/>
        </w:rPr>
      </w:pPr>
      <w:r>
        <w:rPr>
          <w:rFonts w:hint="eastAsia" w:ascii="宋体" w:hAnsi="宋体"/>
          <w:szCs w:val="21"/>
        </w:rPr>
        <w:t xml:space="preserve">（三）因乙方自身原因造成项目成果质量问题或重大错误的，甲方可对乙方处以合同金额10%-30%的罚款。如该质量问题对甲方管理工作造成严重后果的，乙方应予以赔偿。</w:t>
      </w:r>
      <w:r/>
    </w:p>
    <w:p>
      <w:pPr>
        <w:ind w:firstLine="420"/>
        <w:spacing w:line="360" w:lineRule="auto"/>
        <w:rPr>
          <w:rFonts w:ascii="宋体" w:hAnsi="宋体"/>
          <w:szCs w:val="21"/>
        </w:rPr>
      </w:pPr>
      <w:r>
        <w:rPr>
          <w:rFonts w:hint="eastAsia" w:ascii="宋体" w:hAnsi="宋体"/>
          <w:szCs w:val="21"/>
        </w:rPr>
        <w:t xml:space="preserve">（四）由于不可抗拒原因致使本合同无法履行时，双方应及时协调；</w:t>
      </w:r>
      <w:r/>
    </w:p>
    <w:p>
      <w:pPr>
        <w:ind w:firstLine="420"/>
        <w:spacing w:line="360" w:lineRule="auto"/>
        <w:rPr>
          <w:rFonts w:ascii="宋体" w:hAnsi="宋体"/>
          <w:szCs w:val="21"/>
        </w:rPr>
      </w:pPr>
      <w:r>
        <w:rPr>
          <w:rFonts w:hint="eastAsia" w:ascii="宋体" w:hAnsi="宋体"/>
          <w:szCs w:val="21"/>
        </w:rPr>
        <w:t xml:space="preserve">（五）本合同未尽事宜，双方可签订补充协议，补充协议与合同具有同等效力。</w:t>
      </w:r>
      <w:r/>
    </w:p>
    <w:p>
      <w:pPr>
        <w:ind w:firstLine="422"/>
        <w:spacing w:line="360" w:lineRule="auto"/>
        <w:tabs>
          <w:tab w:val="left" w:pos="525" w:leader="none"/>
        </w:tabs>
        <w:rPr>
          <w:rFonts w:ascii="宋体" w:hAnsi="宋体"/>
          <w:b/>
          <w:bCs/>
        </w:rPr>
      </w:pPr>
      <w:r>
        <w:rPr>
          <w:rFonts w:hint="eastAsia" w:ascii="宋体" w:hAnsi="宋体"/>
          <w:b/>
          <w:bCs/>
        </w:rPr>
        <w:t xml:space="preserve">八、</w:t>
      </w:r>
      <w:r>
        <w:rPr>
          <w:rFonts w:ascii="宋体" w:hAnsi="宋体"/>
          <w:b/>
          <w:bCs/>
        </w:rPr>
        <w:t xml:space="preserve">不可抗力</w:t>
      </w:r>
      <w:r/>
    </w:p>
    <w:p>
      <w:pPr>
        <w:ind w:firstLine="420"/>
        <w:spacing w:line="360" w:lineRule="auto"/>
        <w:tabs>
          <w:tab w:val="left" w:pos="525" w:leader="none"/>
        </w:tabs>
        <w:rPr>
          <w:rFonts w:ascii="宋体" w:hAnsi="宋体"/>
          <w:bCs/>
          <w:szCs w:val="21"/>
        </w:rPr>
      </w:pPr>
      <w:r>
        <w:rPr>
          <w:rFonts w:ascii="宋体" w:hAnsi="宋体"/>
          <w:bCs/>
          <w:szCs w:val="21"/>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p>
    <w:p>
      <w:pPr>
        <w:ind w:firstLine="422"/>
        <w:spacing w:line="360" w:lineRule="auto"/>
        <w:tabs>
          <w:tab w:val="left" w:pos="525" w:leader="none"/>
        </w:tabs>
        <w:rPr>
          <w:rFonts w:ascii="宋体" w:hAnsi="宋体"/>
          <w:b/>
          <w:bCs/>
        </w:rPr>
      </w:pPr>
      <w:r>
        <w:rPr>
          <w:rFonts w:hint="eastAsia" w:ascii="宋体" w:hAnsi="宋体"/>
          <w:b/>
          <w:bCs/>
        </w:rPr>
        <w:t xml:space="preserve">九、</w:t>
      </w:r>
      <w:r>
        <w:rPr>
          <w:rFonts w:ascii="宋体" w:hAnsi="宋体"/>
          <w:b/>
          <w:bCs/>
        </w:rPr>
        <w:t xml:space="preserve">乙方履约延误</w:t>
      </w:r>
      <w:r/>
    </w:p>
    <w:p>
      <w:pPr>
        <w:ind w:firstLine="420"/>
        <w:spacing w:line="360" w:lineRule="auto"/>
        <w:rPr>
          <w:rFonts w:ascii="宋体" w:hAnsi="宋体"/>
          <w:szCs w:val="21"/>
        </w:rPr>
      </w:pPr>
      <w:r>
        <w:rPr>
          <w:rFonts w:hint="eastAsia" w:ascii="宋体" w:hAnsi="宋体"/>
          <w:szCs w:val="21"/>
        </w:rPr>
        <w:t xml:space="preserve">（一）</w:t>
      </w:r>
      <w:r>
        <w:rPr>
          <w:rFonts w:ascii="宋体" w:hAnsi="宋体"/>
          <w:szCs w:val="21"/>
        </w:rPr>
        <w:t xml:space="preserve">乙方应按照合同规定的服务期提供服务。</w:t>
      </w:r>
      <w:r/>
    </w:p>
    <w:p>
      <w:pPr>
        <w:ind w:firstLine="420"/>
        <w:spacing w:line="360" w:lineRule="auto"/>
        <w:rPr>
          <w:rFonts w:ascii="宋体" w:hAnsi="宋体"/>
          <w:szCs w:val="21"/>
        </w:rPr>
      </w:pPr>
      <w:r>
        <w:rPr>
          <w:rFonts w:hint="eastAsia" w:ascii="宋体" w:hAnsi="宋体"/>
          <w:szCs w:val="21"/>
        </w:rPr>
        <w:t xml:space="preserve">（二）</w:t>
      </w:r>
      <w:r>
        <w:rPr>
          <w:rFonts w:ascii="宋体" w:hAnsi="宋体"/>
          <w:szCs w:val="21"/>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p>
    <w:p>
      <w:pPr>
        <w:ind w:firstLine="420"/>
        <w:spacing w:line="360" w:lineRule="auto"/>
        <w:rPr>
          <w:rFonts w:ascii="宋体" w:hAnsi="宋体"/>
          <w:szCs w:val="21"/>
        </w:rPr>
      </w:pPr>
      <w:r>
        <w:rPr>
          <w:rFonts w:hint="eastAsia" w:ascii="宋体" w:hAnsi="宋体"/>
          <w:szCs w:val="21"/>
        </w:rPr>
        <w:t xml:space="preserve">（三）</w:t>
      </w:r>
      <w:r>
        <w:rPr>
          <w:rFonts w:ascii="宋体" w:hAnsi="宋体"/>
          <w:szCs w:val="21"/>
        </w:rPr>
        <w:t xml:space="preserve">除了合同条款中不可抗力的情况外，除甲方同意延误并不收赔偿费外，乙方延误提交服务成果将按合同第十条规定被收取误期赔偿费。</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所有提供的服务及成果验收都应服从甲方的安排。</w:t>
      </w:r>
      <w:r/>
    </w:p>
    <w:p>
      <w:pPr>
        <w:ind w:firstLine="422"/>
        <w:spacing w:line="360" w:lineRule="auto"/>
        <w:tabs>
          <w:tab w:val="left" w:pos="525" w:leader="none"/>
        </w:tabs>
        <w:rPr>
          <w:rFonts w:ascii="宋体" w:hAnsi="宋体"/>
          <w:b/>
          <w:bCs/>
        </w:rPr>
      </w:pPr>
      <w:r>
        <w:rPr>
          <w:rFonts w:hint="eastAsia" w:ascii="宋体" w:hAnsi="宋体"/>
          <w:b/>
          <w:bCs/>
        </w:rPr>
        <w:t xml:space="preserve">十、</w:t>
      </w:r>
      <w:r>
        <w:rPr>
          <w:rFonts w:ascii="宋体" w:hAnsi="宋体"/>
          <w:b/>
          <w:bCs/>
        </w:rPr>
        <w:t xml:space="preserve">误期赔偿费</w:t>
      </w:r>
      <w:r>
        <w:rPr>
          <w:rFonts w:hint="eastAsia" w:ascii="宋体" w:hAnsi="宋体"/>
          <w:b/>
          <w:bCs/>
        </w:rPr>
        <w:t xml:space="preserve"> </w:t>
      </w:r>
      <w:r/>
    </w:p>
    <w:p>
      <w:pPr>
        <w:ind w:firstLine="420"/>
        <w:spacing w:line="360" w:lineRule="auto"/>
        <w:rPr>
          <w:rFonts w:ascii="宋体" w:hAnsi="宋体"/>
          <w:szCs w:val="21"/>
        </w:rPr>
      </w:pPr>
      <w:r>
        <w:rPr>
          <w:rFonts w:ascii="宋体" w:hAnsi="宋体"/>
          <w:szCs w:val="21"/>
        </w:rPr>
        <w:t xml:space="preserve">除不可抗力外，如果乙方因自身原因没有按照合同规定的服务期提供服务，甲方有权在不影响合同项下的其他补救措施的情况下，从</w:t>
      </w:r>
      <w:r>
        <w:rPr>
          <w:rFonts w:hint="eastAsia" w:ascii="宋体" w:hAnsi="宋体"/>
          <w:szCs w:val="21"/>
        </w:rPr>
        <w:t xml:space="preserve">合同价款</w:t>
      </w:r>
      <w:r>
        <w:rPr>
          <w:rFonts w:ascii="宋体" w:hAnsi="宋体"/>
          <w:szCs w:val="21"/>
        </w:rPr>
        <w:t xml:space="preserve">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p>
    <w:p>
      <w:pPr>
        <w:ind w:firstLine="422"/>
        <w:spacing w:line="360" w:lineRule="auto"/>
        <w:tabs>
          <w:tab w:val="left" w:pos="525" w:leader="none"/>
        </w:tabs>
        <w:rPr>
          <w:rFonts w:ascii="宋体" w:hAnsi="宋体"/>
          <w:b/>
          <w:bCs/>
        </w:rPr>
      </w:pPr>
      <w:r>
        <w:rPr>
          <w:rFonts w:hint="eastAsia" w:ascii="宋体" w:hAnsi="宋体"/>
          <w:b/>
          <w:bCs/>
        </w:rPr>
        <w:t xml:space="preserve">十一、</w:t>
      </w:r>
      <w:r>
        <w:rPr>
          <w:rFonts w:ascii="宋体" w:hAnsi="宋体"/>
          <w:b/>
          <w:bCs/>
        </w:rPr>
        <w:t xml:space="preserve">税费</w:t>
      </w:r>
      <w:r>
        <w:rPr>
          <w:rFonts w:hint="eastAsia" w:ascii="宋体" w:hAnsi="宋体"/>
          <w:b/>
          <w:bCs/>
        </w:rPr>
        <w:t xml:space="preserve"> </w:t>
      </w:r>
      <w:r/>
    </w:p>
    <w:p>
      <w:pPr>
        <w:ind w:firstLine="420"/>
        <w:spacing w:line="360" w:lineRule="auto"/>
        <w:rPr>
          <w:rFonts w:ascii="宋体" w:hAnsi="宋体"/>
          <w:szCs w:val="21"/>
        </w:rPr>
      </w:pPr>
      <w:r>
        <w:rPr>
          <w:rFonts w:hint="eastAsia" w:ascii="宋体" w:hAnsi="宋体"/>
          <w:szCs w:val="21"/>
        </w:rPr>
        <w:t xml:space="preserve">（一）</w:t>
      </w:r>
      <w:r>
        <w:rPr>
          <w:rFonts w:ascii="宋体" w:hAnsi="宋体"/>
          <w:szCs w:val="21"/>
        </w:rPr>
        <w:t xml:space="preserve">根据国家现行税法对甲方征收的与本合同有关的一切费用由甲方承担。</w:t>
      </w:r>
      <w:r/>
    </w:p>
    <w:p>
      <w:pPr>
        <w:ind w:firstLine="420"/>
        <w:spacing w:line="360" w:lineRule="auto"/>
        <w:rPr>
          <w:rFonts w:ascii="宋体" w:hAnsi="宋体"/>
          <w:szCs w:val="21"/>
        </w:rPr>
      </w:pPr>
      <w:r>
        <w:rPr>
          <w:rFonts w:hint="eastAsia" w:ascii="宋体" w:hAnsi="宋体"/>
          <w:szCs w:val="21"/>
        </w:rPr>
        <w:t xml:space="preserve">（二）</w:t>
      </w:r>
      <w:r>
        <w:rPr>
          <w:rFonts w:ascii="宋体" w:hAnsi="宋体"/>
          <w:szCs w:val="21"/>
        </w:rPr>
        <w:t xml:space="preserve">根据现行税法对乙方征收的与本合同有关的一切税费均由乙方承担。</w:t>
      </w:r>
      <w:r/>
    </w:p>
    <w:p>
      <w:pPr>
        <w:ind w:firstLine="420"/>
        <w:spacing w:line="360" w:lineRule="auto"/>
        <w:rPr>
          <w:rFonts w:ascii="宋体" w:hAnsi="宋体"/>
          <w:szCs w:val="21"/>
        </w:rPr>
      </w:pPr>
      <w:r>
        <w:rPr>
          <w:rFonts w:hint="eastAsia" w:ascii="宋体" w:hAnsi="宋体"/>
          <w:szCs w:val="21"/>
        </w:rPr>
        <w:t xml:space="preserve">（三）</w:t>
      </w:r>
      <w:r>
        <w:rPr>
          <w:rFonts w:ascii="宋体" w:hAnsi="宋体"/>
          <w:szCs w:val="21"/>
        </w:rPr>
        <w:t xml:space="preserve">在中国境外发生的与本合同执行有关的一切税费由乙方承担。</w:t>
      </w:r>
      <w:r/>
    </w:p>
    <w:p>
      <w:pPr>
        <w:ind w:firstLine="422"/>
        <w:spacing w:before="120" w:after="120" w:line="360" w:lineRule="auto"/>
        <w:rPr>
          <w:rFonts w:ascii="宋体" w:hAnsi="宋体"/>
          <w:b/>
          <w:bCs/>
          <w:sz w:val="28"/>
        </w:rPr>
      </w:pPr>
      <w:r>
        <w:rPr>
          <w:rFonts w:hint="eastAsia" w:ascii="宋体" w:hAnsi="宋体"/>
          <w:b/>
          <w:bCs/>
        </w:rPr>
        <w:t xml:space="preserve">十二、</w:t>
      </w:r>
      <w:r>
        <w:rPr>
          <w:rFonts w:ascii="宋体" w:hAnsi="宋体"/>
          <w:b/>
          <w:bCs/>
        </w:rPr>
        <w:t xml:space="preserve">违约终止合同</w:t>
      </w:r>
      <w:r/>
    </w:p>
    <w:p>
      <w:pPr>
        <w:ind w:firstLine="420"/>
        <w:spacing w:line="360" w:lineRule="auto"/>
        <w:rPr>
          <w:rFonts w:ascii="宋体" w:hAnsi="宋体"/>
          <w:szCs w:val="21"/>
        </w:rPr>
      </w:pPr>
      <w:r>
        <w:rPr>
          <w:rFonts w:hint="eastAsia" w:ascii="宋体" w:hAnsi="宋体"/>
          <w:szCs w:val="21"/>
        </w:rPr>
        <w:t xml:space="preserve">（一）</w:t>
      </w:r>
      <w:r>
        <w:rPr>
          <w:rFonts w:ascii="宋体" w:hAnsi="宋体"/>
          <w:szCs w:val="21"/>
        </w:rPr>
        <w:t xml:space="preserve">甲方在乙方违约的情况下，如果发生下列情况之一，可考虑终止部分或全部合同：</w:t>
      </w:r>
      <w:r/>
    </w:p>
    <w:p>
      <w:pPr>
        <w:ind w:firstLine="420"/>
        <w:spacing w:line="360" w:lineRule="auto"/>
        <w:rPr>
          <w:rFonts w:ascii="宋体" w:hAnsi="宋体"/>
          <w:szCs w:val="21"/>
        </w:rPr>
      </w:pPr>
      <w:r>
        <w:rPr>
          <w:rFonts w:ascii="宋体" w:hAnsi="宋体"/>
          <w:szCs w:val="21"/>
        </w:rPr>
        <w:t xml:space="preserve">（1）乙方未能在合同规定的期限内或甲方同意延长的期限内提供全部或部分服务；</w:t>
      </w:r>
      <w:r/>
    </w:p>
    <w:p>
      <w:pPr>
        <w:ind w:firstLine="420"/>
        <w:spacing w:line="360" w:lineRule="auto"/>
        <w:rPr>
          <w:rFonts w:ascii="宋体" w:hAnsi="宋体"/>
          <w:szCs w:val="21"/>
        </w:rPr>
      </w:pPr>
      <w:r>
        <w:rPr>
          <w:rFonts w:ascii="宋体" w:hAnsi="宋体"/>
          <w:szCs w:val="21"/>
        </w:rPr>
        <w:t xml:space="preserve">（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合同分阶段实施，每个阶段结束后由甲方进行测试验收，如服务量、技术指标达不到要求，甲方有权中止合同，且乙方承担违约责任并作出赔偿，赔偿金额为同期累计付款额的两倍。</w:t>
      </w:r>
      <w:r/>
    </w:p>
    <w:p>
      <w:pPr>
        <w:ind w:firstLine="420"/>
        <w:spacing w:line="360" w:lineRule="auto"/>
        <w:rPr>
          <w:rFonts w:ascii="宋体" w:hAnsi="宋体"/>
          <w:szCs w:val="21"/>
        </w:rPr>
      </w:pPr>
      <w:r>
        <w:rPr>
          <w:rFonts w:hint="eastAsia" w:ascii="宋体" w:hAnsi="宋体"/>
          <w:szCs w:val="21"/>
        </w:rPr>
        <w:t xml:space="preserve">（二）</w:t>
      </w:r>
      <w:r>
        <w:rPr>
          <w:rFonts w:ascii="宋体" w:hAnsi="宋体"/>
          <w:szCs w:val="21"/>
        </w:rPr>
        <w:t xml:space="preserve">一旦甲方根据</w:t>
      </w:r>
      <w:r>
        <w:rPr>
          <w:rFonts w:hint="eastAsia" w:ascii="宋体" w:hAnsi="宋体"/>
          <w:szCs w:val="21"/>
        </w:rPr>
        <w:t xml:space="preserve">（一）</w:t>
      </w:r>
      <w:r>
        <w:rPr>
          <w:rFonts w:ascii="宋体" w:hAnsi="宋体"/>
          <w:szCs w:val="21"/>
        </w:rPr>
        <w:t xml:space="preserve">款终止部分或全部合同，甲方可以按其认为适当的条件和方式与其他服务商签定合同继续服务。但是，乙方应继续执行合同中未终止的部分。</w:t>
      </w:r>
      <w:r/>
    </w:p>
    <w:p>
      <w:pPr>
        <w:ind w:firstLine="422"/>
        <w:spacing w:line="360" w:lineRule="auto"/>
        <w:tabs>
          <w:tab w:val="left" w:pos="525" w:leader="none"/>
        </w:tabs>
        <w:rPr>
          <w:rFonts w:ascii="宋体" w:hAnsi="宋体"/>
          <w:b/>
          <w:bCs/>
        </w:rPr>
      </w:pPr>
      <w:r>
        <w:rPr>
          <w:rFonts w:hint="eastAsia" w:ascii="宋体" w:hAnsi="宋体"/>
          <w:b/>
          <w:bCs/>
        </w:rPr>
        <w:t xml:space="preserve">十三、</w:t>
      </w:r>
      <w:r>
        <w:rPr>
          <w:rFonts w:ascii="宋体" w:hAnsi="宋体"/>
          <w:b/>
          <w:bCs/>
        </w:rPr>
        <w:t xml:space="preserve">争端的解决</w:t>
      </w:r>
      <w:r/>
    </w:p>
    <w:p>
      <w:pPr>
        <w:ind w:firstLine="420"/>
        <w:spacing w:line="360" w:lineRule="auto"/>
        <w:rPr>
          <w:rFonts w:ascii="宋体" w:hAnsi="宋体"/>
          <w:szCs w:val="21"/>
        </w:rPr>
      </w:pPr>
      <w:r>
        <w:rPr>
          <w:rFonts w:ascii="宋体" w:hAnsi="宋体"/>
          <w:szCs w:val="21"/>
        </w:rPr>
        <w:t xml:space="preserve">合同实施或与合同有关的一切争端，买卖双方应通过友好协商解决，如果协商仍得不到解决，任何一方可向南京仲裁委员会申请仲裁，仲裁适用申请仲裁时该委员会的仲裁规则。</w:t>
      </w:r>
      <w:r/>
    </w:p>
    <w:p>
      <w:pPr>
        <w:ind w:firstLine="420"/>
        <w:spacing w:line="360" w:lineRule="auto"/>
        <w:rPr>
          <w:rFonts w:ascii="宋体" w:hAnsi="宋体"/>
          <w:szCs w:val="21"/>
        </w:rPr>
      </w:pPr>
      <w:r>
        <w:rPr>
          <w:rFonts w:ascii="宋体" w:hAnsi="宋体"/>
          <w:szCs w:val="21"/>
        </w:rPr>
        <w:t xml:space="preserve">仲裁裁决应为最终裁决，对双方均有约束力。</w:t>
      </w:r>
      <w:r/>
    </w:p>
    <w:p>
      <w:pPr>
        <w:ind w:firstLine="420"/>
        <w:spacing w:line="360" w:lineRule="auto"/>
        <w:rPr>
          <w:rFonts w:ascii="宋体" w:hAnsi="宋体"/>
          <w:szCs w:val="21"/>
        </w:rPr>
      </w:pPr>
      <w:r>
        <w:rPr>
          <w:rFonts w:ascii="宋体" w:hAnsi="宋体"/>
          <w:szCs w:val="21"/>
        </w:rPr>
        <w:t xml:space="preserve">仲裁费用除仲裁机构另有裁决外应由败诉方承担。</w:t>
      </w:r>
      <w:r/>
    </w:p>
    <w:p>
      <w:pPr>
        <w:ind w:firstLine="420"/>
        <w:spacing w:line="360" w:lineRule="auto"/>
        <w:rPr>
          <w:rFonts w:ascii="宋体" w:hAnsi="宋体"/>
          <w:szCs w:val="21"/>
        </w:rPr>
      </w:pPr>
      <w:r>
        <w:rPr>
          <w:rFonts w:ascii="宋体" w:hAnsi="宋体"/>
          <w:szCs w:val="21"/>
        </w:rPr>
        <w:t xml:space="preserve">在仲裁期间，除正在执行仲裁的部分外，本合同的其他部分应继续执行。</w:t>
      </w:r>
      <w:r/>
    </w:p>
    <w:p>
      <w:pPr>
        <w:ind w:firstLine="422"/>
        <w:spacing w:line="360" w:lineRule="auto"/>
        <w:tabs>
          <w:tab w:val="left" w:pos="525" w:leader="none"/>
        </w:tabs>
        <w:rPr>
          <w:rFonts w:ascii="宋体" w:hAnsi="宋体"/>
          <w:b/>
          <w:bCs/>
        </w:rPr>
      </w:pPr>
      <w:r>
        <w:rPr>
          <w:rFonts w:hint="eastAsia" w:ascii="宋体" w:hAnsi="宋体"/>
          <w:b/>
          <w:bCs/>
        </w:rPr>
        <w:t xml:space="preserve">十四、</w:t>
      </w:r>
      <w:r>
        <w:rPr>
          <w:rFonts w:ascii="宋体" w:hAnsi="宋体"/>
          <w:b/>
          <w:bCs/>
        </w:rPr>
        <w:t xml:space="preserve">转让和分包</w:t>
      </w:r>
      <w:r/>
    </w:p>
    <w:p>
      <w:pPr>
        <w:ind w:firstLine="420"/>
        <w:spacing w:line="360" w:lineRule="auto"/>
        <w:tabs>
          <w:tab w:val="left" w:pos="525" w:leader="none"/>
        </w:tabs>
        <w:rPr>
          <w:rFonts w:ascii="宋体" w:hAnsi="宋体"/>
          <w:bCs/>
          <w:szCs w:val="21"/>
        </w:rPr>
      </w:pPr>
      <w:r>
        <w:rPr>
          <w:rFonts w:ascii="宋体" w:hAnsi="宋体"/>
          <w:bCs/>
          <w:szCs w:val="21"/>
        </w:rPr>
        <w:t xml:space="preserve">未经甲方事先书面同意，乙方不得部分转让或全部转让和分包其履行合同的义务。</w:t>
      </w:r>
      <w:r/>
    </w:p>
    <w:p>
      <w:pPr>
        <w:ind w:firstLine="422"/>
        <w:spacing w:line="360" w:lineRule="auto"/>
        <w:tabs>
          <w:tab w:val="left" w:pos="525" w:leader="none"/>
        </w:tabs>
        <w:rPr>
          <w:rFonts w:ascii="宋体" w:hAnsi="宋体"/>
          <w:b/>
          <w:bCs/>
        </w:rPr>
      </w:pPr>
      <w:r>
        <w:rPr>
          <w:rFonts w:hint="eastAsia" w:ascii="宋体" w:hAnsi="宋体"/>
          <w:b/>
          <w:bCs/>
        </w:rPr>
        <w:t xml:space="preserve">十五、</w:t>
      </w:r>
      <w:r>
        <w:rPr>
          <w:rFonts w:ascii="宋体" w:hAnsi="宋体"/>
          <w:b/>
          <w:bCs/>
        </w:rPr>
        <w:t xml:space="preserve">适用法律</w:t>
      </w:r>
      <w:r/>
    </w:p>
    <w:p>
      <w:pPr>
        <w:ind w:firstLine="420"/>
        <w:spacing w:line="360" w:lineRule="auto"/>
        <w:tabs>
          <w:tab w:val="left" w:pos="525" w:leader="none"/>
        </w:tabs>
        <w:rPr>
          <w:rFonts w:ascii="宋体" w:hAnsi="宋体"/>
          <w:bCs/>
          <w:szCs w:val="21"/>
        </w:rPr>
      </w:pPr>
      <w:r>
        <w:rPr>
          <w:rFonts w:ascii="宋体" w:hAnsi="宋体"/>
          <w:bCs/>
          <w:szCs w:val="21"/>
        </w:rPr>
        <w:t xml:space="preserve">本合同按照中华人民共和国的法律进行解释。</w:t>
      </w:r>
      <w:r/>
    </w:p>
    <w:p>
      <w:pPr>
        <w:ind w:firstLine="422"/>
        <w:spacing w:line="360" w:lineRule="auto"/>
        <w:tabs>
          <w:tab w:val="left" w:pos="525" w:leader="none"/>
        </w:tabs>
        <w:rPr>
          <w:rFonts w:ascii="宋体" w:hAnsi="宋体"/>
          <w:b/>
          <w:bCs/>
        </w:rPr>
      </w:pPr>
      <w:r>
        <w:rPr>
          <w:rFonts w:hint="eastAsia" w:ascii="宋体" w:hAnsi="宋体"/>
          <w:b/>
          <w:bCs/>
        </w:rPr>
        <w:t xml:space="preserve">十六、</w:t>
      </w:r>
      <w:r>
        <w:rPr>
          <w:rFonts w:ascii="宋体" w:hAnsi="宋体"/>
          <w:b/>
          <w:bCs/>
        </w:rPr>
        <w:t xml:space="preserve">合同生效及其他</w:t>
      </w:r>
      <w:r/>
    </w:p>
    <w:p>
      <w:pPr>
        <w:ind w:firstLine="420"/>
        <w:spacing w:line="360" w:lineRule="auto"/>
        <w:rPr>
          <w:rFonts w:ascii="宋体" w:hAnsi="宋体"/>
          <w:szCs w:val="21"/>
        </w:rPr>
      </w:pPr>
      <w:r>
        <w:rPr>
          <w:rFonts w:hint="eastAsia" w:ascii="宋体" w:hAnsi="宋体"/>
          <w:szCs w:val="21"/>
        </w:rPr>
        <w:t xml:space="preserve">（一）合同正本一式六份，甲、乙双方各执三份。</w:t>
      </w:r>
      <w:r/>
    </w:p>
    <w:p>
      <w:pPr>
        <w:ind w:firstLine="420"/>
        <w:spacing w:line="360" w:lineRule="auto"/>
        <w:rPr>
          <w:rFonts w:ascii="宋体" w:hAnsi="宋体"/>
          <w:szCs w:val="21"/>
        </w:rPr>
      </w:pPr>
      <w:r>
        <w:rPr>
          <w:rFonts w:hint="eastAsia" w:ascii="宋体" w:hAnsi="宋体"/>
          <w:szCs w:val="21"/>
        </w:rPr>
        <w:t xml:space="preserve">（二）</w:t>
      </w:r>
      <w:r>
        <w:rPr>
          <w:rFonts w:ascii="宋体" w:hAnsi="宋体"/>
          <w:szCs w:val="21"/>
        </w:rPr>
        <w:t xml:space="preserve">如需修改或补充合同内容，经协商，双方应签署书面修改或补充协议，该协议将作为本合同的一个组成部分。</w:t>
      </w:r>
      <w:r/>
    </w:p>
    <w:p>
      <w:pPr>
        <w:ind w:firstLine="420"/>
        <w:spacing w:line="360" w:lineRule="auto"/>
        <w:rPr>
          <w:rFonts w:ascii="宋体" w:hAnsi="宋体"/>
          <w:szCs w:val="21"/>
        </w:rPr>
      </w:pPr>
      <w:r>
        <w:rPr>
          <w:rFonts w:hint="eastAsia" w:ascii="宋体" w:hAnsi="宋体"/>
          <w:szCs w:val="21"/>
        </w:rPr>
        <w:t xml:space="preserve">（三）下列文件构成本合同的组成部分：</w:t>
      </w:r>
      <w:r/>
    </w:p>
    <w:p>
      <w:pPr>
        <w:ind w:firstLine="630"/>
        <w:spacing w:line="360" w:lineRule="exact"/>
        <w:rPr>
          <w:rFonts w:ascii="宋体" w:hAnsi="宋体"/>
          <w:szCs w:val="21"/>
        </w:rPr>
      </w:pPr>
      <w:r>
        <w:rPr>
          <w:rFonts w:hint="eastAsia" w:ascii="宋体" w:hAnsi="宋体"/>
          <w:szCs w:val="21"/>
        </w:rPr>
        <w:t xml:space="preserve">合同主要条款</w:t>
      </w:r>
      <w:r/>
    </w:p>
    <w:p>
      <w:pPr>
        <w:ind w:firstLine="630"/>
        <w:spacing w:line="360" w:lineRule="exact"/>
        <w:rPr>
          <w:rFonts w:ascii="宋体" w:hAnsi="宋体"/>
          <w:szCs w:val="21"/>
        </w:rPr>
      </w:pPr>
      <w:r>
        <w:rPr>
          <w:rFonts w:hint="eastAsia" w:ascii="宋体" w:hAnsi="宋体"/>
          <w:szCs w:val="21"/>
        </w:rPr>
        <w:t xml:space="preserve">中标通知书</w:t>
      </w:r>
      <w:r/>
    </w:p>
    <w:p>
      <w:pPr>
        <w:ind w:firstLine="630"/>
        <w:spacing w:line="360" w:lineRule="exact"/>
        <w:rPr>
          <w:rFonts w:ascii="宋体" w:hAnsi="宋体"/>
          <w:szCs w:val="21"/>
        </w:rPr>
      </w:pPr>
      <w:r>
        <w:rPr>
          <w:rFonts w:hint="eastAsia" w:ascii="宋体" w:hAnsi="宋体"/>
          <w:szCs w:val="21"/>
        </w:rPr>
        <w:t xml:space="preserve">投标分项报价表 </w:t>
      </w:r>
      <w:r/>
    </w:p>
    <w:p>
      <w:pPr>
        <w:ind w:firstLine="630"/>
        <w:spacing w:line="360" w:lineRule="exact"/>
        <w:rPr>
          <w:rFonts w:ascii="宋体" w:hAnsi="宋体"/>
          <w:szCs w:val="21"/>
        </w:rPr>
      </w:pPr>
      <w:r>
        <w:rPr>
          <w:rFonts w:hint="eastAsia" w:ascii="宋体" w:hAnsi="宋体"/>
          <w:szCs w:val="21"/>
        </w:rPr>
        <w:t xml:space="preserve">技术规格、商务条款偏离表</w:t>
      </w:r>
      <w:r/>
    </w:p>
    <w:p>
      <w:pPr>
        <w:ind w:firstLine="630"/>
        <w:spacing w:line="360" w:lineRule="exact"/>
        <w:rPr>
          <w:rFonts w:ascii="宋体" w:hAnsi="宋体"/>
          <w:szCs w:val="21"/>
        </w:rPr>
      </w:pPr>
      <w:r>
        <w:rPr>
          <w:rFonts w:hint="eastAsia" w:ascii="宋体" w:hAnsi="宋体"/>
          <w:szCs w:val="21"/>
        </w:rPr>
        <w:t xml:space="preserve">招标内容及要求</w:t>
      </w:r>
      <w:r/>
    </w:p>
    <w:p>
      <w:pPr>
        <w:ind w:firstLine="630"/>
        <w:spacing w:line="360" w:lineRule="exact"/>
        <w:rPr>
          <w:rFonts w:ascii="宋体" w:hAnsi="宋体"/>
          <w:szCs w:val="21"/>
        </w:rPr>
      </w:pPr>
      <w:r>
        <w:rPr>
          <w:rFonts w:hint="eastAsia" w:ascii="宋体" w:hAnsi="宋体"/>
          <w:szCs w:val="21"/>
        </w:rPr>
        <w:t xml:space="preserve">合同补充条款或说明（如有）</w:t>
      </w:r>
      <w:r/>
    </w:p>
    <w:p>
      <w:pPr>
        <w:ind w:firstLine="630"/>
        <w:spacing w:line="360" w:lineRule="exact"/>
        <w:rPr>
          <w:rFonts w:ascii="宋体" w:hAnsi="宋体"/>
          <w:szCs w:val="21"/>
        </w:rPr>
      </w:pPr>
      <w:r>
        <w:rPr>
          <w:rFonts w:hint="eastAsia" w:ascii="宋体" w:hAnsi="宋体"/>
          <w:szCs w:val="21"/>
        </w:rPr>
        <w:t xml:space="preserve">承诺书（含询标记录和优惠条件）</w:t>
      </w:r>
      <w:r/>
    </w:p>
    <w:p>
      <w:pPr>
        <w:ind w:firstLine="630"/>
        <w:spacing w:line="360" w:lineRule="exact"/>
        <w:rPr>
          <w:rFonts w:ascii="宋体" w:hAnsi="宋体"/>
          <w:szCs w:val="21"/>
        </w:rPr>
      </w:pPr>
      <w:r>
        <w:rPr>
          <w:rFonts w:ascii="宋体" w:hAnsi="宋体"/>
          <w:szCs w:val="21"/>
        </w:rPr>
      </w:r>
      <w:r/>
    </w:p>
    <w:tbl>
      <w:tblPr>
        <w:tblStyle w:val="872"/>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r>
    </w:tbl>
    <w:p>
      <w:pPr>
        <w:rPr>
          <w:rFonts w:ascii="宋体" w:hAnsi="宋体" w:cs="宋体"/>
          <w:szCs w:val="21"/>
        </w:rPr>
      </w:pPr>
      <w:r>
        <w:rPr>
          <w:rFonts w:ascii="宋体" w:hAnsi="宋体" w:cs="宋体"/>
          <w:szCs w:val="21"/>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bookmarkEnd w:id="21"/>
      <w:r/>
      <w:r/>
    </w:p>
    <w:p>
      <w:pPr>
        <w:jc w:val="left"/>
        <w:widowControl/>
        <w:rPr>
          <w:b/>
          <w:bCs/>
          <w:sz w:val="32"/>
          <w:szCs w:val="44"/>
        </w:rPr>
      </w:pPr>
      <w:r>
        <w:br w:type="page" w:clear="all"/>
      </w:r>
      <w:r/>
    </w:p>
    <w:p>
      <w:pPr>
        <w:rPr>
          <w:rFonts w:ascii="宋体" w:hAnsi="宋体" w:cs="宋体"/>
          <w:szCs w:val="21"/>
        </w:rPr>
      </w:pPr>
      <w:r>
        <w:rPr>
          <w:rFonts w:ascii="宋体" w:hAnsi="宋体" w:cs="宋体"/>
          <w:szCs w:val="21"/>
        </w:rPr>
      </w:r>
      <w:r/>
    </w:p>
    <w:p>
      <w:r/>
      <w:r/>
    </w:p>
    <w:p>
      <w:pPr>
        <w:pStyle w:val="862"/>
        <w:numPr>
          <w:ilvl w:val="0"/>
          <w:numId w:val="5"/>
        </w:numPr>
        <w:rPr>
          <w:rFonts w:ascii="宋体" w:hAnsi="宋体" w:cs="宋体"/>
        </w:rPr>
      </w:pPr>
      <w:r/>
      <w:bookmarkStart w:id="22" w:name="_Toc15886"/>
      <w:r/>
      <w:bookmarkStart w:id="23" w:name="_Toc26645"/>
      <w:r>
        <w:rPr>
          <w:rFonts w:hint="eastAsia" w:ascii="宋体" w:hAnsi="宋体" w:cs="宋体"/>
        </w:rPr>
        <w:t xml:space="preserve"> 投标文件格式及附件</w:t>
      </w:r>
      <w:bookmarkEnd w:id="22"/>
      <w:r/>
      <w:bookmarkEnd w:id="23"/>
      <w:r/>
      <w:r/>
    </w:p>
    <w:p>
      <w:pPr>
        <w:pStyle w:val="920"/>
      </w:pPr>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sz w:val="22"/>
          <w:szCs w:val="22"/>
        </w:rPr>
      </w:pPr>
      <w:r>
        <w:rPr>
          <w:rFonts w:ascii="宋体" w:hAnsi="宋体" w:cs="宋体"/>
          <w:sz w:val="22"/>
          <w:szCs w:val="22"/>
        </w:rPr>
      </w:r>
      <w:r/>
    </w:p>
    <w:p>
      <w:pPr>
        <w:rPr>
          <w:rFonts w:ascii="宋体" w:hAnsi="宋体" w:cs="宋体"/>
          <w:sz w:val="22"/>
          <w:szCs w:val="22"/>
        </w:rPr>
      </w:pPr>
      <w:r>
        <w:rPr>
          <w:rFonts w:ascii="宋体" w:hAnsi="宋体" w:cs="宋体"/>
          <w:sz w:val="22"/>
          <w:szCs w:val="2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240" w:after="240"/>
        <w:rPr>
          <w:rFonts w:ascii="宋体" w:hAnsi="宋体" w:cs="宋体"/>
          <w:sz w:val="32"/>
          <w:szCs w:val="32"/>
        </w:rPr>
      </w:pPr>
      <w:r>
        <w:rPr>
          <w:rFonts w:hint="eastAsia" w:ascii="宋体" w:hAnsi="宋体" w:cs="宋体"/>
          <w:sz w:val="32"/>
          <w:szCs w:val="32"/>
        </w:rPr>
        <w:t xml:space="preserve">目录</w:t>
      </w:r>
      <w:r/>
    </w:p>
    <w:p>
      <w:pPr>
        <w:spacing w:line="440" w:lineRule="exact"/>
        <w:rPr>
          <w:rFonts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360" w:lineRule="auto"/>
        <w:rPr>
          <w:rFonts w:ascii="宋体" w:hAnsi="宋体" w:cs="宋体"/>
        </w:rPr>
      </w:pPr>
      <w:r>
        <w:rPr>
          <w:rFonts w:hint="eastAsia" w:ascii="宋体" w:hAnsi="宋体" w:cs="宋体"/>
          <w:b/>
          <w:bCs/>
          <w:szCs w:val="21"/>
        </w:rPr>
        <w:br w:type="page" w:clear="all"/>
      </w:r>
      <w:bookmarkStart w:id="24" w:name="_Toc26810"/>
      <w:r>
        <w:rPr>
          <w:rFonts w:hint="eastAsia" w:ascii="宋体" w:hAnsi="宋体" w:cs="宋体"/>
          <w:b/>
          <w:bCs/>
          <w:szCs w:val="21"/>
          <w:lang w:val="zh-CN"/>
        </w:rPr>
        <w:t xml:space="preserve">附件三、</w:t>
      </w:r>
      <w:bookmarkEnd w:id="24"/>
      <w:r>
        <w:rPr>
          <w:rFonts w:hint="eastAsia" w:ascii="宋体" w:hAnsi="宋体" w:cs="宋体"/>
          <w:b/>
          <w:bCs/>
          <w:szCs w:val="21"/>
          <w:lang w:val="zh-CN"/>
        </w:rPr>
        <w:t xml:space="preserve">开标一览表</w:t>
      </w:r>
      <w:r>
        <w:rPr>
          <w:rFonts w:hint="eastAsia" w:ascii="宋体" w:hAnsi="宋体" w:cs="宋体"/>
          <w:b/>
          <w:bCs/>
          <w:szCs w:val="21"/>
        </w:rPr>
        <w:t xml:space="preserve">补充</w:t>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开标一览表补充</w:t>
      </w:r>
      <w:r/>
    </w:p>
    <w:p>
      <w:pPr>
        <w:jc w:val="center"/>
        <w:spacing w:line="360" w:lineRule="auto"/>
        <w:shd w:val="clear" w:color="auto" w:fill="ffffff"/>
        <w:widowControl/>
        <w:rPr>
          <w:rFonts w:ascii="宋体" w:hAnsi="宋体" w:cs="宋体"/>
          <w:sz w:val="24"/>
        </w:rPr>
      </w:pPr>
      <w:r>
        <w:rPr>
          <w:rFonts w:ascii="宋体" w:hAnsi="宋体" w:cs="宋体"/>
          <w:sz w:val="24"/>
        </w:rPr>
      </w:r>
      <w:r/>
    </w:p>
    <w:p>
      <w:pPr>
        <w:pStyle w:val="875"/>
        <w:ind w:firstLine="474"/>
        <w:spacing w:line="440" w:lineRule="exact"/>
        <w:rPr>
          <w:rFonts w:ascii="宋体" w:hAnsi="宋体" w:cs="宋体"/>
          <w:sz w:val="21"/>
          <w:szCs w:val="21"/>
        </w:rPr>
      </w:pPr>
      <w:r>
        <w:rPr>
          <w:rFonts w:hint="eastAsia" w:ascii="宋体" w:hAnsi="宋体" w:cs="宋体"/>
          <w:sz w:val="21"/>
          <w:szCs w:val="21"/>
        </w:rPr>
        <w:t xml:space="preserve">项目名称：                                   项目编号 ：           </w:t>
      </w:r>
      <w:r/>
    </w:p>
    <w:tbl>
      <w:tblPr>
        <w:tblStyle w:val="87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017"/>
        <w:gridCol w:w="3099"/>
      </w:tblGrid>
      <w:tr>
        <w:trPr>
          <w:cantSplit/>
          <w:trHeight w:val="1291"/>
        </w:trPr>
        <w:tc>
          <w:tcPr>
            <w:tcW w:w="1524" w:type="dxa"/>
            <w:vAlign w:val="center"/>
            <w:vMerge w:val="restart"/>
            <w:textDirection w:val="lrTb"/>
            <w:noWrap w:val="false"/>
          </w:tcPr>
          <w:p>
            <w:pPr>
              <w:jc w:val="center"/>
            </w:pPr>
            <w:r>
              <w:rPr>
                <w:rFonts w:hint="eastAsia"/>
              </w:rPr>
              <w:t xml:space="preserve">投标报价</w:t>
            </w:r>
            <w:r/>
          </w:p>
        </w:tc>
        <w:tc>
          <w:tcPr>
            <w:tcW w:w="4017" w:type="dxa"/>
            <w:vAlign w:val="center"/>
            <w:textDirection w:val="lrTb"/>
            <w:noWrap w:val="false"/>
          </w:tcPr>
          <w:p>
            <w:pPr>
              <w:pStyle w:val="875"/>
              <w:ind w:firstLine="0"/>
              <w:spacing w:line="360" w:lineRule="auto"/>
              <w:rPr>
                <w:rFonts w:ascii="宋体" w:hAnsi="宋体" w:cs="宋体"/>
                <w:b w:val="0"/>
                <w:bCs/>
                <w:sz w:val="21"/>
                <w:szCs w:val="21"/>
              </w:rPr>
            </w:pPr>
            <w:r>
              <w:rPr>
                <w:rFonts w:hint="eastAsia" w:ascii="宋体" w:hAnsi="宋体" w:cs="宋体"/>
                <w:b w:val="0"/>
                <w:bCs/>
                <w:sz w:val="21"/>
                <w:szCs w:val="21"/>
              </w:rPr>
              <w:t xml:space="preserve">全域巡视报价：详见苏采云系统。</w:t>
            </w:r>
            <w:r/>
          </w:p>
        </w:tc>
        <w:tc>
          <w:tcPr>
            <w:tcW w:w="3099" w:type="dxa"/>
            <w:vAlign w:val="center"/>
            <w:vMerge w:val="restart"/>
            <w:textDirection w:val="lrTb"/>
            <w:noWrap w:val="false"/>
          </w:tcPr>
          <w:p>
            <w:pPr>
              <w:spacing w:line="440" w:lineRule="exact"/>
              <w:rPr>
                <w:rFonts w:ascii="宋体" w:hAnsi="宋体" w:cs="宋体"/>
                <w:b/>
                <w:bCs/>
                <w:szCs w:val="21"/>
              </w:rPr>
            </w:pPr>
            <w:r>
              <w:rPr>
                <w:rFonts w:hint="eastAsia" w:ascii="宋体" w:hAnsi="宋体" w:cs="宋体"/>
                <w:b/>
                <w:bCs/>
                <w:szCs w:val="21"/>
              </w:rPr>
              <w:t xml:space="preserve">备注：</w:t>
            </w:r>
            <w:r/>
          </w:p>
          <w:p>
            <w:pPr>
              <w:spacing w:line="440" w:lineRule="exact"/>
              <w:rPr>
                <w:rFonts w:ascii="宋体" w:hAnsi="宋体" w:cs="宋体"/>
                <w:szCs w:val="21"/>
                <w:u w:val="single"/>
              </w:rPr>
            </w:pPr>
            <w:r>
              <w:rPr>
                <w:rFonts w:hint="eastAsia" w:ascii="宋体" w:hAnsi="宋体" w:cs="宋体"/>
                <w:szCs w:val="21"/>
              </w:rPr>
              <w:t xml:space="preserve">本项目共三项价格需要投标人报价，由于苏采云系统原因，苏采云系统中开标一览表，</w:t>
            </w:r>
            <w:r>
              <w:rPr>
                <w:rFonts w:hint="eastAsia" w:ascii="宋体" w:hAnsi="宋体" w:cs="宋体"/>
                <w:szCs w:val="21"/>
                <w:u w:val="single"/>
              </w:rPr>
              <w:t xml:space="preserve">投标人填报全域巡视报价。</w:t>
            </w:r>
            <w:r/>
          </w:p>
          <w:p>
            <w:pPr>
              <w:spacing w:line="440" w:lineRule="exact"/>
              <w:rPr>
                <w:rFonts w:hint="eastAsia" w:ascii="宋体" w:hAnsi="宋体" w:cs="宋体"/>
                <w:szCs w:val="21"/>
                <w:u w:val="single"/>
              </w:rPr>
            </w:pPr>
            <w:r>
              <w:rPr>
                <w:rFonts w:hint="eastAsia" w:ascii="宋体" w:hAnsi="宋体" w:cs="宋体"/>
                <w:szCs w:val="21"/>
                <w:u w:val="single"/>
              </w:rPr>
              <w:t xml:space="preserve">另外两项价格，供应商在本表中填报。</w:t>
            </w:r>
            <w:r/>
          </w:p>
          <w:p>
            <w:pPr>
              <w:pStyle w:val="873"/>
              <w:ind w:left="0" w:firstLine="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74"/>
              <w:keepLines w:val="0"/>
              <w:keepNext w:val="0"/>
              <w:pageBreakBefore w:val="0"/>
              <w:spacing w:line="360" w:lineRule="auto"/>
              <w:widowControl w:val="off"/>
              <w:rPr>
                <w:rFonts w:hint="default"/>
                <w:lang w:val="en-US" w:eastAsia="zh-CN"/>
              </w:rPr>
            </w:pPr>
            <w:r>
              <w:rPr>
                <w:rFonts w:hint="eastAsia" w:ascii="宋体" w:hAnsi="宋体" w:eastAsia="宋体" w:cs="宋体"/>
                <w:b/>
                <w:bCs/>
                <w:sz w:val="21"/>
                <w:szCs w:val="21"/>
                <w:lang w:val="en-US" w:eastAsia="zh-CN" w:bidi="ar-SA"/>
              </w:rPr>
              <w:t xml:space="preserve">对于报价填写方式不理解的可与代理机构联系，联系方式</w:t>
            </w:r>
            <w:r>
              <w:rPr>
                <w:rFonts w:hint="eastAsia" w:ascii="宋体" w:hAnsi="宋体" w:cs="宋体"/>
                <w:b/>
                <w:bCs/>
                <w:sz w:val="21"/>
                <w:szCs w:val="21"/>
                <w:lang w:val="en-US" w:eastAsia="zh-CN" w:bidi="ar-SA"/>
              </w:rPr>
              <w:t xml:space="preserve">：</w:t>
            </w:r>
            <w:r>
              <w:rPr>
                <w:rFonts w:hint="eastAsia" w:ascii="宋体" w:hAnsi="宋体" w:eastAsia="宋体" w:cs="宋体"/>
                <w:b/>
                <w:bCs/>
                <w:sz w:val="21"/>
                <w:szCs w:val="21"/>
                <w:lang w:val="en-US" w:eastAsia="zh-CN" w:bidi="ar-SA"/>
              </w:rPr>
              <w:t xml:space="preserve">025-83306855。</w:t>
            </w:r>
            <w:r/>
          </w:p>
        </w:tc>
      </w:tr>
      <w:tr>
        <w:trPr>
          <w:cantSplit/>
          <w:trHeight w:val="1692"/>
        </w:trPr>
        <w:tc>
          <w:tcPr>
            <w:tcW w:w="1524" w:type="dxa"/>
            <w:vAlign w:val="center"/>
            <w:vMerge w:val="continue"/>
            <w:textDirection w:val="lrTb"/>
            <w:noWrap w:val="false"/>
          </w:tcPr>
          <w:p>
            <w:pPr>
              <w:jc w:val="center"/>
            </w:pPr>
            <w:r/>
            <w:r/>
          </w:p>
        </w:tc>
        <w:tc>
          <w:tcPr>
            <w:tcW w:w="4017" w:type="dxa"/>
            <w:vAlign w:val="center"/>
            <w:textDirection w:val="lrTb"/>
            <w:noWrap w:val="false"/>
          </w:tcPr>
          <w:p>
            <w:pPr>
              <w:pStyle w:val="875"/>
              <w:ind w:firstLine="0"/>
              <w:spacing w:line="360" w:lineRule="auto"/>
              <w:rPr>
                <w:rFonts w:ascii="宋体" w:hAnsi="宋体" w:cs="宋体"/>
                <w:b w:val="0"/>
                <w:bCs/>
                <w:sz w:val="21"/>
                <w:szCs w:val="21"/>
              </w:rPr>
            </w:pPr>
            <w:r>
              <w:rPr>
                <w:rFonts w:hint="eastAsia" w:ascii="宋体" w:hAnsi="宋体" w:cs="宋体"/>
                <w:b w:val="0"/>
                <w:bCs/>
                <w:sz w:val="21"/>
                <w:szCs w:val="21"/>
              </w:rPr>
              <w:t xml:space="preserve">1:500大比例尺地形图更新报价：</w:t>
            </w:r>
            <w:r/>
          </w:p>
          <w:p>
            <w:pPr>
              <w:pStyle w:val="875"/>
              <w:ind w:firstLine="0"/>
              <w:spacing w:line="360" w:lineRule="auto"/>
              <w:rPr>
                <w:rFonts w:ascii="宋体" w:hAnsi="宋体" w:cs="宋体"/>
                <w:b w:val="0"/>
                <w:bCs/>
                <w:sz w:val="21"/>
                <w:szCs w:val="21"/>
              </w:rPr>
            </w:pPr>
            <w:r>
              <w:rPr>
                <w:rFonts w:hint="eastAsia" w:ascii="宋体" w:hAnsi="宋体" w:cs="宋体"/>
                <w:b w:val="0"/>
                <w:bCs/>
                <w:sz w:val="21"/>
                <w:szCs w:val="21"/>
                <w:u w:val="single"/>
              </w:rPr>
              <w:t xml:space="preserve">         </w:t>
            </w:r>
            <w:r>
              <w:rPr>
                <w:rFonts w:hint="eastAsia" w:ascii="宋体" w:hAnsi="宋体" w:cs="宋体"/>
                <w:b w:val="0"/>
                <w:bCs/>
                <w:sz w:val="21"/>
                <w:szCs w:val="21"/>
              </w:rPr>
              <w:t xml:space="preserve">元/平方千米</w:t>
            </w:r>
            <w:r/>
          </w:p>
        </w:tc>
        <w:tc>
          <w:tcPr>
            <w:tcW w:w="3099" w:type="dxa"/>
            <w:vAlign w:val="center"/>
            <w:vMerge w:val="continue"/>
            <w:textDirection w:val="lrTb"/>
            <w:noWrap w:val="false"/>
          </w:tcPr>
          <w:p>
            <w:pPr>
              <w:spacing w:line="440" w:lineRule="exact"/>
              <w:rPr>
                <w:rFonts w:ascii="宋体" w:hAnsi="宋体" w:cs="宋体"/>
                <w:szCs w:val="21"/>
              </w:rPr>
            </w:pPr>
            <w:r>
              <w:rPr>
                <w:rFonts w:ascii="宋体" w:hAnsi="宋体" w:cs="宋体"/>
                <w:szCs w:val="21"/>
              </w:rPr>
            </w:r>
            <w:r/>
          </w:p>
        </w:tc>
      </w:tr>
      <w:tr>
        <w:trPr>
          <w:cantSplit/>
          <w:trHeight w:val="1518"/>
        </w:trPr>
        <w:tc>
          <w:tcPr>
            <w:tcW w:w="1524" w:type="dxa"/>
            <w:vAlign w:val="center"/>
            <w:vMerge w:val="continue"/>
            <w:textDirection w:val="lrTb"/>
            <w:noWrap w:val="false"/>
          </w:tcPr>
          <w:p>
            <w:pPr>
              <w:jc w:val="center"/>
            </w:pPr>
            <w:r/>
            <w:r/>
          </w:p>
        </w:tc>
        <w:tc>
          <w:tcPr>
            <w:tcW w:w="4017" w:type="dxa"/>
            <w:vAlign w:val="center"/>
            <w:textDirection w:val="lrTb"/>
            <w:noWrap w:val="false"/>
          </w:tcPr>
          <w:p>
            <w:pPr>
              <w:pStyle w:val="875"/>
              <w:ind w:firstLine="0"/>
              <w:spacing w:line="360" w:lineRule="auto"/>
              <w:rPr>
                <w:rFonts w:ascii="宋体" w:hAnsi="宋体" w:cs="宋体"/>
                <w:b w:val="0"/>
                <w:bCs/>
                <w:sz w:val="21"/>
                <w:szCs w:val="21"/>
              </w:rPr>
            </w:pPr>
            <w:r>
              <w:rPr>
                <w:rFonts w:hint="eastAsia" w:ascii="宋体" w:hAnsi="宋体" w:cs="宋体"/>
                <w:b w:val="0"/>
                <w:bCs/>
                <w:sz w:val="21"/>
                <w:szCs w:val="21"/>
              </w:rPr>
              <w:t xml:space="preserve">1:1000大比例尺地形图更新报价：</w:t>
            </w:r>
            <w:r/>
          </w:p>
          <w:p>
            <w:pPr>
              <w:pStyle w:val="875"/>
              <w:ind w:firstLine="0"/>
              <w:spacing w:line="360" w:lineRule="auto"/>
              <w:rPr>
                <w:rFonts w:ascii="宋体" w:hAnsi="宋体" w:cs="宋体"/>
                <w:b w:val="0"/>
                <w:bCs/>
                <w:sz w:val="21"/>
                <w:szCs w:val="21"/>
              </w:rPr>
            </w:pPr>
            <w:r>
              <w:rPr>
                <w:rFonts w:hint="eastAsia" w:ascii="宋体" w:hAnsi="宋体" w:cs="宋体"/>
                <w:b w:val="0"/>
                <w:bCs/>
                <w:sz w:val="21"/>
                <w:szCs w:val="21"/>
                <w:u w:val="single"/>
              </w:rPr>
              <w:t xml:space="preserve">         </w:t>
            </w:r>
            <w:r>
              <w:rPr>
                <w:rFonts w:hint="eastAsia" w:ascii="宋体" w:hAnsi="宋体" w:cs="宋体"/>
                <w:b w:val="0"/>
                <w:bCs/>
                <w:sz w:val="21"/>
                <w:szCs w:val="21"/>
              </w:rPr>
              <w:t xml:space="preserve">元/平方千米</w:t>
            </w:r>
            <w:r/>
          </w:p>
        </w:tc>
        <w:tc>
          <w:tcPr>
            <w:tcW w:w="3099" w:type="dxa"/>
            <w:vAlign w:val="center"/>
            <w:vMerge w:val="continue"/>
            <w:textDirection w:val="lrTb"/>
            <w:noWrap w:val="false"/>
          </w:tcPr>
          <w:p>
            <w:pPr>
              <w:spacing w:line="440" w:lineRule="exact"/>
              <w:rPr>
                <w:rFonts w:ascii="宋体" w:hAnsi="宋体" w:cs="宋体"/>
                <w:szCs w:val="21"/>
              </w:rPr>
            </w:pPr>
            <w:r>
              <w:rPr>
                <w:rFonts w:ascii="宋体" w:hAnsi="宋体" w:cs="宋体"/>
                <w:szCs w:val="21"/>
              </w:rPr>
            </w:r>
            <w:r/>
          </w:p>
        </w:tc>
      </w:tr>
      <w:tr>
        <w:trPr>
          <w:trHeight w:val="829"/>
        </w:trPr>
        <w:tc>
          <w:tcPr>
            <w:tcW w:w="1524"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服务时间/交付使用时间</w:t>
            </w:r>
            <w:r/>
          </w:p>
        </w:tc>
        <w:tc>
          <w:tcPr>
            <w:tcW w:w="4017" w:type="dxa"/>
            <w:vAlign w:val="center"/>
            <w:textDirection w:val="lrTb"/>
            <w:noWrap w:val="false"/>
          </w:tcPr>
          <w:p>
            <w:pPr>
              <w:pStyle w:val="875"/>
              <w:ind w:firstLine="472"/>
              <w:rPr>
                <w:rFonts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3099"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r>
        <w:trPr>
          <w:trHeight w:val="829"/>
        </w:trPr>
        <w:tc>
          <w:tcPr>
            <w:tcW w:w="1524" w:type="dxa"/>
            <w:vAlign w:val="center"/>
            <w:textDirection w:val="lrTb"/>
            <w:noWrap w:val="false"/>
          </w:tcPr>
          <w:p>
            <w:pPr>
              <w:pStyle w:val="875"/>
              <w:ind w:firstLine="0"/>
              <w:jc w:val="center"/>
              <w:rPr>
                <w:rFonts w:ascii="宋体" w:hAnsi="宋体" w:cs="宋体"/>
                <w:szCs w:val="21"/>
              </w:rPr>
            </w:pPr>
            <w:r>
              <w:rPr>
                <w:rFonts w:hint="eastAsia" w:ascii="宋体" w:hAnsi="宋体" w:cs="宋体"/>
                <w:sz w:val="21"/>
                <w:szCs w:val="21"/>
              </w:rPr>
              <w:t xml:space="preserve">投标标的是否全部由小微企业（含视同小微企业）提供</w:t>
            </w:r>
            <w:r/>
          </w:p>
        </w:tc>
        <w:tc>
          <w:tcPr>
            <w:tcW w:w="4017" w:type="dxa"/>
            <w:vAlign w:val="center"/>
            <w:textDirection w:val="lrTb"/>
            <w:noWrap w:val="false"/>
          </w:tcPr>
          <w:p>
            <w:pPr>
              <w:pStyle w:val="875"/>
              <w:ind w:firstLine="474"/>
              <w:rPr>
                <w:rFonts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3099" w:type="dxa"/>
            <w:vAlign w:val="center"/>
            <w:textDirection w:val="lrTb"/>
            <w:noWrap w:val="false"/>
          </w:tcPr>
          <w:p>
            <w:pPr>
              <w:ind w:firstLine="472"/>
              <w:spacing w:line="440" w:lineRule="exact"/>
              <w:rPr>
                <w:rFonts w:ascii="宋体" w:hAnsi="宋体" w:cs="宋体"/>
                <w:szCs w:val="21"/>
              </w:rPr>
            </w:pPr>
            <w:r>
              <w:rPr>
                <w:rFonts w:ascii="宋体" w:hAnsi="宋体" w:cs="宋体"/>
                <w:szCs w:val="21"/>
              </w:rPr>
            </w:r>
            <w:r/>
          </w:p>
        </w:tc>
      </w:tr>
    </w:tbl>
    <w:p>
      <w:pPr>
        <w:pStyle w:val="875"/>
        <w:ind w:firstLine="474"/>
        <w:spacing w:line="440" w:lineRule="exact"/>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numPr>
          <w:ilvl w:val="0"/>
          <w:numId w:val="6"/>
        </w:numPr>
        <w:ind w:firstLine="422"/>
        <w:jc w:val="left"/>
        <w:spacing w:line="360" w:lineRule="auto"/>
        <w:shd w:val="clear" w:color="auto" w:fill="ffffff"/>
        <w:widowControl/>
        <w:rPr>
          <w:rFonts w:ascii="宋体" w:hAnsi="宋体" w:cs="宋体"/>
          <w:b/>
          <w:bCs/>
          <w:szCs w:val="21"/>
        </w:rPr>
      </w:pPr>
      <w:r/>
      <w:bookmarkStart w:id="25"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ascii="宋体" w:hAnsi="宋体" w:cs="宋体"/>
          <w:b/>
          <w:bCs/>
          <w:szCs w:val="21"/>
          <w:lang w:val="zh-CN"/>
        </w:rPr>
      </w:pPr>
      <w:r>
        <w:rPr>
          <w:rFonts w:hint="eastAsia" w:ascii="宋体" w:hAnsi="宋体" w:cs="宋体"/>
          <w:b/>
          <w:bCs/>
          <w:szCs w:val="21"/>
          <w:lang w:val="zh-CN"/>
        </w:rPr>
        <w:t xml:space="preserve">附件四、分项报价表格式</w:t>
      </w:r>
      <w:bookmarkEnd w:id="25"/>
      <w:r/>
      <w:r/>
    </w:p>
    <w:tbl>
      <w:tblPr>
        <w:tblStyle w:val="872"/>
        <w:tblW w:w="4976" w:type="pct"/>
        <w:tblInd w:w="0" w:type="dxa"/>
        <w:tblBorders>
          <w:top w:val="single" w:color="000000" w:sz="4" w:space="0"/>
          <w:left w:val="single" w:color="000000" w:sz="4" w:space="0"/>
          <w:bottom w:val="single" w:color="auto"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3023"/>
        <w:gridCol w:w="2036"/>
        <w:gridCol w:w="3710"/>
      </w:tblGrid>
      <w:tr>
        <w:trPr>
          <w:trHeight w:val="567"/>
        </w:trPr>
        <w:tc>
          <w:tcPr>
            <w:shd w:val="clear" w:color="auto" w:fill="d7d7d7" w:themeFill="background1" w:themeFillShade="D8"/>
            <w:tcW w:w="432" w:type="pct"/>
            <w:vAlign w:val="center"/>
            <w:textDirection w:val="lrTb"/>
            <w:noWrap w:val="false"/>
          </w:tcPr>
          <w:p>
            <w:pPr>
              <w:pStyle w:val="874"/>
              <w:jc w:val="center"/>
              <w:rPr>
                <w:b/>
                <w:bCs/>
                <w:szCs w:val="21"/>
              </w:rPr>
            </w:pPr>
            <w:r>
              <w:rPr>
                <w:b/>
                <w:bCs/>
                <w:szCs w:val="21"/>
              </w:rPr>
              <w:t xml:space="preserve">序号</w:t>
            </w:r>
            <w:r/>
          </w:p>
        </w:tc>
        <w:tc>
          <w:tcPr>
            <w:shd w:val="clear" w:color="auto" w:fill="d7d7d7" w:themeFill="background1" w:themeFillShade="D8"/>
            <w:tcW w:w="1574" w:type="pct"/>
            <w:vAlign w:val="center"/>
            <w:textDirection w:val="lrTb"/>
            <w:noWrap w:val="false"/>
          </w:tcPr>
          <w:p>
            <w:pPr>
              <w:pStyle w:val="874"/>
              <w:jc w:val="center"/>
              <w:rPr>
                <w:b/>
                <w:bCs/>
                <w:szCs w:val="21"/>
              </w:rPr>
            </w:pPr>
            <w:r>
              <w:rPr>
                <w:b/>
                <w:bCs/>
                <w:szCs w:val="21"/>
              </w:rPr>
              <w:t xml:space="preserve">项目内容</w:t>
            </w:r>
            <w:r/>
          </w:p>
        </w:tc>
        <w:tc>
          <w:tcPr>
            <w:shd w:val="clear" w:color="auto" w:fill="d7d7d7" w:themeFill="background1" w:themeFillShade="D8"/>
            <w:tcW w:w="1060" w:type="pct"/>
            <w:vAlign w:val="center"/>
            <w:textDirection w:val="lrTb"/>
            <w:noWrap w:val="false"/>
          </w:tcPr>
          <w:p>
            <w:pPr>
              <w:pStyle w:val="874"/>
              <w:jc w:val="center"/>
              <w:rPr>
                <w:b/>
                <w:bCs/>
                <w:szCs w:val="21"/>
              </w:rPr>
            </w:pPr>
            <w:r>
              <w:rPr>
                <w:rFonts w:hint="eastAsia"/>
                <w:b/>
                <w:bCs/>
                <w:szCs w:val="21"/>
              </w:rPr>
              <w:t xml:space="preserve">投标报</w:t>
            </w:r>
            <w:r>
              <w:rPr>
                <w:b/>
                <w:bCs/>
                <w:szCs w:val="21"/>
              </w:rPr>
              <w:t xml:space="preserve">价</w:t>
            </w:r>
            <w:r/>
          </w:p>
        </w:tc>
        <w:tc>
          <w:tcPr>
            <w:shd w:val="clear" w:color="auto" w:fill="d7d7d7" w:themeFill="background1" w:themeFillShade="D8"/>
            <w:tcW w:w="1932" w:type="pct"/>
            <w:vAlign w:val="center"/>
            <w:textDirection w:val="lrTb"/>
            <w:noWrap w:val="false"/>
          </w:tcPr>
          <w:p>
            <w:pPr>
              <w:pStyle w:val="874"/>
              <w:jc w:val="center"/>
              <w:rPr>
                <w:b/>
                <w:bCs/>
                <w:szCs w:val="21"/>
              </w:rPr>
            </w:pPr>
            <w:r>
              <w:rPr>
                <w:b/>
                <w:bCs/>
                <w:szCs w:val="21"/>
              </w:rPr>
              <w:t xml:space="preserve">备注</w:t>
            </w:r>
            <w:r/>
          </w:p>
        </w:tc>
      </w:tr>
      <w:tr>
        <w:trPr>
          <w:trHeight w:val="1140"/>
        </w:trPr>
        <w:tc>
          <w:tcPr>
            <w:tcW w:w="432" w:type="pct"/>
            <w:vAlign w:val="center"/>
            <w:textDirection w:val="lrTb"/>
            <w:noWrap w:val="false"/>
          </w:tcPr>
          <w:p>
            <w:pPr>
              <w:pStyle w:val="874"/>
              <w:jc w:val="center"/>
              <w:rPr>
                <w:szCs w:val="21"/>
              </w:rPr>
            </w:pPr>
            <w:r>
              <w:rPr>
                <w:szCs w:val="21"/>
              </w:rPr>
              <w:t xml:space="preserve">1</w:t>
            </w:r>
            <w:r/>
          </w:p>
        </w:tc>
        <w:tc>
          <w:tcPr>
            <w:tcW w:w="1574" w:type="pct"/>
            <w:vAlign w:val="center"/>
            <w:textDirection w:val="lrTb"/>
            <w:noWrap w:val="false"/>
          </w:tcPr>
          <w:p>
            <w:pPr>
              <w:pStyle w:val="874"/>
              <w:jc w:val="center"/>
              <w:rPr>
                <w:szCs w:val="21"/>
              </w:rPr>
            </w:pPr>
            <w:r>
              <w:rPr>
                <w:szCs w:val="21"/>
              </w:rPr>
              <w:t xml:space="preserve">全域巡视（总价）</w:t>
            </w:r>
            <w:r/>
          </w:p>
        </w:tc>
        <w:tc>
          <w:tcPr>
            <w:tcW w:w="1060" w:type="pct"/>
            <w:vAlign w:val="center"/>
            <w:textDirection w:val="lrTb"/>
            <w:noWrap w:val="false"/>
          </w:tcPr>
          <w:p>
            <w:pPr>
              <w:pStyle w:val="874"/>
              <w:jc w:val="center"/>
              <w:rPr>
                <w:szCs w:val="21"/>
              </w:rPr>
            </w:pPr>
            <w:r>
              <w:rPr>
                <w:rFonts w:hint="eastAsia"/>
                <w:szCs w:val="21"/>
                <w:u w:val="single"/>
              </w:rPr>
              <w:t xml:space="preserve">    </w:t>
            </w:r>
            <w:r>
              <w:rPr>
                <w:rFonts w:hint="eastAsia"/>
                <w:szCs w:val="21"/>
              </w:rPr>
              <w:t xml:space="preserve">万元</w:t>
            </w:r>
            <w:r/>
          </w:p>
        </w:tc>
        <w:tc>
          <w:tcPr>
            <w:tcW w:w="1932" w:type="pct"/>
            <w:vAlign w:val="center"/>
            <w:textDirection w:val="lrTb"/>
            <w:noWrap w:val="false"/>
          </w:tcPr>
          <w:p>
            <w:pPr>
              <w:pStyle w:val="874"/>
              <w:rPr>
                <w:szCs w:val="21"/>
              </w:rPr>
            </w:pPr>
            <w:r>
              <w:rPr>
                <w:szCs w:val="21"/>
              </w:rPr>
              <w:t xml:space="preserve">本部分报价为</w:t>
            </w:r>
            <w:r>
              <w:rPr>
                <w:rFonts w:hint="eastAsia"/>
                <w:szCs w:val="21"/>
              </w:rPr>
              <w:t xml:space="preserve">总</w:t>
            </w:r>
            <w:r>
              <w:rPr>
                <w:szCs w:val="21"/>
              </w:rPr>
              <w:t xml:space="preserve">价，报价包含一轮地毯式全要素巡视更新及四个季度每季度巡视工作量。</w:t>
            </w:r>
            <w:r/>
          </w:p>
        </w:tc>
      </w:tr>
      <w:tr>
        <w:trPr>
          <w:trHeight w:val="1038"/>
        </w:trPr>
        <w:tc>
          <w:tcPr>
            <w:tcW w:w="432" w:type="pct"/>
            <w:vAlign w:val="center"/>
            <w:textDirection w:val="lrTb"/>
            <w:noWrap w:val="false"/>
          </w:tcPr>
          <w:p>
            <w:pPr>
              <w:pStyle w:val="874"/>
              <w:jc w:val="center"/>
              <w:rPr>
                <w:szCs w:val="21"/>
              </w:rPr>
            </w:pPr>
            <w:r>
              <w:rPr>
                <w:szCs w:val="21"/>
              </w:rPr>
              <w:t xml:space="preserve">2</w:t>
            </w:r>
            <w:r/>
          </w:p>
        </w:tc>
        <w:tc>
          <w:tcPr>
            <w:tcW w:w="1574" w:type="pct"/>
            <w:vAlign w:val="center"/>
            <w:textDirection w:val="lrTb"/>
            <w:noWrap w:val="false"/>
          </w:tcPr>
          <w:p>
            <w:pPr>
              <w:pStyle w:val="874"/>
              <w:jc w:val="center"/>
              <w:rPr>
                <w:szCs w:val="21"/>
              </w:rPr>
            </w:pPr>
            <w:r>
              <w:rPr>
                <w:szCs w:val="21"/>
              </w:rPr>
              <w:t xml:space="preserve">1:500大比例尺地形图更新</w:t>
            </w:r>
            <w:r/>
          </w:p>
        </w:tc>
        <w:tc>
          <w:tcPr>
            <w:tcW w:w="1060" w:type="pct"/>
            <w:vAlign w:val="center"/>
            <w:textDirection w:val="lrTb"/>
            <w:noWrap w:val="false"/>
          </w:tcPr>
          <w:p>
            <w:pPr>
              <w:pStyle w:val="874"/>
              <w:jc w:val="center"/>
              <w:rPr>
                <w:szCs w:val="21"/>
              </w:rPr>
            </w:pPr>
            <w:r>
              <w:rPr>
                <w:rFonts w:hint="eastAsia"/>
                <w:szCs w:val="21"/>
                <w:u w:val="single"/>
              </w:rPr>
              <w:t xml:space="preserve">   </w:t>
            </w:r>
            <w:r>
              <w:rPr>
                <w:szCs w:val="21"/>
              </w:rPr>
              <w:t xml:space="preserve">万元/平方千米</w:t>
            </w:r>
            <w:r/>
          </w:p>
        </w:tc>
        <w:tc>
          <w:tcPr>
            <w:tcW w:w="1932" w:type="pct"/>
            <w:vAlign w:val="center"/>
            <w:vMerge w:val="restart"/>
            <w:textDirection w:val="lrTb"/>
            <w:noWrap w:val="false"/>
          </w:tcPr>
          <w:p>
            <w:pPr>
              <w:pStyle w:val="874"/>
              <w:rPr>
                <w:szCs w:val="21"/>
              </w:rPr>
            </w:pPr>
            <w:r>
              <w:rPr>
                <w:szCs w:val="21"/>
              </w:rPr>
              <w:t xml:space="preserve">本部分报价为单价，最终的项目金额=单价×更新面积。</w:t>
            </w:r>
            <w:r/>
          </w:p>
        </w:tc>
      </w:tr>
      <w:tr>
        <w:trPr>
          <w:cantSplit/>
          <w:trHeight w:val="924"/>
        </w:trPr>
        <w:tc>
          <w:tcPr>
            <w:tcW w:w="432" w:type="pct"/>
            <w:vAlign w:val="center"/>
            <w:textDirection w:val="lrTb"/>
            <w:noWrap w:val="false"/>
          </w:tcPr>
          <w:p>
            <w:pPr>
              <w:pStyle w:val="874"/>
              <w:jc w:val="center"/>
              <w:rPr>
                <w:szCs w:val="21"/>
              </w:rPr>
            </w:pPr>
            <w:r>
              <w:rPr>
                <w:szCs w:val="21"/>
              </w:rPr>
              <w:t xml:space="preserve">3</w:t>
            </w:r>
            <w:r/>
          </w:p>
        </w:tc>
        <w:tc>
          <w:tcPr>
            <w:tcW w:w="1574" w:type="pct"/>
            <w:vAlign w:val="center"/>
            <w:textDirection w:val="lrTb"/>
            <w:noWrap w:val="false"/>
          </w:tcPr>
          <w:p>
            <w:pPr>
              <w:pStyle w:val="874"/>
              <w:jc w:val="center"/>
              <w:rPr>
                <w:szCs w:val="21"/>
              </w:rPr>
            </w:pPr>
            <w:r>
              <w:rPr>
                <w:szCs w:val="21"/>
              </w:rPr>
              <w:t xml:space="preserve">1:1000大比例尺地形图更新</w:t>
            </w:r>
            <w:r/>
          </w:p>
        </w:tc>
        <w:tc>
          <w:tcPr>
            <w:tcW w:w="1060" w:type="pct"/>
            <w:vAlign w:val="center"/>
            <w:textDirection w:val="lrTb"/>
            <w:noWrap w:val="false"/>
          </w:tcPr>
          <w:p>
            <w:pPr>
              <w:pStyle w:val="874"/>
              <w:jc w:val="center"/>
              <w:rPr>
                <w:szCs w:val="21"/>
              </w:rPr>
            </w:pPr>
            <w:r>
              <w:rPr>
                <w:rFonts w:hint="eastAsia"/>
                <w:szCs w:val="21"/>
              </w:rPr>
              <w:t xml:space="preserve"> </w:t>
            </w:r>
            <w:r>
              <w:rPr>
                <w:rFonts w:hint="eastAsia"/>
                <w:szCs w:val="21"/>
                <w:u w:val="single"/>
              </w:rPr>
              <w:t xml:space="preserve">   </w:t>
            </w:r>
            <w:r>
              <w:rPr>
                <w:szCs w:val="21"/>
              </w:rPr>
              <w:t xml:space="preserve">万元/平方千米</w:t>
            </w:r>
            <w:r/>
          </w:p>
        </w:tc>
        <w:tc>
          <w:tcPr>
            <w:tcW w:w="1932" w:type="pct"/>
            <w:vAlign w:val="center"/>
            <w:vMerge w:val="continue"/>
            <w:textDirection w:val="lrTb"/>
            <w:noWrap w:val="false"/>
          </w:tcPr>
          <w:p>
            <w:pPr>
              <w:pStyle w:val="874"/>
              <w:rPr>
                <w:szCs w:val="21"/>
              </w:rPr>
            </w:pPr>
            <w:r>
              <w:rPr>
                <w:szCs w:val="21"/>
              </w:rPr>
            </w:r>
            <w:r/>
          </w:p>
        </w:tc>
      </w:tr>
    </w:tbl>
    <w:p>
      <w:pPr>
        <w:jc w:val="left"/>
        <w:spacing w:line="240" w:lineRule="atLeast"/>
        <w:widowControl/>
        <w:rPr>
          <w:rFonts w:ascii="宋体" w:hAnsi="宋体" w:cs="宋体"/>
          <w:b/>
          <w:bCs/>
          <w:lang w:val="zh-CN"/>
        </w:rPr>
      </w:pPr>
      <w:r>
        <w:rPr>
          <w:rFonts w:ascii="宋体" w:hAnsi="宋体" w:cs="宋体"/>
          <w:b/>
          <w:bCs/>
          <w:lang w:val="zh-CN"/>
        </w:rPr>
      </w:r>
      <w:r/>
    </w:p>
    <w:p>
      <w:pPr>
        <w:jc w:val="left"/>
        <w:widowControl/>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w:t>
      </w:r>
      <w:r>
        <w:rPr>
          <w:rFonts w:hint="eastAsia" w:ascii="宋体" w:hAnsi="宋体" w:cs="宋体"/>
          <w:szCs w:val="21"/>
        </w:rPr>
      </w:r>
      <w:r>
        <w:rPr>
          <w:rFonts w:hint="eastAsia" w:ascii="宋体" w:hAnsi="宋体" w:cs="宋体"/>
          <w:szCs w:val="21"/>
        </w:rPr>
        <w:t xml:space="preserve">更新</w:t>
      </w:r>
      <w:r>
        <w:rPr>
          <w:rFonts w:hint="eastAsia" w:ascii="宋体" w:hAnsi="宋体" w:cs="宋体"/>
          <w:szCs w:val="21"/>
        </w:rPr>
        <w:t xml:space="preserve">面积</w:t>
      </w:r>
      <w:r>
        <w:rPr>
          <w:rFonts w:hint="eastAsia" w:ascii="宋体" w:hAnsi="宋体" w:cs="宋体"/>
          <w:szCs w:val="21"/>
        </w:rPr>
        <w:t xml:space="preserve">即</w:t>
      </w:r>
      <w:r>
        <w:rPr>
          <w:rFonts w:hint="eastAsia" w:ascii="宋体" w:hAnsi="宋体" w:cs="宋体"/>
          <w:szCs w:val="21"/>
        </w:rPr>
      </w:r>
      <w:r>
        <w:rPr>
          <w:rFonts w:hint="eastAsia" w:ascii="宋体" w:hAnsi="宋体" w:cs="宋体"/>
          <w:szCs w:val="21"/>
        </w:rPr>
        <w:t xml:space="preserve">实际</w:t>
      </w:r>
      <w:r>
        <w:rPr>
          <w:rFonts w:hint="eastAsia" w:ascii="宋体" w:hAnsi="宋体" w:cs="宋体"/>
          <w:szCs w:val="21"/>
        </w:rPr>
        <w:t xml:space="preserve">工作量</w:t>
      </w:r>
      <w:r/>
      <w:r>
        <w:rPr>
          <w:rFonts w:hint="eastAsia" w:ascii="宋体" w:hAnsi="宋体" w:cs="宋体"/>
          <w:szCs w:val="21"/>
        </w:rPr>
      </w:r>
      <w:r>
        <w:rPr>
          <w:rFonts w:hint="eastAsia" w:ascii="宋体" w:hAnsi="宋体" w:cs="宋体"/>
          <w:szCs w:val="21"/>
        </w:rPr>
        <w:t xml:space="preserve">。</w:t>
      </w:r>
      <w:r>
        <w:rPr>
          <w:rFonts w:hint="eastAsia" w:ascii="宋体" w:hAnsi="宋体" w:cs="宋体"/>
          <w:szCs w:val="21"/>
        </w:rPr>
        <w:br w:type="page" w:clear="all"/>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ascii="宋体" w:hAnsi="宋体" w:cs="宋体"/>
          <w:szCs w:val="21"/>
        </w:rPr>
      </w:pPr>
      <w:r>
        <w:rPr>
          <w:rFonts w:ascii="宋体" w:hAnsi="宋体" w:cs="宋体"/>
          <w:szCs w:val="21"/>
        </w:rPr>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采购需求偏离表</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1902"/>
        <w:gridCol w:w="2187"/>
        <w:gridCol w:w="3414"/>
        <w:gridCol w:w="1412"/>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7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052"/>
        <w:ind w:firstLine="0"/>
        <w:spacing w:before="0" w:after="0"/>
        <w:rPr>
          <w:rFonts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                                 项目编号：</w:t>
      </w:r>
      <w:r/>
    </w:p>
    <w:tbl>
      <w:tblPr>
        <w:tblStyle w:val="87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投标人类似业绩情况表</w:t>
      </w:r>
      <w:r/>
    </w:p>
    <w:tbl>
      <w:tblPr>
        <w:tblStyle w:val="87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w:t>
            </w:r>
            <w:r/>
          </w:p>
          <w:p>
            <w:pPr>
              <w:jc w:val="center"/>
              <w:spacing w:line="400" w:lineRule="atLeast"/>
              <w:widowControl/>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获奖</w:t>
            </w:r>
            <w:r/>
          </w:p>
          <w:p>
            <w:pPr>
              <w:jc w:val="center"/>
              <w:spacing w:line="400" w:lineRule="atLeast"/>
              <w:widowControl/>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left"/>
        <w:widowControl/>
        <w:rPr>
          <w:rFonts w:ascii="宋体" w:hAnsi="宋体" w:cs="宋体"/>
          <w:b/>
        </w:rPr>
      </w:pPr>
      <w:r>
        <w:rPr>
          <w:rFonts w:hint="eastAsia" w:ascii="宋体" w:hAnsi="宋体" w:cs="宋体"/>
          <w:b/>
        </w:rPr>
        <w:br w:type="page" w:clear="all"/>
      </w:r>
      <w:r/>
    </w:p>
    <w:p>
      <w:pPr>
        <w:spacing w:line="360" w:lineRule="auto"/>
        <w:rPr>
          <w:rFonts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240" w:after="240" w:line="480" w:lineRule="auto"/>
        <w:rPr>
          <w:rFonts w:ascii="宋体" w:hAnsi="宋体" w:cs="宋体"/>
          <w:b/>
          <w:bCs/>
          <w:sz w:val="28"/>
          <w:szCs w:val="28"/>
        </w:rPr>
      </w:pPr>
      <w:r/>
      <w:bookmarkStart w:id="26" w:name="OLE_LINK13"/>
      <w:r/>
      <w:bookmarkStart w:id="27"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                                                   日期：</w:t>
      </w:r>
      <w:r/>
    </w:p>
    <w:p>
      <w:pPr>
        <w:ind w:firstLine="420"/>
        <w:jc w:val="left"/>
        <w:spacing w:line="360" w:lineRule="auto"/>
        <w:widowControl/>
        <w:rPr>
          <w:rFonts w:ascii="宋体" w:hAnsi="宋体" w:cs="宋体"/>
        </w:rPr>
      </w:pPr>
      <w:r>
        <w:rPr>
          <w:rFonts w:ascii="宋体" w:hAnsi="宋体" w:cs="宋体"/>
        </w:rPr>
      </w:r>
      <w:r/>
    </w:p>
    <w:p>
      <w:pPr>
        <w:ind w:firstLine="420"/>
        <w:jc w:val="left"/>
        <w:spacing w:line="360" w:lineRule="auto"/>
        <w:widowControl/>
        <w:rPr>
          <w:rFonts w:ascii="宋体" w:hAnsi="宋体" w:cs="宋体"/>
        </w:rPr>
      </w:pPr>
      <w:r>
        <w:rPr>
          <w:rFonts w:ascii="宋体" w:hAnsi="宋体" w:cs="宋体"/>
        </w:rPr>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ascii="宋体" w:hAnsi="宋体" w:cs="宋体"/>
          <w:b/>
          <w:bCs/>
          <w:sz w:val="28"/>
        </w:rPr>
      </w:pPr>
      <w:r>
        <w:rPr>
          <w:rFonts w:ascii="宋体" w:hAnsi="宋体" w:cs="宋体"/>
          <w:b/>
          <w:bCs/>
          <w:sz w:val="28"/>
        </w:rPr>
      </w:r>
      <w:r/>
    </w:p>
    <w:p>
      <w:pPr>
        <w:ind w:firstLine="420"/>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ascii="宋体" w:hAnsi="宋体" w:cs="宋体"/>
          <w:lang w:val="zh-CN"/>
        </w:rPr>
      </w:pPr>
      <w:r>
        <w:rPr>
          <w:rFonts w:ascii="宋体" w:hAnsi="宋体" w:cs="宋体"/>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921"/>
        <w:rPr>
          <w:rFonts w:ascii="宋体" w:hAnsi="宋体" w:cs="宋体"/>
          <w:bCs/>
        </w:rPr>
      </w:pPr>
      <w:r>
        <w:rPr>
          <w:rFonts w:ascii="宋体" w:hAnsi="宋体" w:cs="宋体"/>
          <w:bCs/>
        </w:rPr>
      </w:r>
      <w:r/>
    </w:p>
    <w:p>
      <w:pPr>
        <w:pStyle w:val="921"/>
        <w:rPr>
          <w:rFonts w:ascii="宋体" w:hAnsi="宋体" w:cs="宋体"/>
          <w:bCs/>
        </w:rPr>
      </w:pPr>
      <w:r>
        <w:rPr>
          <w:rFonts w:ascii="宋体" w:hAnsi="宋体" w:cs="宋体"/>
          <w:bCs/>
        </w:rPr>
      </w:r>
      <w:r/>
    </w:p>
    <w:p>
      <w:pPr>
        <w:pStyle w:val="921"/>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r>
        <w:br w:type="page" w:clear="all"/>
      </w:r>
      <w:r/>
    </w:p>
    <w:p>
      <w:pPr>
        <w:pStyle w:val="905"/>
        <w:jc w:val="center"/>
        <w:spacing w:before="24" w:beforeAutospacing="0" w:after="24" w:afterAutospacing="0" w:line="360" w:lineRule="auto"/>
        <w:shd w:val="clear" w:color="auto" w:fill="ffffff"/>
        <w:rPr>
          <w:color w:val="333333"/>
          <w:sz w:val="21"/>
          <w:szCs w:val="21"/>
        </w:rPr>
      </w:pPr>
      <w:r>
        <w:rPr>
          <w:rStyle w:val="910"/>
          <w:rFonts w:hint="eastAsia" w:cs="宋体"/>
          <w:color w:val="333333"/>
          <w:sz w:val="21"/>
          <w:szCs w:val="21"/>
          <w:shd w:val="clear" w:color="auto" w:fill="ffffff"/>
        </w:rPr>
        <w:t xml:space="preserve">关于符合本国产品标准的声明函</w:t>
      </w:r>
      <w:r/>
    </w:p>
    <w:p>
      <w:pPr>
        <w:pStyle w:val="905"/>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5"/>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1.</w:t>
      </w:r>
      <w:r>
        <w:rPr>
          <w:rStyle w:val="913"/>
          <w:rFonts w:hint="eastAsia"/>
          <w:color w:val="333333"/>
          <w:sz w:val="21"/>
          <w:szCs w:val="21"/>
          <w:shd w:val="clear" w:color="auto" w:fill="ffffff"/>
        </w:rPr>
        <w:t xml:space="preserve">（产品名称1）</w:t>
      </w:r>
      <w:r>
        <w:rPr>
          <w:rStyle w:val="913"/>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913"/>
          <w:rFonts w:hint="eastAsia"/>
          <w:color w:val="333333"/>
          <w:sz w:val="21"/>
          <w:szCs w:val="21"/>
          <w:shd w:val="clear" w:color="auto" w:fill="ffffff"/>
        </w:rPr>
        <w:t xml:space="preserve">（厂名）</w:t>
      </w:r>
      <w:r>
        <w:rPr>
          <w:rStyle w:val="913"/>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913"/>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1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913"/>
          <w:rFonts w:hint="eastAsia"/>
          <w:color w:val="333333"/>
          <w:sz w:val="21"/>
          <w:szCs w:val="21"/>
          <w:shd w:val="clear" w:color="auto" w:fill="ffffff"/>
        </w:rPr>
        <w:t xml:space="preserve">（规定比例）</w:t>
      </w:r>
      <w:r>
        <w:rPr>
          <w:rStyle w:val="913"/>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91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13"/>
          <w:rFonts w:hint="eastAsia"/>
          <w:color w:val="333333"/>
          <w:sz w:val="21"/>
          <w:szCs w:val="21"/>
          <w:shd w:val="clear" w:color="auto" w:fill="ffffff"/>
        </w:rPr>
        <w:t xml:space="preserve">（关键组件）</w:t>
      </w:r>
      <w:r>
        <w:rPr>
          <w:rStyle w:val="913"/>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91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13"/>
          <w:rFonts w:hint="eastAsia"/>
          <w:color w:val="333333"/>
          <w:sz w:val="21"/>
          <w:szCs w:val="21"/>
          <w:shd w:val="clear" w:color="auto" w:fill="ffffff"/>
        </w:rPr>
        <w:t xml:space="preserve">（关键工序）</w:t>
      </w:r>
      <w:r>
        <w:rPr>
          <w:rStyle w:val="913"/>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905"/>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2.</w:t>
      </w:r>
      <w:r>
        <w:rPr>
          <w:rStyle w:val="91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913"/>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913"/>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1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913"/>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91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13"/>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91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13"/>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905"/>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w:t>
      </w:r>
      <w:r/>
    </w:p>
    <w:p>
      <w:pPr>
        <w:pStyle w:val="905"/>
        <w:ind w:firstLine="420"/>
        <w:spacing w:before="0" w:beforeAutospacing="0" w:after="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905"/>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pStyle w:val="905"/>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p>
    <w:p>
      <w:pPr>
        <w:pStyle w:val="905"/>
        <w:spacing w:before="0" w:beforeAutospacing="0" w:after="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p>
    <w:p>
      <w:pPr>
        <w:pStyle w:val="905"/>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905"/>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905"/>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905"/>
        <w:ind w:firstLine="420"/>
        <w:spacing w:before="0" w:beforeAutospacing="0" w:after="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905"/>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br w:type="page" w:clear="all"/>
      </w:r>
      <w:r/>
    </w:p>
    <w:p>
      <w:pPr>
        <w:pStyle w:val="905"/>
        <w:ind w:firstLine="420"/>
        <w:spacing w:before="0" w:beforeAutospacing="0" w:after="0" w:afterAutospacing="0"/>
        <w:shd w:val="clear" w:color="auto" w:fill="ffffff"/>
        <w:rPr>
          <w:rFonts w:ascii="楷体" w:hAnsi="楷体" w:eastAsia="楷体" w:cs="楷体"/>
          <w:color w:val="333333"/>
          <w:sz w:val="21"/>
          <w:szCs w:val="21"/>
          <w:shd w:val="clear" w:color="auto" w:fill="ffffff"/>
        </w:rPr>
      </w:pPr>
      <w:r>
        <w:rPr>
          <w:rFonts w:ascii="楷体" w:hAnsi="楷体" w:eastAsia="楷体" w:cs="楷体"/>
          <w:color w:val="333333"/>
          <w:sz w:val="21"/>
          <w:szCs w:val="21"/>
          <w:shd w:val="clear" w:color="auto" w:fill="ffffff"/>
        </w:rPr>
      </w:r>
      <w:bookmarkEnd w:id="26"/>
      <w:r/>
      <w:bookmarkEnd w:id="27"/>
      <w:r/>
      <w:r/>
    </w:p>
    <w:p>
      <w:pPr>
        <w:spacing w:line="360" w:lineRule="auto"/>
        <w:rPr>
          <w:rFonts w:ascii="宋体" w:hAnsi="宋体" w:cs="宋体"/>
          <w:b/>
        </w:rPr>
      </w:pP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声明人：（加盖电子公章）</w:t>
      </w:r>
      <w:r/>
    </w:p>
    <w:p>
      <w:pPr>
        <w:ind w:firstLine="5040"/>
        <w:spacing w:line="360" w:lineRule="auto"/>
        <w:rPr>
          <w:rFonts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ascii="宋体" w:hAnsi="宋体" w:cs="宋体"/>
          <w:b/>
        </w:rPr>
      </w:pPr>
      <w:r>
        <w:rPr>
          <w:rFonts w:hint="eastAsia" w:ascii="宋体" w:hAnsi="宋体" w:cs="宋体"/>
          <w:b/>
        </w:rPr>
        <w:t xml:space="preserve">附件十二、资格资信证明文件</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附件十三、</w:t>
      </w:r>
      <w:bookmarkStart w:id="29" w:name="_GoBack"/>
      <w:r>
        <w:rPr>
          <w:rFonts w:ascii="宋体" w:hAnsi="宋体" w:cs="宋体"/>
          <w:b/>
        </w:rPr>
        <w:t xml:space="preserve">《南京市政府采购供应商信用承诺书》</w:t>
      </w:r>
      <w:bookmarkEnd w:id="29"/>
      <w:r/>
      <w:r/>
    </w:p>
    <w:p>
      <w:pPr>
        <w:jc w:val="center"/>
        <w:rPr>
          <w:rFonts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rPr>
          <w:rFonts w:ascii="Calibri" w:hAnsi="Calibri"/>
        </w:rPr>
      </w:pPr>
      <w:r>
        <w:rPr>
          <w:rFonts w:ascii="Calibri" w:hAnsi="Calibri"/>
        </w:rPr>
      </w:r>
      <w:r/>
    </w:p>
    <w:tbl>
      <w:tblPr>
        <w:tblStyle w:val="909"/>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sz w:val="24"/>
                <w:szCs w:val="32"/>
              </w:rPr>
            </w:pPr>
            <w:r>
              <w:rPr>
                <w:rFonts w:hint="eastAsia" w:ascii="Calibri" w:hAnsi="Calibri"/>
                <w:sz w:val="24"/>
                <w:szCs w:val="32"/>
              </w:rPr>
              <w:t xml:space="preserve">   单位名称</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rPr>
            </w:pPr>
            <w:r>
              <w:rPr>
                <w:rFonts w:ascii="Calibri" w:hAnsi="Calibri"/>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法定代表人</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联系人</w:t>
            </w:r>
            <w:r/>
          </w:p>
        </w:tc>
        <w:tc>
          <w:tcPr>
            <w:tcW w:w="3331" w:type="dxa"/>
            <w:vAlign w:val="center"/>
            <w:textDirection w:val="lrTb"/>
            <w:noWrap w:val="false"/>
          </w:tcPr>
          <w:p>
            <w:pPr>
              <w:jc w:val="center"/>
              <w:rPr>
                <w:rFonts w:ascii="Calibri" w:hAnsi="Calibri"/>
              </w:rPr>
            </w:pPr>
            <w:r>
              <w:rPr>
                <w:rFonts w:ascii="Calibri" w:hAnsi="Calibri"/>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联系地址</w:t>
            </w:r>
            <w:r/>
          </w:p>
        </w:tc>
        <w:tc>
          <w:tcPr>
            <w:tcW w:w="2284" w:type="dxa"/>
            <w:vAlign w:val="center"/>
            <w:textDirection w:val="lrTb"/>
            <w:noWrap w:val="false"/>
          </w:tcPr>
          <w:p>
            <w:pPr>
              <w:jc w:val="center"/>
              <w:rPr>
                <w:rFonts w:ascii="Calibri" w:hAnsi="Calibri"/>
                <w:sz w:val="24"/>
                <w:szCs w:val="32"/>
              </w:rPr>
            </w:pPr>
            <w:r>
              <w:rPr>
                <w:rFonts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联系电话</w:t>
            </w:r>
            <w:r/>
          </w:p>
        </w:tc>
        <w:tc>
          <w:tcPr>
            <w:tcW w:w="3331" w:type="dxa"/>
            <w:vAlign w:val="center"/>
            <w:textDirection w:val="lrTb"/>
            <w:noWrap w:val="false"/>
          </w:tcPr>
          <w:p>
            <w:pPr>
              <w:jc w:val="center"/>
              <w:rPr>
                <w:rFonts w:ascii="Calibri" w:hAnsi="Calibri"/>
              </w:rPr>
            </w:pPr>
            <w:r>
              <w:rPr>
                <w:rFonts w:ascii="Calibri" w:hAnsi="Calibri"/>
              </w:rPr>
            </w:r>
            <w:r/>
          </w:p>
        </w:tc>
      </w:tr>
      <w:tr>
        <w:trPr>
          <w:trHeight w:val="5560"/>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信用承诺</w:t>
            </w:r>
            <w:r/>
          </w:p>
        </w:tc>
        <w:tc>
          <w:tcPr>
            <w:gridSpan w:val="3"/>
            <w:tcW w:w="7448" w:type="dxa"/>
            <w:vAlign w:val="center"/>
            <w:textDirection w:val="lrTb"/>
            <w:noWrap w:val="false"/>
          </w:tcPr>
          <w:p>
            <w:pPr>
              <w:ind w:firstLine="420"/>
              <w:rPr>
                <w:rFonts w:ascii="Calibri" w:hAnsi="Calibri"/>
              </w:rPr>
            </w:pPr>
            <w:r>
              <w:rPr>
                <w:rFonts w:hint="eastAsia" w:ascii="Calibri" w:hAnsi="Calibri"/>
              </w:rPr>
              <w:t xml:space="preserve">我公司自愿参加贵中心（公司）组织的本次采购活动，严格遵守《中华人民共和国政府采购法》及相关</w:t>
            </w:r>
            <w:r>
              <w:rPr>
                <w:rFonts w:hint="eastAsia" w:ascii="Calibri" w:hAnsi="Calibri"/>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供应商名称（盖章）：</w:t>
            </w:r>
            <w:r/>
          </w:p>
          <w:p>
            <w:pPr>
              <w:ind w:firstLine="420"/>
              <w:jc w:val="center"/>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法定代表人（签字）：</w:t>
            </w:r>
            <w:r/>
          </w:p>
          <w:p>
            <w:pPr>
              <w:ind w:firstLine="420"/>
              <w:jc w:val="center"/>
              <w:rPr>
                <w:rFonts w:ascii="Calibri" w:hAnsi="Calibri"/>
              </w:rPr>
            </w:pPr>
            <w:r>
              <w:rPr>
                <w:rFonts w:ascii="Calibri" w:hAnsi="Calibri"/>
              </w:rPr>
            </w:r>
            <w:r/>
          </w:p>
          <w:p>
            <w:pPr>
              <w:ind w:firstLine="420"/>
              <w:jc w:val="center"/>
              <w:rPr>
                <w:rFonts w:ascii="Calibri" w:hAnsi="Calibri"/>
              </w:rPr>
            </w:pPr>
            <w:r>
              <w:rPr>
                <w:rFonts w:hint="eastAsia" w:ascii="Calibri" w:hAnsi="Calibri"/>
              </w:rPr>
              <w:t xml:space="preserve">XXXX年XX月XX日</w:t>
            </w:r>
            <w:r/>
          </w:p>
        </w:tc>
      </w:tr>
    </w:tbl>
    <w:p>
      <w:pPr>
        <w:jc w:val="center"/>
        <w:rPr>
          <w:rFonts w:ascii="Calibri" w:hAnsi="Calibri"/>
        </w:rPr>
      </w:pPr>
      <w:r>
        <w:rPr>
          <w:rFonts w:ascii="Calibri" w:hAnsi="Calibri"/>
        </w:rPr>
      </w:r>
      <w:r/>
    </w:p>
    <w:p>
      <w:pPr>
        <w:pStyle w:val="921"/>
        <w:ind w:firstLine="0"/>
        <w:jc w:val="left"/>
        <w:spacing w:line="360" w:lineRule="auto"/>
        <w:rPr>
          <w:rFonts w:ascii="宋体" w:hAnsi="宋体" w:cs="宋体"/>
          <w:b/>
        </w:rPr>
      </w:pPr>
      <w:r>
        <w:rPr>
          <w:rFonts w:ascii="宋体" w:hAnsi="宋体" w:cs="宋体"/>
          <w:b/>
        </w:rPr>
      </w:r>
      <w:r/>
    </w:p>
    <w:p>
      <w:pPr>
        <w:jc w:val="left"/>
        <w:widowControl/>
        <w:rPr>
          <w:rFonts w:ascii="宋体" w:hAnsi="宋体" w:cs="宋体"/>
          <w:b/>
        </w:rPr>
      </w:pPr>
      <w:r>
        <w:rPr>
          <w:rFonts w:hint="eastAsia" w:ascii="宋体" w:hAnsi="宋体" w:cs="宋体"/>
          <w:b/>
        </w:rPr>
        <w:br w:type="page" w:clear="all"/>
      </w:r>
      <w:r/>
    </w:p>
    <w:p>
      <w:pPr>
        <w:pStyle w:val="921"/>
        <w:ind w:firstLine="0"/>
        <w:jc w:val="left"/>
        <w:spacing w:line="360" w:lineRule="auto"/>
        <w:rPr>
          <w:rFonts w:ascii="宋体" w:hAnsi="宋体" w:cs="宋体"/>
          <w:szCs w:val="20"/>
        </w:rPr>
      </w:pPr>
      <w:r>
        <w:rPr>
          <w:rFonts w:hint="eastAsia" w:ascii="宋体" w:hAnsi="宋体" w:cs="宋体"/>
          <w:b/>
        </w:rPr>
        <w:t xml:space="preserve">附件十四、</w:t>
      </w:r>
      <w:bookmarkStart w:id="28" w:name="OLE_LINK2"/>
      <w:r>
        <w:rPr>
          <w:rFonts w:hint="eastAsia" w:ascii="宋体" w:hAnsi="宋体" w:cs="宋体"/>
          <w:b/>
        </w:rPr>
        <w:t xml:space="preserve">投标人需要提供的其他材料</w:t>
      </w:r>
      <w:bookmarkEnd w:id="28"/>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62"/>
      <w:isLgl w:val="false"/>
      <w:suff w:val="nothing"/>
      <w:lvlText w:val="第%1章"/>
      <w:lvlJc w:val="left"/>
      <w:pPr>
        <w:ind w:left="0" w:firstLine="0"/>
      </w:pPr>
    </w:lvl>
    <w:lvl w:ilvl="1">
      <w:start w:val="1"/>
      <w:numFmt w:val="none"/>
      <w:pStyle w:val="863"/>
      <w:isLgl w:val="false"/>
      <w:suff w:val="nothing"/>
      <w:lvlText w:val=""/>
      <w:lvlJc w:val="left"/>
      <w:pPr>
        <w:ind w:left="0" w:firstLine="0"/>
      </w:pPr>
    </w:lvl>
    <w:lvl w:ilvl="2">
      <w:start w:val="1"/>
      <w:numFmt w:val="none"/>
      <w:pStyle w:val="864"/>
      <w:isLgl w:val="false"/>
      <w:suff w:val="nothing"/>
      <w:lvlText w:val=""/>
      <w:lvlJc w:val="left"/>
      <w:pPr>
        <w:ind w:left="0" w:firstLine="0"/>
      </w:pPr>
    </w:lvl>
    <w:lvl w:ilvl="3">
      <w:start w:val="1"/>
      <w:numFmt w:val="none"/>
      <w:pStyle w:val="865"/>
      <w:isLgl w:val="false"/>
      <w:suff w:val="nothing"/>
      <w:lvlText w:val=""/>
      <w:lvlJc w:val="left"/>
      <w:pPr>
        <w:ind w:left="0" w:firstLine="0"/>
      </w:pPr>
    </w:lvl>
    <w:lvl w:ilvl="4">
      <w:start w:val="1"/>
      <w:numFmt w:val="none"/>
      <w:pStyle w:val="866"/>
      <w:isLgl w:val="false"/>
      <w:suff w:val="nothing"/>
      <w:lvlText w:val=""/>
      <w:lvlJc w:val="left"/>
      <w:pPr>
        <w:ind w:left="0" w:firstLine="0"/>
      </w:pPr>
    </w:lvl>
    <w:lvl w:ilvl="5">
      <w:start w:val="1"/>
      <w:numFmt w:val="none"/>
      <w:pStyle w:val="867"/>
      <w:isLgl w:val="false"/>
      <w:suff w:val="nothing"/>
      <w:lvlText w:val=""/>
      <w:lvlJc w:val="left"/>
      <w:pPr>
        <w:ind w:left="0" w:firstLine="0"/>
      </w:pPr>
    </w:lvl>
    <w:lvl w:ilvl="6">
      <w:start w:val="1"/>
      <w:numFmt w:val="none"/>
      <w:pStyle w:val="868"/>
      <w:isLgl w:val="false"/>
      <w:suff w:val="nothing"/>
      <w:lvlText w:val=""/>
      <w:lvlJc w:val="left"/>
      <w:pPr>
        <w:ind w:left="0" w:firstLine="0"/>
      </w:pPr>
    </w:lvl>
    <w:lvl w:ilvl="7">
      <w:start w:val="1"/>
      <w:numFmt w:val="none"/>
      <w:pStyle w:val="869"/>
      <w:isLgl w:val="false"/>
      <w:suff w:val="nothing"/>
      <w:lvlText w:val=""/>
      <w:lvlJc w:val="left"/>
      <w:pPr>
        <w:ind w:left="0" w:firstLine="0"/>
      </w:pPr>
    </w:lvl>
    <w:lvl w:ilvl="8">
      <w:start w:val="1"/>
      <w:numFmt w:val="none"/>
      <w:pStyle w:val="870"/>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1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35"/>
      <w:isLgl/>
      <w:suff w:val="tab"/>
      <w:lvlText w:val="%1.%2"/>
      <w:lvlJc w:val="left"/>
      <w:pPr>
        <w:ind w:left="425" w:hanging="425"/>
      </w:pPr>
      <w:rPr>
        <w:rFonts w:hint="eastAsia" w:ascii="Arial Unicode MS" w:hAnsi="Arial Unicode MS" w:eastAsia="微软雅黑"/>
        <w:b/>
        <w:i w:val="0"/>
      </w:rPr>
    </w:lvl>
    <w:lvl w:ilvl="2">
      <w:start w:val="1"/>
      <w:numFmt w:val="decimal"/>
      <w:pStyle w:val="104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71"/>
    <w:link w:val="862"/>
    <w:uiPriority w:val="9"/>
    <w:rPr>
      <w:rFonts w:ascii="Arial" w:hAnsi="Arial" w:eastAsia="Arial" w:cs="Arial"/>
      <w:sz w:val="40"/>
      <w:szCs w:val="40"/>
    </w:rPr>
  </w:style>
  <w:style w:type="character" w:styleId="712">
    <w:name w:val="Heading 2 Char"/>
    <w:basedOn w:val="871"/>
    <w:link w:val="863"/>
    <w:uiPriority w:val="9"/>
    <w:rPr>
      <w:rFonts w:ascii="Arial" w:hAnsi="Arial" w:eastAsia="Arial" w:cs="Arial"/>
      <w:sz w:val="34"/>
    </w:rPr>
  </w:style>
  <w:style w:type="character" w:styleId="713">
    <w:name w:val="Heading 3 Char"/>
    <w:basedOn w:val="871"/>
    <w:link w:val="864"/>
    <w:uiPriority w:val="9"/>
    <w:rPr>
      <w:rFonts w:ascii="Arial" w:hAnsi="Arial" w:eastAsia="Arial" w:cs="Arial"/>
      <w:sz w:val="30"/>
      <w:szCs w:val="30"/>
    </w:rPr>
  </w:style>
  <w:style w:type="character" w:styleId="714">
    <w:name w:val="Heading 4 Char"/>
    <w:basedOn w:val="871"/>
    <w:link w:val="865"/>
    <w:uiPriority w:val="9"/>
    <w:rPr>
      <w:rFonts w:ascii="Arial" w:hAnsi="Arial" w:eastAsia="Arial" w:cs="Arial"/>
      <w:b/>
      <w:bCs/>
      <w:sz w:val="26"/>
      <w:szCs w:val="26"/>
    </w:rPr>
  </w:style>
  <w:style w:type="character" w:styleId="715">
    <w:name w:val="Heading 5 Char"/>
    <w:basedOn w:val="871"/>
    <w:link w:val="866"/>
    <w:uiPriority w:val="9"/>
    <w:rPr>
      <w:rFonts w:ascii="Arial" w:hAnsi="Arial" w:eastAsia="Arial" w:cs="Arial"/>
      <w:b/>
      <w:bCs/>
      <w:sz w:val="24"/>
      <w:szCs w:val="24"/>
    </w:rPr>
  </w:style>
  <w:style w:type="character" w:styleId="716">
    <w:name w:val="Heading 6 Char"/>
    <w:basedOn w:val="871"/>
    <w:link w:val="867"/>
    <w:uiPriority w:val="9"/>
    <w:rPr>
      <w:rFonts w:ascii="Arial" w:hAnsi="Arial" w:eastAsia="Arial" w:cs="Arial"/>
      <w:b/>
      <w:bCs/>
      <w:sz w:val="22"/>
      <w:szCs w:val="22"/>
    </w:rPr>
  </w:style>
  <w:style w:type="character" w:styleId="717">
    <w:name w:val="Heading 7 Char"/>
    <w:basedOn w:val="871"/>
    <w:link w:val="868"/>
    <w:uiPriority w:val="9"/>
    <w:rPr>
      <w:rFonts w:ascii="Arial" w:hAnsi="Arial" w:eastAsia="Arial" w:cs="Arial"/>
      <w:b/>
      <w:bCs/>
      <w:i/>
      <w:iCs/>
      <w:sz w:val="22"/>
      <w:szCs w:val="22"/>
    </w:rPr>
  </w:style>
  <w:style w:type="character" w:styleId="718">
    <w:name w:val="Heading 8 Char"/>
    <w:basedOn w:val="871"/>
    <w:link w:val="869"/>
    <w:uiPriority w:val="9"/>
    <w:rPr>
      <w:rFonts w:ascii="Arial" w:hAnsi="Arial" w:eastAsia="Arial" w:cs="Arial"/>
      <w:i/>
      <w:iCs/>
      <w:sz w:val="22"/>
      <w:szCs w:val="22"/>
    </w:rPr>
  </w:style>
  <w:style w:type="character" w:styleId="719">
    <w:name w:val="Heading 9 Char"/>
    <w:basedOn w:val="871"/>
    <w:link w:val="870"/>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character" w:styleId="721">
    <w:name w:val="Title Char"/>
    <w:basedOn w:val="871"/>
    <w:link w:val="906"/>
    <w:uiPriority w:val="10"/>
    <w:rPr>
      <w:sz w:val="48"/>
      <w:szCs w:val="48"/>
    </w:rPr>
  </w:style>
  <w:style w:type="character" w:styleId="722">
    <w:name w:val="Subtitle Char"/>
    <w:basedOn w:val="871"/>
    <w:link w:val="899"/>
    <w:uiPriority w:val="11"/>
    <w:rPr>
      <w:sz w:val="24"/>
      <w:szCs w:val="24"/>
    </w:rPr>
  </w:style>
  <w:style w:type="paragraph" w:styleId="723">
    <w:name w:val="Quote"/>
    <w:basedOn w:val="861"/>
    <w:next w:val="861"/>
    <w:link w:val="724"/>
    <w:uiPriority w:val="29"/>
    <w:qFormat/>
    <w:pPr>
      <w:ind w:left="720" w:right="720"/>
    </w:pPr>
    <w:rPr>
      <w:i/>
    </w:rPr>
  </w:style>
  <w:style w:type="character" w:styleId="724">
    <w:name w:val="Quote Char"/>
    <w:link w:val="723"/>
    <w:uiPriority w:val="29"/>
    <w:rPr>
      <w:i/>
    </w:rPr>
  </w:style>
  <w:style w:type="paragraph" w:styleId="725">
    <w:name w:val="Intense Quote"/>
    <w:basedOn w:val="861"/>
    <w:next w:val="861"/>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1"/>
    <w:link w:val="894"/>
    <w:uiPriority w:val="99"/>
  </w:style>
  <w:style w:type="character" w:styleId="728">
    <w:name w:val="Footer Char"/>
    <w:basedOn w:val="871"/>
    <w:link w:val="893"/>
    <w:uiPriority w:val="99"/>
  </w:style>
  <w:style w:type="character" w:styleId="729">
    <w:name w:val="Caption Char"/>
    <w:basedOn w:val="878"/>
    <w:link w:val="893"/>
    <w:uiPriority w:val="99"/>
  </w:style>
  <w:style w:type="table" w:styleId="730">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1"/>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1"/>
    <w:uiPriority w:val="99"/>
    <w:unhideWhenUsed/>
    <w:rPr>
      <w:vertAlign w:val="superscript"/>
    </w:rPr>
  </w:style>
  <w:style w:type="paragraph" w:styleId="856">
    <w:name w:val="endnote text"/>
    <w:basedOn w:val="861"/>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1"/>
    <w:uiPriority w:val="99"/>
    <w:semiHidden/>
    <w:unhideWhenUsed/>
    <w:rPr>
      <w:vertAlign w:val="superscript"/>
    </w:r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73"/>
    <w:uiPriority w:val="0"/>
    <w:qFormat/>
    <w:pPr>
      <w:jc w:val="both"/>
      <w:widowControl w:val="off"/>
    </w:pPr>
    <w:rPr>
      <w:rFonts w:ascii="Times New Roman" w:hAnsi="Times New Roman" w:eastAsia="宋体" w:cs="Times New Roman"/>
      <w:sz w:val="21"/>
      <w:szCs w:val="24"/>
      <w:lang w:val="en-US" w:eastAsia="zh-CN" w:bidi="ar-SA"/>
    </w:rPr>
  </w:style>
  <w:style w:type="paragraph" w:styleId="862">
    <w:name w:val="Heading 1"/>
    <w:basedOn w:val="861"/>
    <w:next w:val="861"/>
    <w:link w:val="925"/>
    <w:uiPriority w:val="0"/>
    <w:qFormat/>
    <w:pPr>
      <w:numPr>
        <w:ilvl w:val="0"/>
        <w:numId w:val="1"/>
      </w:numPr>
      <w:jc w:val="center"/>
      <w:keepLines/>
      <w:keepNext/>
      <w:spacing w:before="340" w:after="330" w:line="578" w:lineRule="auto"/>
      <w:outlineLvl w:val="0"/>
    </w:pPr>
    <w:rPr>
      <w:b/>
      <w:bCs/>
      <w:sz w:val="32"/>
      <w:szCs w:val="44"/>
    </w:rPr>
  </w:style>
  <w:style w:type="paragraph" w:styleId="863">
    <w:name w:val="Heading 2"/>
    <w:basedOn w:val="861"/>
    <w:next w:val="861"/>
    <w:link w:val="93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4">
    <w:name w:val="Heading 3"/>
    <w:basedOn w:val="861"/>
    <w:next w:val="861"/>
    <w:link w:val="970"/>
    <w:uiPriority w:val="0"/>
    <w:qFormat/>
    <w:pPr>
      <w:numPr>
        <w:ilvl w:val="2"/>
        <w:numId w:val="1"/>
      </w:numPr>
      <w:keepLines/>
      <w:keepNext/>
      <w:spacing w:before="260" w:after="260" w:line="416" w:lineRule="auto"/>
      <w:outlineLvl w:val="2"/>
    </w:pPr>
    <w:rPr>
      <w:b/>
      <w:bCs/>
      <w:sz w:val="32"/>
      <w:szCs w:val="32"/>
    </w:rPr>
  </w:style>
  <w:style w:type="paragraph" w:styleId="865">
    <w:name w:val="Heading 4"/>
    <w:basedOn w:val="861"/>
    <w:next w:val="875"/>
    <w:link w:val="100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60"/>
    <w:uiPriority w:val="0"/>
    <w:qFormat/>
    <w:pPr>
      <w:numPr>
        <w:ilvl w:val="4"/>
        <w:numId w:val="1"/>
      </w:numPr>
      <w:keepLines/>
      <w:keepNext/>
      <w:spacing w:before="280" w:after="290" w:line="376" w:lineRule="auto"/>
      <w:outlineLvl w:val="4"/>
    </w:pPr>
    <w:rPr>
      <w:b/>
      <w:bCs/>
      <w:sz w:val="28"/>
      <w:szCs w:val="28"/>
    </w:rPr>
  </w:style>
  <w:style w:type="paragraph" w:styleId="867">
    <w:name w:val="Heading 6"/>
    <w:basedOn w:val="861"/>
    <w:next w:val="861"/>
    <w:link w:val="946"/>
    <w:uiPriority w:val="0"/>
    <w:qFormat/>
    <w:pPr>
      <w:numPr>
        <w:ilvl w:val="5"/>
        <w:numId w:val="1"/>
      </w:numPr>
      <w:keepLines/>
      <w:keepNext/>
      <w:spacing w:before="240" w:after="64" w:line="320" w:lineRule="auto"/>
      <w:outlineLvl w:val="5"/>
    </w:pPr>
    <w:rPr>
      <w:rFonts w:ascii="Cambria" w:hAnsi="Cambria"/>
      <w:b/>
      <w:bCs/>
      <w:sz w:val="24"/>
    </w:rPr>
  </w:style>
  <w:style w:type="paragraph" w:styleId="868">
    <w:name w:val="Heading 7"/>
    <w:basedOn w:val="861"/>
    <w:next w:val="861"/>
    <w:link w:val="1001"/>
    <w:uiPriority w:val="0"/>
    <w:qFormat/>
    <w:pPr>
      <w:numPr>
        <w:ilvl w:val="6"/>
        <w:numId w:val="1"/>
      </w:numPr>
      <w:keepLines/>
      <w:keepNext/>
      <w:spacing w:before="240" w:after="64" w:line="320" w:lineRule="auto"/>
      <w:outlineLvl w:val="6"/>
    </w:pPr>
    <w:rPr>
      <w:b/>
      <w:bCs/>
      <w:sz w:val="24"/>
    </w:rPr>
  </w:style>
  <w:style w:type="paragraph" w:styleId="869">
    <w:name w:val="Heading 8"/>
    <w:basedOn w:val="861"/>
    <w:next w:val="861"/>
    <w:link w:val="986"/>
    <w:uiPriority w:val="0"/>
    <w:qFormat/>
    <w:pPr>
      <w:numPr>
        <w:ilvl w:val="7"/>
        <w:numId w:val="1"/>
      </w:numPr>
      <w:keepLines/>
      <w:keepNext/>
      <w:spacing w:before="240" w:after="64" w:line="320" w:lineRule="auto"/>
      <w:outlineLvl w:val="7"/>
    </w:pPr>
    <w:rPr>
      <w:rFonts w:ascii="Cambria" w:hAnsi="Cambria"/>
      <w:sz w:val="24"/>
    </w:rPr>
  </w:style>
  <w:style w:type="paragraph" w:styleId="870">
    <w:name w:val="Heading 9"/>
    <w:basedOn w:val="861"/>
    <w:next w:val="861"/>
    <w:link w:val="964"/>
    <w:uiPriority w:val="0"/>
    <w:qFormat/>
    <w:pPr>
      <w:numPr>
        <w:ilvl w:val="8"/>
        <w:numId w:val="1"/>
      </w:numPr>
      <w:keepLines/>
      <w:keepNext/>
      <w:spacing w:before="240" w:after="64" w:line="320" w:lineRule="auto"/>
      <w:outlineLvl w:val="8"/>
    </w:pPr>
    <w:rPr>
      <w:rFonts w:ascii="Cambria" w:hAnsi="Cambria"/>
      <w:szCs w:val="21"/>
    </w:rPr>
  </w:style>
  <w:style w:type="character" w:styleId="871" w:default="1">
    <w:name w:val="Default Paragraph Font"/>
    <w:uiPriority w:val="1"/>
    <w:semiHidden/>
    <w:unhideWhenUsed/>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List Paragraph"/>
    <w:basedOn w:val="861"/>
    <w:next w:val="874"/>
    <w:uiPriority w:val="34"/>
    <w:qFormat/>
    <w:pPr>
      <w:ind w:firstLine="420"/>
    </w:pPr>
    <w:rPr>
      <w:rFonts w:ascii="Calibri" w:hAnsi="Calibri"/>
      <w:szCs w:val="22"/>
    </w:rPr>
  </w:style>
  <w:style w:type="paragraph" w:styleId="874">
    <w:name w:val="annotation text"/>
    <w:basedOn w:val="861"/>
    <w:link w:val="978"/>
    <w:uiPriority w:val="99"/>
    <w:qFormat/>
    <w:pPr>
      <w:jc w:val="left"/>
    </w:pPr>
  </w:style>
  <w:style w:type="paragraph" w:styleId="875">
    <w:name w:val="Normal Indent"/>
    <w:basedOn w:val="861"/>
    <w:uiPriority w:val="0"/>
    <w:qFormat/>
    <w:pPr>
      <w:ind w:firstLine="420"/>
    </w:pPr>
    <w:rPr>
      <w:b/>
      <w:sz w:val="24"/>
      <w:szCs w:val="20"/>
    </w:rPr>
  </w:style>
  <w:style w:type="paragraph" w:styleId="876">
    <w:name w:val="List 3"/>
    <w:basedOn w:val="861"/>
    <w:uiPriority w:val="99"/>
    <w:unhideWhenUsed/>
    <w:qFormat/>
    <w:pPr>
      <w:ind w:left="1260" w:hanging="420"/>
      <w:spacing w:before="100" w:beforeAutospacing="1" w:after="100" w:afterAutospacing="1"/>
    </w:pPr>
    <w:rPr>
      <w:szCs w:val="21"/>
    </w:rPr>
  </w:style>
  <w:style w:type="paragraph" w:styleId="877">
    <w:name w:val="toc 7"/>
    <w:basedOn w:val="861"/>
    <w:next w:val="861"/>
    <w:uiPriority w:val="39"/>
    <w:unhideWhenUsed/>
    <w:qFormat/>
    <w:pPr>
      <w:ind w:left="2520"/>
    </w:pPr>
    <w:rPr>
      <w:rFonts w:ascii="Calibri" w:hAnsi="Calibri"/>
      <w:szCs w:val="22"/>
    </w:rPr>
  </w:style>
  <w:style w:type="paragraph" w:styleId="878">
    <w:name w:val="Caption"/>
    <w:basedOn w:val="861"/>
    <w:next w:val="861"/>
    <w:uiPriority w:val="0"/>
    <w:qFormat/>
    <w:rPr>
      <w:rFonts w:ascii="Cambria" w:hAnsi="Cambria" w:eastAsia="黑体"/>
      <w:sz w:val="20"/>
      <w:szCs w:val="22"/>
    </w:rPr>
  </w:style>
  <w:style w:type="paragraph" w:styleId="879">
    <w:name w:val="Document Map"/>
    <w:basedOn w:val="861"/>
    <w:link w:val="954"/>
    <w:uiPriority w:val="0"/>
    <w:qFormat/>
    <w:rPr>
      <w:rFonts w:ascii="宋体"/>
      <w:sz w:val="18"/>
      <w:szCs w:val="18"/>
    </w:rPr>
  </w:style>
  <w:style w:type="paragraph" w:styleId="880">
    <w:name w:val="toa heading"/>
    <w:basedOn w:val="861"/>
    <w:next w:val="861"/>
    <w:uiPriority w:val="99"/>
    <w:qFormat/>
    <w:pPr>
      <w:spacing w:before="120"/>
    </w:pPr>
    <w:rPr>
      <w:rFonts w:ascii="Arial" w:hAnsi="Arial"/>
    </w:rPr>
  </w:style>
  <w:style w:type="paragraph" w:styleId="881">
    <w:name w:val="Body Text 3"/>
    <w:basedOn w:val="861"/>
    <w:link w:val="997"/>
    <w:uiPriority w:val="0"/>
    <w:qFormat/>
    <w:rPr>
      <w:rFonts w:ascii="宋体"/>
      <w:sz w:val="24"/>
      <w:szCs w:val="20"/>
    </w:rPr>
  </w:style>
  <w:style w:type="paragraph" w:styleId="882">
    <w:name w:val="Body Text"/>
    <w:basedOn w:val="861"/>
    <w:next w:val="861"/>
    <w:link w:val="985"/>
    <w:uiPriority w:val="0"/>
    <w:qFormat/>
    <w:pPr>
      <w:jc w:val="center"/>
    </w:pPr>
    <w:rPr>
      <w:rFonts w:eastAsia="幼圆"/>
      <w:b/>
      <w:bCs/>
      <w:sz w:val="44"/>
    </w:rPr>
  </w:style>
  <w:style w:type="paragraph" w:styleId="883">
    <w:name w:val="Body Text Indent"/>
    <w:basedOn w:val="861"/>
    <w:next w:val="884"/>
    <w:link w:val="941"/>
    <w:uiPriority w:val="0"/>
    <w:qFormat/>
    <w:pPr>
      <w:ind w:left="420"/>
      <w:spacing w:after="120"/>
    </w:pPr>
  </w:style>
  <w:style w:type="paragraph" w:styleId="884">
    <w:name w:val="envelope return"/>
    <w:basedOn w:val="861"/>
    <w:uiPriority w:val="0"/>
    <w:qFormat/>
    <w:rPr>
      <w:rFonts w:ascii="Arial" w:hAnsi="Arial" w:cs="宋体"/>
    </w:rPr>
  </w:style>
  <w:style w:type="paragraph" w:styleId="885">
    <w:name w:val="index 4"/>
    <w:basedOn w:val="861"/>
    <w:next w:val="861"/>
    <w:uiPriority w:val="0"/>
    <w:qFormat/>
    <w:pPr>
      <w:ind w:left="600"/>
    </w:pPr>
    <w:rPr>
      <w:rFonts w:ascii="Calibri" w:hAnsi="Calibri"/>
    </w:rPr>
  </w:style>
  <w:style w:type="paragraph" w:styleId="886">
    <w:name w:val="toc 5"/>
    <w:basedOn w:val="861"/>
    <w:next w:val="861"/>
    <w:uiPriority w:val="39"/>
    <w:unhideWhenUsed/>
    <w:qFormat/>
    <w:pPr>
      <w:ind w:left="1680"/>
    </w:pPr>
    <w:rPr>
      <w:rFonts w:ascii="Calibri" w:hAnsi="Calibri"/>
      <w:szCs w:val="22"/>
    </w:rPr>
  </w:style>
  <w:style w:type="paragraph" w:styleId="887">
    <w:name w:val="toc 3"/>
    <w:basedOn w:val="861"/>
    <w:next w:val="861"/>
    <w:uiPriority w:val="39"/>
    <w:qFormat/>
    <w:pPr>
      <w:ind w:left="840"/>
    </w:pPr>
    <w:rPr>
      <w:rFonts w:ascii="Calibri" w:hAnsi="Calibri"/>
      <w:szCs w:val="22"/>
    </w:rPr>
  </w:style>
  <w:style w:type="paragraph" w:styleId="888">
    <w:name w:val="Plain Text"/>
    <w:basedOn w:val="861"/>
    <w:link w:val="947"/>
    <w:uiPriority w:val="0"/>
    <w:qFormat/>
    <w:rPr>
      <w:rFonts w:ascii="Ari"/>
    </w:rPr>
  </w:style>
  <w:style w:type="paragraph" w:styleId="889">
    <w:name w:val="toc 8"/>
    <w:basedOn w:val="861"/>
    <w:next w:val="861"/>
    <w:uiPriority w:val="39"/>
    <w:unhideWhenUsed/>
    <w:qFormat/>
    <w:pPr>
      <w:ind w:left="2940"/>
    </w:pPr>
    <w:rPr>
      <w:rFonts w:ascii="Calibri" w:hAnsi="Calibri"/>
      <w:szCs w:val="22"/>
    </w:rPr>
  </w:style>
  <w:style w:type="paragraph" w:styleId="890">
    <w:name w:val="Date"/>
    <w:basedOn w:val="861"/>
    <w:next w:val="861"/>
    <w:link w:val="955"/>
    <w:uiPriority w:val="0"/>
    <w:unhideWhenUsed/>
    <w:qFormat/>
  </w:style>
  <w:style w:type="paragraph" w:styleId="891">
    <w:name w:val="Body Text Indent 2"/>
    <w:basedOn w:val="861"/>
    <w:link w:val="977"/>
    <w:uiPriority w:val="99"/>
    <w:unhideWhenUsed/>
    <w:qFormat/>
    <w:pPr>
      <w:ind w:firstLine="525"/>
      <w:spacing w:line="420" w:lineRule="exact"/>
    </w:pPr>
    <w:rPr>
      <w:rFonts w:ascii="宋体"/>
      <w:sz w:val="20"/>
      <w:szCs w:val="20"/>
    </w:rPr>
  </w:style>
  <w:style w:type="paragraph" w:styleId="892">
    <w:name w:val="Balloon Text"/>
    <w:basedOn w:val="861"/>
    <w:link w:val="1000"/>
    <w:uiPriority w:val="0"/>
    <w:qFormat/>
    <w:rPr>
      <w:sz w:val="18"/>
      <w:szCs w:val="18"/>
    </w:rPr>
  </w:style>
  <w:style w:type="paragraph" w:styleId="893">
    <w:name w:val="Footer"/>
    <w:basedOn w:val="861"/>
    <w:link w:val="990"/>
    <w:uiPriority w:val="99"/>
    <w:qFormat/>
    <w:pPr>
      <w:jc w:val="left"/>
      <w:tabs>
        <w:tab w:val="center" w:pos="4153" w:leader="none"/>
        <w:tab w:val="right" w:pos="8306" w:leader="none"/>
      </w:tabs>
    </w:pPr>
    <w:rPr>
      <w:sz w:val="18"/>
      <w:szCs w:val="18"/>
    </w:rPr>
  </w:style>
  <w:style w:type="paragraph" w:styleId="894">
    <w:name w:val="Header"/>
    <w:basedOn w:val="861"/>
    <w:link w:val="945"/>
    <w:uiPriority w:val="0"/>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61"/>
    <w:next w:val="861"/>
    <w:uiPriority w:val="39"/>
    <w:qFormat/>
  </w:style>
  <w:style w:type="paragraph" w:styleId="896">
    <w:name w:val="toc 4"/>
    <w:basedOn w:val="861"/>
    <w:next w:val="861"/>
    <w:uiPriority w:val="39"/>
    <w:unhideWhenUsed/>
    <w:qFormat/>
    <w:pPr>
      <w:ind w:left="1260"/>
    </w:pPr>
    <w:rPr>
      <w:rFonts w:ascii="Calibri" w:hAnsi="Calibri"/>
      <w:szCs w:val="22"/>
    </w:rPr>
  </w:style>
  <w:style w:type="paragraph" w:styleId="897">
    <w:name w:val="index heading"/>
    <w:basedOn w:val="861"/>
    <w:next w:val="898"/>
    <w:uiPriority w:val="99"/>
    <w:unhideWhenUsed/>
    <w:qFormat/>
    <w:pPr>
      <w:tabs>
        <w:tab w:val="left" w:pos="240" w:leader="none"/>
      </w:tabs>
    </w:pPr>
  </w:style>
  <w:style w:type="paragraph" w:styleId="898">
    <w:name w:val="index 1"/>
    <w:basedOn w:val="861"/>
    <w:next w:val="861"/>
    <w:uiPriority w:val="0"/>
    <w:qFormat/>
    <w:pPr>
      <w:jc w:val="center"/>
      <w:spacing w:line="220" w:lineRule="exact"/>
    </w:pPr>
    <w:rPr>
      <w:rFonts w:ascii="仿宋_GB2312" w:hAnsi="Calibri" w:eastAsia="仿宋_GB2312"/>
      <w:szCs w:val="22"/>
    </w:rPr>
  </w:style>
  <w:style w:type="paragraph" w:styleId="899">
    <w:name w:val="Subtitle"/>
    <w:basedOn w:val="861"/>
    <w:next w:val="861"/>
    <w:link w:val="973"/>
    <w:uiPriority w:val="0"/>
    <w:qFormat/>
    <w:pPr>
      <w:jc w:val="center"/>
      <w:spacing w:before="240" w:after="60" w:line="312" w:lineRule="auto"/>
      <w:outlineLvl w:val="1"/>
    </w:pPr>
    <w:rPr>
      <w:rFonts w:ascii="Cambria" w:hAnsi="Cambria"/>
      <w:b/>
      <w:bCs/>
      <w:sz w:val="32"/>
      <w:szCs w:val="32"/>
    </w:rPr>
  </w:style>
  <w:style w:type="paragraph" w:styleId="900">
    <w:name w:val="toc 6"/>
    <w:basedOn w:val="861"/>
    <w:next w:val="861"/>
    <w:uiPriority w:val="39"/>
    <w:unhideWhenUsed/>
    <w:qFormat/>
    <w:pPr>
      <w:ind w:left="2100"/>
    </w:pPr>
    <w:rPr>
      <w:rFonts w:ascii="Calibri" w:hAnsi="Calibri"/>
      <w:szCs w:val="22"/>
    </w:rPr>
  </w:style>
  <w:style w:type="paragraph" w:styleId="901">
    <w:name w:val="Body Text Indent 3"/>
    <w:basedOn w:val="861"/>
    <w:link w:val="998"/>
    <w:uiPriority w:val="0"/>
    <w:qFormat/>
    <w:pPr>
      <w:ind w:left="420"/>
      <w:spacing w:after="120"/>
    </w:pPr>
    <w:rPr>
      <w:sz w:val="16"/>
      <w:szCs w:val="20"/>
    </w:rPr>
  </w:style>
  <w:style w:type="paragraph" w:styleId="902">
    <w:name w:val="toc 2"/>
    <w:basedOn w:val="861"/>
    <w:next w:val="861"/>
    <w:uiPriority w:val="39"/>
    <w:qFormat/>
    <w:pPr>
      <w:ind w:left="420"/>
    </w:pPr>
    <w:rPr>
      <w:rFonts w:ascii="Calibri" w:hAnsi="Calibri"/>
      <w:szCs w:val="22"/>
    </w:rPr>
  </w:style>
  <w:style w:type="paragraph" w:styleId="903">
    <w:name w:val="toc 9"/>
    <w:basedOn w:val="861"/>
    <w:next w:val="861"/>
    <w:uiPriority w:val="39"/>
    <w:unhideWhenUsed/>
    <w:qFormat/>
    <w:pPr>
      <w:ind w:left="3360"/>
    </w:pPr>
    <w:rPr>
      <w:rFonts w:ascii="Calibri" w:hAnsi="Calibri"/>
      <w:szCs w:val="22"/>
    </w:rPr>
  </w:style>
  <w:style w:type="paragraph" w:styleId="904">
    <w:name w:val="HTML Preformatted"/>
    <w:basedOn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5">
    <w:name w:val="Normal (Web)"/>
    <w:basedOn w:val="861"/>
    <w:uiPriority w:val="99"/>
    <w:qFormat/>
    <w:pPr>
      <w:jc w:val="left"/>
      <w:spacing w:before="100" w:beforeAutospacing="1" w:after="100" w:afterAutospacing="1"/>
      <w:widowControl/>
    </w:pPr>
    <w:rPr>
      <w:rFonts w:ascii="宋体" w:hAnsi="宋体" w:cs="宋体"/>
      <w:sz w:val="24"/>
    </w:rPr>
  </w:style>
  <w:style w:type="paragraph" w:styleId="906">
    <w:name w:val="Title"/>
    <w:basedOn w:val="861"/>
    <w:next w:val="861"/>
    <w:link w:val="950"/>
    <w:uiPriority w:val="0"/>
    <w:qFormat/>
    <w:pPr>
      <w:jc w:val="center"/>
      <w:spacing w:before="240" w:after="60" w:line="420" w:lineRule="atLeast"/>
      <w:outlineLvl w:val="0"/>
    </w:pPr>
    <w:rPr>
      <w:rFonts w:ascii="Arial" w:hAnsi="Arial"/>
      <w:b/>
      <w:sz w:val="32"/>
      <w:szCs w:val="20"/>
    </w:rPr>
  </w:style>
  <w:style w:type="paragraph" w:styleId="907">
    <w:name w:val="annotation subject"/>
    <w:basedOn w:val="874"/>
    <w:next w:val="874"/>
    <w:link w:val="988"/>
    <w:uiPriority w:val="0"/>
    <w:qFormat/>
    <w:rPr>
      <w:b/>
      <w:bCs/>
    </w:rPr>
  </w:style>
  <w:style w:type="paragraph" w:styleId="908">
    <w:name w:val="Body Text First Indent 2"/>
    <w:basedOn w:val="883"/>
    <w:uiPriority w:val="99"/>
    <w:qFormat/>
    <w:pPr>
      <w:ind w:firstLine="420"/>
    </w:pPr>
  </w:style>
  <w:style w:type="table" w:styleId="909">
    <w:name w:val="Table Grid"/>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0"/>
    <w:qFormat/>
    <w:rPr>
      <w:rFonts w:cs="Times New Roman"/>
      <w:b/>
    </w:rPr>
  </w:style>
  <w:style w:type="character" w:styleId="911">
    <w:name w:val="page number"/>
    <w:basedOn w:val="871"/>
    <w:uiPriority w:val="0"/>
    <w:qFormat/>
    <w:rPr>
      <w:rFonts w:eastAsia="宋体"/>
      <w:b/>
      <w:spacing w:val="0"/>
      <w:sz w:val="24"/>
      <w:szCs w:val="24"/>
      <w:vertAlign w:val="baseline"/>
      <w:lang w:val="en-US" w:eastAsia="zh-CN" w:bidi="ar-SA"/>
    </w:rPr>
  </w:style>
  <w:style w:type="character" w:styleId="912">
    <w:name w:val="FollowedHyperlink"/>
    <w:uiPriority w:val="0"/>
    <w:qFormat/>
    <w:rPr>
      <w:color w:val="800080"/>
      <w:u w:val="single"/>
    </w:rPr>
  </w:style>
  <w:style w:type="character" w:styleId="913">
    <w:name w:val="Emphasis"/>
    <w:uiPriority w:val="0"/>
    <w:qFormat/>
    <w:rPr>
      <w:color w:val="cc0000"/>
    </w:rPr>
  </w:style>
  <w:style w:type="character" w:styleId="914">
    <w:name w:val="Hyperlink"/>
    <w:basedOn w:val="871"/>
    <w:uiPriority w:val="99"/>
    <w:qFormat/>
    <w:rPr>
      <w:color w:val="0000ff"/>
      <w:u w:val="single"/>
    </w:rPr>
  </w:style>
  <w:style w:type="character" w:styleId="915">
    <w:name w:val="annotation reference"/>
    <w:uiPriority w:val="99"/>
    <w:qFormat/>
    <w:rPr>
      <w:sz w:val="21"/>
      <w:szCs w:val="21"/>
    </w:rPr>
  </w:style>
  <w:style w:type="character" w:styleId="916">
    <w:name w:val="HTML Cite"/>
    <w:uiPriority w:val="0"/>
    <w:qFormat/>
    <w:rPr>
      <w:color w:val="008000"/>
    </w:r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basedOn w:val="861"/>
    <w:next w:val="86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19" w:customStyle="1">
    <w:name w:val="段"/>
    <w:basedOn w:val="861"/>
    <w:next w:val="861"/>
    <w:uiPriority w:val="0"/>
    <w:qFormat/>
    <w:pPr>
      <w:ind w:firstLine="200"/>
      <w:widowControl/>
    </w:pPr>
    <w:rPr>
      <w:rFonts w:hint="eastAsia" w:ascii="宋体"/>
      <w:szCs w:val="20"/>
    </w:rPr>
  </w:style>
  <w:style w:type="paragraph" w:styleId="920" w:customStyle="1">
    <w:name w:val="列出段落1"/>
    <w:basedOn w:val="861"/>
    <w:uiPriority w:val="34"/>
    <w:qFormat/>
    <w:pPr>
      <w:ind w:firstLine="420"/>
    </w:pPr>
  </w:style>
  <w:style w:type="paragraph" w:styleId="921" w:customStyle="1">
    <w:name w:val="列表段落1"/>
    <w:basedOn w:val="861"/>
    <w:next w:val="874"/>
    <w:uiPriority w:val="0"/>
    <w:qFormat/>
    <w:pPr>
      <w:ind w:firstLine="420"/>
    </w:pPr>
  </w:style>
  <w:style w:type="paragraph" w:styleId="9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3" w:customStyle="1">
    <w:name w:val="正文首行缩进 21"/>
    <w:basedOn w:val="924"/>
    <w:next w:val="861"/>
    <w:uiPriority w:val="0"/>
    <w:qFormat/>
    <w:pPr>
      <w:ind w:firstLine="420"/>
      <w:spacing w:before="100" w:beforeAutospacing="1"/>
    </w:pPr>
    <w:rPr>
      <w:rFonts w:ascii="宋体" w:hAnsi="宋体"/>
      <w:szCs w:val="21"/>
    </w:rPr>
  </w:style>
  <w:style w:type="paragraph" w:styleId="924" w:customStyle="1">
    <w:name w:val="正文文本缩进1"/>
    <w:basedOn w:val="861"/>
    <w:uiPriority w:val="0"/>
    <w:qFormat/>
    <w:pPr>
      <w:ind w:firstLine="880"/>
      <w:spacing w:line="500" w:lineRule="exact"/>
    </w:pPr>
  </w:style>
  <w:style w:type="character" w:styleId="925" w:customStyle="1">
    <w:name w:val="标题 1 字符"/>
    <w:link w:val="862"/>
    <w:uiPriority w:val="0"/>
    <w:qFormat/>
    <w:rPr>
      <w:rFonts w:ascii="Times New Roman" w:hAnsi="Times New Roman" w:eastAsia="宋体" w:cs="Times New Roman"/>
      <w:b/>
      <w:bCs/>
      <w:sz w:val="32"/>
      <w:szCs w:val="44"/>
    </w:rPr>
  </w:style>
  <w:style w:type="character" w:styleId="926" w:customStyle="1">
    <w:name w:val="明显强调1"/>
    <w:uiPriority w:val="0"/>
    <w:qFormat/>
    <w:rPr>
      <w:b/>
      <w:bCs/>
      <w:i/>
      <w:iCs/>
      <w:color w:val="4f81bd"/>
    </w:rPr>
  </w:style>
  <w:style w:type="character" w:styleId="927" w:customStyle="1">
    <w:name w:val="批注文字 Char2"/>
    <w:uiPriority w:val="0"/>
    <w:qFormat/>
    <w:rPr>
      <w:sz w:val="21"/>
    </w:rPr>
  </w:style>
  <w:style w:type="character" w:styleId="928" w:customStyle="1">
    <w:name w:val="标题 3 Char_0"/>
    <w:link w:val="929"/>
    <w:uiPriority w:val="0"/>
    <w:qFormat/>
    <w:rPr>
      <w:b/>
      <w:bCs/>
      <w:sz w:val="32"/>
      <w:szCs w:val="32"/>
    </w:rPr>
  </w:style>
  <w:style w:type="paragraph" w:styleId="929" w:customStyle="1">
    <w:name w:val="标题 3_0"/>
    <w:basedOn w:val="930"/>
    <w:next w:val="930"/>
    <w:link w:val="928"/>
    <w:uiPriority w:val="0"/>
    <w:qFormat/>
    <w:pPr>
      <w:keepLines/>
      <w:keepNext/>
      <w:spacing w:before="260" w:after="260" w:line="416" w:lineRule="auto"/>
      <w:outlineLvl w:val="2"/>
    </w:pPr>
    <w:rPr>
      <w:b/>
      <w:bCs/>
      <w:sz w:val="32"/>
      <w:szCs w:val="32"/>
    </w:rPr>
  </w:style>
  <w:style w:type="paragraph" w:styleId="93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31" w:customStyle="1">
    <w:name w:val="标题 2 字符"/>
    <w:link w:val="863"/>
    <w:uiPriority w:val="0"/>
    <w:qFormat/>
    <w:rPr>
      <w:rFonts w:ascii="Cambria" w:hAnsi="Cambria"/>
      <w:b/>
      <w:bCs/>
      <w:sz w:val="32"/>
      <w:szCs w:val="32"/>
    </w:rPr>
  </w:style>
  <w:style w:type="character" w:styleId="932" w:customStyle="1">
    <w:name w:val="正文文本 Char2"/>
    <w:uiPriority w:val="99"/>
    <w:semiHidden/>
    <w:qFormat/>
    <w:rPr>
      <w:rFonts w:ascii="Calibri" w:hAnsi="Calibri" w:eastAsia="宋体" w:cs="Times New Roman"/>
    </w:rPr>
  </w:style>
  <w:style w:type="character" w:styleId="933" w:customStyle="1">
    <w:name w:val="页脚 Char1"/>
    <w:uiPriority w:val="99"/>
    <w:semiHidden/>
    <w:qFormat/>
    <w:rPr>
      <w:rFonts w:ascii="Calibri" w:hAnsi="Calibri" w:eastAsia="宋体" w:cs="Times New Roman"/>
      <w:sz w:val="18"/>
      <w:szCs w:val="18"/>
    </w:rPr>
  </w:style>
  <w:style w:type="character" w:styleId="934" w:customStyle="1">
    <w:name w:val="明显引用 Char2"/>
    <w:uiPriority w:val="99"/>
    <w:qFormat/>
    <w:rPr>
      <w:b/>
      <w:bCs/>
      <w:i/>
      <w:iCs/>
      <w:color w:val="4f81bd"/>
      <w:sz w:val="21"/>
      <w:szCs w:val="24"/>
    </w:rPr>
  </w:style>
  <w:style w:type="character" w:styleId="935" w:customStyle="1">
    <w:name w:val="引用 Char"/>
    <w:link w:val="936"/>
    <w:uiPriority w:val="0"/>
    <w:qFormat/>
    <w:rPr>
      <w:i/>
      <w:iCs/>
      <w:color w:val="000000"/>
    </w:rPr>
  </w:style>
  <w:style w:type="paragraph" w:styleId="936" w:customStyle="1">
    <w:name w:val="引用1"/>
    <w:basedOn w:val="861"/>
    <w:next w:val="861"/>
    <w:link w:val="935"/>
    <w:uiPriority w:val="0"/>
    <w:qFormat/>
    <w:rPr>
      <w:i/>
      <w:iCs/>
      <w:color w:val="000000"/>
      <w:sz w:val="20"/>
      <w:szCs w:val="20"/>
    </w:rPr>
  </w:style>
  <w:style w:type="character" w:styleId="937" w:customStyle="1">
    <w:name w:val="标题 1 Char_0"/>
    <w:link w:val="938"/>
    <w:uiPriority w:val="0"/>
    <w:qFormat/>
    <w:rPr>
      <w:b/>
      <w:bCs/>
      <w:sz w:val="44"/>
      <w:szCs w:val="44"/>
    </w:rPr>
  </w:style>
  <w:style w:type="paragraph" w:styleId="938" w:customStyle="1">
    <w:name w:val="标题 1_0"/>
    <w:basedOn w:val="930"/>
    <w:next w:val="930"/>
    <w:link w:val="937"/>
    <w:uiPriority w:val="0"/>
    <w:qFormat/>
    <w:pPr>
      <w:keepLines/>
      <w:keepNext/>
      <w:spacing w:before="340" w:after="330" w:line="578" w:lineRule="auto"/>
      <w:outlineLvl w:val="0"/>
    </w:pPr>
    <w:rPr>
      <w:b/>
      <w:bCs/>
      <w:sz w:val="44"/>
      <w:szCs w:val="44"/>
    </w:rPr>
  </w:style>
  <w:style w:type="character" w:styleId="939" w:customStyle="1">
    <w:name w:val="正文文本缩进 3 Char1"/>
    <w:uiPriority w:val="99"/>
    <w:semiHidden/>
    <w:qFormat/>
    <w:rPr>
      <w:sz w:val="16"/>
      <w:szCs w:val="16"/>
    </w:rPr>
  </w:style>
  <w:style w:type="character" w:styleId="940" w:customStyle="1">
    <w:name w:val="引用 Char1"/>
    <w:uiPriority w:val="29"/>
    <w:qFormat/>
    <w:rPr>
      <w:i/>
      <w:iCs/>
      <w:color w:val="000000"/>
      <w:sz w:val="21"/>
    </w:rPr>
  </w:style>
  <w:style w:type="character" w:styleId="941" w:customStyle="1">
    <w:name w:val="正文文本缩进 字符"/>
    <w:link w:val="883"/>
    <w:uiPriority w:val="0"/>
    <w:qFormat/>
    <w:rPr>
      <w:sz w:val="21"/>
      <w:szCs w:val="24"/>
    </w:rPr>
  </w:style>
  <w:style w:type="character" w:styleId="942" w:customStyle="1">
    <w:name w:val="font161"/>
    <w:uiPriority w:val="0"/>
    <w:qFormat/>
    <w:rPr>
      <w:b/>
      <w:sz w:val="32"/>
    </w:rPr>
  </w:style>
  <w:style w:type="character" w:styleId="943" w:customStyle="1">
    <w:name w:val="标题 4 Char_0"/>
    <w:link w:val="944"/>
    <w:uiPriority w:val="0"/>
    <w:qFormat/>
    <w:rPr>
      <w:rFonts w:ascii="Arial" w:hAnsi="Arial" w:eastAsia="黑体"/>
      <w:b/>
      <w:bCs/>
      <w:sz w:val="28"/>
      <w:szCs w:val="28"/>
    </w:rPr>
  </w:style>
  <w:style w:type="paragraph" w:styleId="944" w:customStyle="1">
    <w:name w:val="标题 4_0"/>
    <w:basedOn w:val="930"/>
    <w:next w:val="930"/>
    <w:link w:val="943"/>
    <w:uiPriority w:val="0"/>
    <w:qFormat/>
    <w:pPr>
      <w:keepLines/>
      <w:keepNext/>
      <w:spacing w:before="280" w:after="290" w:line="376" w:lineRule="auto"/>
      <w:outlineLvl w:val="3"/>
    </w:pPr>
    <w:rPr>
      <w:rFonts w:ascii="Arial" w:hAnsi="Arial" w:eastAsia="黑体"/>
      <w:b/>
      <w:bCs/>
      <w:sz w:val="28"/>
      <w:szCs w:val="28"/>
    </w:rPr>
  </w:style>
  <w:style w:type="character" w:styleId="945" w:customStyle="1">
    <w:name w:val="页眉 字符"/>
    <w:link w:val="894"/>
    <w:uiPriority w:val="0"/>
    <w:qFormat/>
    <w:rPr>
      <w:sz w:val="18"/>
      <w:szCs w:val="18"/>
    </w:rPr>
  </w:style>
  <w:style w:type="character" w:styleId="946" w:customStyle="1">
    <w:name w:val="标题 6 字符"/>
    <w:link w:val="867"/>
    <w:uiPriority w:val="0"/>
    <w:qFormat/>
    <w:rPr>
      <w:rFonts w:ascii="Cambria" w:hAnsi="Cambria" w:eastAsia="宋体" w:cs="Times New Roman"/>
      <w:b/>
      <w:bCs/>
      <w:sz w:val="24"/>
      <w:szCs w:val="24"/>
    </w:rPr>
  </w:style>
  <w:style w:type="character" w:styleId="947" w:customStyle="1">
    <w:name w:val="纯文本 字符"/>
    <w:link w:val="888"/>
    <w:uiPriority w:val="0"/>
    <w:qFormat/>
    <w:rPr>
      <w:rFonts w:ascii="Ari"/>
      <w:lang w:val="en-US" w:eastAsia="zh-CN" w:bidi="ar-SA"/>
    </w:rPr>
  </w:style>
  <w:style w:type="character" w:styleId="948" w:customStyle="1">
    <w:name w:val="引用 Char2"/>
    <w:uiPriority w:val="99"/>
    <w:qFormat/>
    <w:rPr>
      <w:i/>
      <w:iCs/>
      <w:color w:val="000000"/>
      <w:sz w:val="21"/>
      <w:szCs w:val="24"/>
    </w:rPr>
  </w:style>
  <w:style w:type="character" w:styleId="949" w:customStyle="1">
    <w:name w:val="rvts11"/>
    <w:uiPriority w:val="0"/>
    <w:qFormat/>
    <w:rPr>
      <w:rFonts w:hint="default" w:ascii="KNLe" w:hAnsi="KNLe"/>
      <w:sz w:val="24"/>
      <w:szCs w:val="24"/>
      <w:u w:val="single"/>
    </w:rPr>
  </w:style>
  <w:style w:type="character" w:styleId="950" w:customStyle="1">
    <w:name w:val="标题 字符"/>
    <w:link w:val="906"/>
    <w:uiPriority w:val="0"/>
    <w:qFormat/>
    <w:rPr>
      <w:rFonts w:ascii="Arial" w:hAnsi="Arial"/>
      <w:b/>
      <w:sz w:val="32"/>
    </w:rPr>
  </w:style>
  <w:style w:type="character" w:styleId="951" w:customStyle="1">
    <w:name w:val="标题5 Char Char"/>
    <w:link w:val="952"/>
    <w:uiPriority w:val="0"/>
    <w:qFormat/>
    <w:rPr>
      <w:rFonts w:ascii="Arial" w:hAnsi="Arial"/>
      <w:b/>
      <w:bCs/>
      <w:sz w:val="24"/>
      <w:szCs w:val="32"/>
    </w:rPr>
  </w:style>
  <w:style w:type="paragraph" w:styleId="952" w:customStyle="1">
    <w:name w:val="标题5"/>
    <w:basedOn w:val="864"/>
    <w:link w:val="951"/>
    <w:uiPriority w:val="0"/>
    <w:qFormat/>
    <w:pPr>
      <w:numPr>
        <w:ilvl w:val="0"/>
        <w:numId w:val="0"/>
      </w:numPr>
      <w:spacing w:line="413" w:lineRule="auto"/>
    </w:pPr>
    <w:rPr>
      <w:rFonts w:ascii="Arial" w:hAnsi="Arial"/>
      <w:sz w:val="24"/>
    </w:rPr>
  </w:style>
  <w:style w:type="character" w:styleId="953" w:customStyle="1">
    <w:name w:val="副标题 Char2"/>
    <w:uiPriority w:val="11"/>
    <w:qFormat/>
    <w:rPr>
      <w:rFonts w:ascii="Cambria" w:hAnsi="Cambria" w:cs="Times New Roman"/>
      <w:b/>
      <w:bCs/>
      <w:sz w:val="32"/>
      <w:szCs w:val="32"/>
    </w:rPr>
  </w:style>
  <w:style w:type="character" w:styleId="954" w:customStyle="1">
    <w:name w:val="文档结构图 字符"/>
    <w:link w:val="879"/>
    <w:uiPriority w:val="0"/>
    <w:qFormat/>
    <w:rPr>
      <w:rFonts w:ascii="宋体"/>
      <w:sz w:val="18"/>
      <w:szCs w:val="18"/>
    </w:rPr>
  </w:style>
  <w:style w:type="character" w:styleId="955" w:customStyle="1">
    <w:name w:val="日期 字符"/>
    <w:link w:val="890"/>
    <w:uiPriority w:val="0"/>
    <w:qFormat/>
    <w:rPr>
      <w:sz w:val="21"/>
      <w:szCs w:val="24"/>
    </w:rPr>
  </w:style>
  <w:style w:type="character" w:styleId="956" w:customStyle="1">
    <w:name w:val="批注主题 Char1"/>
    <w:uiPriority w:val="0"/>
    <w:qFormat/>
    <w:rPr>
      <w:b/>
      <w:bCs/>
      <w:sz w:val="21"/>
      <w:szCs w:val="22"/>
    </w:rPr>
  </w:style>
  <w:style w:type="character" w:styleId="957" w:customStyle="1">
    <w:name w:val="font31"/>
    <w:uiPriority w:val="0"/>
    <w:qFormat/>
    <w:rPr>
      <w:rFonts w:hint="eastAsia" w:ascii="宋体" w:hAnsi="宋体" w:eastAsia="宋体" w:cs="宋体"/>
      <w:color w:val="000000"/>
      <w:sz w:val="20"/>
      <w:szCs w:val="20"/>
      <w:u w:val="none"/>
    </w:rPr>
  </w:style>
  <w:style w:type="character" w:styleId="958" w:customStyle="1">
    <w:name w:val="明显引用 Char"/>
    <w:link w:val="959"/>
    <w:uiPriority w:val="0"/>
    <w:qFormat/>
    <w:rPr>
      <w:b/>
      <w:bCs/>
      <w:i/>
      <w:iCs/>
      <w:color w:val="4f81bd"/>
    </w:rPr>
  </w:style>
  <w:style w:type="paragraph" w:styleId="959" w:customStyle="1">
    <w:name w:val="明显引用1"/>
    <w:basedOn w:val="861"/>
    <w:next w:val="861"/>
    <w:link w:val="958"/>
    <w:uiPriority w:val="0"/>
    <w:qFormat/>
    <w:pPr>
      <w:ind w:left="936" w:right="936"/>
      <w:spacing w:before="200" w:after="280"/>
      <w:pBdr>
        <w:bottom w:val="single" w:color="4F81BD" w:sz="4" w:space="4"/>
      </w:pBdr>
    </w:pPr>
    <w:rPr>
      <w:b/>
      <w:bCs/>
      <w:i/>
      <w:iCs/>
      <w:color w:val="4f81bd"/>
      <w:sz w:val="20"/>
      <w:szCs w:val="20"/>
    </w:rPr>
  </w:style>
  <w:style w:type="character" w:styleId="960" w:customStyle="1">
    <w:name w:val="标题 5 字符"/>
    <w:link w:val="866"/>
    <w:uiPriority w:val="0"/>
    <w:qFormat/>
    <w:rPr>
      <w:b/>
      <w:bCs/>
      <w:sz w:val="28"/>
      <w:szCs w:val="28"/>
    </w:rPr>
  </w:style>
  <w:style w:type="character" w:styleId="961" w:customStyle="1">
    <w:name w:val="日期 Char1"/>
    <w:uiPriority w:val="0"/>
    <w:qFormat/>
    <w:rPr>
      <w:rFonts w:ascii="Calibri" w:hAnsi="Calibri" w:eastAsia="宋体" w:cs="Times New Roman"/>
    </w:rPr>
  </w:style>
  <w:style w:type="character" w:styleId="962" w:customStyle="1">
    <w:name w:val="批注框文本 Char1"/>
    <w:uiPriority w:val="0"/>
    <w:qFormat/>
    <w:rPr>
      <w:sz w:val="18"/>
      <w:szCs w:val="18"/>
    </w:rPr>
  </w:style>
  <w:style w:type="character" w:styleId="963" w:customStyle="1">
    <w:name w:val="标题 Char1"/>
    <w:uiPriority w:val="10"/>
    <w:qFormat/>
    <w:rPr>
      <w:rFonts w:ascii="Cambria" w:hAnsi="Cambria" w:eastAsia="宋体" w:cs="Times New Roman"/>
      <w:b/>
      <w:bCs/>
      <w:sz w:val="32"/>
      <w:szCs w:val="32"/>
    </w:rPr>
  </w:style>
  <w:style w:type="character" w:styleId="964" w:customStyle="1">
    <w:name w:val="标题 9 字符"/>
    <w:link w:val="870"/>
    <w:uiPriority w:val="0"/>
    <w:qFormat/>
    <w:rPr>
      <w:rFonts w:ascii="Cambria" w:hAnsi="Cambria" w:eastAsia="宋体" w:cs="Times New Roman"/>
      <w:sz w:val="21"/>
      <w:szCs w:val="21"/>
    </w:rPr>
  </w:style>
  <w:style w:type="character" w:styleId="965" w:customStyle="1">
    <w:name w:val="不明显参考1"/>
    <w:uiPriority w:val="0"/>
    <w:qFormat/>
    <w:rPr>
      <w:smallCaps/>
      <w:color w:val="c0504d"/>
      <w:u w:val="single"/>
    </w:rPr>
  </w:style>
  <w:style w:type="character" w:styleId="966" w:customStyle="1">
    <w:name w:val="批注文字 Char1"/>
    <w:uiPriority w:val="0"/>
    <w:qFormat/>
    <w:rPr>
      <w:rFonts w:ascii="Calibri" w:hAnsi="Calibri" w:eastAsia="宋体" w:cs="Times New Roman"/>
    </w:rPr>
  </w:style>
  <w:style w:type="character" w:styleId="967" w:customStyle="1">
    <w:name w:val="标题 Char2"/>
    <w:uiPriority w:val="10"/>
    <w:qFormat/>
    <w:rPr>
      <w:rFonts w:ascii="Cambria" w:hAnsi="Cambria" w:cs="Times New Roman"/>
      <w:b/>
      <w:bCs/>
      <w:sz w:val="32"/>
      <w:szCs w:val="32"/>
    </w:rPr>
  </w:style>
  <w:style w:type="character" w:styleId="968" w:customStyle="1">
    <w:name w:val="正文文本 3 Char1"/>
    <w:uiPriority w:val="99"/>
    <w:semiHidden/>
    <w:qFormat/>
    <w:rPr>
      <w:sz w:val="16"/>
      <w:szCs w:val="16"/>
    </w:rPr>
  </w:style>
  <w:style w:type="character" w:styleId="969" w:customStyle="1">
    <w:name w:val="批注主题 Char2"/>
    <w:uiPriority w:val="0"/>
    <w:qFormat/>
    <w:rPr>
      <w:b/>
      <w:bCs/>
      <w:sz w:val="21"/>
    </w:rPr>
  </w:style>
  <w:style w:type="character" w:styleId="970" w:customStyle="1">
    <w:name w:val="标题 3 字符"/>
    <w:link w:val="864"/>
    <w:uiPriority w:val="0"/>
    <w:qFormat/>
    <w:rPr>
      <w:b/>
      <w:bCs/>
      <w:sz w:val="32"/>
      <w:szCs w:val="32"/>
    </w:rPr>
  </w:style>
  <w:style w:type="character" w:styleId="971" w:customStyle="1">
    <w:name w:val="正文文本 Char_0"/>
    <w:link w:val="972"/>
    <w:uiPriority w:val="0"/>
    <w:qFormat/>
    <w:rPr>
      <w:szCs w:val="24"/>
    </w:rPr>
  </w:style>
  <w:style w:type="paragraph" w:styleId="972" w:customStyle="1">
    <w:name w:val="正文文本_0"/>
    <w:basedOn w:val="930"/>
    <w:link w:val="971"/>
    <w:uiPriority w:val="0"/>
    <w:qFormat/>
    <w:pPr>
      <w:spacing w:after="120"/>
    </w:pPr>
    <w:rPr>
      <w:sz w:val="20"/>
    </w:rPr>
  </w:style>
  <w:style w:type="character" w:styleId="973" w:customStyle="1">
    <w:name w:val="副标题 字符"/>
    <w:link w:val="899"/>
    <w:uiPriority w:val="0"/>
    <w:qFormat/>
    <w:rPr>
      <w:rFonts w:ascii="Cambria" w:hAnsi="Cambria"/>
      <w:b/>
      <w:bCs/>
      <w:sz w:val="32"/>
      <w:szCs w:val="32"/>
    </w:rPr>
  </w:style>
  <w:style w:type="character" w:styleId="974" w:customStyle="1">
    <w:name w:val="bookmark"/>
    <w:basedOn w:val="871"/>
    <w:uiPriority w:val="0"/>
    <w:qFormat/>
  </w:style>
  <w:style w:type="character" w:styleId="975" w:customStyle="1">
    <w:name w:val="标题 5 Char_0"/>
    <w:link w:val="976"/>
    <w:uiPriority w:val="0"/>
    <w:qFormat/>
    <w:rPr>
      <w:rFonts w:ascii="Calibri" w:hAnsi="Calibri"/>
      <w:b/>
      <w:bCs/>
      <w:sz w:val="28"/>
      <w:szCs w:val="28"/>
    </w:rPr>
  </w:style>
  <w:style w:type="paragraph" w:styleId="976" w:customStyle="1">
    <w:name w:val="标题 5_0"/>
    <w:basedOn w:val="930"/>
    <w:next w:val="930"/>
    <w:link w:val="975"/>
    <w:uiPriority w:val="0"/>
    <w:qFormat/>
    <w:pPr>
      <w:keepLines/>
      <w:keepNext/>
      <w:spacing w:before="280" w:after="290" w:line="372" w:lineRule="auto"/>
      <w:outlineLvl w:val="4"/>
    </w:pPr>
    <w:rPr>
      <w:rFonts w:ascii="Calibri" w:hAnsi="Calibri"/>
      <w:b/>
      <w:bCs/>
      <w:sz w:val="28"/>
      <w:szCs w:val="28"/>
    </w:rPr>
  </w:style>
  <w:style w:type="character" w:styleId="977" w:customStyle="1">
    <w:name w:val="正文文本缩进 2 字符"/>
    <w:link w:val="891"/>
    <w:uiPriority w:val="99"/>
    <w:qFormat/>
    <w:rPr>
      <w:rFonts w:ascii="宋体"/>
    </w:rPr>
  </w:style>
  <w:style w:type="character" w:styleId="978" w:customStyle="1">
    <w:name w:val="批注文字 字符"/>
    <w:link w:val="874"/>
    <w:uiPriority w:val="99"/>
    <w:qFormat/>
    <w:rPr>
      <w:sz w:val="21"/>
      <w:szCs w:val="24"/>
    </w:rPr>
  </w:style>
  <w:style w:type="character" w:styleId="979" w:customStyle="1">
    <w:name w:val="font11"/>
    <w:uiPriority w:val="0"/>
    <w:qFormat/>
    <w:rPr>
      <w:rFonts w:hint="eastAsia" w:ascii="宋体" w:hAnsi="宋体" w:eastAsia="宋体" w:cs="宋体"/>
      <w:color w:val="000000"/>
      <w:sz w:val="20"/>
      <w:szCs w:val="20"/>
      <w:u w:val="none"/>
    </w:rPr>
  </w:style>
  <w:style w:type="character" w:styleId="980" w:customStyle="1">
    <w:name w:val="明显参考1"/>
    <w:uiPriority w:val="0"/>
    <w:qFormat/>
    <w:rPr>
      <w:b/>
      <w:bCs/>
      <w:smallCaps/>
      <w:color w:val="c0504d"/>
      <w:spacing w:val="5"/>
      <w:u w:val="single"/>
    </w:rPr>
  </w:style>
  <w:style w:type="character" w:styleId="981" w:customStyle="1">
    <w:name w:val="超链接_0"/>
    <w:uiPriority w:val="99"/>
    <w:qFormat/>
    <w:rPr>
      <w:rFonts w:ascii="Calibri" w:hAnsi="Calibri"/>
      <w:color w:val="0000ff"/>
      <w:u w:val="single"/>
    </w:rPr>
  </w:style>
  <w:style w:type="character" w:styleId="982" w:customStyle="1">
    <w:name w:val="文档结构图 Char2"/>
    <w:uiPriority w:val="99"/>
    <w:semiHidden/>
    <w:qFormat/>
    <w:rPr>
      <w:rFonts w:ascii="宋体" w:hAnsi="Calibri" w:eastAsia="宋体" w:cs="Times New Roman"/>
      <w:sz w:val="18"/>
      <w:szCs w:val="18"/>
    </w:rPr>
  </w:style>
  <w:style w:type="character" w:styleId="983" w:customStyle="1">
    <w:name w:val="textcontents"/>
    <w:uiPriority w:val="0"/>
    <w:qFormat/>
    <w:rPr>
      <w:rFonts w:cs="Times New Roman"/>
    </w:rPr>
  </w:style>
  <w:style w:type="character" w:styleId="984" w:customStyle="1">
    <w:name w:val="标题 1 Char"/>
    <w:uiPriority w:val="0"/>
    <w:qFormat/>
    <w:rPr>
      <w:b/>
      <w:bCs/>
      <w:sz w:val="32"/>
      <w:szCs w:val="44"/>
    </w:rPr>
  </w:style>
  <w:style w:type="character" w:styleId="985" w:customStyle="1">
    <w:name w:val="正文文本 字符"/>
    <w:link w:val="882"/>
    <w:uiPriority w:val="0"/>
    <w:qFormat/>
    <w:rPr>
      <w:rFonts w:eastAsia="幼圆"/>
      <w:b/>
      <w:bCs/>
      <w:sz w:val="44"/>
      <w:szCs w:val="24"/>
    </w:rPr>
  </w:style>
  <w:style w:type="character" w:styleId="986" w:customStyle="1">
    <w:name w:val="标题 8 字符"/>
    <w:link w:val="869"/>
    <w:uiPriority w:val="0"/>
    <w:qFormat/>
    <w:rPr>
      <w:rFonts w:ascii="Cambria" w:hAnsi="Cambria" w:eastAsia="宋体" w:cs="Times New Roman"/>
      <w:sz w:val="24"/>
      <w:szCs w:val="24"/>
    </w:rPr>
  </w:style>
  <w:style w:type="character" w:styleId="987" w:customStyle="1">
    <w:name w:val="副标题 Char1"/>
    <w:uiPriority w:val="11"/>
    <w:qFormat/>
    <w:rPr>
      <w:rFonts w:ascii="Cambria" w:hAnsi="Cambria" w:cs="Times New Roman"/>
      <w:b/>
      <w:bCs/>
      <w:sz w:val="32"/>
      <w:szCs w:val="32"/>
    </w:rPr>
  </w:style>
  <w:style w:type="character" w:styleId="988" w:customStyle="1">
    <w:name w:val="批注主题 字符"/>
    <w:link w:val="907"/>
    <w:uiPriority w:val="0"/>
    <w:qFormat/>
    <w:rPr>
      <w:b/>
      <w:bCs/>
      <w:sz w:val="21"/>
      <w:szCs w:val="24"/>
    </w:rPr>
  </w:style>
  <w:style w:type="character" w:styleId="989" w:customStyle="1">
    <w:name w:val="书籍标题1"/>
    <w:uiPriority w:val="0"/>
    <w:qFormat/>
    <w:rPr>
      <w:b/>
      <w:bCs/>
      <w:smallCaps/>
      <w:spacing w:val="5"/>
    </w:rPr>
  </w:style>
  <w:style w:type="character" w:styleId="990" w:customStyle="1">
    <w:name w:val="页脚 字符"/>
    <w:link w:val="893"/>
    <w:uiPriority w:val="99"/>
    <w:qFormat/>
    <w:rPr>
      <w:sz w:val="18"/>
      <w:szCs w:val="18"/>
    </w:rPr>
  </w:style>
  <w:style w:type="character" w:styleId="991" w:customStyle="1">
    <w:name w:val="标题4 Char Char"/>
    <w:link w:val="992"/>
    <w:uiPriority w:val="0"/>
    <w:qFormat/>
    <w:rPr>
      <w:rFonts w:ascii="Arial" w:hAnsi="Arial"/>
      <w:b/>
      <w:bCs/>
      <w:sz w:val="24"/>
      <w:szCs w:val="32"/>
    </w:rPr>
  </w:style>
  <w:style w:type="paragraph" w:styleId="992" w:customStyle="1">
    <w:name w:val="标题4"/>
    <w:basedOn w:val="863"/>
    <w:next w:val="885"/>
    <w:link w:val="991"/>
    <w:uiPriority w:val="0"/>
    <w:qFormat/>
    <w:pPr>
      <w:numPr>
        <w:ilvl w:val="0"/>
        <w:numId w:val="0"/>
      </w:numPr>
      <w:spacing w:line="413" w:lineRule="auto"/>
    </w:pPr>
    <w:rPr>
      <w:rFonts w:ascii="Arial" w:hAnsi="Arial"/>
      <w:sz w:val="24"/>
    </w:rPr>
  </w:style>
  <w:style w:type="character" w:styleId="993" w:customStyle="1">
    <w:name w:val="正文文本 Char1"/>
    <w:uiPriority w:val="0"/>
    <w:qFormat/>
    <w:rPr>
      <w:rFonts w:ascii="Calibri" w:hAnsi="Calibri" w:eastAsia="宋体" w:cs="Times New Roman"/>
    </w:rPr>
  </w:style>
  <w:style w:type="character" w:styleId="994" w:customStyle="1">
    <w:name w:val="明显引用 Char1"/>
    <w:uiPriority w:val="30"/>
    <w:qFormat/>
    <w:rPr>
      <w:b/>
      <w:bCs/>
      <w:i/>
      <w:iCs/>
      <w:color w:val="4f81bd"/>
      <w:sz w:val="21"/>
    </w:rPr>
  </w:style>
  <w:style w:type="character" w:styleId="995" w:customStyle="1">
    <w:name w:val="页眉 Char1"/>
    <w:uiPriority w:val="99"/>
    <w:semiHidden/>
    <w:qFormat/>
    <w:rPr>
      <w:rFonts w:ascii="Calibri" w:hAnsi="Calibri" w:eastAsia="宋体" w:cs="Times New Roman"/>
      <w:sz w:val="18"/>
      <w:szCs w:val="18"/>
    </w:rPr>
  </w:style>
  <w:style w:type="character" w:styleId="996" w:customStyle="1">
    <w:name w:val="不明显强调1"/>
    <w:uiPriority w:val="0"/>
    <w:qFormat/>
    <w:rPr>
      <w:i/>
      <w:iCs/>
      <w:color w:val="808080"/>
    </w:rPr>
  </w:style>
  <w:style w:type="character" w:styleId="997" w:customStyle="1">
    <w:name w:val="正文文本 3 字符"/>
    <w:link w:val="881"/>
    <w:uiPriority w:val="0"/>
    <w:qFormat/>
    <w:rPr>
      <w:rFonts w:ascii="宋体"/>
      <w:sz w:val="24"/>
    </w:rPr>
  </w:style>
  <w:style w:type="character" w:styleId="998" w:customStyle="1">
    <w:name w:val="正文文本缩进 3 字符"/>
    <w:link w:val="901"/>
    <w:uiPriority w:val="0"/>
    <w:qFormat/>
    <w:rPr>
      <w:sz w:val="16"/>
    </w:rPr>
  </w:style>
  <w:style w:type="character" w:styleId="999" w:customStyle="1">
    <w:name w:val="font21"/>
    <w:basedOn w:val="871"/>
    <w:uiPriority w:val="0"/>
    <w:qFormat/>
    <w:rPr>
      <w:rFonts w:hint="eastAsia" w:ascii="宋体" w:hAnsi="宋体" w:eastAsia="宋体" w:cs="宋体"/>
      <w:color w:val="000000"/>
      <w:sz w:val="20"/>
      <w:szCs w:val="20"/>
      <w:u w:val="none"/>
    </w:rPr>
  </w:style>
  <w:style w:type="character" w:styleId="1000" w:customStyle="1">
    <w:name w:val="批注框文本 字符"/>
    <w:link w:val="892"/>
    <w:uiPriority w:val="0"/>
    <w:qFormat/>
    <w:rPr>
      <w:sz w:val="18"/>
      <w:szCs w:val="18"/>
    </w:rPr>
  </w:style>
  <w:style w:type="character" w:styleId="1001" w:customStyle="1">
    <w:name w:val="标题 7 字符"/>
    <w:link w:val="868"/>
    <w:uiPriority w:val="0"/>
    <w:qFormat/>
    <w:rPr>
      <w:b/>
      <w:bCs/>
      <w:sz w:val="24"/>
      <w:szCs w:val="24"/>
    </w:rPr>
  </w:style>
  <w:style w:type="character" w:styleId="1002" w:customStyle="1">
    <w:name w:val="文档结构图 Char1"/>
    <w:uiPriority w:val="0"/>
    <w:qFormat/>
    <w:rPr>
      <w:rFonts w:ascii="宋体" w:hAnsi="Calibri" w:eastAsia="宋体" w:cs="Times New Roman"/>
      <w:sz w:val="18"/>
      <w:szCs w:val="18"/>
    </w:rPr>
  </w:style>
  <w:style w:type="character" w:styleId="1003" w:customStyle="1">
    <w:name w:val="标题 2 Char_0"/>
    <w:link w:val="1004"/>
    <w:uiPriority w:val="0"/>
    <w:qFormat/>
    <w:rPr>
      <w:rFonts w:ascii="Cambria" w:hAnsi="Cambria"/>
      <w:b/>
      <w:bCs/>
      <w:sz w:val="32"/>
      <w:szCs w:val="32"/>
    </w:rPr>
  </w:style>
  <w:style w:type="paragraph" w:styleId="1004" w:customStyle="1">
    <w:name w:val="标题 2_0"/>
    <w:basedOn w:val="930"/>
    <w:next w:val="930"/>
    <w:link w:val="1003"/>
    <w:uiPriority w:val="0"/>
    <w:unhideWhenUsed/>
    <w:qFormat/>
    <w:pPr>
      <w:keepLines/>
      <w:keepNext/>
      <w:spacing w:before="260" w:after="260" w:line="416" w:lineRule="auto"/>
      <w:outlineLvl w:val="1"/>
    </w:pPr>
    <w:rPr>
      <w:rFonts w:ascii="Cambria" w:hAnsi="Cambria"/>
      <w:b/>
      <w:bCs/>
      <w:sz w:val="32"/>
      <w:szCs w:val="32"/>
    </w:rPr>
  </w:style>
  <w:style w:type="character" w:styleId="1005" w:customStyle="1">
    <w:name w:val="日期 Char2"/>
    <w:uiPriority w:val="99"/>
    <w:semiHidden/>
    <w:qFormat/>
    <w:rPr>
      <w:rFonts w:ascii="Calibri" w:hAnsi="Calibri" w:eastAsia="宋体" w:cs="Times New Roman"/>
    </w:rPr>
  </w:style>
  <w:style w:type="character" w:styleId="1006" w:customStyle="1">
    <w:name w:val="批注框文本 Char2"/>
    <w:uiPriority w:val="99"/>
    <w:semiHidden/>
    <w:qFormat/>
    <w:rPr>
      <w:rFonts w:ascii="Calibri" w:hAnsi="Calibri" w:eastAsia="宋体" w:cs="Times New Roman"/>
      <w:sz w:val="18"/>
      <w:szCs w:val="18"/>
    </w:rPr>
  </w:style>
  <w:style w:type="character" w:styleId="1007" w:customStyle="1">
    <w:name w:val="标题 4 字符"/>
    <w:link w:val="865"/>
    <w:uiPriority w:val="0"/>
    <w:qFormat/>
    <w:rPr>
      <w:rFonts w:ascii="Cambria" w:hAnsi="Cambria" w:eastAsia="宋体" w:cs="Times New Roman"/>
      <w:b/>
      <w:bCs/>
      <w:sz w:val="28"/>
      <w:szCs w:val="28"/>
    </w:rPr>
  </w:style>
  <w:style w:type="character" w:styleId="1008" w:customStyle="1">
    <w:name w:val="列出段落 Char"/>
    <w:link w:val="1009"/>
    <w:uiPriority w:val="99"/>
    <w:qFormat/>
    <w:rPr>
      <w:sz w:val="21"/>
      <w:szCs w:val="24"/>
    </w:rPr>
  </w:style>
  <w:style w:type="paragraph" w:styleId="1009" w:customStyle="1">
    <w:name w:val="List Paragraph1"/>
    <w:basedOn w:val="861"/>
    <w:link w:val="1008"/>
    <w:uiPriority w:val="99"/>
    <w:qFormat/>
    <w:pPr>
      <w:ind w:firstLine="420"/>
    </w:pPr>
  </w:style>
  <w:style w:type="paragraph" w:styleId="1010" w:customStyle="1">
    <w:name w:val="样式 标题 3 + (中文) 黑体 小四 非加粗 段前: 7.8 磅 段后: 0 磅 行距: 固定值 20 磅"/>
    <w:basedOn w:val="864"/>
    <w:next w:val="861"/>
    <w:uiPriority w:val="0"/>
    <w:qFormat/>
    <w:pPr>
      <w:spacing w:before="0" w:after="0" w:line="400" w:lineRule="exact"/>
    </w:pPr>
    <w:rPr>
      <w:rFonts w:eastAsia="黑体" w:cs="宋体"/>
      <w:b w:val="0"/>
      <w:bCs w:val="0"/>
      <w:sz w:val="24"/>
      <w:szCs w:val="20"/>
    </w:rPr>
  </w:style>
  <w:style w:type="paragraph" w:styleId="1011" w:customStyle="1">
    <w:name w:val="_Style 34"/>
    <w:next w:val="861"/>
    <w:uiPriority w:val="0"/>
    <w:qFormat/>
    <w:pPr>
      <w:jc w:val="both"/>
      <w:widowControl w:val="off"/>
    </w:pPr>
    <w:rPr>
      <w:rFonts w:ascii="Times New Roman" w:hAnsi="Times New Roman" w:eastAsia="宋体" w:cs="Times New Roman"/>
      <w:sz w:val="21"/>
      <w:lang w:val="en-US" w:eastAsia="zh-CN" w:bidi="ar-SA"/>
    </w:rPr>
  </w:style>
  <w:style w:type="paragraph" w:styleId="101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13" w:customStyle="1">
    <w:name w:val="_Style 36"/>
    <w:next w:val="861"/>
    <w:uiPriority w:val="0"/>
    <w:qFormat/>
    <w:pPr>
      <w:jc w:val="both"/>
      <w:widowControl w:val="off"/>
    </w:pPr>
    <w:rPr>
      <w:rFonts w:ascii="Times New Roman" w:hAnsi="Times New Roman" w:eastAsia="宋体" w:cs="Times New Roman"/>
      <w:sz w:val="21"/>
      <w:lang w:val="en-US" w:eastAsia="zh-CN" w:bidi="ar-SA"/>
    </w:rPr>
  </w:style>
  <w:style w:type="paragraph" w:styleId="1014" w:customStyle="1">
    <w:name w:val="空半行"/>
    <w:basedOn w:val="861"/>
    <w:uiPriority w:val="0"/>
    <w:qFormat/>
    <w:pPr>
      <w:spacing w:line="120" w:lineRule="exact"/>
    </w:pPr>
    <w:rPr>
      <w:rFonts w:ascii="Calibri" w:hAnsi="Calibri" w:eastAsia="仿宋_GB2312"/>
      <w:color w:val="ffffff"/>
      <w:sz w:val="30"/>
      <w:szCs w:val="22"/>
    </w:rPr>
  </w:style>
  <w:style w:type="paragraph" w:styleId="1015" w:customStyle="1">
    <w:name w:val="1方案格式1"/>
    <w:basedOn w:val="862"/>
    <w:uiPriority w:val="0"/>
    <w:qFormat/>
    <w:pPr>
      <w:numPr>
        <w:numId w:val="2"/>
      </w:numPr>
      <w:ind w:left="0" w:firstLine="0"/>
      <w:spacing w:line="360" w:lineRule="auto"/>
      <w:tabs>
        <w:tab w:val="left" w:pos="360" w:leader="none"/>
      </w:tabs>
    </w:pPr>
    <w:rPr>
      <w:rFonts w:eastAsia="微软雅黑"/>
      <w:bCs w:val="0"/>
      <w:sz w:val="48"/>
    </w:rPr>
  </w:style>
  <w:style w:type="paragraph" w:styleId="1016" w:customStyle="1">
    <w:name w:val="格式３"/>
    <w:basedOn w:val="861"/>
    <w:uiPriority w:val="0"/>
    <w:qFormat/>
    <w:pPr>
      <w:ind w:left="600" w:hanging="600"/>
      <w:spacing w:line="420" w:lineRule="exact"/>
    </w:pPr>
    <w:rPr>
      <w:rFonts w:ascii="宋体" w:hAnsi="宋体"/>
      <w:color w:val="000000"/>
      <w:sz w:val="24"/>
      <w:szCs w:val="20"/>
    </w:rPr>
  </w:style>
  <w:style w:type="paragraph" w:styleId="1017" w:customStyle="1">
    <w:name w:val="正文1"/>
    <w:uiPriority w:val="0"/>
    <w:qFormat/>
    <w:pPr>
      <w:jc w:val="both"/>
      <w:widowControl w:val="off"/>
    </w:pPr>
    <w:rPr>
      <w:rFonts w:ascii="Calibri" w:hAnsi="Calibri" w:eastAsia="宋体" w:cs="Times New Roman"/>
      <w:lang w:val="en-US" w:eastAsia="zh-CN" w:bidi="ar-SA"/>
    </w:rPr>
  </w:style>
  <w:style w:type="paragraph" w:styleId="1018" w:customStyle="1">
    <w:name w:val="列出段落111"/>
    <w:basedOn w:val="861"/>
    <w:uiPriority w:val="34"/>
    <w:qFormat/>
    <w:pPr>
      <w:contextualSpacing/>
      <w:ind w:left="720"/>
      <w:jc w:val="left"/>
      <w:widowControl/>
    </w:pPr>
    <w:rPr>
      <w:rFonts w:ascii="Arial" w:hAnsi="Arial" w:eastAsia="黑体"/>
      <w:sz w:val="24"/>
      <w:lang w:eastAsia="en-US"/>
    </w:rPr>
  </w:style>
  <w:style w:type="paragraph" w:styleId="1019" w:customStyle="1">
    <w:name w:val="正文空2字"/>
    <w:basedOn w:val="861"/>
    <w:uiPriority w:val="0"/>
    <w:qFormat/>
    <w:pPr>
      <w:ind w:firstLine="200"/>
      <w:spacing w:line="360" w:lineRule="auto"/>
    </w:pPr>
    <w:rPr>
      <w:sz w:val="24"/>
      <w:lang w:bidi="en-US"/>
    </w:rPr>
  </w:style>
  <w:style w:type="paragraph" w:styleId="102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21" w:customStyle="1">
    <w:name w:val="目录 5_0"/>
    <w:basedOn w:val="930"/>
    <w:next w:val="930"/>
    <w:uiPriority w:val="39"/>
    <w:qFormat/>
    <w:pPr>
      <w:ind w:left="1680"/>
    </w:pPr>
    <w:rPr>
      <w:rFonts w:ascii="Calibri" w:hAnsi="Calibri"/>
    </w:rPr>
  </w:style>
  <w:style w:type="paragraph" w:styleId="1022" w:customStyle="1">
    <w:name w:val="修订1"/>
    <w:uiPriority w:val="0"/>
    <w:qFormat/>
    <w:rPr>
      <w:rFonts w:ascii="Times New Roman" w:hAnsi="Times New Roman" w:eastAsia="宋体" w:cs="Times New Roman"/>
      <w:sz w:val="21"/>
      <w:szCs w:val="24"/>
      <w:lang w:val="en-US" w:eastAsia="zh-CN" w:bidi="ar-SA"/>
    </w:rPr>
  </w:style>
  <w:style w:type="paragraph" w:styleId="1023" w:customStyle="1">
    <w:name w:val="标题 11"/>
    <w:basedOn w:val="1017"/>
    <w:next w:val="101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24" w:customStyle="1">
    <w:name w:val="正文 + 行距: 固定值 20 磅"/>
    <w:basedOn w:val="861"/>
    <w:uiPriority w:val="0"/>
    <w:qFormat/>
    <w:pPr>
      <w:ind w:firstLine="716"/>
      <w:spacing w:line="400" w:lineRule="exact"/>
    </w:pPr>
    <w:rPr>
      <w:rFonts w:ascii="Calibri" w:hAnsi="Calibri"/>
      <w:szCs w:val="22"/>
    </w:rPr>
  </w:style>
  <w:style w:type="paragraph" w:styleId="1025" w:customStyle="1">
    <w:name w:val="TOC 标题1"/>
    <w:basedOn w:val="862"/>
    <w:next w:val="86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26" w:customStyle="1">
    <w:name w:val="表格文字"/>
    <w:basedOn w:val="861"/>
    <w:link w:val="1057"/>
    <w:uiPriority w:val="0"/>
    <w:qFormat/>
    <w:pPr>
      <w:jc w:val="left"/>
      <w:spacing w:line="420" w:lineRule="atLeast"/>
    </w:pPr>
    <w:rPr>
      <w:rFonts w:ascii="Calibri" w:hAnsi="Calibri"/>
      <w:szCs w:val="22"/>
    </w:rPr>
  </w:style>
  <w:style w:type="paragraph" w:styleId="1027" w:customStyle="1">
    <w:name w:val="flNote"/>
    <w:basedOn w:val="861"/>
    <w:uiPriority w:val="0"/>
    <w:qFormat/>
    <w:pPr>
      <w:jc w:val="center"/>
      <w:spacing w:before="320" w:after="160" w:line="360" w:lineRule="atLeast"/>
    </w:pPr>
    <w:rPr>
      <w:rFonts w:ascii="Arial" w:hAnsi="Calibri" w:eastAsia="黑体"/>
      <w:sz w:val="30"/>
      <w:szCs w:val="22"/>
    </w:rPr>
  </w:style>
  <w:style w:type="paragraph" w:styleId="1028" w:customStyle="1">
    <w:name w:val="文章正文"/>
    <w:basedOn w:val="861"/>
    <w:uiPriority w:val="99"/>
    <w:qFormat/>
    <w:pPr>
      <w:ind w:firstLine="480"/>
      <w:spacing w:line="360" w:lineRule="auto"/>
    </w:pPr>
    <w:rPr>
      <w:rFonts w:ascii="仿宋_GB2312" w:hAnsi="宋体" w:eastAsia="仿宋_GB2312"/>
      <w:color w:val="ff0000"/>
      <w:sz w:val="24"/>
    </w:rPr>
  </w:style>
  <w:style w:type="paragraph" w:styleId="1029" w:customStyle="1">
    <w:name w:val="表格"/>
    <w:basedOn w:val="861"/>
    <w:uiPriority w:val="0"/>
    <w:qFormat/>
    <w:pPr>
      <w:jc w:val="center"/>
    </w:pPr>
    <w:rPr>
      <w:rFonts w:ascii="华文细黑" w:hAnsi="华文细黑"/>
      <w:szCs w:val="22"/>
    </w:rPr>
  </w:style>
  <w:style w:type="paragraph" w:styleId="1030" w:customStyle="1">
    <w:name w:val="Char"/>
    <w:basedOn w:val="861"/>
    <w:uiPriority w:val="0"/>
    <w:qFormat/>
    <w:pPr>
      <w:jc w:val="left"/>
      <w:spacing w:after="160" w:line="240" w:lineRule="exact"/>
      <w:widowControl/>
    </w:pPr>
    <w:rPr>
      <w:rFonts w:ascii="Verdana" w:hAnsi="Verdana"/>
      <w:sz w:val="20"/>
      <w:szCs w:val="20"/>
      <w:lang w:eastAsia="en-US"/>
    </w:rPr>
  </w:style>
  <w:style w:type="paragraph" w:styleId="103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2" w:customStyle="1">
    <w:name w:val="列出段落2"/>
    <w:basedOn w:val="861"/>
    <w:uiPriority w:val="99"/>
    <w:qFormat/>
    <w:pPr>
      <w:ind w:firstLine="420"/>
    </w:pPr>
  </w:style>
  <w:style w:type="paragraph" w:styleId="1033" w:customStyle="1">
    <w:name w:val="6'"/>
    <w:basedOn w:val="861"/>
    <w:uiPriority w:val="0"/>
    <w:qFormat/>
    <w:pPr>
      <w:jc w:val="center"/>
      <w:spacing w:line="320" w:lineRule="exact"/>
    </w:pPr>
    <w:rPr>
      <w:rFonts w:ascii="Calibri" w:hAnsi="Calibri"/>
      <w:spacing w:val="20"/>
      <w:szCs w:val="22"/>
    </w:rPr>
  </w:style>
  <w:style w:type="paragraph" w:styleId="1034" w:customStyle="1">
    <w:name w:val="Char Char Char Char Char Char Char"/>
    <w:basedOn w:val="861"/>
    <w:uiPriority w:val="0"/>
    <w:qFormat/>
    <w:pPr>
      <w:spacing w:line="360" w:lineRule="auto"/>
    </w:pPr>
    <w:rPr>
      <w:sz w:val="24"/>
      <w:szCs w:val="20"/>
    </w:rPr>
  </w:style>
  <w:style w:type="paragraph" w:styleId="1035" w:customStyle="1">
    <w:name w:val="2方案格式2"/>
    <w:basedOn w:val="1015"/>
    <w:uiPriority w:val="0"/>
    <w:qFormat/>
    <w:pPr>
      <w:numPr>
        <w:ilvl w:val="1"/>
      </w:numPr>
      <w:spacing w:before="50" w:after="50" w:line="240" w:lineRule="auto"/>
      <w:outlineLvl w:val="1"/>
    </w:pPr>
    <w:rPr>
      <w:sz w:val="44"/>
    </w:rPr>
  </w:style>
  <w:style w:type="paragraph" w:styleId="103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文档正文"/>
    <w:basedOn w:val="861"/>
    <w:uiPriority w:val="0"/>
    <w:qFormat/>
    <w:pPr>
      <w:ind w:firstLine="567"/>
      <w:spacing w:line="480" w:lineRule="atLeast"/>
    </w:pPr>
    <w:rPr>
      <w:rFonts w:ascii="Ari" w:eastAsia="Ari"/>
      <w:sz w:val="28"/>
      <w:szCs w:val="20"/>
    </w:rPr>
  </w:style>
  <w:style w:type="paragraph" w:styleId="1038" w:customStyle="1">
    <w:name w:val="txt"/>
    <w:basedOn w:val="861"/>
    <w:uiPriority w:val="0"/>
    <w:qFormat/>
    <w:pPr>
      <w:jc w:val="left"/>
      <w:spacing w:before="100" w:beforeAutospacing="1" w:after="100" w:afterAutospacing="1"/>
      <w:widowControl/>
    </w:pPr>
    <w:rPr>
      <w:rFonts w:ascii="宋体" w:hAnsi="宋体" w:cs="宋体"/>
      <w:sz w:val="24"/>
    </w:rPr>
  </w:style>
  <w:style w:type="paragraph" w:styleId="1039" w:customStyle="1">
    <w:name w:val="目录 4_0"/>
    <w:basedOn w:val="930"/>
    <w:next w:val="930"/>
    <w:uiPriority w:val="39"/>
    <w:qFormat/>
    <w:pPr>
      <w:ind w:left="1260"/>
    </w:pPr>
    <w:rPr>
      <w:rFonts w:ascii="Calibri" w:hAnsi="Calibri"/>
    </w:rPr>
  </w:style>
  <w:style w:type="paragraph" w:styleId="1040" w:customStyle="1">
    <w:name w:val="目录 3_0"/>
    <w:basedOn w:val="930"/>
    <w:next w:val="930"/>
    <w:uiPriority w:val="39"/>
    <w:qFormat/>
    <w:pPr>
      <w:ind w:left="840"/>
    </w:pPr>
    <w:rPr>
      <w:rFonts w:ascii="Calibri" w:hAnsi="Calibri"/>
    </w:rPr>
  </w:style>
  <w:style w:type="paragraph" w:styleId="1041" w:customStyle="1">
    <w:name w:val="样式 标题 1 + 黑体 三号 非加粗 居中 段前: 6 磅 段后: 6 磅 行距: 固定值 20 磅"/>
    <w:basedOn w:val="862"/>
    <w:uiPriority w:val="0"/>
    <w:qFormat/>
    <w:pPr>
      <w:numPr>
        <w:numId w:val="0"/>
      </w:numPr>
      <w:spacing w:before="120" w:after="120" w:line="400" w:lineRule="exact"/>
    </w:pPr>
    <w:rPr>
      <w:rFonts w:ascii="黑体" w:hAnsi="黑体" w:eastAsia="黑体"/>
      <w:b w:val="0"/>
      <w:bCs w:val="0"/>
      <w:szCs w:val="20"/>
    </w:rPr>
  </w:style>
  <w:style w:type="paragraph" w:styleId="1042" w:customStyle="1">
    <w:name w:val="1"/>
    <w:basedOn w:val="861"/>
    <w:next w:val="861"/>
    <w:uiPriority w:val="0"/>
    <w:qFormat/>
    <w:rPr>
      <w:rFonts w:ascii="Calibri" w:hAnsi="Calibri"/>
      <w:szCs w:val="22"/>
    </w:rPr>
  </w:style>
  <w:style w:type="paragraph" w:styleId="1043" w:customStyle="1">
    <w:name w:val="Blockquote_0"/>
    <w:basedOn w:val="930"/>
    <w:uiPriority w:val="0"/>
    <w:qFormat/>
    <w:pPr>
      <w:ind w:left="360" w:right="360"/>
      <w:jc w:val="left"/>
      <w:spacing w:before="100" w:after="100"/>
    </w:pPr>
    <w:rPr>
      <w:rFonts w:ascii="Calibri" w:hAnsi="Calibri" w:eastAsia="Times New Roman"/>
      <w:sz w:val="24"/>
      <w:szCs w:val="20"/>
    </w:rPr>
  </w:style>
  <w:style w:type="paragraph" w:styleId="1044" w:customStyle="1">
    <w:name w:val="列出段落11"/>
    <w:basedOn w:val="861"/>
    <w:uiPriority w:val="0"/>
    <w:qFormat/>
    <w:pPr>
      <w:contextualSpacing/>
      <w:ind w:left="720"/>
      <w:jc w:val="left"/>
      <w:widowControl/>
    </w:pPr>
    <w:rPr>
      <w:rFonts w:ascii="Arial" w:hAnsi="Arial" w:eastAsia="黑体"/>
      <w:sz w:val="24"/>
      <w:lang w:eastAsia="en-US"/>
    </w:rPr>
  </w:style>
  <w:style w:type="paragraph" w:styleId="1045" w:customStyle="1">
    <w:name w:val="样式 标题 2 + Times New Roman 四号 非加粗 段前: 5 磅 段后: 0 磅 行距: 固定值 20..._0"/>
    <w:basedOn w:val="861"/>
    <w:uiPriority w:val="0"/>
    <w:qFormat/>
    <w:pPr>
      <w:keepLines/>
      <w:keepNext/>
      <w:spacing w:before="100" w:line="360" w:lineRule="auto"/>
      <w:outlineLvl w:val="1"/>
    </w:pPr>
    <w:rPr>
      <w:rFonts w:eastAsia="Times New Roman" w:cs="宋体"/>
      <w:sz w:val="28"/>
      <w:szCs w:val="20"/>
    </w:rPr>
  </w:style>
  <w:style w:type="paragraph" w:styleId="1046" w:customStyle="1">
    <w:name w:val="op_mapdots_left"/>
    <w:basedOn w:val="861"/>
    <w:uiPriority w:val="0"/>
    <w:qFormat/>
    <w:pPr>
      <w:jc w:val="left"/>
      <w:spacing w:before="100" w:beforeAutospacing="1" w:after="100" w:afterAutospacing="1"/>
      <w:widowControl/>
    </w:pPr>
    <w:rPr>
      <w:rFonts w:ascii="宋体" w:hAnsi="宋体" w:cs="宋体"/>
      <w:sz w:val="24"/>
    </w:rPr>
  </w:style>
  <w:style w:type="paragraph" w:styleId="1047" w:customStyle="1">
    <w:name w:val="p0"/>
    <w:basedOn w:val="861"/>
    <w:uiPriority w:val="0"/>
    <w:qFormat/>
    <w:pPr>
      <w:widowControl/>
    </w:pPr>
    <w:rPr>
      <w:b/>
      <w:bCs/>
      <w:sz w:val="24"/>
    </w:rPr>
  </w:style>
  <w:style w:type="paragraph" w:styleId="1048" w:customStyle="1">
    <w:name w:val="Blockquote"/>
    <w:basedOn w:val="861"/>
    <w:uiPriority w:val="0"/>
    <w:qFormat/>
    <w:pPr>
      <w:ind w:left="360" w:right="360"/>
      <w:jc w:val="left"/>
      <w:spacing w:before="100" w:after="100"/>
    </w:pPr>
    <w:rPr>
      <w:rFonts w:ascii="Calibri" w:hAnsi="Calibri"/>
      <w:sz w:val="24"/>
      <w:szCs w:val="22"/>
    </w:rPr>
  </w:style>
  <w:style w:type="paragraph" w:styleId="1049" w:customStyle="1">
    <w:name w:val="3方案格式3"/>
    <w:basedOn w:val="1035"/>
    <w:uiPriority w:val="0"/>
    <w:qFormat/>
    <w:pPr>
      <w:numPr>
        <w:ilvl w:val="2"/>
      </w:numPr>
      <w:outlineLvl w:val="2"/>
    </w:pPr>
    <w:rPr>
      <w:sz w:val="32"/>
    </w:rPr>
  </w:style>
  <w:style w:type="paragraph" w:styleId="1050" w:customStyle="1">
    <w:name w:val="样式 标题 2 + Times New Roman 四号 非加粗 段前: 5 磅 段后: 0 磅 行距: 固定值 20..."/>
    <w:basedOn w:val="86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1" w:customStyle="1">
    <w:name w:val="标题2"/>
    <w:basedOn w:val="863"/>
    <w:next w:val="882"/>
    <w:uiPriority w:val="0"/>
    <w:qFormat/>
    <w:pPr>
      <w:spacing w:before="156" w:after="156" w:line="360" w:lineRule="auto"/>
    </w:pPr>
    <w:rPr>
      <w:bCs w:val="0"/>
      <w:sz w:val="24"/>
    </w:rPr>
  </w:style>
  <w:style w:type="paragraph" w:styleId="1052" w:customStyle="1">
    <w:name w:val="普通正文"/>
    <w:basedOn w:val="861"/>
    <w:uiPriority w:val="0"/>
    <w:qFormat/>
    <w:pPr>
      <w:ind w:firstLine="480"/>
      <w:jc w:val="left"/>
      <w:spacing w:before="120" w:after="120" w:line="360" w:lineRule="auto"/>
    </w:pPr>
    <w:rPr>
      <w:rFonts w:ascii="Arial" w:hAnsi="Arial"/>
      <w:sz w:val="24"/>
    </w:rPr>
  </w:style>
  <w:style w:type="paragraph" w:styleId="1053" w:customStyle="1">
    <w:name w:val="正文11"/>
    <w:uiPriority w:val="0"/>
    <w:qFormat/>
    <w:rPr>
      <w:rFonts w:ascii="Calibri" w:hAnsi="Calibri" w:eastAsia="宋体" w:cs="Calibri"/>
      <w:sz w:val="24"/>
      <w:szCs w:val="24"/>
      <w:lang w:val="en-US" w:eastAsia="zh-CN" w:bidi="ar-SA"/>
    </w:rPr>
  </w:style>
  <w:style w:type="paragraph" w:styleId="1054" w:customStyle="1">
    <w:name w:val="正文2"/>
    <w:uiPriority w:val="0"/>
    <w:qFormat/>
    <w:rPr>
      <w:rFonts w:ascii="Times New Roman" w:hAnsi="Times New Roman" w:eastAsia="微软雅黑" w:cs="Times New Roman"/>
      <w:sz w:val="24"/>
      <w:szCs w:val="24"/>
      <w:lang w:val="en-US" w:eastAsia="zh-CN" w:bidi="ar-SA"/>
    </w:rPr>
  </w:style>
  <w:style w:type="paragraph" w:styleId="1055" w:customStyle="1">
    <w:name w:val="列出段落3"/>
    <w:basedOn w:val="861"/>
    <w:uiPriority w:val="34"/>
    <w:qFormat/>
    <w:pPr>
      <w:ind w:firstLine="420"/>
      <w:jc w:val="left"/>
      <w:spacing w:after="200"/>
      <w:widowControl/>
    </w:pPr>
    <w:rPr>
      <w:rFonts w:ascii="Tahoma" w:hAnsi="Tahoma" w:eastAsia="微软雅黑"/>
      <w:sz w:val="22"/>
      <w:szCs w:val="22"/>
    </w:rPr>
  </w:style>
  <w:style w:type="paragraph" w:styleId="1056" w:customStyle="1">
    <w:name w:val="纯文本2"/>
    <w:basedOn w:val="861"/>
    <w:uiPriority w:val="0"/>
    <w:qFormat/>
    <w:pPr>
      <w:jc w:val="left"/>
    </w:pPr>
    <w:rPr>
      <w:rFonts w:hint="eastAsia" w:ascii="宋体" w:hAnsi="宋体" w:cs="Courier New"/>
      <w:sz w:val="24"/>
      <w:szCs w:val="20"/>
      <w:lang w:bidi="hi-IN"/>
    </w:rPr>
  </w:style>
  <w:style w:type="character" w:styleId="1057" w:customStyle="1">
    <w:name w:val="表格文字 字符"/>
    <w:link w:val="1026"/>
    <w:uiPriority w:val="0"/>
    <w:qFormat/>
    <w:rPr>
      <w:rFonts w:ascii="Calibri" w:hAnsi="Calibri" w:eastAsia="宋体" w:cs="Times New Roman"/>
      <w:sz w:val="21"/>
      <w:szCs w:val="22"/>
    </w:rPr>
  </w:style>
  <w:style w:type="paragraph" w:styleId="1058" w:customStyle="1">
    <w:name w:val="trs_editor"/>
    <w:basedOn w:val="861"/>
    <w:uiPriority w:val="0"/>
    <w:qFormat/>
    <w:pPr>
      <w:jc w:val="left"/>
      <w:spacing w:before="100" w:beforeAutospacing="1" w:after="100" w:afterAutospacing="1"/>
      <w:widowControl/>
    </w:pPr>
    <w:rPr>
      <w:rFonts w:ascii="宋体" w:hAnsi="宋体" w:cs="宋体"/>
      <w:sz w:val="24"/>
    </w:rPr>
  </w:style>
  <w:style w:type="paragraph" w:styleId="1059" w:customStyle="1">
    <w:name w:val="标题二级"/>
    <w:basedOn w:val="861"/>
    <w:uiPriority w:val="0"/>
    <w:qFormat/>
    <w:pPr>
      <w:ind w:firstLine="412"/>
    </w:pPr>
    <w:rPr>
      <w:rFonts w:ascii="宋体" w:hAnsi="宋体"/>
      <w:szCs w:val="21"/>
    </w:rPr>
  </w:style>
  <w:style w:type="paragraph" w:styleId="1060"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61"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62" w:customStyle="1">
    <w:name w:val="无"/>
    <w:uiPriority w:val="0"/>
    <w:qFormat/>
  </w:style>
  <w:style w:type="paragraph" w:styleId="1063" w:customStyle="1">
    <w:name w:val="Heading #2|1"/>
    <w:basedOn w:val="86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64" w:customStyle="1">
    <w:name w:val="Body text|1"/>
    <w:basedOn w:val="861"/>
    <w:uiPriority w:val="0"/>
    <w:qFormat/>
    <w:pPr>
      <w:ind w:firstLine="400"/>
      <w:spacing w:line="401" w:lineRule="auto"/>
    </w:pPr>
    <w:rPr>
      <w:rFonts w:ascii="宋体" w:hAnsi="宋体" w:cs="宋体"/>
      <w:sz w:val="30"/>
      <w:szCs w:val="30"/>
      <w:lang w:val="zh-TW" w:eastAsia="zh-TW" w:bidi="zh-TW"/>
    </w:rPr>
  </w:style>
  <w:style w:type="paragraph" w:styleId="1065" w:customStyle="1">
    <w:name w:val="_Style 1931"/>
    <w:basedOn w:val="861"/>
    <w:next w:val="920"/>
    <w:uiPriority w:val="34"/>
    <w:qFormat/>
    <w:pPr>
      <w:ind w:firstLine="420"/>
    </w:pPr>
  </w:style>
  <w:style w:type="paragraph" w:styleId="1066" w:customStyle="1">
    <w:name w:val="段落"/>
    <w:basedOn w:val="861"/>
    <w:uiPriority w:val="0"/>
    <w:qFormat/>
    <w:pPr>
      <w:ind w:firstLine="480"/>
      <w:spacing w:line="460" w:lineRule="exact"/>
    </w:pPr>
    <w:rPr>
      <w:rFonts w:ascii="Calibri" w:hAnsi="Calibri"/>
      <w:sz w:val="24"/>
      <w:szCs w:val="20"/>
    </w:rPr>
  </w:style>
  <w:style w:type="paragraph" w:styleId="1067" w:customStyle="1">
    <w:name w:val="首行缩进"/>
    <w:basedOn w:val="861"/>
    <w:uiPriority w:val="0"/>
    <w:qFormat/>
    <w:pPr>
      <w:ind w:firstLine="480"/>
      <w:spacing w:line="360" w:lineRule="auto"/>
    </w:pPr>
    <w:rPr>
      <w:rFonts w:ascii="宋体" w:hAnsi="宋体" w:cs="宋体"/>
      <w:sz w:val="24"/>
    </w:rPr>
  </w:style>
  <w:style w:type="paragraph" w:styleId="1068" w:customStyle="1">
    <w:name w:val="列出段落4"/>
    <w:basedOn w:val="861"/>
    <w:uiPriority w:val="99"/>
    <w:unhideWhenUsed/>
    <w:qFormat/>
    <w:pPr>
      <w:ind w:firstLine="420"/>
      <w:spacing w:line="360" w:lineRule="auto"/>
    </w:pPr>
    <w:rPr>
      <w:rFonts w:ascii="Calibri" w:hAnsi="Calibri" w:eastAsia="仿宋_GB2312"/>
      <w:sz w:val="32"/>
      <w:szCs w:val="22"/>
    </w:rPr>
  </w:style>
  <w:style w:type="paragraph" w:styleId="1069" w:customStyle="1">
    <w:name w:val="修订4"/>
    <w:hidden/>
    <w:uiPriority w:val="99"/>
    <w:semiHidden/>
    <w:qFormat/>
    <w:rPr>
      <w:rFonts w:ascii="Times New Roman" w:hAnsi="Times New Roman" w:eastAsia="宋体" w:cs="Times New Roman"/>
      <w:sz w:val="21"/>
      <w:szCs w:val="24"/>
      <w:lang w:val="en-US" w:eastAsia="zh-CN" w:bidi="ar-SA"/>
    </w:rPr>
  </w:style>
  <w:style w:type="paragraph" w:styleId="1070" w:customStyle="1">
    <w:name w:val="正文 A"/>
    <w:next w:val="882"/>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071"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正文"/>
    <w:basedOn w:val="861"/>
    <w:uiPriority w:val="0"/>
    <w:qFormat/>
    <w:pPr>
      <w:spacing w:line="360" w:lineRule="auto"/>
      <w:widowControl/>
    </w:pPr>
    <w:rPr>
      <w:rFonts w:ascii="仿宋_GB2312" w:eastAsia="仿宋_GB2312"/>
      <w:sz w:val="24"/>
      <w:szCs w:val="28"/>
    </w:rPr>
  </w:style>
  <w:style w:type="table" w:styleId="1073" w:customStyle="1">
    <w:name w:val="Table Normal"/>
    <w:uiPriority w:val="0"/>
    <w:unhideWhenUsed/>
    <w:qFormat/>
    <w:tblPr>
      <w:tblCellMar>
        <w:left w:w="0" w:type="dxa"/>
        <w:top w:w="0" w:type="dxa"/>
        <w:right w:w="0" w:type="dxa"/>
        <w:bottom w:w="0" w:type="dxa"/>
      </w:tblCellMar>
    </w:tblPr>
  </w:style>
  <w:style w:type="character" w:styleId="1074" w:customStyle="1">
    <w:name w:val="form-textarea-print1"/>
    <w:uiPriority w:val="0"/>
    <w:qFormat/>
    <w:rPr>
      <w:rFonts w:hint="default" w:ascii="微软雅黑" w:hAnsi="微软雅黑" w:eastAsia="宋体" w:cs="Times New Roman"/>
      <w:sz w:val="18"/>
      <w:szCs w:val="18"/>
    </w:rPr>
  </w:style>
  <w:style w:type="character" w:styleId="1075" w:customStyle="1">
    <w:name w:val="cke_colorbox"/>
    <w:basedOn w:val="871"/>
    <w:uiPriority w:val="0"/>
    <w:qFormat/>
  </w:style>
  <w:style w:type="character" w:styleId="1076" w:customStyle="1">
    <w:name w:val="cke_colorbox1"/>
    <w:basedOn w:val="871"/>
    <w:uiPriority w:val="0"/>
    <w:qFormat/>
  </w:style>
  <w:style w:type="character" w:styleId="1077" w:customStyle="1">
    <w:name w:val="pwdtips_alert"/>
    <w:basedOn w:val="871"/>
    <w:uiPriority w:val="0"/>
    <w:qFormat/>
    <w:rPr>
      <w:shd w:val="clear" w:color="auto" w:fill="ffeaa6"/>
    </w:rPr>
  </w:style>
  <w:style w:type="character" w:styleId="1078" w:customStyle="1">
    <w:name w:val="l-btn-left"/>
    <w:basedOn w:val="871"/>
    <w:uiPriority w:val="0"/>
    <w:qFormat/>
  </w:style>
  <w:style w:type="character" w:styleId="1079" w:customStyle="1">
    <w:name w:val="l-btn-left1"/>
    <w:basedOn w:val="871"/>
    <w:uiPriority w:val="0"/>
    <w:qFormat/>
  </w:style>
  <w:style w:type="character" w:styleId="1080" w:customStyle="1">
    <w:name w:val="l-btn-left2"/>
    <w:basedOn w:val="871"/>
    <w:uiPriority w:val="0"/>
    <w:qFormat/>
  </w:style>
  <w:style w:type="character" w:styleId="1081" w:customStyle="1">
    <w:name w:val="l-btn-left3"/>
    <w:basedOn w:val="871"/>
    <w:uiPriority w:val="0"/>
    <w:qFormat/>
  </w:style>
  <w:style w:type="character" w:styleId="1082" w:customStyle="1">
    <w:name w:val="combo2"/>
    <w:basedOn w:val="871"/>
    <w:uiPriority w:val="0"/>
    <w:qFormat/>
  </w:style>
  <w:style w:type="character" w:styleId="1083" w:customStyle="1">
    <w:name w:val="l-btn-empty"/>
    <w:basedOn w:val="871"/>
    <w:uiPriority w:val="0"/>
    <w:qFormat/>
  </w:style>
  <w:style w:type="character" w:styleId="1084" w:customStyle="1">
    <w:name w:val="red"/>
    <w:basedOn w:val="871"/>
    <w:uiPriority w:val="0"/>
    <w:qFormat/>
    <w:rPr>
      <w:color w:val="ff0000"/>
    </w:rPr>
  </w:style>
  <w:style w:type="character" w:styleId="1085" w:customStyle="1">
    <w:name w:val="l-btn-text"/>
    <w:basedOn w:val="871"/>
    <w:uiPriority w:val="0"/>
    <w:qFormat/>
    <w:rPr>
      <w:color w:val="1864ac"/>
      <w:sz w:val="14"/>
      <w:szCs w:val="14"/>
    </w:rPr>
  </w:style>
  <w:style w:type="character" w:styleId="1086" w:customStyle="1">
    <w:name w:val="l-btn-text1"/>
    <w:basedOn w:val="871"/>
    <w:uiPriority w:val="0"/>
    <w:qFormat/>
  </w:style>
  <w:style w:type="character" w:styleId="1087" w:customStyle="1">
    <w:name w:val="green"/>
    <w:basedOn w:val="871"/>
    <w:uiPriority w:val="0"/>
    <w:qFormat/>
    <w:rPr>
      <w:color w:val="00a521"/>
    </w:rPr>
  </w:style>
  <w:style w:type="character" w:styleId="1088" w:customStyle="1">
    <w:name w:val="valueinfo"/>
    <w:basedOn w:val="871"/>
    <w:uiPriority w:val="0"/>
    <w:qFormat/>
    <w:rPr>
      <w:color w:val="666666"/>
    </w:rPr>
  </w:style>
  <w:style w:type="character" w:styleId="1089" w:customStyle="1">
    <w:name w:val="tree-file2"/>
    <w:basedOn w:val="871"/>
    <w:uiPriority w:val="0"/>
    <w:qFormat/>
  </w:style>
  <w:style w:type="character" w:styleId="1090" w:customStyle="1">
    <w:name w:val="vainfo"/>
    <w:basedOn w:val="871"/>
    <w:uiPriority w:val="0"/>
    <w:qFormat/>
    <w:rPr>
      <w:color w:val="ff0000"/>
      <w:shd w:val="clear" w:color="auto" w:fill="ffe4e4"/>
    </w:rPr>
  </w:style>
  <w:style w:type="character" w:styleId="1091" w:customStyle="1">
    <w:name w:val="pwdtips_ok"/>
    <w:basedOn w:val="871"/>
    <w:uiPriority w:val="0"/>
    <w:qFormat/>
    <w:rPr>
      <w:shd w:val="clear" w:color="auto" w:fill="b4ffa6"/>
    </w:rPr>
  </w:style>
  <w:style w:type="character" w:styleId="1092" w:customStyle="1">
    <w:name w:val="pwdtips_error"/>
    <w:basedOn w:val="871"/>
    <w:uiPriority w:val="0"/>
    <w:qFormat/>
    <w:rPr>
      <w:shd w:val="clear" w:color="auto" w:fill="ffa6a6"/>
    </w:rPr>
  </w:style>
  <w:style w:type="character" w:styleId="1093" w:customStyle="1">
    <w:name w:val="tree-title4"/>
    <w:basedOn w:val="871"/>
    <w:uiPriority w:val="0"/>
    <w:qFormat/>
    <w:rPr>
      <w:color w:val="1864ac"/>
    </w:rPr>
  </w:style>
  <w:style w:type="character" w:styleId="1094" w:customStyle="1">
    <w:name w:val="tree-title5"/>
    <w:basedOn w:val="871"/>
    <w:uiPriority w:val="0"/>
    <w:qFormat/>
    <w:rPr>
      <w:color w:val="ffffff"/>
      <w:shd w:val="clear" w:color="auto" w:fill="3366cc"/>
    </w:rPr>
  </w:style>
  <w:style w:type="character" w:styleId="1095" w:customStyle="1">
    <w:name w:val="info"/>
    <w:basedOn w:val="871"/>
    <w:uiPriority w:val="0"/>
    <w:qFormat/>
  </w:style>
  <w:style w:type="character" w:styleId="1096" w:customStyle="1">
    <w:name w:val="topic"/>
    <w:basedOn w:val="871"/>
    <w:uiPriority w:val="0"/>
    <w:qFormat/>
    <w:rPr>
      <w:color w:val="ff0000"/>
    </w:rPr>
  </w:style>
  <w:style w:type="paragraph" w:styleId="1097" w:customStyle="1">
    <w:name w:val="_Style 213"/>
    <w:basedOn w:val="861"/>
    <w:next w:val="920"/>
    <w:uiPriority w:val="34"/>
    <w:qFormat/>
    <w:pPr>
      <w:ind w:firstLine="420"/>
      <w:jc w:val="left"/>
      <w:spacing w:line="360" w:lineRule="atLeast"/>
    </w:pPr>
    <w:rPr>
      <w:rFonts w:ascii="Arial" w:hAnsi="Arial"/>
      <w:sz w:val="24"/>
    </w:rPr>
  </w:style>
  <w:style w:type="paragraph" w:styleId="1098" w:customStyle="1">
    <w:name w:val="修订5"/>
    <w:hidden/>
    <w:uiPriority w:val="99"/>
    <w:semiHidden/>
    <w:qFormat/>
    <w:rPr>
      <w:rFonts w:ascii="Times New Roman" w:hAnsi="Times New Roman" w:eastAsia="宋体" w:cs="Times New Roman"/>
      <w:sz w:val="21"/>
      <w:szCs w:val="24"/>
      <w:lang w:val="en-US" w:eastAsia="zh-CN" w:bidi="ar-SA"/>
    </w:rPr>
  </w:style>
  <w:style w:type="paragraph" w:styleId="1099"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00" w:customStyle="1">
    <w:name w:val="NormalCharacter"/>
    <w:uiPriority w:val="0"/>
    <w:semiHidden/>
    <w:qFormat/>
    <w:rPr>
      <w:rFonts w:ascii="Calibri" w:hAnsi="Calibri" w:eastAsia="宋体"/>
      <w:sz w:val="21"/>
      <w:szCs w:val="24"/>
      <w:lang w:val="en-US" w:eastAsia="zh-CN" w:bidi="ar-SA"/>
    </w:rPr>
  </w:style>
  <w:style w:type="paragraph" w:styleId="1101"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1102" w:customStyle="1">
    <w:name w:val="列表段落2"/>
    <w:basedOn w:val="861"/>
    <w:uiPriority w:val="0"/>
    <w:qFormat/>
    <w:pPr>
      <w:ind w:firstLine="420"/>
    </w:pPr>
    <w:rPr>
      <w:szCs w:val="21"/>
    </w:rPr>
  </w:style>
  <w:style w:type="paragraph" w:styleId="1103" w:customStyle="1">
    <w:name w:val="正文_9_0"/>
    <w:basedOn w:val="861"/>
    <w:uiPriority w:val="0"/>
    <w:qFormat/>
    <w:rPr>
      <w:szCs w:val="21"/>
    </w:rPr>
  </w:style>
  <w:style w:type="paragraph" w:styleId="1104" w:customStyle="1">
    <w:name w:val="p15"/>
    <w:basedOn w:val="861"/>
    <w:uiPriority w:val="0"/>
    <w:qFormat/>
    <w:pPr>
      <w:jc w:val="left"/>
      <w:widowControl/>
    </w:pPr>
    <w:rPr>
      <w:rFonts w:ascii="黑体" w:hAnsi="黑体" w:eastAsia="黑体" w:cs="宋体"/>
      <w:color w:val="000000"/>
      <w:sz w:val="24"/>
    </w:rPr>
  </w:style>
  <w:style w:type="paragraph" w:styleId="1105" w:customStyle="1">
    <w:name w:val="Table Paragraph"/>
    <w:basedOn w:val="861"/>
    <w:uiPriority w:val="1"/>
    <w:qFormat/>
    <w:pPr>
      <w:spacing w:before="1"/>
    </w:pPr>
  </w:style>
  <w:style w:type="character" w:styleId="1106" w:customStyle="1">
    <w:name w:val="font131"/>
    <w:basedOn w:val="871"/>
    <w:uiPriority w:val="0"/>
    <w:qFormat/>
    <w:rPr>
      <w:rFonts w:ascii="Arial" w:hAnsi="Arial" w:cs="Arial"/>
      <w:color w:val="000000"/>
      <w:sz w:val="28"/>
      <w:szCs w:val="28"/>
      <w:u w:val="none"/>
    </w:rPr>
  </w:style>
  <w:style w:type="character" w:styleId="1107" w:customStyle="1">
    <w:name w:val="font71"/>
    <w:basedOn w:val="871"/>
    <w:uiPriority w:val="0"/>
    <w:qFormat/>
    <w:rPr>
      <w:rFonts w:hint="default" w:ascii="方正仿宋_GBK" w:hAnsi="方正仿宋_GBK" w:eastAsia="方正仿宋_GBK" w:cs="方正仿宋_GBK"/>
      <w:color w:val="000000"/>
      <w:sz w:val="28"/>
      <w:szCs w:val="28"/>
      <w:u w:val="none"/>
    </w:rPr>
  </w:style>
  <w:style w:type="character" w:styleId="1108" w:customStyle="1">
    <w:name w:val="font41"/>
    <w:basedOn w:val="871"/>
    <w:uiPriority w:val="0"/>
    <w:qFormat/>
    <w:rPr>
      <w:rFonts w:hint="default" w:ascii="Tahoma" w:hAnsi="Tahoma" w:eastAsia="Tahoma" w:cs="Tahoma"/>
      <w:color w:val="000000"/>
      <w:sz w:val="28"/>
      <w:szCs w:val="28"/>
      <w:u w:val="none"/>
    </w:rPr>
  </w:style>
  <w:style w:type="character" w:styleId="1109" w:customStyle="1">
    <w:name w:val="font141"/>
    <w:basedOn w:val="871"/>
    <w:uiPriority w:val="0"/>
    <w:qFormat/>
    <w:rPr>
      <w:rFonts w:hint="eastAsia" w:ascii="宋体" w:hAnsi="宋体" w:eastAsia="宋体" w:cs="宋体"/>
      <w:color w:val="000000"/>
      <w:sz w:val="28"/>
      <w:szCs w:val="28"/>
      <w:u w:val="none"/>
    </w:rPr>
  </w:style>
  <w:style w:type="paragraph" w:styleId="1110" w:customStyle="1">
    <w:name w:val="Normal_4"/>
    <w:uiPriority w:val="0"/>
    <w:qFormat/>
    <w:pPr>
      <w:jc w:val="both"/>
      <w:widowControl w:val="off"/>
    </w:pPr>
    <w:rPr>
      <w:rFonts w:ascii="Calibri" w:hAnsi="Calibri" w:eastAsia="宋体" w:cs="Times New Roman"/>
      <w:lang w:val="en-US" w:eastAsia="zh-CN" w:bidi="ar-SA"/>
    </w:rPr>
  </w:style>
  <w:style w:type="character" w:styleId="1111" w:customStyle="1">
    <w:name w:val="font121"/>
    <w:basedOn w:val="871"/>
    <w:uiPriority w:val="0"/>
    <w:qFormat/>
    <w:rPr>
      <w:rFonts w:ascii="Arial" w:hAnsi="Arial" w:cs="Arial"/>
      <w:color w:val="000000"/>
      <w:sz w:val="16"/>
      <w:szCs w:val="16"/>
      <w:u w:val="none"/>
    </w:rPr>
  </w:style>
  <w:style w:type="character" w:styleId="1112" w:customStyle="1">
    <w:name w:val="font51"/>
    <w:basedOn w:val="871"/>
    <w:uiPriority w:val="0"/>
    <w:qFormat/>
    <w:rPr>
      <w:rFonts w:hint="default" w:ascii="方正仿宋_GBK" w:hAnsi="方正仿宋_GBK" w:eastAsia="方正仿宋_GBK" w:cs="方正仿宋_GBK"/>
      <w:color w:val="000000"/>
      <w:sz w:val="16"/>
      <w:szCs w:val="16"/>
      <w:u w:val="none"/>
    </w:rPr>
  </w:style>
  <w:style w:type="character" w:styleId="1113" w:customStyle="1">
    <w:name w:val="font91"/>
    <w:basedOn w:val="871"/>
    <w:uiPriority w:val="0"/>
    <w:qFormat/>
    <w:rPr>
      <w:rFonts w:hint="eastAsia" w:ascii="宋体" w:hAnsi="宋体" w:eastAsia="宋体" w:cs="宋体"/>
      <w:color w:val="000000"/>
      <w:sz w:val="16"/>
      <w:szCs w:val="16"/>
      <w:u w:val="none"/>
    </w:rPr>
  </w:style>
  <w:style w:type="paragraph" w:styleId="1114" w:customStyle="1">
    <w:name w:val="索引 41"/>
    <w:basedOn w:val="861"/>
    <w:next w:val="861"/>
    <w:uiPriority w:val="0"/>
    <w:semiHidden/>
    <w:qFormat/>
    <w:pPr>
      <w:ind w:left="1260"/>
    </w:pPr>
    <w:rPr>
      <w:rFonts w:ascii="Calibri" w:hAnsi="Calibri" w:eastAsia="Calibri" w:cs="宋体"/>
      <w:sz w:val="20"/>
      <w:lang w:val="zh-CN"/>
    </w:rPr>
  </w:style>
  <w:style w:type="paragraph" w:styleId="1115" w:customStyle="1">
    <w:name w:val="纯文本11"/>
    <w:basedOn w:val="861"/>
    <w:uiPriority w:val="0"/>
    <w:qFormat/>
    <w:rPr>
      <w:rFonts w:ascii="宋体" w:hAnsi="Courier New" w:cs="Courier New"/>
    </w:rPr>
  </w:style>
  <w:style w:type="paragraph" w:styleId="1116" w:customStyle="1">
    <w:name w:val="正文文本缩进11"/>
    <w:basedOn w:val="861"/>
    <w:next w:val="1117"/>
    <w:uiPriority w:val="0"/>
    <w:unhideWhenUsed/>
    <w:qFormat/>
    <w:pPr>
      <w:ind w:left="420"/>
      <w:spacing w:after="120"/>
    </w:pPr>
  </w:style>
  <w:style w:type="paragraph" w:styleId="1117" w:customStyle="1">
    <w:name w:val="寄信人地址1"/>
    <w:basedOn w:val="861"/>
    <w:uiPriority w:val="0"/>
    <w:qFormat/>
    <w:rPr>
      <w:rFonts w:ascii="Arial" w:hAnsi="Arial" w:cs="宋体"/>
    </w:rPr>
  </w:style>
  <w:style w:type="paragraph" w:styleId="111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19" w:customStyle="1">
    <w:name w:val="Revision"/>
    <w:hidden/>
    <w:uiPriority w:val="99"/>
    <w:unhideWhenUsed/>
    <w:qFormat/>
    <w:rPr>
      <w:rFonts w:ascii="Times New Roman" w:hAnsi="Times New Roman" w:eastAsia="宋体" w:cs="Times New Roman"/>
      <w:sz w:val="21"/>
      <w:szCs w:val="24"/>
      <w:lang w:val="en-US" w:eastAsia="zh-CN" w:bidi="ar-SA"/>
    </w:rPr>
  </w:style>
  <w:style w:type="table" w:styleId="1120" w:customStyle="1">
    <w:name w:val="Grid Table Light"/>
    <w:basedOn w:val="872"/>
    <w:uiPriority w:val="40"/>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styleId="1121" w:customStyle="1">
    <w:name w:val="Plain Table 1"/>
    <w:basedOn w:val="872"/>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1122" w:customStyle="1">
    <w:name w:val="Plain Table 2"/>
    <w:basedOn w:val="872"/>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13</cp:revision>
  <dcterms:created xsi:type="dcterms:W3CDTF">2026-09-16T09:33:00Z</dcterms:created>
  <dcterms:modified xsi:type="dcterms:W3CDTF">2026-09-27T12:41:41Z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493E2E836AB04024B3385C13BAE765E8_13</vt:lpwstr>
  </property>
  <property fmtid="{D5CDD505-2E9C-101B-9397-08002B2CF9AE}" pid="4" name="KSOTemplateDocerSaveRecord">
    <vt:lpwstr>eyJoZGlkIjoiMzEwNTM5NzYwMDRjMzkwZTVkZjY2ODkwMGIxNGU0OTUiLCJ1c2VySWQiOiI0OTA5NzUwMTIifQ==</vt:lpwstr>
  </property>
</Properties>
</file>