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2"/>
        <w:ind w:firstLine="0"/>
        <w:rPr>
          <w:rFonts w:hint="eastAsia" w:eastAsia="黑体"/>
          <w:b/>
          <w:bCs/>
          <w:sz w:val="84"/>
        </w:rPr>
      </w:pPr>
      <w:r>
        <w:rPr>
          <w:rFonts w:hint="eastAsia" w:eastAsia="黑体"/>
          <w:b/>
          <w:bCs/>
          <w:sz w:val="84"/>
        </w:rPr>
      </w:r>
      <w:r/>
    </w:p>
    <w:p>
      <w:pPr>
        <w:pStyle w:val="822"/>
        <w:ind w:firstLine="0"/>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招　标　文　件</w:t>
      </w:r>
      <w:r>
        <w:rPr>
          <w:rFonts w:hint="eastAsia" w:ascii="方正小标宋_GBK" w:hAnsi="方正小标宋_GBK" w:eastAsia="方正小标宋_GBK" w:cs="方正小标宋_GBK"/>
          <w:sz w:val="44"/>
          <w:szCs w:val="44"/>
        </w:rPr>
      </w:r>
      <w:r/>
    </w:p>
    <w:p>
      <w:pPr>
        <w:pStyle w:val="822"/>
        <w:ind w:firstLine="1968"/>
        <w:spacing w:line="400" w:lineRule="exact"/>
        <w:rPr>
          <w:rFonts w:hint="eastAsia"/>
          <w:b/>
          <w:bCs/>
          <w:sz w:val="28"/>
          <w:szCs w:val="28"/>
        </w:rPr>
      </w:pPr>
      <w:r>
        <w:rPr>
          <w:rFonts w:hint="eastAsia"/>
          <w:b/>
          <w:bCs/>
          <w:sz w:val="28"/>
          <w:szCs w:val="28"/>
        </w:rPr>
      </w:r>
      <w:r/>
    </w:p>
    <w:p>
      <w:pPr>
        <w:pStyle w:val="822"/>
        <w:ind w:firstLine="1968"/>
        <w:spacing w:line="400" w:lineRule="exact"/>
        <w:rPr>
          <w:rFonts w:hint="eastAsia"/>
          <w:b/>
          <w:bCs/>
          <w:sz w:val="28"/>
          <w:szCs w:val="28"/>
        </w:rPr>
      </w:pPr>
      <w:r>
        <w:rPr>
          <w:rFonts w:hint="eastAsia"/>
          <w:b/>
          <w:bCs/>
          <w:sz w:val="28"/>
          <w:szCs w:val="28"/>
        </w:rPr>
      </w:r>
      <w:r/>
    </w:p>
    <w:p>
      <w:pPr>
        <w:pStyle w:val="734"/>
        <w:jc w:val="center"/>
        <w:spacing w:before="120" w:after="120" w:line="360" w:lineRule="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项目名称：江苏省中医院药品使用监测系统</w:t>
      </w:r>
      <w:r>
        <w:rPr>
          <w:rFonts w:hint="eastAsia" w:ascii="方正黑体_GBK" w:hAnsi="方正黑体_GBK" w:eastAsia="方正黑体_GBK" w:cs="方正黑体_GBK"/>
          <w:sz w:val="32"/>
          <w:szCs w:val="32"/>
        </w:rPr>
      </w:r>
      <w:r/>
    </w:p>
    <w:p>
      <w:pPr>
        <w:pStyle w:val="734"/>
        <w:jc w:val="center"/>
        <w:spacing w:before="120" w:after="120" w:line="360" w:lineRule="auto"/>
        <w:rPr>
          <w:rFonts w:hint="eastAsia"/>
          <w:b/>
          <w:sz w:val="28"/>
          <w:szCs w:val="28"/>
        </w:rPr>
      </w:pPr>
      <w:r>
        <w:rPr>
          <w:rFonts w:hint="eastAsia" w:ascii="方正黑体_GBK" w:hAnsi="方正黑体_GBK" w:eastAsia="方正黑体_GBK" w:cs="方正黑体_GBK"/>
          <w:sz w:val="32"/>
          <w:szCs w:val="32"/>
        </w:rPr>
        <w:t xml:space="preserve">采购编号：JSZC-320000-SCZX-G2026-0465</w:t>
      </w:r>
      <w:r>
        <w:rPr>
          <w:rFonts w:hint="eastAsia"/>
          <w:b/>
          <w:sz w:val="28"/>
          <w:szCs w:val="28"/>
        </w:rPr>
      </w:r>
      <w:r/>
    </w:p>
    <w:p>
      <w:pPr>
        <w:pStyle w:val="822"/>
        <w:ind w:firstLine="0"/>
        <w:spacing w:before="0" w:after="0"/>
        <w:rPr>
          <w:rFonts w:hint="eastAsia" w:ascii="宋体" w:hAnsi="宋体"/>
          <w:sz w:val="28"/>
          <w:szCs w:val="28"/>
        </w:rPr>
      </w:pPr>
      <w:r>
        <w:rPr>
          <w:rFonts w:hint="eastAsia" w:ascii="宋体" w:hAnsi="宋体"/>
          <w:sz w:val="28"/>
          <w:szCs w:val="28"/>
        </w:rPr>
      </w:r>
      <w:r/>
    </w:p>
    <w:p>
      <w:pPr>
        <w:pStyle w:val="822"/>
        <w:ind w:firstLine="0"/>
        <w:spacing w:before="0" w:after="0"/>
        <w:rPr>
          <w:rFonts w:hint="eastAsia" w:ascii="宋体" w:hAnsi="宋体"/>
          <w:sz w:val="28"/>
          <w:szCs w:val="28"/>
        </w:rPr>
      </w:pPr>
      <w:r>
        <w:rPr>
          <w:rFonts w:hint="eastAsia" w:ascii="宋体" w:hAnsi="宋体"/>
          <w:sz w:val="28"/>
          <w:szCs w:val="28"/>
        </w:rPr>
      </w:r>
      <w:r/>
    </w:p>
    <w:p>
      <w:pPr>
        <w:pStyle w:val="822"/>
        <w:ind w:firstLine="0"/>
        <w:spacing w:before="0" w:after="0"/>
        <w:rPr>
          <w:rFonts w:hint="eastAsia" w:ascii="宋体" w:hAnsi="宋体"/>
          <w:sz w:val="28"/>
          <w:szCs w:val="28"/>
        </w:rPr>
      </w:pPr>
      <w:r>
        <w:rPr>
          <w:rFonts w:hint="eastAsia" w:ascii="宋体" w:hAnsi="宋体"/>
          <w:sz w:val="28"/>
          <w:szCs w:val="28"/>
        </w:rPr>
      </w:r>
      <w:r/>
    </w:p>
    <w:p>
      <w:pPr>
        <w:pStyle w:val="822"/>
        <w:ind w:firstLine="0"/>
        <w:spacing w:before="0" w:after="0"/>
        <w:rPr>
          <w:rFonts w:hint="eastAsia" w:ascii="宋体" w:hAnsi="宋体"/>
          <w:sz w:val="28"/>
          <w:szCs w:val="28"/>
        </w:rPr>
      </w:pPr>
      <w:r>
        <w:rPr>
          <w:rFonts w:hint="eastAsia" w:ascii="宋体" w:hAnsi="宋体"/>
          <w:sz w:val="28"/>
          <w:szCs w:val="28"/>
        </w:rPr>
      </w:r>
      <w:r/>
    </w:p>
    <w:p>
      <w:pPr>
        <w:pStyle w:val="822"/>
        <w:ind w:firstLine="0"/>
        <w:spacing w:before="0" w:after="0"/>
        <w:rPr>
          <w:rFonts w:hint="eastAsia" w:ascii="宋体" w:hAnsi="宋体"/>
          <w:sz w:val="28"/>
          <w:szCs w:val="28"/>
        </w:rPr>
      </w:pPr>
      <w:r>
        <w:rPr>
          <w:rFonts w:hint="eastAsia" w:ascii="宋体" w:hAnsi="宋体"/>
          <w:sz w:val="28"/>
          <w:szCs w:val="28"/>
        </w:rPr>
      </w:r>
      <w:r/>
    </w:p>
    <w:p>
      <w:pPr>
        <w:pStyle w:val="822"/>
        <w:ind w:firstLine="0"/>
        <w:spacing w:before="0" w:after="0"/>
        <w:rPr>
          <w:rFonts w:hint="eastAsia" w:ascii="宋体" w:hAnsi="宋体"/>
          <w:sz w:val="28"/>
          <w:szCs w:val="28"/>
        </w:rPr>
      </w:pPr>
      <w:r>
        <w:rPr>
          <w:rFonts w:hint="eastAsia" w:ascii="宋体" w:hAnsi="宋体"/>
          <w:sz w:val="28"/>
          <w:szCs w:val="28"/>
        </w:rPr>
      </w:r>
      <w:r/>
    </w:p>
    <w:p>
      <w:pPr>
        <w:pStyle w:val="822"/>
        <w:ind w:firstLine="0"/>
        <w:spacing w:before="0" w:after="0"/>
        <w:rPr>
          <w:rFonts w:hint="eastAsia" w:ascii="宋体" w:hAnsi="宋体"/>
          <w:sz w:val="28"/>
          <w:szCs w:val="28"/>
        </w:rPr>
      </w:pPr>
      <w:r>
        <w:rPr>
          <w:rFonts w:hint="eastAsia" w:ascii="宋体" w:hAnsi="宋体"/>
          <w:sz w:val="28"/>
          <w:szCs w:val="28"/>
        </w:rPr>
      </w:r>
      <w:r/>
    </w:p>
    <w:p>
      <w:pPr>
        <w:pStyle w:val="822"/>
        <w:ind w:firstLine="0"/>
        <w:spacing w:before="0" w:after="0"/>
        <w:rPr>
          <w:rFonts w:hint="eastAsia" w:ascii="宋体" w:hAnsi="宋体"/>
          <w:sz w:val="28"/>
          <w:szCs w:val="28"/>
        </w:rPr>
      </w:pPr>
      <w:r>
        <w:rPr>
          <w:rFonts w:hint="eastAsia" w:ascii="宋体" w:hAnsi="宋体"/>
          <w:sz w:val="28"/>
          <w:szCs w:val="28"/>
        </w:rPr>
      </w:r>
      <w:r/>
    </w:p>
    <w:p>
      <w:pPr>
        <w:pStyle w:val="734"/>
        <w:jc w:val="center"/>
        <w:spacing w:before="120" w:after="120"/>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江苏省政府采购中心</w:t>
      </w:r>
      <w:r>
        <w:rPr>
          <w:rFonts w:hint="eastAsia" w:ascii="方正黑体_GBK" w:hAnsi="方正黑体_GBK" w:eastAsia="方正黑体_GBK" w:cs="方正黑体_GBK"/>
          <w:sz w:val="32"/>
          <w:szCs w:val="32"/>
        </w:rPr>
      </w:r>
      <w:r/>
    </w:p>
    <w:p>
      <w:pPr>
        <w:pStyle w:val="734"/>
        <w:jc w:val="center"/>
        <w:spacing w:before="120" w:after="120"/>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2026年09月</w:t>
      </w:r>
      <w:r>
        <w:rPr>
          <w:rFonts w:hint="eastAsia" w:ascii="方正黑体_GBK" w:hAnsi="方正黑体_GBK" w:eastAsia="方正黑体_GBK" w:cs="方正黑体_GBK"/>
          <w:sz w:val="32"/>
          <w:szCs w:val="32"/>
        </w:rPr>
      </w:r>
      <w:r/>
    </w:p>
    <w:p>
      <w:pPr>
        <w:pStyle w:val="822"/>
        <w:ind w:firstLine="0"/>
        <w:rPr>
          <w:rFonts w:hint="eastAsia"/>
          <w:u w:val="single"/>
        </w:rPr>
      </w:pPr>
      <w:r>
        <w:rPr>
          <w:rFonts w:hint="eastAsia"/>
        </w:rPr>
        <w:t xml:space="preserve">                        </w:t>
      </w:r>
      <w:r>
        <w:rPr>
          <w:rFonts w:hint="eastAsia"/>
          <w:u w:val="single"/>
        </w:rPr>
      </w:r>
      <w:r/>
    </w:p>
    <w:p>
      <w:pPr>
        <w:pStyle w:val="822"/>
        <w:ind w:firstLine="0"/>
        <w:jc w:val="center"/>
        <w:rPr>
          <w:rFonts w:hint="eastAsia"/>
        </w:rPr>
      </w:pPr>
      <w:r>
        <w:rPr>
          <w:rFonts w:hint="eastAsia"/>
        </w:rPr>
      </w:r>
      <w:r/>
    </w:p>
    <w:p>
      <w:pPr>
        <w:pStyle w:val="734"/>
        <w:jc w:val="center"/>
        <w:spacing w:line="400" w:lineRule="exact"/>
        <w:rPr>
          <w:rFonts w:hint="eastAsia" w:ascii="黑体" w:hAnsi="Arial" w:eastAsia="黑体"/>
          <w:b/>
          <w:sz w:val="36"/>
          <w:szCs w:val="36"/>
        </w:rPr>
        <w:outlineLvl w:val="0"/>
      </w:pPr>
      <w:r>
        <w:br w:type="page" w:clear="all"/>
      </w:r>
      <w:bookmarkStart w:id="0" w:name="_Toc20823272"/>
      <w:r/>
      <w:bookmarkStart w:id="1" w:name="_Toc120614210"/>
      <w:r/>
      <w:bookmarkStart w:id="2" w:name="_Toc16938516"/>
      <w:r/>
      <w:bookmarkStart w:id="3" w:name="_Toc513029200"/>
      <w:r/>
      <w:bookmarkStart w:id="4" w:name="_Toc479757206"/>
      <w:r/>
      <w:bookmarkStart w:id="5" w:name="_Toc523127445"/>
      <w:r>
        <w:rPr>
          <w:rFonts w:hint="eastAsia" w:ascii="方正黑体_GBK" w:hAnsi="方正黑体_GBK" w:eastAsia="方正黑体_GBK" w:cs="方正黑体_GBK"/>
          <w:b/>
          <w:sz w:val="32"/>
          <w:szCs w:val="32"/>
        </w:rPr>
        <w:t xml:space="preserve"> </w:t>
      </w:r>
      <w:bookmarkStart w:id="6" w:name="_Toc240379768"/>
      <w:r>
        <w:rPr>
          <w:rFonts w:hint="eastAsia" w:ascii="方正黑体_GBK" w:hAnsi="方正黑体_GBK" w:eastAsia="方正黑体_GBK" w:cs="方正黑体_GBK"/>
          <w:bCs/>
          <w:sz w:val="36"/>
          <w:szCs w:val="36"/>
        </w:rPr>
        <w:t xml:space="preserve">总  目  录</w:t>
      </w:r>
      <w:bookmarkEnd w:id="6"/>
      <w:r>
        <w:rPr>
          <w:rFonts w:hint="eastAsia" w:ascii="黑体" w:hAnsi="Arial" w:eastAsia="黑体"/>
          <w:b/>
          <w:sz w:val="36"/>
          <w:szCs w:val="36"/>
        </w:rPr>
      </w:r>
      <w:r/>
    </w:p>
    <w:p>
      <w:pPr>
        <w:pStyle w:val="786"/>
        <w:rPr>
          <w:rFonts w:hint="eastAsia" w:ascii="等线" w:hAnsi="等线" w:eastAsia="等线"/>
          <w:caps w:val="0"/>
          <w:sz w:val="22"/>
          <w:lang w:val="en-US" w:eastAsia="zh-CN"/>
        </w:rPr>
      </w:pPr>
      <w:r>
        <w:rPr>
          <w:b/>
          <w:bCs/>
          <w:sz w:val="36"/>
          <w:szCs w:val="36"/>
        </w:rPr>
        <w:fldChar w:fldCharType="begin"/>
      </w:r>
      <w:r>
        <w:rPr>
          <w:b/>
          <w:bCs/>
          <w:sz w:val="36"/>
          <w:szCs w:val="36"/>
        </w:rPr>
        <w:instrText xml:space="preserve"> TOC \o "1-1" \u </w:instrText>
      </w:r>
      <w:r>
        <w:rPr>
          <w:b/>
          <w:bCs/>
          <w:sz w:val="36"/>
          <w:szCs w:val="36"/>
        </w:rPr>
        <w:fldChar w:fldCharType="separate"/>
      </w:r>
      <w:r>
        <w:rPr>
          <w:rFonts w:hint="eastAsia" w:ascii="方正黑体_GBK" w:hAnsi="方正黑体_GBK" w:eastAsia="方正黑体_GBK" w:cs="方正黑体_GBK"/>
          <w:bCs/>
        </w:rPr>
        <w:t xml:space="preserve">总  目  录</w:t>
      </w:r>
      <w:r>
        <w:rPr>
          <w:rFonts w:hint="eastAsia"/>
        </w:rPr>
        <w:tab/>
      </w:r>
      <w:r>
        <w:rPr>
          <w:rFonts w:hint="eastAsia"/>
        </w:rPr>
        <w:fldChar w:fldCharType="begin"/>
      </w:r>
      <w:r>
        <w:rPr>
          <w:rFonts w:hint="eastAsia"/>
        </w:rPr>
        <w:instrText xml:space="preserve"> </w:instrText>
      </w:r>
      <w:r>
        <w:instrText xml:space="preserve">PAGEREF _Toc240379768 \h</w:instrText>
      </w:r>
      <w:r>
        <w:rPr>
          <w:rFonts w:hint="eastAsia"/>
        </w:rPr>
        <w:instrText xml:space="preserve"> </w:instrText>
      </w:r>
      <w:r>
        <w:rPr>
          <w:rFonts w:hint="eastAsia"/>
        </w:rPr>
        <w:fldChar w:fldCharType="separate"/>
      </w:r>
      <w:r>
        <w:rPr>
          <w:rFonts w:hint="eastAsia"/>
        </w:rPr>
        <w:t xml:space="preserve">2</w:t>
      </w:r>
      <w:r>
        <w:rPr>
          <w:rFonts w:hint="eastAsia"/>
        </w:rPr>
        <w:fldChar w:fldCharType="end"/>
      </w:r>
      <w:r>
        <w:rPr>
          <w:rFonts w:hint="eastAsia" w:ascii="等线" w:hAnsi="等线" w:eastAsia="等线"/>
          <w:caps w:val="0"/>
          <w:sz w:val="22"/>
          <w:lang w:val="en-US" w:eastAsia="zh-CN"/>
        </w:rPr>
      </w:r>
      <w:r/>
    </w:p>
    <w:p>
      <w:pPr>
        <w:pStyle w:val="786"/>
        <w:rPr>
          <w:rFonts w:hint="eastAsia" w:ascii="等线" w:hAnsi="等线" w:eastAsia="等线"/>
          <w:caps w:val="0"/>
          <w:sz w:val="22"/>
          <w:lang w:val="en-US" w:eastAsia="zh-CN"/>
        </w:rPr>
      </w:pPr>
      <w:r>
        <w:rPr>
          <w:rFonts w:hint="eastAsia" w:ascii="方正黑体_GBK" w:hAnsi="方正黑体_GBK" w:eastAsia="方正黑体_GBK" w:cs="方正黑体_GBK"/>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_Toc240379769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Fonts w:hint="eastAsia" w:ascii="等线" w:hAnsi="等线" w:eastAsia="等线"/>
          <w:caps w:val="0"/>
          <w:sz w:val="22"/>
          <w:lang w:val="en-US" w:eastAsia="zh-CN"/>
        </w:rPr>
      </w:r>
      <w:r/>
    </w:p>
    <w:p>
      <w:pPr>
        <w:pStyle w:val="786"/>
        <w:rPr>
          <w:rFonts w:hint="eastAsia" w:ascii="等线" w:hAnsi="等线" w:eastAsia="等线"/>
          <w:caps w:val="0"/>
          <w:sz w:val="22"/>
          <w:lang w:val="en-US" w:eastAsia="zh-CN"/>
        </w:rPr>
      </w:pPr>
      <w:r>
        <w:rPr>
          <w:rFonts w:hint="eastAsia" w:ascii="方正黑体_GBK" w:hAnsi="方正黑体_GBK" w:eastAsia="方正黑体_GBK" w:cs="方正黑体_GBK"/>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_Toc24037</w:instrText>
      </w:r>
      <w:r>
        <w:instrText xml:space="preserve">9770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Fonts w:hint="eastAsia" w:ascii="等线" w:hAnsi="等线" w:eastAsia="等线"/>
          <w:caps w:val="0"/>
          <w:sz w:val="22"/>
          <w:lang w:val="en-US" w:eastAsia="zh-CN"/>
        </w:rPr>
      </w:r>
      <w:r/>
    </w:p>
    <w:p>
      <w:pPr>
        <w:pStyle w:val="786"/>
        <w:rPr>
          <w:rFonts w:hint="eastAsia" w:ascii="等线" w:hAnsi="等线" w:eastAsia="等线"/>
          <w:caps w:val="0"/>
          <w:sz w:val="22"/>
          <w:lang w:val="en-US" w:eastAsia="zh-CN"/>
        </w:rPr>
      </w:pPr>
      <w:r>
        <w:rPr>
          <w:rFonts w:hint="eastAsia" w:ascii="方正黑体_GBK" w:hAnsi="方正黑体_GBK" w:eastAsia="方正黑体_GBK" w:cs="方正黑体_GBK"/>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_Toc240379771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Fonts w:hint="eastAsia" w:ascii="等线" w:hAnsi="等线" w:eastAsia="等线"/>
          <w:caps w:val="0"/>
          <w:sz w:val="22"/>
          <w:lang w:val="en-US" w:eastAsia="zh-CN"/>
        </w:rPr>
      </w:r>
      <w:r/>
    </w:p>
    <w:p>
      <w:pPr>
        <w:pStyle w:val="786"/>
        <w:rPr>
          <w:rFonts w:hint="eastAsia" w:ascii="等线" w:hAnsi="等线" w:eastAsia="等线"/>
          <w:caps w:val="0"/>
          <w:sz w:val="22"/>
          <w:lang w:val="en-US" w:eastAsia="zh-CN"/>
        </w:rPr>
      </w:pPr>
      <w:r>
        <w:rPr>
          <w:rFonts w:hint="eastAsia" w:ascii="方正黑体_GBK" w:hAnsi="方正黑体_GBK" w:eastAsia="方正黑体_GBK" w:cs="方正黑体_GBK"/>
        </w:rPr>
        <w:t xml:space="preserve">三、获取招标文件</w:t>
      </w:r>
      <w:r>
        <w:rPr>
          <w:rFonts w:hint="eastAsia"/>
        </w:rPr>
        <w:tab/>
      </w:r>
      <w:r>
        <w:rPr>
          <w:rFonts w:hint="eastAsia"/>
        </w:rPr>
        <w:fldChar w:fldCharType="begin"/>
      </w:r>
      <w:r>
        <w:rPr>
          <w:rFonts w:hint="eastAsia"/>
        </w:rPr>
        <w:instrText xml:space="preserve"> </w:instrText>
      </w:r>
      <w:r>
        <w:instrText xml:space="preserve">PAGEREF _Toc240379772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rPr>
          <w:rFonts w:hint="eastAsia" w:ascii="等线" w:hAnsi="等线" w:eastAsia="等线"/>
          <w:caps w:val="0"/>
          <w:sz w:val="22"/>
          <w:lang w:val="en-US" w:eastAsia="zh-CN"/>
        </w:rPr>
      </w:r>
      <w:r/>
    </w:p>
    <w:p>
      <w:pPr>
        <w:pStyle w:val="786"/>
        <w:rPr>
          <w:rFonts w:hint="eastAsia" w:ascii="等线" w:hAnsi="等线" w:eastAsia="等线"/>
          <w:caps w:val="0"/>
          <w:sz w:val="22"/>
          <w:lang w:val="en-US" w:eastAsia="zh-CN"/>
        </w:rPr>
      </w:pPr>
      <w:r>
        <w:rPr>
          <w:rFonts w:hint="eastAsia" w:ascii="方正黑体_GBK" w:hAnsi="方正黑体_GBK" w:eastAsia="方正黑体_GBK" w:cs="方正黑体_GBK"/>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_Toc240379773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rPr>
          <w:rFonts w:hint="eastAsia" w:ascii="等线" w:hAnsi="等线" w:eastAsia="等线"/>
          <w:caps w:val="0"/>
          <w:sz w:val="22"/>
          <w:lang w:val="en-US" w:eastAsia="zh-CN"/>
        </w:rPr>
      </w:r>
      <w:r/>
    </w:p>
    <w:p>
      <w:pPr>
        <w:pStyle w:val="786"/>
        <w:rPr>
          <w:rFonts w:hint="eastAsia" w:ascii="等线" w:hAnsi="等线" w:eastAsia="等线"/>
          <w:caps w:val="0"/>
          <w:sz w:val="22"/>
          <w:lang w:val="en-US" w:eastAsia="zh-CN"/>
        </w:rPr>
      </w:pPr>
      <w:r>
        <w:rPr>
          <w:rFonts w:hint="eastAsia" w:ascii="方正黑体_GBK" w:hAnsi="方正黑体_GBK" w:eastAsia="方正黑体_GBK" w:cs="方正黑体_GBK"/>
        </w:rPr>
        <w:t xml:space="preserve">五、公告期限</w:t>
      </w:r>
      <w:r>
        <w:rPr>
          <w:rFonts w:hint="eastAsia"/>
        </w:rPr>
        <w:tab/>
      </w:r>
      <w:r>
        <w:rPr>
          <w:rFonts w:hint="eastAsia"/>
        </w:rPr>
        <w:fldChar w:fldCharType="begin"/>
      </w:r>
      <w:r>
        <w:rPr>
          <w:rFonts w:hint="eastAsia"/>
        </w:rPr>
        <w:instrText xml:space="preserve"> </w:instrText>
      </w:r>
      <w:r>
        <w:instrText xml:space="preserve">PAGEREF _Toc240379774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rPr>
          <w:rFonts w:hint="eastAsia" w:ascii="等线" w:hAnsi="等线" w:eastAsia="等线"/>
          <w:caps w:val="0"/>
          <w:sz w:val="22"/>
          <w:lang w:val="en-US" w:eastAsia="zh-CN"/>
        </w:rPr>
      </w:r>
      <w:r/>
    </w:p>
    <w:p>
      <w:pPr>
        <w:pStyle w:val="786"/>
        <w:rPr>
          <w:rFonts w:hint="eastAsia" w:ascii="等线" w:hAnsi="等线" w:eastAsia="等线"/>
          <w:caps w:val="0"/>
          <w:sz w:val="22"/>
          <w:lang w:val="en-US" w:eastAsia="zh-CN"/>
        </w:rPr>
      </w:pPr>
      <w:r>
        <w:rPr>
          <w:rFonts w:hint="eastAsia" w:ascii="方正黑体_GBK" w:hAnsi="方正黑体_GBK" w:eastAsia="方正黑体_GBK" w:cs="方正黑体_GBK"/>
        </w:rPr>
        <w:t xml:space="preserve">六、其他补充事宜</w:t>
      </w:r>
      <w:r>
        <w:rPr>
          <w:rFonts w:hint="eastAsia"/>
        </w:rPr>
        <w:tab/>
      </w:r>
      <w:r>
        <w:rPr>
          <w:rFonts w:hint="eastAsia"/>
        </w:rPr>
        <w:fldChar w:fldCharType="begin"/>
      </w:r>
      <w:r>
        <w:rPr>
          <w:rFonts w:hint="eastAsia"/>
        </w:rPr>
        <w:instrText xml:space="preserve"> </w:instrText>
      </w:r>
      <w:r>
        <w:instrText xml:space="preserve">PAGEREF _Toc240379775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rPr>
          <w:rFonts w:hint="eastAsia" w:ascii="等线" w:hAnsi="等线" w:eastAsia="等线"/>
          <w:caps w:val="0"/>
          <w:sz w:val="22"/>
          <w:lang w:val="en-US" w:eastAsia="zh-CN"/>
        </w:rPr>
      </w:r>
      <w:r/>
    </w:p>
    <w:p>
      <w:pPr>
        <w:pStyle w:val="786"/>
        <w:rPr>
          <w:rFonts w:hint="eastAsia" w:ascii="等线" w:hAnsi="等线" w:eastAsia="等线"/>
          <w:caps w:val="0"/>
          <w:sz w:val="22"/>
          <w:lang w:val="en-US" w:eastAsia="zh-CN"/>
        </w:rPr>
      </w:pPr>
      <w:r>
        <w:rPr>
          <w:rFonts w:hint="eastAsia" w:ascii="方正黑体_GBK" w:hAnsi="方正黑体_GBK" w:eastAsia="方正黑体_GBK" w:cs="方正黑体_GBK"/>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_Toc2</w:instrText>
      </w:r>
      <w:r>
        <w:instrText xml:space="preserve">40379776</w:instrText>
      </w:r>
      <w:r>
        <w:instrText xml:space="preserve">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rPr>
          <w:rFonts w:hint="eastAsia" w:ascii="等线" w:hAnsi="等线" w:eastAsia="等线"/>
          <w:caps w:val="0"/>
          <w:sz w:val="22"/>
          <w:lang w:val="en-US" w:eastAsia="zh-CN"/>
        </w:rPr>
      </w:r>
      <w:r/>
    </w:p>
    <w:p>
      <w:pPr>
        <w:pStyle w:val="786"/>
        <w:rPr>
          <w:rFonts w:hint="eastAsia" w:ascii="等线" w:hAnsi="等线" w:eastAsia="等线"/>
          <w:caps w:val="0"/>
          <w:sz w:val="22"/>
          <w:lang w:val="en-US" w:eastAsia="zh-CN"/>
        </w:rPr>
      </w:pPr>
      <w:r>
        <w:rPr>
          <w:rFonts w:hint="eastAsia" w:ascii="方正黑体_GBK" w:hAnsi="方正黑体_GBK" w:eastAsia="方正黑体_GBK" w:cs="方正黑体_GBK"/>
        </w:rPr>
        <w:t xml:space="preserve">八、其他</w:t>
      </w:r>
      <w:r>
        <w:rPr>
          <w:rFonts w:hint="eastAsia"/>
        </w:rPr>
        <w:tab/>
      </w:r>
      <w:r>
        <w:rPr>
          <w:rFonts w:hint="eastAsia"/>
        </w:rPr>
        <w:fldChar w:fldCharType="begin"/>
      </w:r>
      <w:r>
        <w:rPr>
          <w:rFonts w:hint="eastAsia"/>
        </w:rPr>
        <w:instrText xml:space="preserve"> </w:instrText>
      </w:r>
      <w:r>
        <w:instrText xml:space="preserve">PAGEREF _Toc240379777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rPr>
          <w:rFonts w:hint="eastAsia" w:ascii="等线" w:hAnsi="等线" w:eastAsia="等线"/>
          <w:caps w:val="0"/>
          <w:sz w:val="22"/>
          <w:lang w:val="en-US" w:eastAsia="zh-CN"/>
        </w:rPr>
      </w:r>
      <w:r/>
    </w:p>
    <w:p>
      <w:pPr>
        <w:pStyle w:val="786"/>
        <w:rPr>
          <w:rFonts w:hint="eastAsia" w:ascii="等线" w:hAnsi="等线" w:eastAsia="等线"/>
          <w:caps w:val="0"/>
          <w:sz w:val="22"/>
          <w:lang w:val="en-US" w:eastAsia="zh-CN"/>
        </w:rPr>
      </w:pPr>
      <w:r>
        <w:rPr>
          <w:rFonts w:hint="eastAsia" w:ascii="方正黑体_GBK" w:hAnsi="方正黑体_GBK" w:eastAsia="方正黑体_GBK" w:cs="方正黑体_GBK"/>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_Toc240379778 \h</w:instrText>
      </w:r>
      <w:r>
        <w:rPr>
          <w:rFonts w:hint="eastAsia"/>
        </w:rPr>
        <w:instrText xml:space="preserve"> </w:instrText>
      </w:r>
      <w:r>
        <w:rPr>
          <w:rFonts w:hint="eastAsia"/>
        </w:rPr>
        <w:fldChar w:fldCharType="separate"/>
      </w:r>
      <w:r>
        <w:rPr>
          <w:rFonts w:hint="eastAsia"/>
        </w:rPr>
        <w:t xml:space="preserve">6</w:t>
      </w:r>
      <w:r>
        <w:rPr>
          <w:rFonts w:hint="eastAsia"/>
        </w:rPr>
        <w:fldChar w:fldCharType="end"/>
      </w:r>
      <w:r>
        <w:rPr>
          <w:rFonts w:hint="eastAsia" w:ascii="等线" w:hAnsi="等线" w:eastAsia="等线"/>
          <w:caps w:val="0"/>
          <w:sz w:val="22"/>
          <w:lang w:val="en-US" w:eastAsia="zh-CN"/>
        </w:rPr>
      </w:r>
      <w:r/>
    </w:p>
    <w:p>
      <w:pPr>
        <w:pStyle w:val="786"/>
        <w:rPr>
          <w:rFonts w:hint="eastAsia" w:ascii="等线" w:hAnsi="等线" w:eastAsia="等线"/>
          <w:caps w:val="0"/>
          <w:sz w:val="22"/>
          <w:lang w:val="en-US" w:eastAsia="zh-CN"/>
        </w:rPr>
      </w:pPr>
      <w:r>
        <w:rPr>
          <w:rFonts w:hint="eastAsia" w:ascii="方正黑体_GBK" w:hAnsi="方正黑体_GBK" w:eastAsia="方正黑体_GBK" w:cs="方正黑体_GBK"/>
        </w:rPr>
        <w:t xml:space="preserve">一、总则</w:t>
      </w:r>
      <w:r>
        <w:rPr>
          <w:rFonts w:hint="eastAsia"/>
        </w:rPr>
        <w:tab/>
      </w:r>
      <w:r>
        <w:rPr>
          <w:rFonts w:hint="eastAsia"/>
        </w:rPr>
        <w:fldChar w:fldCharType="begin"/>
      </w:r>
      <w:r>
        <w:rPr>
          <w:rFonts w:hint="eastAsia"/>
        </w:rPr>
        <w:instrText xml:space="preserve"> </w:instrText>
      </w:r>
      <w:r>
        <w:instrText xml:space="preserve">PAGEREF _Toc240379779 \h</w:instrText>
      </w:r>
      <w:r>
        <w:rPr>
          <w:rFonts w:hint="eastAsia"/>
        </w:rPr>
        <w:instrText xml:space="preserve"> </w:instrText>
      </w:r>
      <w:r>
        <w:rPr>
          <w:rFonts w:hint="eastAsia"/>
        </w:rPr>
        <w:fldChar w:fldCharType="separate"/>
      </w:r>
      <w:r>
        <w:rPr>
          <w:rFonts w:hint="eastAsia"/>
        </w:rPr>
        <w:t xml:space="preserve">6</w:t>
      </w:r>
      <w:r>
        <w:rPr>
          <w:rFonts w:hint="eastAsia"/>
        </w:rPr>
        <w:fldChar w:fldCharType="end"/>
      </w:r>
      <w:r>
        <w:rPr>
          <w:rFonts w:hint="eastAsia" w:ascii="等线" w:hAnsi="等线" w:eastAsia="等线"/>
          <w:caps w:val="0"/>
          <w:sz w:val="22"/>
          <w:lang w:val="en-US" w:eastAsia="zh-CN"/>
        </w:rPr>
      </w:r>
      <w:r/>
    </w:p>
    <w:p>
      <w:pPr>
        <w:pStyle w:val="786"/>
        <w:rPr>
          <w:rFonts w:hint="eastAsia" w:ascii="等线" w:hAnsi="等线" w:eastAsia="等线"/>
          <w:caps w:val="0"/>
          <w:sz w:val="22"/>
          <w:lang w:val="en-US" w:eastAsia="zh-CN"/>
        </w:rPr>
      </w:pPr>
      <w:r>
        <w:rPr>
          <w:rFonts w:hint="eastAsia" w:ascii="方正黑体_GBK" w:hAnsi="方正黑体_GBK" w:eastAsia="方正黑体_GBK" w:cs="方正黑体_GBK"/>
        </w:rPr>
        <w:t xml:space="preserve">二、招标文件</w:t>
      </w:r>
      <w:r>
        <w:rPr>
          <w:rFonts w:hint="eastAsia"/>
        </w:rPr>
        <w:tab/>
      </w:r>
      <w:r>
        <w:rPr>
          <w:rFonts w:hint="eastAsia"/>
        </w:rPr>
        <w:fldChar w:fldCharType="begin"/>
      </w:r>
      <w:r>
        <w:rPr>
          <w:rFonts w:hint="eastAsia"/>
        </w:rPr>
        <w:instrText xml:space="preserve"> </w:instrText>
      </w:r>
      <w:r>
        <w:instrText xml:space="preserve">PAGEREF _Toc240379780 \h</w:instrText>
      </w:r>
      <w:r>
        <w:rPr>
          <w:rFonts w:hint="eastAsia"/>
        </w:rPr>
        <w:instrText xml:space="preserve"> </w:instrText>
      </w:r>
      <w:r>
        <w:rPr>
          <w:rFonts w:hint="eastAsia"/>
        </w:rPr>
        <w:fldChar w:fldCharType="separate"/>
      </w:r>
      <w:r>
        <w:rPr>
          <w:rFonts w:hint="eastAsia"/>
        </w:rPr>
        <w:t xml:space="preserve">6</w:t>
      </w:r>
      <w:r>
        <w:rPr>
          <w:rFonts w:hint="eastAsia"/>
        </w:rPr>
        <w:fldChar w:fldCharType="end"/>
      </w:r>
      <w:r>
        <w:rPr>
          <w:rFonts w:hint="eastAsia" w:ascii="等线" w:hAnsi="等线" w:eastAsia="等线"/>
          <w:caps w:val="0"/>
          <w:sz w:val="22"/>
          <w:lang w:val="en-US" w:eastAsia="zh-CN"/>
        </w:rPr>
      </w:r>
      <w:r/>
    </w:p>
    <w:p>
      <w:pPr>
        <w:pStyle w:val="786"/>
        <w:rPr>
          <w:rFonts w:hint="eastAsia" w:ascii="等线" w:hAnsi="等线" w:eastAsia="等线"/>
          <w:caps w:val="0"/>
          <w:sz w:val="22"/>
          <w:lang w:val="en-US" w:eastAsia="zh-CN"/>
        </w:rPr>
      </w:pPr>
      <w:r>
        <w:rPr>
          <w:rFonts w:hint="eastAsia" w:ascii="方正黑体_GBK" w:hAnsi="方正黑体_GBK" w:eastAsia="方正黑体_GBK" w:cs="方正黑体_GBK"/>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_Toc240379781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Fonts w:hint="eastAsia" w:ascii="等线" w:hAnsi="等线" w:eastAsia="等线"/>
          <w:caps w:val="0"/>
          <w:sz w:val="22"/>
          <w:lang w:val="en-US" w:eastAsia="zh-CN"/>
        </w:rPr>
      </w:r>
      <w:r/>
    </w:p>
    <w:p>
      <w:pPr>
        <w:pStyle w:val="786"/>
        <w:rPr>
          <w:rFonts w:hint="eastAsia" w:ascii="等线" w:hAnsi="等线" w:eastAsia="等线"/>
          <w:caps w:val="0"/>
          <w:sz w:val="22"/>
          <w:lang w:val="en-US" w:eastAsia="zh-CN"/>
        </w:rPr>
      </w:pPr>
      <w:r>
        <w:rPr>
          <w:rFonts w:hint="eastAsia" w:ascii="方正黑体_GBK" w:hAnsi="方正黑体_GBK" w:eastAsia="方正黑体_GBK" w:cs="方正黑体_GBK"/>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_Toc240379782 \h</w:instrText>
      </w:r>
      <w:r>
        <w:rPr>
          <w:rFonts w:hint="eastAsia"/>
        </w:rPr>
        <w:instrText xml:space="preserve"> </w:instrText>
      </w:r>
      <w:r>
        <w:rPr>
          <w:rFonts w:hint="eastAsia"/>
        </w:rPr>
        <w:fldChar w:fldCharType="separate"/>
      </w:r>
      <w:r>
        <w:rPr>
          <w:rFonts w:hint="eastAsia"/>
        </w:rPr>
        <w:t xml:space="preserve">8</w:t>
      </w:r>
      <w:r>
        <w:rPr>
          <w:rFonts w:hint="eastAsia"/>
        </w:rPr>
        <w:fldChar w:fldCharType="end"/>
      </w:r>
      <w:r>
        <w:rPr>
          <w:rFonts w:hint="eastAsia" w:ascii="等线" w:hAnsi="等线" w:eastAsia="等线"/>
          <w:caps w:val="0"/>
          <w:sz w:val="22"/>
          <w:lang w:val="en-US" w:eastAsia="zh-CN"/>
        </w:rPr>
      </w:r>
      <w:r/>
    </w:p>
    <w:p>
      <w:pPr>
        <w:pStyle w:val="786"/>
        <w:rPr>
          <w:rFonts w:hint="eastAsia" w:ascii="等线" w:hAnsi="等线" w:eastAsia="等线"/>
          <w:caps w:val="0"/>
          <w:sz w:val="22"/>
          <w:lang w:val="en-US" w:eastAsia="zh-CN"/>
        </w:rPr>
      </w:pPr>
      <w:r>
        <w:rPr>
          <w:rFonts w:hint="eastAsia" w:ascii="方正黑体_GBK" w:hAnsi="方正黑体_GBK" w:eastAsia="方正黑体_GBK" w:cs="方正黑体_GBK"/>
        </w:rPr>
        <w:t xml:space="preserve">五、开标与评标</w:t>
      </w:r>
      <w:r>
        <w:rPr>
          <w:rFonts w:hint="eastAsia"/>
        </w:rPr>
        <w:tab/>
      </w:r>
      <w:r>
        <w:rPr>
          <w:rFonts w:hint="eastAsia"/>
        </w:rPr>
        <w:fldChar w:fldCharType="begin"/>
      </w:r>
      <w:r>
        <w:rPr>
          <w:rFonts w:hint="eastAsia"/>
        </w:rPr>
        <w:instrText xml:space="preserve"> </w:instrText>
      </w:r>
      <w:r>
        <w:instrText xml:space="preserve">PAGEREF _Toc240379783 \h</w:instrText>
      </w:r>
      <w:r>
        <w:rPr>
          <w:rFonts w:hint="eastAsia"/>
        </w:rPr>
        <w:instrText xml:space="preserve"> </w:instrText>
      </w:r>
      <w:r>
        <w:rPr>
          <w:rFonts w:hint="eastAsia"/>
        </w:rPr>
        <w:fldChar w:fldCharType="separate"/>
      </w:r>
      <w:r>
        <w:rPr>
          <w:rFonts w:hint="eastAsia"/>
        </w:rPr>
        <w:t xml:space="preserve">9</w:t>
      </w:r>
      <w:r>
        <w:rPr>
          <w:rFonts w:hint="eastAsia"/>
        </w:rPr>
        <w:fldChar w:fldCharType="end"/>
      </w:r>
      <w:r>
        <w:rPr>
          <w:rFonts w:hint="eastAsia" w:ascii="等线" w:hAnsi="等线" w:eastAsia="等线"/>
          <w:caps w:val="0"/>
          <w:sz w:val="22"/>
          <w:lang w:val="en-US" w:eastAsia="zh-CN"/>
        </w:rPr>
      </w:r>
      <w:r/>
    </w:p>
    <w:p>
      <w:pPr>
        <w:pStyle w:val="786"/>
        <w:rPr>
          <w:rFonts w:hint="eastAsia" w:ascii="等线" w:hAnsi="等线" w:eastAsia="等线"/>
          <w:caps w:val="0"/>
          <w:sz w:val="22"/>
          <w:lang w:val="en-US" w:eastAsia="zh-CN"/>
        </w:rPr>
      </w:pPr>
      <w:r>
        <w:rPr>
          <w:rFonts w:hint="eastAsia" w:ascii="方正黑体_GBK" w:hAnsi="方正黑体_GBK" w:eastAsia="方正黑体_GBK" w:cs="方正黑体_GBK"/>
        </w:rPr>
        <w:t xml:space="preserve">六、定标</w:t>
      </w:r>
      <w:r>
        <w:rPr>
          <w:rFonts w:hint="eastAsia"/>
        </w:rPr>
        <w:tab/>
      </w:r>
      <w:r>
        <w:rPr>
          <w:rFonts w:hint="eastAsia"/>
        </w:rPr>
        <w:fldChar w:fldCharType="begin"/>
      </w:r>
      <w:r>
        <w:rPr>
          <w:rFonts w:hint="eastAsia"/>
        </w:rPr>
        <w:instrText xml:space="preserve"> </w:instrText>
      </w:r>
      <w:r>
        <w:instrText xml:space="preserve">PAGEREF _Toc240379784 \h</w:instrText>
      </w:r>
      <w:r>
        <w:rPr>
          <w:rFonts w:hint="eastAsia"/>
        </w:rPr>
        <w:instrText xml:space="preserve"> </w:instrText>
      </w:r>
      <w:r>
        <w:rPr>
          <w:rFonts w:hint="eastAsia"/>
        </w:rPr>
        <w:fldChar w:fldCharType="separate"/>
      </w:r>
      <w:r>
        <w:rPr>
          <w:rFonts w:hint="eastAsia"/>
        </w:rPr>
        <w:t xml:space="preserve">13</w:t>
      </w:r>
      <w:r>
        <w:rPr>
          <w:rFonts w:hint="eastAsia"/>
        </w:rPr>
        <w:fldChar w:fldCharType="end"/>
      </w:r>
      <w:r>
        <w:rPr>
          <w:rFonts w:hint="eastAsia" w:ascii="等线" w:hAnsi="等线" w:eastAsia="等线"/>
          <w:caps w:val="0"/>
          <w:sz w:val="22"/>
          <w:lang w:val="en-US" w:eastAsia="zh-CN"/>
        </w:rPr>
      </w:r>
      <w:r/>
    </w:p>
    <w:p>
      <w:pPr>
        <w:pStyle w:val="786"/>
        <w:rPr>
          <w:rFonts w:hint="eastAsia" w:ascii="等线" w:hAnsi="等线" w:eastAsia="等线"/>
          <w:caps w:val="0"/>
          <w:sz w:val="22"/>
          <w:lang w:val="en-US" w:eastAsia="zh-CN"/>
        </w:rPr>
      </w:pPr>
      <w:r>
        <w:rPr>
          <w:rFonts w:hint="eastAsia" w:ascii="方正黑体_GBK" w:hAnsi="方正黑体_GBK" w:eastAsia="方正黑体_GBK" w:cs="方正黑体_GBK"/>
        </w:rPr>
        <w:t xml:space="preserve">七、授予合同</w:t>
      </w:r>
      <w:r>
        <w:rPr>
          <w:rFonts w:hint="eastAsia"/>
        </w:rPr>
        <w:tab/>
      </w:r>
      <w:r>
        <w:rPr>
          <w:rFonts w:hint="eastAsia"/>
        </w:rPr>
        <w:fldChar w:fldCharType="begin"/>
      </w:r>
      <w:r>
        <w:rPr>
          <w:rFonts w:hint="eastAsia"/>
        </w:rPr>
        <w:instrText xml:space="preserve"> </w:instrText>
      </w:r>
      <w:r>
        <w:instrText xml:space="preserve">PAGEREF _Toc240379785 \h</w:instrText>
      </w:r>
      <w:r>
        <w:rPr>
          <w:rFonts w:hint="eastAsia"/>
        </w:rPr>
        <w:instrText xml:space="preserve"> </w:instrText>
      </w:r>
      <w:r>
        <w:rPr>
          <w:rFonts w:hint="eastAsia"/>
        </w:rPr>
        <w:fldChar w:fldCharType="separate"/>
      </w:r>
      <w:r>
        <w:rPr>
          <w:rFonts w:hint="eastAsia"/>
        </w:rPr>
        <w:t xml:space="preserve">15</w:t>
      </w:r>
      <w:r>
        <w:rPr>
          <w:rFonts w:hint="eastAsia"/>
        </w:rPr>
        <w:fldChar w:fldCharType="end"/>
      </w:r>
      <w:r>
        <w:rPr>
          <w:rFonts w:hint="eastAsia" w:ascii="等线" w:hAnsi="等线" w:eastAsia="等线"/>
          <w:caps w:val="0"/>
          <w:sz w:val="22"/>
          <w:lang w:val="en-US" w:eastAsia="zh-CN"/>
        </w:rPr>
      </w:r>
      <w:r/>
    </w:p>
    <w:p>
      <w:pPr>
        <w:pStyle w:val="786"/>
        <w:rPr>
          <w:rFonts w:hint="eastAsia" w:ascii="等线" w:hAnsi="等线" w:eastAsia="等线"/>
          <w:caps w:val="0"/>
          <w:sz w:val="22"/>
          <w:lang w:val="en-US" w:eastAsia="zh-CN"/>
        </w:rPr>
      </w:pPr>
      <w:r>
        <w:rPr>
          <w:rFonts w:hint="eastAsia" w:ascii="方正黑体_GBK" w:hAnsi="方正黑体_GBK" w:eastAsia="方正黑体_GBK" w:cs="方正黑体_GBK"/>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_Toc240379786 \h</w:instrText>
      </w:r>
      <w:r>
        <w:rPr>
          <w:rFonts w:hint="eastAsia"/>
        </w:rPr>
        <w:instrText xml:space="preserve"> </w:instrText>
      </w:r>
      <w:r>
        <w:rPr>
          <w:rFonts w:hint="eastAsia"/>
        </w:rPr>
        <w:fldChar w:fldCharType="separate"/>
      </w:r>
      <w:r>
        <w:rPr>
          <w:rFonts w:hint="eastAsia"/>
        </w:rPr>
        <w:t xml:space="preserve">17</w:t>
      </w:r>
      <w:r>
        <w:rPr>
          <w:rFonts w:hint="eastAsia"/>
        </w:rPr>
        <w:fldChar w:fldCharType="end"/>
      </w:r>
      <w:r>
        <w:rPr>
          <w:rFonts w:hint="eastAsia" w:ascii="等线" w:hAnsi="等线" w:eastAsia="等线"/>
          <w:caps w:val="0"/>
          <w:sz w:val="22"/>
          <w:lang w:val="en-US" w:eastAsia="zh-CN"/>
        </w:rPr>
      </w:r>
      <w:r/>
    </w:p>
    <w:p>
      <w:pPr>
        <w:pStyle w:val="786"/>
        <w:rPr>
          <w:rFonts w:hint="eastAsia" w:ascii="等线" w:hAnsi="等线" w:eastAsia="等线"/>
          <w:caps w:val="0"/>
          <w:sz w:val="22"/>
          <w:lang w:val="en-US" w:eastAsia="zh-CN"/>
        </w:rPr>
      </w:pPr>
      <w:r>
        <w:rPr>
          <w:rFonts w:hint="eastAsia" w:ascii="方正黑体_GBK" w:hAnsi="方正黑体_GBK" w:eastAsia="方正黑体_GBK" w:cs="方正黑体_GBK"/>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_Toc240379787 \h</w:instrText>
      </w:r>
      <w:r>
        <w:rPr>
          <w:rFonts w:hint="eastAsia"/>
        </w:rPr>
        <w:instrText xml:space="preserve"> </w:instrText>
      </w:r>
      <w:r>
        <w:rPr>
          <w:rFonts w:hint="eastAsia"/>
        </w:rPr>
        <w:fldChar w:fldCharType="separate"/>
      </w:r>
      <w:r>
        <w:rPr>
          <w:rFonts w:hint="eastAsia"/>
        </w:rPr>
        <w:t xml:space="preserve">22</w:t>
      </w:r>
      <w:r>
        <w:rPr>
          <w:rFonts w:hint="eastAsia"/>
        </w:rPr>
        <w:fldChar w:fldCharType="end"/>
      </w:r>
      <w:r>
        <w:rPr>
          <w:rFonts w:hint="eastAsia" w:ascii="等线" w:hAnsi="等线" w:eastAsia="等线"/>
          <w:caps w:val="0"/>
          <w:sz w:val="22"/>
          <w:lang w:val="en-US" w:eastAsia="zh-CN"/>
        </w:rPr>
      </w:r>
      <w:r/>
    </w:p>
    <w:p>
      <w:pPr>
        <w:pStyle w:val="786"/>
        <w:rPr>
          <w:rFonts w:hint="eastAsia" w:ascii="等线" w:hAnsi="等线" w:eastAsia="等线"/>
          <w:caps w:val="0"/>
          <w:sz w:val="22"/>
          <w:lang w:val="en-US" w:eastAsia="zh-CN"/>
        </w:rPr>
      </w:pPr>
      <w:r>
        <w:rPr>
          <w:rFonts w:hint="eastAsia" w:ascii="方正黑体_GBK" w:hAnsi="方正黑体_GBK" w:eastAsia="方正黑体_GBK" w:cs="方正黑体_GBK"/>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_Toc240379788 \h</w:instrText>
      </w:r>
      <w:r>
        <w:rPr>
          <w:rFonts w:hint="eastAsia"/>
        </w:rPr>
        <w:instrText xml:space="preserve"> </w:instrText>
      </w:r>
      <w:r>
        <w:rPr>
          <w:rFonts w:hint="eastAsia"/>
        </w:rPr>
        <w:fldChar w:fldCharType="separate"/>
      </w:r>
      <w:r>
        <w:rPr>
          <w:rFonts w:hint="eastAsia"/>
        </w:rPr>
        <w:t xml:space="preserve">55</w:t>
      </w:r>
      <w:r>
        <w:rPr>
          <w:rFonts w:hint="eastAsia"/>
        </w:rPr>
        <w:fldChar w:fldCharType="end"/>
      </w:r>
      <w:r>
        <w:rPr>
          <w:rFonts w:hint="eastAsia" w:ascii="等线" w:hAnsi="等线" w:eastAsia="等线"/>
          <w:caps w:val="0"/>
          <w:sz w:val="22"/>
          <w:lang w:val="en-US" w:eastAsia="zh-CN"/>
        </w:rPr>
      </w:r>
      <w:r/>
    </w:p>
    <w:p>
      <w:pPr>
        <w:pStyle w:val="734"/>
      </w:pPr>
      <w:r>
        <w:rPr>
          <w:rFonts w:hAnsi="宋体"/>
          <w:bCs/>
          <w:szCs w:val="36"/>
        </w:rPr>
        <w:fldChar w:fldCharType="end"/>
      </w:r>
      <w:r/>
    </w:p>
    <w:p>
      <w:pPr>
        <w:pStyle w:val="734"/>
      </w:pPr>
      <w:r/>
      <w:r/>
    </w:p>
    <w:p>
      <w:pPr>
        <w:pStyle w:val="734"/>
      </w:pPr>
      <w:r/>
      <w:r/>
    </w:p>
    <w:p>
      <w:pPr>
        <w:pStyle w:val="734"/>
      </w:pPr>
      <w:r/>
      <w:r/>
    </w:p>
    <w:p>
      <w:pPr>
        <w:pStyle w:val="734"/>
        <w:rPr>
          <w:rFonts w:hint="eastAsia"/>
        </w:rPr>
      </w:pPr>
      <w:r>
        <w:rPr>
          <w:rFonts w:hint="eastAsia"/>
        </w:rPr>
      </w:r>
      <w:r/>
    </w:p>
    <w:p>
      <w:pPr>
        <w:pStyle w:val="734"/>
        <w:rPr>
          <w:rFonts w:hint="eastAsia"/>
        </w:rPr>
      </w:pPr>
      <w:r>
        <w:rPr>
          <w:rFonts w:hint="eastAsia"/>
        </w:rPr>
      </w:r>
      <w:r/>
    </w:p>
    <w:p>
      <w:pPr>
        <w:pStyle w:val="734"/>
        <w:rPr>
          <w:rFonts w:hint="eastAsia"/>
        </w:rPr>
      </w:pPr>
      <w:r>
        <w:rPr>
          <w:rFonts w:hint="eastAsia"/>
        </w:rPr>
      </w:r>
      <w:r/>
    </w:p>
    <w:p>
      <w:pPr>
        <w:pStyle w:val="734"/>
        <w:rPr>
          <w:rFonts w:hint="eastAsia"/>
        </w:rPr>
      </w:pPr>
      <w:r>
        <w:rPr>
          <w:rFonts w:hint="eastAsia"/>
        </w:rPr>
      </w:r>
      <w:r/>
    </w:p>
    <w:p>
      <w:pPr>
        <w:pStyle w:val="734"/>
        <w:jc w:val="center"/>
        <w:keepNext/>
        <w:spacing w:line="360" w:lineRule="auto"/>
        <w:rPr>
          <w:rFonts w:hint="eastAsia" w:ascii="方正黑体_GBK" w:hAnsi="方正黑体_GBK" w:eastAsia="方正黑体_GBK" w:cs="方正黑体_GBK"/>
          <w:sz w:val="32"/>
          <w:szCs w:val="32"/>
        </w:rPr>
        <w:outlineLvl w:val="0"/>
      </w:pPr>
      <w:r/>
      <w:bookmarkStart w:id="7" w:name="_Toc240379769"/>
      <w:r>
        <w:br w:type="page" w:clear="all"/>
      </w:r>
      <w:r>
        <w:rPr>
          <w:rFonts w:hint="eastAsia" w:ascii="方正黑体_GBK" w:hAnsi="方正黑体_GBK" w:eastAsia="方正黑体_GBK" w:cs="方正黑体_GBK"/>
          <w:sz w:val="32"/>
          <w:szCs w:val="32"/>
        </w:rPr>
        <w:t xml:space="preserve">第一章  </w:t>
      </w:r>
      <w:bookmarkEnd w:id="1"/>
      <w:r>
        <w:rPr>
          <w:rFonts w:hint="eastAsia" w:ascii="方正黑体_GBK" w:hAnsi="方正黑体_GBK" w:eastAsia="方正黑体_GBK" w:cs="方正黑体_GBK"/>
          <w:sz w:val="32"/>
          <w:szCs w:val="32"/>
        </w:rPr>
        <w:t xml:space="preserve">投标邀请</w:t>
      </w:r>
      <w:bookmarkEnd w:id="7"/>
      <w:r>
        <w:rPr>
          <w:rFonts w:hint="eastAsia" w:ascii="方正黑体_GBK" w:hAnsi="方正黑体_GBK" w:eastAsia="方正黑体_GBK" w:cs="方正黑体_GBK"/>
          <w:sz w:val="32"/>
          <w:szCs w:val="32"/>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受〔江苏省</w:t>
      </w:r>
      <w:r>
        <w:rPr>
          <w:rFonts w:hint="eastAsia" w:ascii="方正仿宋_GBK" w:hAnsi="方正仿宋_GBK" w:eastAsia="方正仿宋_GBK" w:cs="方正仿宋_GBK"/>
          <w:sz w:val="28"/>
          <w:szCs w:val="28"/>
        </w:rPr>
        <w:t xml:space="preserve">中医院〕的委托，江苏省政府采购中心就〔江苏省中医院药品使用监测系统〕(〔JSZC-320000-SCZX-G2026-0465〕)项目进行公开招标采购，欢迎符合条件的供应商投标。</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734"/>
        <w:ind w:firstLine="560"/>
        <w:spacing w:line="400" w:lineRule="exact"/>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(江苏省中医院药品使用监测系统)</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sz w:val="28"/>
          <w:szCs w:val="28"/>
        </w:rPr>
        <w:t xml:space="preserve">2026</w:t>
      </w:r>
      <w:r>
        <w:rPr>
          <w:rFonts w:hint="eastAsia" w:ascii="方正仿宋_GBK" w:hAnsi="方正仿宋_GBK" w:eastAsia="方正仿宋_GBK" w:cs="方正仿宋_GBK"/>
          <w:bCs/>
          <w:sz w:val="28"/>
          <w:szCs w:val="28"/>
        </w:rPr>
        <w:t xml:space="preserve">年10月20日9</w:t>
      </w:r>
      <w:r>
        <w:rPr>
          <w:rFonts w:hint="eastAsia" w:ascii="方正仿宋_GBK" w:hAnsi="方正仿宋_GBK" w:eastAsia="方正仿宋_GBK" w:cs="方正仿宋_GBK"/>
          <w:sz w:val="28"/>
          <w:szCs w:val="28"/>
        </w:rPr>
        <w:t xml:space="preserve">时30</w:t>
      </w:r>
      <w:r>
        <w:rPr>
          <w:rFonts w:hint="eastAsia" w:ascii="方正仿宋_GBK" w:hAnsi="方正仿宋_GBK" w:eastAsia="方正仿宋_GBK" w:cs="方正仿宋_GBK"/>
          <w:bCs/>
          <w:sz w:val="28"/>
          <w:szCs w:val="28"/>
        </w:rPr>
        <w:t xml:space="preserve">分（北京时间）前递交投标文件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734"/>
        <w:jc w:val="left"/>
        <w:keepNext/>
        <w:spacing w:line="360" w:lineRule="auto"/>
        <w:rPr>
          <w:rFonts w:hint="eastAsia" w:ascii="方正黑体_GBK" w:hAnsi="方正黑体_GBK" w:eastAsia="方正黑体_GBK" w:cs="方正黑体_GBK"/>
          <w:sz w:val="28"/>
          <w:szCs w:val="28"/>
        </w:rPr>
        <w:outlineLvl w:val="0"/>
      </w:pPr>
      <w:r/>
      <w:bookmarkStart w:id="8" w:name="_Toc38985263"/>
      <w:r/>
      <w:bookmarkStart w:id="9" w:name="_Toc35393790"/>
      <w:r/>
      <w:bookmarkStart w:id="10" w:name="_Toc240379770"/>
      <w:r/>
      <w:bookmarkStart w:id="11" w:name="_Toc28359079"/>
      <w:r/>
      <w:bookmarkStart w:id="12" w:name="_Toc35393621"/>
      <w:r/>
      <w:bookmarkStart w:id="13" w:name="_Toc28359002"/>
      <w:r/>
      <w:bookmarkStart w:id="14" w:name="_Hlk24379207"/>
      <w:r>
        <w:rPr>
          <w:rFonts w:hint="eastAsia" w:ascii="方正黑体_GBK" w:hAnsi="方正黑体_GBK" w:eastAsia="方正黑体_GBK" w:cs="方正黑体_GBK"/>
          <w:sz w:val="28"/>
          <w:szCs w:val="28"/>
        </w:rPr>
        <w:t xml:space="preserve">一、项目基本情况</w:t>
      </w:r>
      <w:bookmarkEnd w:id="8"/>
      <w:r/>
      <w:bookmarkEnd w:id="9"/>
      <w:r/>
      <w:bookmarkEnd w:id="10"/>
      <w:r/>
      <w:bookmarkEnd w:id="11"/>
      <w:r/>
      <w:bookmarkEnd w:id="12"/>
      <w:r/>
      <w:bookmarkEnd w:id="13"/>
      <w:r>
        <w:rPr>
          <w:rFonts w:hint="eastAsia" w:ascii="方正黑体_GBK" w:hAnsi="方正黑体_GBK" w:eastAsia="方正黑体_GBK" w:cs="方正黑体_GBK"/>
          <w:sz w:val="28"/>
          <w:szCs w:val="28"/>
        </w:rPr>
      </w:r>
      <w:r/>
    </w:p>
    <w:p>
      <w:pPr>
        <w:pStyle w:val="734"/>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1.采购编号</w:t>
      </w:r>
      <w:r>
        <w:rPr>
          <w:rFonts w:hint="eastAsia" w:eastAsia="方正仿宋_GBK"/>
          <w:sz w:val="28"/>
          <w:szCs w:val="28"/>
        </w:rPr>
        <w:t xml:space="preserve">：</w:t>
      </w:r>
      <w:r>
        <w:rPr>
          <w:rFonts w:hint="eastAsia" w:ascii="方正仿宋_GBK" w:hAnsi="方正仿宋_GBK" w:eastAsia="方正仿宋_GBK" w:cs="方正仿宋_GBK"/>
          <w:sz w:val="28"/>
          <w:szCs w:val="28"/>
        </w:rPr>
        <w:t xml:space="preserve">JSZC-320000-SCZX-G2026-0465</w:t>
      </w:r>
      <w:r>
        <w:rPr>
          <w:rFonts w:hint="eastAsia" w:eastAsia="方正仿宋_GBK"/>
          <w:sz w:val="28"/>
          <w:szCs w:val="28"/>
        </w:rPr>
        <w:t xml:space="preserve"> </w:t>
      </w:r>
      <w:r>
        <w:rPr>
          <w:rFonts w:hint="eastAsia" w:ascii="方正仿宋_GBK" w:hAnsi="方正仿宋_GBK" w:eastAsia="方正仿宋_GBK" w:cs="方正仿宋_GBK"/>
          <w:sz w:val="28"/>
          <w:szCs w:val="28"/>
        </w:rPr>
      </w:r>
      <w:r/>
    </w:p>
    <w:p>
      <w:pPr>
        <w:pStyle w:val="734"/>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2.项目名称：</w:t>
      </w:r>
      <w:bookmarkEnd w:id="14"/>
      <w:r>
        <w:rPr>
          <w:rFonts w:hint="eastAsia" w:ascii="方正仿宋_GBK" w:hAnsi="方正仿宋_GBK" w:eastAsia="方正仿宋_GBK" w:cs="方正仿宋_GBK"/>
          <w:sz w:val="28"/>
          <w:szCs w:val="28"/>
        </w:rPr>
        <w:t xml:space="preserve">江苏省中医院药品使用监测系统</w:t>
      </w:r>
      <w:r>
        <w:rPr>
          <w:rFonts w:hint="eastAsia" w:ascii="方正仿宋_GBK" w:hAnsi="方正仿宋_GBK" w:eastAsia="方正仿宋_GBK" w:cs="方正仿宋_GBK"/>
          <w:sz w:val="28"/>
          <w:szCs w:val="28"/>
        </w:rPr>
      </w:r>
      <w:r/>
    </w:p>
    <w:p>
      <w:pPr>
        <w:pStyle w:val="734"/>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734"/>
              <w:ind w:firstLine="28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734"/>
              <w:ind w:firstLine="1120"/>
              <w:spacing w:line="400" w:lineRule="exact"/>
              <w:rPr>
                <w:rFonts w:ascii="方正仿宋_GBK" w:hAnsi="方正仿宋_GBK" w:eastAsia="方正仿宋_GBK" w:cs="方正仿宋_GBK"/>
                <w:sz w:val="28"/>
                <w:szCs w:val="28"/>
              </w:rPr>
            </w:pPr>
            <w:r>
              <w:rPr>
                <w:rFonts w:hint="eastAsia" w:eastAsia="方正仿宋_GBK"/>
                <w:sz w:val="28"/>
                <w:szCs w:val="28"/>
              </w:rPr>
              <w:t xml:space="preserve">60</w:t>
            </w:r>
            <w:r>
              <w:rPr>
                <w:rFonts w:ascii="方正仿宋_GBK" w:hAnsi="方正仿宋_GBK" w:eastAsia="方正仿宋_GBK" w:cs="方正仿宋_GBK"/>
                <w:sz w:val="28"/>
                <w:szCs w:val="28"/>
              </w:rPr>
            </w:r>
            <w:r/>
          </w:p>
        </w:tc>
      </w:tr>
    </w:tbl>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rPr>
          <w:rFonts w:hint="eastAsia" w:ascii="方正仿宋_GBK" w:hAnsi="方正仿宋_GBK" w:eastAsia="方正仿宋_GBK" w:cs="方正仿宋_GBK"/>
          <w:sz w:val="28"/>
          <w:szCs w:val="28"/>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734"/>
              <w:jc w:val="center"/>
              <w:spacing w:line="400" w:lineRule="exact"/>
              <w:rPr>
                <w:rFonts w:ascii="方正仿宋_GBK" w:hAnsi="方正仿宋_GBK" w:eastAsia="方正仿宋_GBK" w:cs="方正仿宋_GBK"/>
                <w:sz w:val="28"/>
                <w:szCs w:val="28"/>
              </w:rPr>
            </w:pPr>
            <w:r>
              <w:rPr>
                <w:rFonts w:hint="eastAsia" w:eastAsia="方正仿宋_GBK"/>
                <w:sz w:val="28"/>
                <w:szCs w:val="28"/>
              </w:rPr>
              <w:t xml:space="preserve">56</w:t>
            </w:r>
            <w:r>
              <w:rPr>
                <w:rFonts w:ascii="方正仿宋_GBK" w:hAnsi="方正仿宋_GBK" w:eastAsia="方正仿宋_GBK" w:cs="方正仿宋_GBK"/>
                <w:sz w:val="28"/>
                <w:szCs w:val="28"/>
              </w:rPr>
            </w:r>
            <w:r/>
          </w:p>
        </w:tc>
      </w:tr>
    </w:tbl>
    <w:p>
      <w:pPr>
        <w:pStyle w:val="734"/>
        <w:ind w:firstLine="560"/>
        <w:jc w:val="left"/>
        <w:spacing w:line="440" w:lineRule="exact"/>
        <w:rPr>
          <w:rFonts w:hint="eastAsia" w:ascii="方正仿宋_GBK" w:hAnsi="方正仿宋_GBK" w:eastAsia="方正仿宋_GBK" w:cs="方正仿宋_GBK"/>
          <w:sz w:val="28"/>
          <w:szCs w:val="28"/>
          <w:u w:val="single"/>
        </w:rPr>
      </w:pPr>
      <w:r/>
      <w:bookmarkStart w:id="15" w:name="_Toc35393791"/>
      <w:r/>
      <w:bookmarkStart w:id="16" w:name="_Toc38985264"/>
      <w:r/>
      <w:bookmarkStart w:id="17" w:name="_Toc28359003"/>
      <w:r/>
      <w:bookmarkStart w:id="18" w:name="_Toc35393622"/>
      <w:r/>
      <w:bookmarkStart w:id="19" w:name="_Toc28359080"/>
      <w:r>
        <w:rPr>
          <w:rFonts w:hint="eastAsia" w:ascii="方正仿宋_GBK" w:hAnsi="方正仿宋_GBK" w:eastAsia="方正仿宋_GBK" w:cs="方正仿宋_GBK"/>
          <w:sz w:val="28"/>
          <w:szCs w:val="28"/>
        </w:rPr>
        <w:t xml:space="preserve">5.采购需求(简介)：本项目旨在建设一套全院用药指标的统一采集、统计与分析，涵盖用药经济、临床用药、药房效能、药事质控与国考绩效、药事管理、药学运营大屏监测、带量采购等七大业务主题，为药剂科及医院管理层提供口径统一、数据可分析的药学运营与合理用药决策支持平台。</w:t>
      </w:r>
      <w:r>
        <w:rPr>
          <w:rFonts w:hint="eastAsia" w:ascii="方正仿宋_GBK" w:hAnsi="方正仿宋_GBK" w:eastAsia="方正仿宋_GBK" w:cs="方正仿宋_GBK"/>
          <w:sz w:val="28"/>
          <w:szCs w:val="28"/>
        </w:rPr>
        <w:t xml:space="preserve">（详细内容见本招标文件第四章）</w:t>
      </w:r>
      <w:r>
        <w:rPr>
          <w:rFonts w:hint="eastAsia" w:ascii="方正仿宋_GBK" w:hAnsi="方正仿宋_GBK" w:eastAsia="方正仿宋_GBK" w:cs="方正仿宋_GBK"/>
          <w:sz w:val="28"/>
          <w:szCs w:val="28"/>
          <w:u w:val="single"/>
        </w:rPr>
      </w:r>
      <w:r/>
    </w:p>
    <w:p>
      <w:pPr>
        <w:pStyle w:val="73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6.合同履行期限：自合同签订之日起5个月内。</w:t>
      </w:r>
      <w:r>
        <w:rPr>
          <w:rFonts w:hint="eastAsia" w:ascii="方正仿宋_GBK" w:hAnsi="方正仿宋_GBK" w:eastAsia="方正仿宋_GBK" w:cs="方正仿宋_GBK"/>
          <w:sz w:val="28"/>
          <w:szCs w:val="28"/>
          <w:u w:val="single"/>
        </w:rPr>
      </w:r>
      <w:r/>
    </w:p>
    <w:p>
      <w:pPr>
        <w:pStyle w:val="734"/>
        <w:jc w:val="left"/>
        <w:keepNext/>
        <w:spacing w:line="400" w:lineRule="exact"/>
        <w:rPr>
          <w:rFonts w:hint="eastAsia" w:ascii="方正黑体_GBK" w:hAnsi="方正黑体_GBK" w:eastAsia="方正黑体_GBK" w:cs="方正黑体_GBK"/>
          <w:sz w:val="28"/>
          <w:szCs w:val="28"/>
        </w:rPr>
        <w:outlineLvl w:val="0"/>
      </w:pPr>
      <w:r/>
      <w:bookmarkStart w:id="20" w:name="_Toc240379771"/>
      <w:r>
        <w:rPr>
          <w:rFonts w:hint="eastAsia" w:ascii="方正黑体_GBK" w:hAnsi="方正黑体_GBK" w:eastAsia="方正黑体_GBK" w:cs="方正黑体_GBK"/>
          <w:sz w:val="28"/>
          <w:szCs w:val="28"/>
        </w:rPr>
        <w:t xml:space="preserve">二、申请人的资格要求</w:t>
      </w:r>
      <w:bookmarkEnd w:id="15"/>
      <w:r/>
      <w:bookmarkEnd w:id="16"/>
      <w:r/>
      <w:bookmarkEnd w:id="17"/>
      <w:r/>
      <w:bookmarkEnd w:id="18"/>
      <w:r/>
      <w:bookmarkEnd w:id="19"/>
      <w:r/>
      <w:bookmarkEnd w:id="20"/>
      <w:r>
        <w:rPr>
          <w:rFonts w:hint="eastAsia" w:ascii="方正黑体_GBK" w:hAnsi="方正黑体_GBK" w:eastAsia="方正黑体_GBK" w:cs="方正黑体_GBK"/>
          <w:sz w:val="28"/>
          <w:szCs w:val="28"/>
        </w:rPr>
      </w:r>
      <w:r/>
    </w:p>
    <w:p>
      <w:pPr>
        <w:pStyle w:val="734"/>
        <w:ind w:firstLine="560"/>
        <w:spacing w:line="400" w:lineRule="exact"/>
        <w:rPr>
          <w:rFonts w:hint="eastAsia" w:ascii="方正楷体_GBK" w:hAnsi="方正楷体_GBK" w:eastAsia="方正楷体_GBK" w:cs="方正楷体_GBK"/>
          <w:sz w:val="28"/>
          <w:szCs w:val="28"/>
        </w:rPr>
      </w:pPr>
      <w:r/>
      <w:bookmarkStart w:id="21" w:name="_Toc28359004"/>
      <w:r/>
      <w:bookmarkStart w:id="22" w:name="_Toc35393623"/>
      <w:r/>
      <w:bookmarkStart w:id="23" w:name="_Toc28359081"/>
      <w:r/>
      <w:bookmarkStart w:id="24" w:name="_Toc38985265"/>
      <w:r/>
      <w:bookmarkStart w:id="25" w:name="_Toc35393792"/>
      <w:r>
        <w:rPr>
          <w:rFonts w:hint="eastAsia" w:ascii="方正楷体_GBK" w:hAnsi="方正楷体_GBK" w:eastAsia="方正楷体_GBK" w:cs="方正楷体_GBK"/>
          <w:sz w:val="28"/>
          <w:szCs w:val="28"/>
        </w:rPr>
        <w:t xml:space="preserve">（一）通用资格要求</w:t>
      </w:r>
      <w:r>
        <w:rPr>
          <w:rFonts w:hint="eastAsia" w:ascii="方正楷体_GBK" w:hAnsi="方正楷体_GBK" w:eastAsia="方正楷体_GBK" w:cs="方正楷体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w:t>
      </w:r>
      <w:r>
        <w:rPr>
          <w:rFonts w:hint="eastAsia" w:ascii="方正仿宋_GBK" w:hAnsi="方正仿宋_GBK" w:eastAsia="方正仿宋_GBK" w:cs="方正仿宋_GBK"/>
          <w:sz w:val="28"/>
          <w:szCs w:val="28"/>
        </w:rPr>
        <w:t xml:space="preserve">法》第二十二条规定，并提供下列材料：</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1.2上一年度的财务状况报告（成立不满一年无需提供）；</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734"/>
        <w:ind w:firstLine="560"/>
        <w:spacing w:line="400" w:lineRule="exact"/>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w:t>
      </w:r>
      <w:r>
        <w:rPr>
          <w:rFonts w:hint="eastAsia" w:ascii="方正楷体_GBK" w:hAnsi="方正楷体_GBK" w:eastAsia="方正楷体_GBK" w:cs="方正楷体_GBK"/>
          <w:sz w:val="28"/>
          <w:szCs w:val="28"/>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734"/>
        <w:jc w:val="left"/>
        <w:keepNext/>
        <w:spacing w:line="400" w:lineRule="exact"/>
        <w:rPr>
          <w:rFonts w:hint="eastAsia" w:ascii="方正黑体_GBK" w:hAnsi="方正黑体_GBK" w:eastAsia="方正黑体_GBK" w:cs="方正黑体_GBK"/>
          <w:sz w:val="28"/>
          <w:szCs w:val="28"/>
        </w:rPr>
        <w:outlineLvl w:val="0"/>
      </w:pPr>
      <w:r/>
      <w:bookmarkStart w:id="26" w:name="_Toc240379772"/>
      <w:r>
        <w:rPr>
          <w:rFonts w:hint="eastAsia" w:ascii="方正黑体_GBK" w:hAnsi="方正黑体_GBK" w:eastAsia="方正黑体_GBK" w:cs="方正黑体_GBK"/>
          <w:sz w:val="28"/>
          <w:szCs w:val="28"/>
        </w:rPr>
        <w:t xml:space="preserve">三、获取招标文件</w:t>
      </w:r>
      <w:bookmarkEnd w:id="26"/>
      <w:r>
        <w:rPr>
          <w:rFonts w:hint="eastAsia" w:ascii="方正黑体_GBK" w:hAnsi="方正黑体_GBK" w:eastAsia="方正黑体_GBK" w:cs="方正黑体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w:t>
      </w:r>
      <w:r>
        <w:rPr>
          <w:rFonts w:hint="eastAsia" w:ascii="方正仿宋_GBK" w:hAnsi="方正仿宋_GBK" w:eastAsia="方正仿宋_GBK" w:cs="方正仿宋_GBK"/>
          <w:sz w:val="28"/>
          <w:szCs w:val="28"/>
        </w:rPr>
        <w:t xml:space="preserve">招标文件公告发布之日起5个工作日。</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734"/>
        <w:jc w:val="left"/>
        <w:keepNext/>
        <w:spacing w:line="400" w:lineRule="exact"/>
        <w:rPr>
          <w:rFonts w:hint="eastAsia" w:ascii="方正黑体_GBK" w:hAnsi="方正黑体_GBK" w:eastAsia="方正黑体_GBK" w:cs="方正黑体_GBK"/>
          <w:sz w:val="28"/>
          <w:szCs w:val="28"/>
        </w:rPr>
        <w:outlineLvl w:val="0"/>
      </w:pPr>
      <w:r/>
      <w:bookmarkEnd w:id="21"/>
      <w:r/>
      <w:bookmarkEnd w:id="22"/>
      <w:r/>
      <w:bookmarkEnd w:id="23"/>
      <w:r/>
      <w:bookmarkEnd w:id="24"/>
      <w:r/>
      <w:bookmarkEnd w:id="25"/>
      <w:r/>
      <w:bookmarkStart w:id="27" w:name="_Toc35393624"/>
      <w:r/>
      <w:bookmarkStart w:id="28" w:name="_Toc35393793"/>
      <w:r/>
      <w:bookmarkStart w:id="29" w:name="_Toc28359084"/>
      <w:r/>
      <w:bookmarkStart w:id="30" w:name="_Toc35393625"/>
      <w:r/>
      <w:bookmarkStart w:id="31" w:name="_Toc35393794"/>
      <w:r/>
      <w:bookmarkStart w:id="32" w:name="_Toc38985267"/>
      <w:r/>
      <w:bookmarkStart w:id="33" w:name="_Toc28359007"/>
      <w:r/>
      <w:bookmarkStart w:id="34" w:name="_Toc28359005"/>
      <w:r/>
      <w:bookmarkStart w:id="35" w:name="_Toc28359082"/>
      <w:r/>
      <w:bookmarkStart w:id="36" w:name="_Toc38985266"/>
      <w:r/>
      <w:bookmarkStart w:id="37" w:name="_Toc240379773"/>
      <w:r>
        <w:rPr>
          <w:rFonts w:hint="eastAsia" w:ascii="方正黑体_GBK" w:hAnsi="方正黑体_GBK" w:eastAsia="方正黑体_GBK" w:cs="方正黑体_GBK"/>
          <w:sz w:val="28"/>
          <w:szCs w:val="28"/>
        </w:rPr>
        <w:t xml:space="preserve">四、提交投标文件</w:t>
      </w:r>
      <w:bookmarkEnd w:id="34"/>
      <w:r/>
      <w:bookmarkEnd w:id="35"/>
      <w:r>
        <w:rPr>
          <w:rFonts w:hint="eastAsia" w:ascii="方正黑体_GBK" w:hAnsi="方正黑体_GBK" w:eastAsia="方正黑体_GBK" w:cs="方正黑体_GBK"/>
          <w:sz w:val="28"/>
          <w:szCs w:val="28"/>
        </w:rPr>
        <w:t xml:space="preserve">截止时间、开标时间和地点</w:t>
      </w:r>
      <w:bookmarkEnd w:id="27"/>
      <w:r/>
      <w:bookmarkEnd w:id="28"/>
      <w:r/>
      <w:bookmarkEnd w:id="36"/>
      <w:r/>
      <w:bookmarkEnd w:id="37"/>
      <w:r>
        <w:rPr>
          <w:rFonts w:hint="eastAsia" w:ascii="方正黑体_GBK" w:hAnsi="方正黑体_GBK" w:eastAsia="方正黑体_GBK" w:cs="方正黑体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eastAsia="方正仿宋_GBK"/>
          <w:sz w:val="28"/>
          <w:szCs w:val="28"/>
        </w:rPr>
        <w:t xml:space="preserve">2026</w:t>
      </w:r>
      <w:r>
        <w:rPr>
          <w:rFonts w:hint="eastAsia" w:ascii="方正仿宋_GBK" w:hAnsi="方正仿宋_GBK" w:eastAsia="方正仿宋_GBK" w:cs="方正仿宋_GBK"/>
          <w:bCs/>
          <w:sz w:val="28"/>
          <w:szCs w:val="28"/>
        </w:rPr>
        <w:t xml:space="preserve">年</w:t>
      </w:r>
      <w:r>
        <w:rPr>
          <w:rFonts w:hint="eastAsia" w:eastAsia="方正仿宋_GBK"/>
          <w:sz w:val="28"/>
          <w:szCs w:val="28"/>
        </w:rPr>
        <w:t xml:space="preserve">10</w:t>
      </w:r>
      <w:r>
        <w:rPr>
          <w:rFonts w:hint="eastAsia" w:ascii="方正仿宋_GBK" w:hAnsi="方正仿宋_GBK" w:eastAsia="方正仿宋_GBK" w:cs="方正仿宋_GBK"/>
          <w:bCs/>
          <w:sz w:val="28"/>
          <w:szCs w:val="28"/>
        </w:rPr>
        <w:t xml:space="preserve">月</w:t>
      </w:r>
      <w:r>
        <w:rPr>
          <w:rFonts w:hint="eastAsia" w:eastAsia="方正仿宋_GBK"/>
          <w:sz w:val="28"/>
          <w:szCs w:val="28"/>
        </w:rPr>
        <w:t xml:space="preserve">20</w:t>
      </w:r>
      <w:r>
        <w:rPr>
          <w:rFonts w:hint="eastAsia" w:ascii="方正仿宋_GBK" w:hAnsi="方正仿宋_GBK" w:eastAsia="方正仿宋_GBK" w:cs="方正仿宋_GBK"/>
          <w:bCs/>
          <w:sz w:val="28"/>
          <w:szCs w:val="28"/>
        </w:rPr>
        <w:t xml:space="preserve">日</w:t>
      </w:r>
      <w:r>
        <w:rPr>
          <w:rFonts w:hint="eastAsia" w:eastAsia="方正仿宋_GBK"/>
          <w:sz w:val="28"/>
          <w:szCs w:val="28"/>
        </w:rPr>
        <w:t xml:space="preserve">09</w:t>
      </w:r>
      <w:r>
        <w:rPr>
          <w:rFonts w:hint="eastAsia" w:ascii="方正仿宋_GBK" w:hAnsi="方正仿宋_GBK" w:eastAsia="方正仿宋_GBK" w:cs="方正仿宋_GBK"/>
          <w:sz w:val="28"/>
          <w:szCs w:val="28"/>
        </w:rPr>
        <w:t xml:space="preserve">时</w:t>
      </w:r>
      <w:r>
        <w:rPr>
          <w:rFonts w:hint="eastAsia" w:eastAsia="方正仿宋_GBK"/>
          <w:sz w:val="28"/>
          <w:szCs w:val="28"/>
        </w:rPr>
        <w:t xml:space="preserve">30</w:t>
      </w:r>
      <w:r>
        <w:rPr>
          <w:rFonts w:hint="eastAsia" w:ascii="方正仿宋_GBK" w:hAnsi="方正仿宋_GBK" w:eastAsia="方正仿宋_GBK" w:cs="方正仿宋_GBK"/>
          <w:bCs/>
          <w:sz w:val="28"/>
          <w:szCs w:val="28"/>
        </w:rPr>
        <w:t xml:space="preserve">分</w:t>
      </w:r>
      <w:r>
        <w:rPr>
          <w:rFonts w:hint="eastAsia" w:ascii="方正仿宋_GBK" w:hAnsi="方正仿宋_GBK" w:eastAsia="方正仿宋_GBK" w:cs="方正仿宋_GBK"/>
          <w:bCs/>
          <w:sz w:val="28"/>
          <w:szCs w:val="28"/>
        </w:rPr>
        <w:t xml:space="preserve">（北京时间）</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734"/>
        <w:jc w:val="left"/>
        <w:keepNext/>
        <w:spacing w:line="400" w:lineRule="exact"/>
        <w:rPr>
          <w:rFonts w:hint="eastAsia" w:ascii="方正黑体_GBK" w:hAnsi="方正黑体_GBK" w:eastAsia="方正黑体_GBK" w:cs="方正黑体_GBK"/>
          <w:sz w:val="28"/>
          <w:szCs w:val="28"/>
        </w:rPr>
        <w:outlineLvl w:val="0"/>
      </w:pPr>
      <w:r/>
      <w:bookmarkEnd w:id="29"/>
      <w:r/>
      <w:bookmarkEnd w:id="30"/>
      <w:r/>
      <w:bookmarkEnd w:id="31"/>
      <w:r/>
      <w:bookmarkEnd w:id="32"/>
      <w:r/>
      <w:bookmarkEnd w:id="33"/>
      <w:r/>
      <w:bookmarkStart w:id="38" w:name="_Toc240379774"/>
      <w:r/>
      <w:bookmarkStart w:id="39" w:name="_Toc35393626"/>
      <w:r/>
      <w:bookmarkStart w:id="40" w:name="_Toc35393795"/>
      <w:r/>
      <w:bookmarkStart w:id="41" w:name="_Toc38985268"/>
      <w:r>
        <w:rPr>
          <w:rFonts w:hint="eastAsia" w:ascii="方正黑体_GBK" w:hAnsi="方正黑体_GBK" w:eastAsia="方正黑体_GBK" w:cs="方正黑体_GBK"/>
          <w:sz w:val="28"/>
          <w:szCs w:val="28"/>
        </w:rPr>
        <w:t xml:space="preserve">五、公告期限</w:t>
      </w:r>
      <w:bookmarkEnd w:id="38"/>
      <w:r>
        <w:rPr>
          <w:rFonts w:hint="eastAsia" w:ascii="方正黑体_GBK" w:hAnsi="方正黑体_GBK" w:eastAsia="方正黑体_GBK" w:cs="方正黑体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734"/>
        <w:jc w:val="left"/>
        <w:keepNext/>
        <w:spacing w:line="400" w:lineRule="exact"/>
        <w:rPr>
          <w:rFonts w:hint="eastAsia" w:ascii="方正黑体_GBK" w:hAnsi="方正黑体_GBK" w:eastAsia="方正黑体_GBK" w:cs="方正黑体_GBK"/>
          <w:sz w:val="28"/>
          <w:szCs w:val="28"/>
        </w:rPr>
        <w:outlineLvl w:val="0"/>
      </w:pPr>
      <w:r/>
      <w:bookmarkEnd w:id="39"/>
      <w:r/>
      <w:bookmarkEnd w:id="40"/>
      <w:r/>
      <w:bookmarkEnd w:id="41"/>
      <w:r/>
      <w:bookmarkStart w:id="42" w:name="_Toc240379775"/>
      <w:r/>
      <w:bookmarkStart w:id="43" w:name="_Toc28359085"/>
      <w:r/>
      <w:bookmarkStart w:id="44" w:name="_Toc38985269"/>
      <w:r/>
      <w:bookmarkStart w:id="45" w:name="_Toc35393796"/>
      <w:r/>
      <w:bookmarkStart w:id="46" w:name="_Toc28359008"/>
      <w:r/>
      <w:bookmarkStart w:id="47" w:name="_Toc35393627"/>
      <w:r>
        <w:rPr>
          <w:rFonts w:hint="eastAsia" w:ascii="方正黑体_GBK" w:hAnsi="方正黑体_GBK" w:eastAsia="方正黑体_GBK" w:cs="方正黑体_GBK"/>
          <w:sz w:val="28"/>
          <w:szCs w:val="28"/>
        </w:rPr>
        <w:t xml:space="preserve">六、其他补充事宜</w:t>
      </w:r>
      <w:bookmarkEnd w:id="42"/>
      <w:r>
        <w:rPr>
          <w:rFonts w:hint="eastAsia" w:ascii="方正黑体_GBK" w:hAnsi="方正黑体_GBK" w:eastAsia="方正黑体_GBK" w:cs="方正黑体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r>
      <w:r/>
    </w:p>
    <w:p>
      <w:pPr>
        <w:pStyle w:val="734"/>
        <w:jc w:val="left"/>
        <w:keepNext/>
        <w:spacing w:line="400" w:lineRule="exact"/>
        <w:rPr>
          <w:rFonts w:hint="eastAsia" w:ascii="方正黑体_GBK" w:hAnsi="方正黑体_GBK" w:eastAsia="方正黑体_GBK" w:cs="方正黑体_GBK"/>
          <w:sz w:val="28"/>
          <w:szCs w:val="28"/>
        </w:rPr>
        <w:outlineLvl w:val="0"/>
      </w:pPr>
      <w:r/>
      <w:bookmarkEnd w:id="43"/>
      <w:r/>
      <w:bookmarkEnd w:id="44"/>
      <w:r/>
      <w:bookmarkEnd w:id="45"/>
      <w:r/>
      <w:bookmarkEnd w:id="46"/>
      <w:r/>
      <w:bookmarkEnd w:id="47"/>
      <w:r/>
      <w:bookmarkStart w:id="48" w:name="_Toc240379776"/>
      <w:r>
        <w:rPr>
          <w:rFonts w:hint="eastAsia" w:ascii="方正黑体_GBK" w:hAnsi="方正黑体_GBK" w:eastAsia="方正黑体_GBK" w:cs="方正黑体_GBK"/>
          <w:sz w:val="28"/>
          <w:szCs w:val="28"/>
        </w:rPr>
        <w:t xml:space="preserve">七、本次招标联系方式</w:t>
      </w:r>
      <w:bookmarkEnd w:id="48"/>
      <w:r>
        <w:rPr>
          <w:rFonts w:hint="eastAsia" w:ascii="方正黑体_GBK" w:hAnsi="方正黑体_GBK" w:eastAsia="方正黑体_GBK" w:cs="方正黑体_GBK"/>
          <w:sz w:val="28"/>
          <w:szCs w:val="28"/>
        </w:rPr>
      </w:r>
      <w:r/>
    </w:p>
    <w:p>
      <w:pPr>
        <w:pStyle w:val="734"/>
        <w:ind w:firstLine="560"/>
        <w:spacing w:line="440" w:lineRule="exact"/>
        <w:rPr>
          <w:rFonts w:hint="eastAsia" w:ascii="方正楷体_GBK" w:hAnsi="方正楷体_GBK" w:eastAsia="方正楷体_GBK" w:cs="方正楷体_GBK"/>
          <w:sz w:val="28"/>
          <w:szCs w:val="28"/>
        </w:rPr>
      </w:pPr>
      <w:r/>
      <w:bookmarkStart w:id="49" w:name="_Toc28359009"/>
      <w:r/>
      <w:bookmarkStart w:id="50" w:name="_Toc28359086"/>
      <w:r>
        <w:rPr>
          <w:rFonts w:hint="eastAsia" w:ascii="方正楷体_GBK" w:hAnsi="方正楷体_GBK" w:eastAsia="方正楷体_GBK" w:cs="方正楷体_GBK"/>
          <w:sz w:val="28"/>
          <w:szCs w:val="28"/>
        </w:rPr>
        <w:t xml:space="preserve">1.采购人信息</w:t>
      </w:r>
      <w:r>
        <w:rPr>
          <w:rFonts w:hint="eastAsia" w:ascii="方正楷体_GBK" w:hAnsi="方正楷体_GBK" w:eastAsia="方正楷体_GBK" w:cs="方正楷体_GBK"/>
          <w:sz w:val="28"/>
          <w:szCs w:val="28"/>
        </w:rPr>
      </w:r>
      <w:r/>
    </w:p>
    <w:p>
      <w:pPr>
        <w:pStyle w:val="734"/>
        <w:ind w:firstLine="560"/>
        <w:spacing w:line="44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名 称：</w:t>
      </w:r>
      <w:r>
        <w:rPr>
          <w:rFonts w:hint="eastAsia" w:ascii="方正仿宋_GBK" w:hAnsi="方正仿宋_GBK" w:eastAsia="方正仿宋_GBK" w:cs="方正仿宋_GBK"/>
          <w:sz w:val="28"/>
          <w:szCs w:val="28"/>
          <w:u w:val="single"/>
        </w:rPr>
        <w:t xml:space="preserve">江苏省中医院　　</w:t>
      </w:r>
      <w:r>
        <w:rPr>
          <w:rFonts w:hint="eastAsia" w:ascii="方正仿宋_GBK" w:hAnsi="方正仿宋_GBK" w:eastAsia="方正仿宋_GBK" w:cs="方正仿宋_GBK"/>
          <w:sz w:val="28"/>
          <w:szCs w:val="28"/>
          <w:u w:val="single"/>
        </w:rPr>
      </w:r>
      <w:r/>
    </w:p>
    <w:p>
      <w:pPr>
        <w:pStyle w:val="734"/>
        <w:ind w:firstLine="560"/>
        <w:spacing w:line="44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南京市汉中路155号门诊3号楼15楼1508室招标办公室　</w:t>
      </w:r>
      <w:r>
        <w:rPr>
          <w:rFonts w:hint="eastAsia" w:ascii="方正仿宋_GBK" w:hAnsi="方正仿宋_GBK" w:eastAsia="方正仿宋_GBK" w:cs="方正仿宋_GBK"/>
          <w:sz w:val="28"/>
          <w:szCs w:val="28"/>
          <w:u w:val="single"/>
        </w:rPr>
      </w:r>
      <w:r/>
    </w:p>
    <w:p>
      <w:pPr>
        <w:pStyle w:val="734"/>
        <w:ind w:firstLine="560"/>
        <w:spacing w:line="44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严老师    </w:t>
      </w:r>
      <w:r>
        <w:rPr>
          <w:rFonts w:hint="eastAsia" w:ascii="方正仿宋_GBK" w:hAnsi="方正仿宋_GBK" w:eastAsia="方正仿宋_GBK" w:cs="方正仿宋_GBK"/>
          <w:sz w:val="28"/>
          <w:szCs w:val="28"/>
          <w:u w:val="single"/>
        </w:rPr>
      </w:r>
      <w:r/>
    </w:p>
    <w:p>
      <w:pPr>
        <w:pStyle w:val="734"/>
        <w:ind w:firstLine="560"/>
        <w:spacing w:line="44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025-86617141-69300；025-86558915 </w:t>
      </w:r>
      <w:r>
        <w:rPr>
          <w:rFonts w:hint="eastAsia" w:ascii="方正仿宋_GBK" w:hAnsi="方正仿宋_GBK" w:eastAsia="方正仿宋_GBK" w:cs="方正仿宋_GBK"/>
          <w:sz w:val="28"/>
          <w:szCs w:val="28"/>
          <w:u w:val="single"/>
        </w:rPr>
      </w:r>
      <w:r/>
    </w:p>
    <w:p>
      <w:pPr>
        <w:pStyle w:val="734"/>
        <w:ind w:firstLine="560"/>
        <w:jc w:val="left"/>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49"/>
      <w:r/>
      <w:bookmarkEnd w:id="50"/>
      <w:r>
        <w:rPr>
          <w:rFonts w:hint="eastAsia" w:ascii="方正仿宋_GBK" w:hAnsi="方正仿宋_GBK" w:eastAsia="方正仿宋_GBK" w:cs="方正仿宋_GBK"/>
          <w:sz w:val="28"/>
          <w:szCs w:val="28"/>
        </w:rPr>
      </w:r>
      <w:r/>
    </w:p>
    <w:p>
      <w:pPr>
        <w:pStyle w:val="734"/>
        <w:ind w:firstLine="560"/>
        <w:spacing w:line="44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地　址：　</w:t>
      </w:r>
      <w:r>
        <w:rPr>
          <w:rFonts w:hint="eastAsia" w:ascii="方正仿宋_GBK" w:hAnsi="方正仿宋_GBK" w:eastAsia="方正仿宋_GBK" w:cs="方正仿宋_GBK"/>
          <w:sz w:val="28"/>
          <w:szCs w:val="28"/>
          <w:u w:val="single"/>
        </w:rPr>
        <w:t xml:space="preserve">南京市汉中门大街145号省政务中心二期3楼南区</w:t>
      </w:r>
      <w:r>
        <w:rPr>
          <w:rFonts w:hint="eastAsia" w:ascii="方正仿宋_GBK" w:hAnsi="方正仿宋_GBK" w:eastAsia="方正仿宋_GBK" w:cs="方正仿宋_GBK"/>
          <w:sz w:val="28"/>
          <w:szCs w:val="28"/>
          <w:u w:val="single"/>
        </w:rPr>
      </w:r>
      <w:r/>
    </w:p>
    <w:p>
      <w:pPr>
        <w:pStyle w:val="734"/>
        <w:ind w:firstLine="560"/>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ascii="方正仿宋_GBK" w:hAnsi="方正仿宋_GBK" w:eastAsia="方正仿宋_GBK" w:cs="方正仿宋_GBK"/>
          <w:sz w:val="28"/>
          <w:szCs w:val="28"/>
        </w:rPr>
        <w:tab/>
      </w:r>
      <w:r>
        <w:rPr>
          <w:rFonts w:hint="eastAsia" w:ascii="方正仿宋_GBK" w:hAnsi="方正仿宋_GBK" w:eastAsia="方正仿宋_GBK" w:cs="方正仿宋_GBK"/>
          <w:sz w:val="28"/>
          <w:szCs w:val="28"/>
          <w:u w:val="single"/>
        </w:rPr>
        <w:t xml:space="preserve">付</w:t>
      </w:r>
      <w:r>
        <w:rPr>
          <w:rFonts w:hint="eastAsia" w:ascii="宋体" w:hAnsi="宋体" w:cs="宋体"/>
          <w:sz w:val="28"/>
          <w:szCs w:val="28"/>
          <w:u w:val="single"/>
        </w:rPr>
        <w:t xml:space="preserve">钢</w:t>
      </w:r>
      <w:r>
        <w:rPr>
          <w:rFonts w:hint="eastAsia" w:ascii="方正仿宋_GBK" w:hAnsi="方正仿宋_GBK" w:eastAsia="方正仿宋_GBK" w:cs="___WRD_EMBED_SUB_51"/>
          <w:sz w:val="28"/>
          <w:szCs w:val="28"/>
          <w:u w:val="single"/>
        </w:rPr>
        <w:t xml:space="preserve">、</w:t>
      </w:r>
      <w:r>
        <w:rPr>
          <w:rFonts w:hint="eastAsia" w:ascii="宋体" w:hAnsi="宋体" w:cs="宋体"/>
          <w:sz w:val="28"/>
          <w:szCs w:val="28"/>
          <w:u w:val="single"/>
        </w:rPr>
        <w:t xml:space="preserve">唐</w:t>
      </w:r>
      <w:r>
        <w:rPr>
          <w:rFonts w:hint="eastAsia" w:ascii="方正仿宋_GBK" w:hAnsi="方正仿宋_GBK" w:eastAsia="方正仿宋_GBK" w:cs="___WRD_EMBED_SUB_51"/>
          <w:sz w:val="28"/>
          <w:szCs w:val="28"/>
          <w:u w:val="single"/>
        </w:rPr>
        <w:t xml:space="preserve">文</w:t>
      </w:r>
      <w:r>
        <w:rPr>
          <w:rFonts w:hint="eastAsia" w:ascii="方正仿宋_GBK" w:hAnsi="方正仿宋_GBK" w:eastAsia="方正仿宋_GBK" w:cs="方正仿宋_GBK"/>
          <w:sz w:val="28"/>
          <w:szCs w:val="28"/>
        </w:rPr>
      </w:r>
      <w:r/>
    </w:p>
    <w:p>
      <w:pPr>
        <w:pStyle w:val="734"/>
        <w:ind w:firstLine="560"/>
        <w:spacing w:line="44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r>
        <w:rPr>
          <w:rFonts w:hint="eastAsia" w:ascii="宋体" w:hAnsi="宋体" w:cs="宋体"/>
          <w:sz w:val="28"/>
          <w:szCs w:val="28"/>
          <w:u w:val="single"/>
        </w:rPr>
        <w:t xml:space="preserve">025-83668520、83668519　</w:t>
      </w:r>
      <w:r>
        <w:rPr>
          <w:rFonts w:hint="eastAsia" w:ascii="方正仿宋_GBK" w:hAnsi="方正仿宋_GBK" w:eastAsia="方正仿宋_GBK" w:cs="方正仿宋_GBK"/>
          <w:sz w:val="28"/>
          <w:szCs w:val="28"/>
          <w:u w:val="single"/>
        </w:rPr>
      </w:r>
      <w:r/>
    </w:p>
    <w:p>
      <w:pPr>
        <w:pStyle w:val="734"/>
        <w:jc w:val="left"/>
        <w:keepNext/>
        <w:spacing w:line="400" w:lineRule="exact"/>
        <w:rPr>
          <w:rFonts w:hint="eastAsia" w:ascii="方正黑体_GBK" w:hAnsi="方正黑体_GBK" w:eastAsia="方正黑体_GBK" w:cs="方正黑体_GBK"/>
          <w:sz w:val="28"/>
          <w:szCs w:val="28"/>
        </w:rPr>
        <w:outlineLvl w:val="0"/>
      </w:pPr>
      <w:r/>
      <w:bookmarkStart w:id="51" w:name="_Toc240379777"/>
      <w:r>
        <w:rPr>
          <w:rFonts w:hint="eastAsia" w:ascii="方正黑体_GBK" w:hAnsi="方正黑体_GBK" w:eastAsia="方正黑体_GBK" w:cs="方正黑体_GBK"/>
          <w:sz w:val="28"/>
          <w:szCs w:val="28"/>
        </w:rPr>
        <w:t xml:space="preserve">八、其他</w:t>
      </w:r>
      <w:bookmarkEnd w:id="51"/>
      <w:r>
        <w:rPr>
          <w:rFonts w:hint="eastAsia" w:ascii="方正黑体_GBK" w:hAnsi="方正黑体_GBK" w:eastAsia="方正黑体_GBK" w:cs="方正黑体_GBK"/>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sz w:val="28"/>
          <w:szCs w:val="28"/>
        </w:rPr>
        <w:t xml:space="preserve">h</w:t>
      </w:r>
      <w:r>
        <w:rPr>
          <w:rFonts w:hint="eastAsia" w:eastAsia="方正仿宋_GBK"/>
          <w:sz w:val="28"/>
          <w:szCs w:val="28"/>
        </w:rPr>
        <w:t xml:space="preserve">ttp://www.ccgp-jian</w:t>
      </w:r>
      <w:r>
        <w:rPr>
          <w:rFonts w:hint="eastAsia" w:eastAsia="方正仿宋_GBK"/>
          <w:sz w:val="28"/>
          <w:szCs w:val="28"/>
        </w:rPr>
        <w:t xml:space="preserve">gsu.gov.cn/jiangsu/zlxz/ee/ee3a4bc5a3454aa2b0d9312230633ce9.html。</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w:t>
      </w:r>
      <w:r>
        <w:rPr>
          <w:rFonts w:hint="eastAsia" w:ascii="方正仿宋_GBK" w:hAnsi="方正仿宋_GBK" w:eastAsia="方正仿宋_GBK" w:cs="方正仿宋_GBK"/>
          <w:bCs/>
          <w:sz w:val="28"/>
          <w:szCs w:val="28"/>
        </w:rPr>
        <w:t xml:space="preserve">证金。</w:t>
      </w:r>
      <w:r>
        <w:rPr>
          <w:rFonts w:hint="eastAsia" w:ascii="方正仿宋_GBK" w:hAnsi="方正仿宋_GBK" w:eastAsia="方正仿宋_GBK" w:cs="方正仿宋_GBK"/>
          <w:bCs/>
          <w:sz w:val="28"/>
          <w:szCs w:val="28"/>
        </w:rPr>
      </w:r>
      <w:r/>
    </w:p>
    <w:p>
      <w:pPr>
        <w:pStyle w:val="734"/>
        <w:ind w:right="840"/>
        <w:rPr>
          <w:rFonts w:hint="eastAsia" w:ascii="宋体" w:hAnsi="宋体"/>
          <w:sz w:val="24"/>
          <w:szCs w:val="24"/>
        </w:rPr>
      </w:pPr>
      <w:r>
        <w:rPr>
          <w:rFonts w:hint="eastAsia" w:ascii="宋体" w:hAnsi="宋体"/>
          <w:sz w:val="24"/>
          <w:szCs w:val="24"/>
        </w:rPr>
      </w:r>
      <w:r/>
    </w:p>
    <w:p>
      <w:pPr>
        <w:pStyle w:val="734"/>
        <w:jc w:val="center"/>
        <w:keepNext/>
        <w:spacing w:line="360" w:lineRule="auto"/>
        <w:rPr>
          <w:rFonts w:hint="eastAsia" w:ascii="宋体" w:hAnsi="宋体"/>
          <w:sz w:val="32"/>
          <w:szCs w:val="32"/>
        </w:rPr>
        <w:outlineLvl w:val="0"/>
      </w:pPr>
      <w:r>
        <w:rPr>
          <w:rFonts w:ascii="宋体" w:hAnsi="宋体"/>
          <w:sz w:val="24"/>
          <w:szCs w:val="24"/>
        </w:rPr>
        <w:br w:type="page" w:clear="all"/>
      </w:r>
      <w:bookmarkStart w:id="52" w:name="_Toc120614211"/>
      <w:r/>
      <w:bookmarkStart w:id="53" w:name="_Toc240379778"/>
      <w:r>
        <w:rPr>
          <w:rFonts w:hint="eastAsia" w:ascii="方正黑体_GBK" w:hAnsi="方正黑体_GBK" w:eastAsia="方正黑体_GBK" w:cs="方正黑体_GBK"/>
          <w:sz w:val="32"/>
          <w:szCs w:val="32"/>
        </w:rPr>
        <w:t xml:space="preserve">第二章  </w:t>
      </w:r>
      <w:bookmarkEnd w:id="0"/>
      <w:r/>
      <w:bookmarkEnd w:id="2"/>
      <w:r/>
      <w:bookmarkEnd w:id="3"/>
      <w:r/>
      <w:bookmarkEnd w:id="4"/>
      <w:r/>
      <w:bookmarkEnd w:id="5"/>
      <w:r/>
      <w:bookmarkEnd w:id="52"/>
      <w:r/>
      <w:bookmarkStart w:id="54" w:name="_Toc20823274"/>
      <w:r/>
      <w:bookmarkStart w:id="55" w:name="_Toc120614213"/>
      <w:r/>
      <w:bookmarkStart w:id="56" w:name="_Toc16938518"/>
      <w:r/>
      <w:bookmarkStart w:id="57" w:name="_Toc513029202"/>
      <w:r>
        <w:rPr>
          <w:rFonts w:hint="eastAsia" w:ascii="方正黑体_GBK" w:hAnsi="方正黑体_GBK" w:eastAsia="方正黑体_GBK" w:cs="方正黑体_GBK"/>
          <w:sz w:val="32"/>
          <w:szCs w:val="32"/>
        </w:rPr>
        <w:t xml:space="preserve">投标人须知</w:t>
      </w:r>
      <w:bookmarkEnd w:id="53"/>
      <w:r/>
      <w:bookmarkEnd w:id="54"/>
      <w:r/>
      <w:bookmarkEnd w:id="55"/>
      <w:r/>
      <w:bookmarkEnd w:id="56"/>
      <w:r/>
      <w:bookmarkEnd w:id="57"/>
      <w:r>
        <w:rPr>
          <w:rFonts w:hint="eastAsia" w:ascii="宋体" w:hAnsi="宋体"/>
          <w:sz w:val="32"/>
          <w:szCs w:val="32"/>
        </w:rPr>
      </w:r>
      <w:r/>
    </w:p>
    <w:p>
      <w:pPr>
        <w:pStyle w:val="734"/>
        <w:jc w:val="left"/>
        <w:keepNext/>
        <w:spacing w:line="400" w:lineRule="exact"/>
        <w:rPr>
          <w:rFonts w:hint="eastAsia" w:ascii="方正黑体_GBK" w:hAnsi="方正黑体_GBK" w:eastAsia="方正黑体_GBK" w:cs="方正黑体_GBK"/>
          <w:sz w:val="28"/>
          <w:szCs w:val="28"/>
        </w:rPr>
        <w:outlineLvl w:val="0"/>
      </w:pPr>
      <w:r/>
      <w:bookmarkStart w:id="58" w:name="_Toc240379779"/>
      <w:r>
        <w:rPr>
          <w:rFonts w:hint="eastAsia" w:ascii="方正黑体_GBK" w:hAnsi="方正黑体_GBK" w:eastAsia="方正黑体_GBK" w:cs="方正黑体_GBK"/>
          <w:sz w:val="28"/>
          <w:szCs w:val="28"/>
        </w:rPr>
        <w:t xml:space="preserve">一、总则</w:t>
      </w:r>
      <w:bookmarkEnd w:id="58"/>
      <w:r>
        <w:rPr>
          <w:rFonts w:hint="eastAsia" w:ascii="方正黑体_GBK" w:hAnsi="方正黑体_GBK" w:eastAsia="方正黑体_GBK" w:cs="方正黑体_GBK"/>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1.招标方式</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2.合格的投标人</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3.适用法律和标准</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4.投标费用</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w:t>
      </w:r>
      <w:r>
        <w:rPr>
          <w:rFonts w:hint="eastAsia" w:ascii="方正仿宋_GBK" w:hAnsi="方正仿宋_GBK" w:eastAsia="方正仿宋_GBK" w:cs="方正仿宋_GBK"/>
          <w:bCs/>
          <w:sz w:val="28"/>
          <w:szCs w:val="28"/>
        </w:rPr>
        <w:t xml:space="preserve">购中心）在任何情况下均无义务和责任承担这些费用。</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5.招标文件的约束力</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rPr>
      </w:r>
      <w:r/>
    </w:p>
    <w:p>
      <w:pPr>
        <w:pStyle w:val="734"/>
        <w:jc w:val="left"/>
        <w:keepNext/>
        <w:spacing w:line="400" w:lineRule="exact"/>
        <w:rPr>
          <w:rFonts w:hint="eastAsia" w:ascii="方正黑体_GBK" w:hAnsi="方正黑体_GBK" w:eastAsia="方正黑体_GBK" w:cs="方正黑体_GBK"/>
          <w:sz w:val="28"/>
          <w:szCs w:val="28"/>
        </w:rPr>
        <w:outlineLvl w:val="0"/>
      </w:pPr>
      <w:r/>
      <w:bookmarkStart w:id="59" w:name="_Toc240379780"/>
      <w:r>
        <w:rPr>
          <w:rFonts w:hint="eastAsia" w:ascii="方正黑体_GBK" w:hAnsi="方正黑体_GBK" w:eastAsia="方正黑体_GBK" w:cs="方正黑体_GBK"/>
          <w:sz w:val="28"/>
          <w:szCs w:val="28"/>
        </w:rPr>
        <w:t xml:space="preserve">二、招标文件</w:t>
      </w:r>
      <w:bookmarkEnd w:id="59"/>
      <w:r>
        <w:rPr>
          <w:rFonts w:hint="eastAsia" w:ascii="方正黑体_GBK" w:hAnsi="方正黑体_GBK" w:eastAsia="方正黑体_GBK" w:cs="方正黑体_GBK"/>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6.招标文件构成</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w:t>
      </w:r>
      <w:r>
        <w:rPr>
          <w:rFonts w:hint="eastAsia" w:ascii="方正仿宋_GBK" w:hAnsi="方正仿宋_GBK" w:eastAsia="方正仿宋_GBK" w:cs="方正仿宋_GBK"/>
          <w:bCs/>
          <w:sz w:val="28"/>
          <w:szCs w:val="28"/>
        </w:rPr>
        <w:t xml:space="preserve">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7.招标文件的修改</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734"/>
        <w:jc w:val="left"/>
        <w:keepNext/>
        <w:spacing w:line="400" w:lineRule="exact"/>
        <w:rPr>
          <w:rFonts w:hint="eastAsia" w:ascii="方正黑体_GBK" w:hAnsi="方正黑体_GBK" w:eastAsia="方正黑体_GBK" w:cs="方正黑体_GBK"/>
          <w:sz w:val="28"/>
          <w:szCs w:val="28"/>
        </w:rPr>
        <w:outlineLvl w:val="0"/>
      </w:pPr>
      <w:r/>
      <w:bookmarkStart w:id="60" w:name="_Toc16938529"/>
      <w:r/>
      <w:bookmarkStart w:id="61" w:name="_Toc462564072"/>
      <w:r/>
      <w:bookmarkStart w:id="62" w:name="_Toc120614216"/>
      <w:r/>
      <w:bookmarkStart w:id="63" w:name="_Toc240379781"/>
      <w:r/>
      <w:bookmarkStart w:id="64" w:name="_Toc513029213"/>
      <w:r/>
      <w:bookmarkStart w:id="65" w:name="_Toc20823285"/>
      <w:r>
        <w:rPr>
          <w:rFonts w:hint="eastAsia" w:ascii="方正黑体_GBK" w:hAnsi="方正黑体_GBK" w:eastAsia="方正黑体_GBK" w:cs="方正黑体_GBK"/>
          <w:sz w:val="28"/>
          <w:szCs w:val="28"/>
        </w:rPr>
        <w:t xml:space="preserve">三、投标文件的编制</w:t>
      </w:r>
      <w:bookmarkEnd w:id="60"/>
      <w:r/>
      <w:bookmarkEnd w:id="61"/>
      <w:r/>
      <w:bookmarkEnd w:id="62"/>
      <w:r/>
      <w:bookmarkEnd w:id="63"/>
      <w:r/>
      <w:bookmarkEnd w:id="64"/>
      <w:r/>
      <w:bookmarkEnd w:id="65"/>
      <w:r>
        <w:rPr>
          <w:rFonts w:hint="eastAsia" w:ascii="方正黑体_GBK" w:hAnsi="方正黑体_GBK" w:eastAsia="方正黑体_GBK" w:cs="方正黑体_GBK"/>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66" w:name="_Toc462564073"/>
      <w:r/>
      <w:bookmarkStart w:id="67" w:name="_Toc20823286"/>
      <w:r/>
      <w:bookmarkStart w:id="68" w:name="_Toc16938530"/>
      <w:r/>
      <w:bookmarkStart w:id="69" w:name="_Toc513029214"/>
      <w:r>
        <w:rPr>
          <w:rFonts w:hint="eastAsia" w:ascii="方正仿宋_GBK" w:hAnsi="方正仿宋_GBK" w:eastAsia="方正仿宋_GBK" w:cs="方正仿宋_GBK"/>
          <w:bCs/>
          <w:sz w:val="28"/>
          <w:szCs w:val="28"/>
        </w:rPr>
        <w:t xml:space="preserve">8.投标文件的语言及度量衡单位</w:t>
      </w:r>
      <w:bookmarkEnd w:id="66"/>
      <w:r/>
      <w:bookmarkEnd w:id="67"/>
      <w:r/>
      <w:bookmarkEnd w:id="68"/>
      <w:r/>
      <w:bookmarkEnd w:id="69"/>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 投标人提交的投标文件以及投标人与采购中心就有</w:t>
      </w:r>
      <w:r>
        <w:rPr>
          <w:rFonts w:hint="eastAsia" w:ascii="方正仿宋_GBK" w:hAnsi="方正仿宋_GBK" w:eastAsia="方正仿宋_GBK" w:cs="方正仿宋_GBK"/>
          <w:bCs/>
          <w:sz w:val="28"/>
          <w:szCs w:val="28"/>
        </w:rPr>
        <w:t xml:space="preserve">关投标的所有</w:t>
      </w:r>
      <w:r>
        <w:rPr>
          <w:rFonts w:hint="eastAsia" w:ascii="方正仿宋_GBK" w:hAnsi="方正仿宋_GBK" w:eastAsia="方正仿宋_GBK" w:cs="方正仿宋_GBK"/>
          <w:bCs/>
          <w:sz w:val="28"/>
          <w:szCs w:val="28"/>
        </w:rPr>
        <w:t xml:space="preserve">来往通知、函件和文件均应使用简体中文。</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除技术性能另有规定外，投标文件所使用的度量衡单位，均须采用国家法定计量单位。</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70" w:name="_Toc20823287"/>
      <w:r/>
      <w:bookmarkStart w:id="71" w:name="_Toc462564074"/>
      <w:r/>
      <w:bookmarkStart w:id="72" w:name="_Toc16938531"/>
      <w:r/>
      <w:bookmarkStart w:id="73" w:name="_Toc513029215"/>
      <w:r>
        <w:rPr>
          <w:rFonts w:hint="eastAsia" w:ascii="方正仿宋_GBK" w:hAnsi="方正仿宋_GBK" w:eastAsia="方正仿宋_GBK" w:cs="方正仿宋_GBK"/>
          <w:bCs/>
          <w:sz w:val="28"/>
          <w:szCs w:val="28"/>
        </w:rPr>
        <w:t xml:space="preserve">9.投标文件构成</w:t>
      </w:r>
      <w:bookmarkEnd w:id="70"/>
      <w:r/>
      <w:bookmarkEnd w:id="71"/>
      <w:r/>
      <w:bookmarkEnd w:id="72"/>
      <w:r/>
      <w:bookmarkEnd w:id="73"/>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74" w:name="_Hlt26670360"/>
      <w:r/>
      <w:bookmarkEnd w:id="74"/>
      <w:r/>
      <w:bookmarkStart w:id="75" w:name="_Hlt26668975"/>
      <w:r/>
      <w:bookmarkEnd w:id="75"/>
      <w:r/>
      <w:bookmarkStart w:id="76" w:name="_Hlt26954838"/>
      <w:r/>
      <w:bookmarkEnd w:id="76"/>
      <w:r/>
      <w:bookmarkStart w:id="77" w:name="_Toc49090509"/>
      <w:r/>
      <w:bookmarkStart w:id="78" w:name="_Toc14577357"/>
      <w:r/>
      <w:bookmarkStart w:id="79" w:name="_Toc513029219"/>
      <w:r/>
      <w:bookmarkStart w:id="80" w:name="_Toc513029216"/>
      <w:r/>
      <w:bookmarkStart w:id="81" w:name="_Toc14577354"/>
      <w:r/>
      <w:bookmarkStart w:id="82" w:name="_Toc49090507"/>
      <w:r>
        <w:rPr>
          <w:rFonts w:hint="eastAsia" w:ascii="方正仿宋_GBK" w:hAnsi="方正仿宋_GBK" w:eastAsia="方正仿宋_GBK" w:cs="方正仿宋_GBK"/>
          <w:bCs/>
          <w:sz w:val="28"/>
          <w:szCs w:val="28"/>
        </w:rPr>
        <w:t xml:space="preserve">10.证明投标人及投标标的符合招标文件规定的文件</w:t>
      </w:r>
      <w:bookmarkEnd w:id="77"/>
      <w:r/>
      <w:bookmarkEnd w:id="78"/>
      <w:r/>
      <w:bookmarkEnd w:id="79"/>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End w:id="80"/>
      <w:r/>
      <w:bookmarkEnd w:id="81"/>
      <w:r/>
      <w:bookmarkEnd w:id="82"/>
      <w:r/>
      <w:bookmarkStart w:id="83" w:name="_Toc14577355"/>
      <w:r/>
      <w:bookmarkStart w:id="84" w:name="_Toc49090508"/>
      <w:r>
        <w:rPr>
          <w:rFonts w:hint="eastAsia" w:ascii="方正仿宋_GBK" w:hAnsi="方正仿宋_GBK" w:eastAsia="方正仿宋_GBK" w:cs="方正仿宋_GBK"/>
          <w:bCs/>
          <w:sz w:val="28"/>
          <w:szCs w:val="28"/>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11.投标分项报价</w:t>
      </w:r>
      <w:bookmarkEnd w:id="83"/>
      <w:r/>
      <w:bookmarkStart w:id="85" w:name="_Hlt26670373"/>
      <w:r/>
      <w:bookmarkEnd w:id="85"/>
      <w:r>
        <w:rPr>
          <w:rFonts w:hint="eastAsia" w:ascii="方正仿宋_GBK" w:hAnsi="方正仿宋_GBK" w:eastAsia="方正仿宋_GBK" w:cs="方正仿宋_GBK"/>
          <w:bCs/>
          <w:sz w:val="28"/>
          <w:szCs w:val="28"/>
        </w:rPr>
        <w:t xml:space="preserve">表</w:t>
      </w:r>
      <w:bookmarkEnd w:id="84"/>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投</w:t>
      </w:r>
      <w:bookmarkStart w:id="86" w:name="_Hlt26954840"/>
      <w:r/>
      <w:bookmarkEnd w:id="86"/>
      <w:r>
        <w:rPr>
          <w:rFonts w:hint="eastAsia" w:ascii="方正仿宋_GBK" w:hAnsi="方正仿宋_GBK" w:eastAsia="方正仿宋_GBK" w:cs="方正仿宋_GBK"/>
          <w:bCs/>
          <w:sz w:val="28"/>
          <w:szCs w:val="28"/>
        </w:rPr>
        <w:t xml:space="preserve">标人按照招标文件规定格式填报投标分项报价表</w:t>
      </w:r>
      <w:bookmarkStart w:id="87" w:name="_Hlt26670399"/>
      <w:r/>
      <w:bookmarkEnd w:id="87"/>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11.2投标货币。投标文件中的单价和总价无特殊规定的采用人民币报价，以元为单位标注。招标文件中另有规定的按规定执行。</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88" w:name="_Hlt26954844"/>
      <w:r/>
      <w:bookmarkEnd w:id="88"/>
      <w:r/>
      <w:bookmarkStart w:id="89" w:name="_Hlt26954731"/>
      <w:r/>
      <w:bookmarkEnd w:id="89"/>
      <w:r/>
      <w:bookmarkStart w:id="90" w:name="_Hlt26670403"/>
      <w:r/>
      <w:bookmarkEnd w:id="90"/>
      <w:r/>
      <w:bookmarkStart w:id="91" w:name="_Hlt26670425"/>
      <w:r/>
      <w:bookmarkEnd w:id="91"/>
      <w:r/>
      <w:bookmarkStart w:id="92" w:name="_Hlt26670486"/>
      <w:r/>
      <w:bookmarkEnd w:id="92"/>
      <w:r/>
      <w:bookmarkStart w:id="93" w:name="_Hlt26954846"/>
      <w:r/>
      <w:bookmarkEnd w:id="93"/>
      <w:r/>
      <w:bookmarkStart w:id="94" w:name="_Hlt26954848"/>
      <w:r/>
      <w:bookmarkEnd w:id="94"/>
      <w:r/>
      <w:bookmarkStart w:id="95" w:name="_Hlt26954842"/>
      <w:r/>
      <w:bookmarkEnd w:id="95"/>
      <w:r/>
      <w:bookmarkStart w:id="96" w:name="_Hlt26670482"/>
      <w:r/>
      <w:bookmarkEnd w:id="96"/>
      <w:r/>
      <w:bookmarkStart w:id="97" w:name="_Hlt26668983"/>
      <w:r/>
      <w:bookmarkEnd w:id="97"/>
      <w:r>
        <w:rPr>
          <w:rFonts w:hint="eastAsia" w:ascii="方正仿宋_GBK" w:hAnsi="方正仿宋_GBK" w:eastAsia="方正仿宋_GBK" w:cs="方正仿宋_GBK"/>
          <w:bCs/>
          <w:sz w:val="28"/>
          <w:szCs w:val="28"/>
        </w:rPr>
        <w:t xml:space="preserve">12.技术要求响应及偏离表、商务要求响应及偏离表</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12.1 投标人需对招标文件中的技术要求与商务要求逐项作出响应或偏离，并说明原因</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98" w:name="_Toc49090510"/>
      <w:r/>
      <w:bookmarkStart w:id="99" w:name="_Toc14577359"/>
      <w:r>
        <w:rPr>
          <w:rFonts w:hint="eastAsia" w:ascii="方正仿宋_GBK" w:hAnsi="方正仿宋_GBK" w:eastAsia="方正仿宋_GBK" w:cs="方正仿宋_GBK"/>
          <w:bCs/>
          <w:sz w:val="28"/>
          <w:szCs w:val="28"/>
        </w:rPr>
        <w:t xml:space="preserve">12.2 投标人需按照招标文件要求，在投标文件中提供与技术要求和商务要求相关的证明材料。</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13.投标函和开标一览表</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 投标人应按照招标文件中提供的格式完整、正确填写投标函、开标一览表。</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 对于采用货币报价的项目，开标一览表中的投标总报价应与投标分项报价表中的投标总报价一致，如不一致，不作为无效投标处理，但评标时按开标一览表中价格为准。</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End w:id="98"/>
      <w:r/>
      <w:bookmarkEnd w:id="99"/>
      <w:r/>
      <w:bookmarkStart w:id="100" w:name="_Hlt26954734"/>
      <w:r/>
      <w:bookmarkEnd w:id="100"/>
      <w:r/>
      <w:bookmarkStart w:id="101" w:name="_Hlt26954850"/>
      <w:r/>
      <w:bookmarkEnd w:id="101"/>
      <w:r/>
      <w:bookmarkStart w:id="102" w:name="_Hlt26670489"/>
      <w:r/>
      <w:bookmarkEnd w:id="102"/>
      <w:r/>
      <w:bookmarkStart w:id="103" w:name="_Toc49090511"/>
      <w:r/>
      <w:bookmarkStart w:id="104" w:name="_Toc14577360"/>
      <w:r>
        <w:rPr>
          <w:rFonts w:hint="eastAsia" w:ascii="方正仿宋_GBK" w:hAnsi="方正仿宋_GBK" w:eastAsia="方正仿宋_GBK" w:cs="方正仿宋_GBK"/>
          <w:bCs/>
          <w:sz w:val="28"/>
          <w:szCs w:val="28"/>
        </w:rPr>
        <w:t xml:space="preserve">14.投标有效期</w:t>
      </w:r>
      <w:bookmarkEnd w:id="103"/>
      <w:r/>
      <w:bookmarkEnd w:id="104"/>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投标有效期为采购中心规定的开标之日后六十（60）天。投标有效期比规定短的将被视为未实质性响应招标文件而予以拒绝。</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15.投标有效期的延长</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 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rPr>
          <w:rFonts w:hint="eastAsia" w:ascii="方正仿宋_GBK" w:hAnsi="方正仿宋_GBK" w:eastAsia="方正仿宋_GBK" w:cs="方正仿宋_GBK"/>
          <w:bCs/>
          <w:sz w:val="28"/>
          <w:szCs w:val="28"/>
        </w:rPr>
      </w:r>
      <w:r/>
    </w:p>
    <w:p>
      <w:pPr>
        <w:pStyle w:val="734"/>
        <w:jc w:val="left"/>
        <w:keepNext/>
        <w:spacing w:line="400" w:lineRule="exact"/>
        <w:rPr>
          <w:rFonts w:hint="eastAsia" w:ascii="方正黑体_GBK" w:hAnsi="方正黑体_GBK" w:eastAsia="方正黑体_GBK" w:cs="方正黑体_GBK"/>
          <w:sz w:val="28"/>
          <w:szCs w:val="28"/>
        </w:rPr>
        <w:outlineLvl w:val="0"/>
      </w:pPr>
      <w:r/>
      <w:bookmarkStart w:id="105" w:name="_Hlt26954852"/>
      <w:r/>
      <w:bookmarkEnd w:id="105"/>
      <w:r/>
      <w:bookmarkStart w:id="106" w:name="_Hlt26954739"/>
      <w:r/>
      <w:bookmarkEnd w:id="106"/>
      <w:r/>
      <w:bookmarkStart w:id="107" w:name="_Toc240379782"/>
      <w:r/>
      <w:bookmarkStart w:id="108" w:name="_Toc120614217"/>
      <w:r/>
      <w:bookmarkStart w:id="109" w:name="_Toc513029224"/>
      <w:r/>
      <w:bookmarkStart w:id="110" w:name="_Toc20823296"/>
      <w:r/>
      <w:bookmarkStart w:id="111" w:name="_Toc16938540"/>
      <w:r>
        <w:rPr>
          <w:rFonts w:hint="eastAsia" w:ascii="方正黑体_GBK" w:hAnsi="方正黑体_GBK" w:eastAsia="方正黑体_GBK" w:cs="方正黑体_GBK"/>
          <w:sz w:val="28"/>
          <w:szCs w:val="28"/>
        </w:rPr>
        <w:t xml:space="preserve">四、投标文件的递交</w:t>
      </w:r>
      <w:bookmarkEnd w:id="107"/>
      <w:r/>
      <w:bookmarkEnd w:id="108"/>
      <w:r/>
      <w:bookmarkEnd w:id="109"/>
      <w:r/>
      <w:bookmarkEnd w:id="110"/>
      <w:r/>
      <w:bookmarkEnd w:id="111"/>
      <w:r>
        <w:rPr>
          <w:rFonts w:hint="eastAsia" w:ascii="方正黑体_GBK" w:hAnsi="方正黑体_GBK" w:eastAsia="方正黑体_GBK" w:cs="方正黑体_GBK"/>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2" w:name="_Toc20823297"/>
      <w:r/>
      <w:bookmarkStart w:id="113" w:name="_Toc16938541"/>
      <w:r/>
      <w:bookmarkStart w:id="114" w:name="_Toc462564084"/>
      <w:r/>
      <w:bookmarkStart w:id="115" w:name="_Toc513029225"/>
      <w:r>
        <w:rPr>
          <w:rFonts w:hint="eastAsia" w:ascii="方正仿宋_GBK" w:hAnsi="方正仿宋_GBK" w:eastAsia="方正仿宋_GBK" w:cs="方正仿宋_GBK"/>
          <w:bCs/>
          <w:sz w:val="28"/>
          <w:szCs w:val="28"/>
        </w:rPr>
        <w:t xml:space="preserve">16.投标文件</w:t>
      </w:r>
      <w:bookmarkEnd w:id="112"/>
      <w:r/>
      <w:bookmarkEnd w:id="113"/>
      <w:r/>
      <w:bookmarkEnd w:id="114"/>
      <w:r/>
      <w:bookmarkEnd w:id="115"/>
      <w:r>
        <w:rPr>
          <w:rFonts w:hint="eastAsia" w:ascii="方正仿宋_GBK" w:hAnsi="方正仿宋_GBK" w:eastAsia="方正仿宋_GBK" w:cs="方正仿宋_GBK"/>
          <w:bCs/>
          <w:sz w:val="28"/>
          <w:szCs w:val="28"/>
        </w:rPr>
        <w:t xml:space="preserve">的递交</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 电子投标文件的递交</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16" w:name="_Toc16938542"/>
      <w:r/>
      <w:bookmarkStart w:id="117" w:name="_Toc513029226"/>
      <w:r/>
      <w:bookmarkStart w:id="118" w:name="_Toc20823298"/>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17.投标截止</w:t>
      </w:r>
      <w:bookmarkEnd w:id="116"/>
      <w:r/>
      <w:bookmarkEnd w:id="117"/>
      <w:r/>
      <w:bookmarkEnd w:id="118"/>
      <w:r>
        <w:rPr>
          <w:rFonts w:hint="eastAsia" w:ascii="方正仿宋_GBK" w:hAnsi="方正仿宋_GBK" w:eastAsia="方正仿宋_GBK" w:cs="方正仿宋_GBK"/>
          <w:bCs/>
          <w:sz w:val="28"/>
          <w:szCs w:val="28"/>
        </w:rPr>
        <w:t xml:space="preserve">时间</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 投标人上传电子</w:t>
      </w:r>
      <w:r>
        <w:rPr>
          <w:rFonts w:hint="eastAsia" w:ascii="方正仿宋_GBK" w:hAnsi="方正仿宋_GBK" w:eastAsia="方正仿宋_GBK" w:cs="方正仿宋_GBK"/>
          <w:bCs/>
          <w:sz w:val="28"/>
          <w:szCs w:val="28"/>
        </w:rPr>
        <w:t xml:space="preserve">投标文件的时间不得迟于招标</w:t>
      </w:r>
      <w:r>
        <w:rPr>
          <w:rFonts w:hint="eastAsia" w:ascii="方正仿宋_GBK" w:hAnsi="方正仿宋_GBK" w:eastAsia="方正仿宋_GBK" w:cs="方正仿宋_GBK"/>
          <w:bCs/>
          <w:sz w:val="28"/>
          <w:szCs w:val="28"/>
        </w:rPr>
        <w:t xml:space="preserve">公告中规定的投标截止时间。</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17.2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9" w:name="_Toc20823299"/>
      <w:r/>
      <w:bookmarkStart w:id="120" w:name="_Toc513029227"/>
      <w:r/>
      <w:bookmarkStart w:id="121" w:name="_Toc16938543"/>
      <w:r>
        <w:rPr>
          <w:rFonts w:hint="eastAsia" w:ascii="方正仿宋_GBK" w:hAnsi="方正仿宋_GBK" w:eastAsia="方正仿宋_GBK" w:cs="方正仿宋_GBK"/>
          <w:bCs/>
          <w:sz w:val="28"/>
          <w:szCs w:val="28"/>
        </w:rPr>
        <w:t xml:space="preserve">18.投标文件</w:t>
      </w:r>
      <w:bookmarkEnd w:id="119"/>
      <w:r/>
      <w:bookmarkEnd w:id="120"/>
      <w:r/>
      <w:bookmarkEnd w:id="121"/>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18.1采购中心拒绝接收在其规定的投标截止时间后上传的任何投标文件。</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2" w:name="_Toc513029228"/>
      <w:r/>
      <w:bookmarkStart w:id="123" w:name="_Toc16938544"/>
      <w:r/>
      <w:bookmarkStart w:id="124" w:name="_Toc20823300"/>
      <w:r>
        <w:rPr>
          <w:rFonts w:hint="eastAsia" w:ascii="方正仿宋_GBK" w:hAnsi="方正仿宋_GBK" w:eastAsia="方正仿宋_GBK" w:cs="方正仿宋_GBK"/>
          <w:bCs/>
          <w:sz w:val="28"/>
          <w:szCs w:val="28"/>
        </w:rPr>
        <w:t xml:space="preserve">19.投标文件的撤回和修改</w:t>
      </w:r>
      <w:bookmarkEnd w:id="122"/>
      <w:r/>
      <w:bookmarkEnd w:id="123"/>
      <w:r/>
      <w:bookmarkEnd w:id="124"/>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投标文件的撤回</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19.1.1 电子投标文件的撤回</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投标人可在投标截止时间前，撤回其电子投标文件，具体操作方法见《操作手册》。</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19.1.2 投标人撤回电子投标文件，则认为其不再参与本项目投标活动。</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19.2 投标文件的修改</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19.2.1投标人可在投标截止时间前，对其电子投标文件进行修改，具体操作方法见《操作手册》。</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19.2.2 在投标截止时间之后，投标人不得对其电子投标文件作任何修改。</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19.3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734"/>
        <w:jc w:val="left"/>
        <w:keepNext/>
        <w:spacing w:line="400" w:lineRule="exact"/>
        <w:rPr>
          <w:rFonts w:hint="eastAsia" w:ascii="方正黑体_GBK" w:hAnsi="方正黑体_GBK" w:eastAsia="方正黑体_GBK" w:cs="方正黑体_GBK"/>
          <w:sz w:val="28"/>
          <w:szCs w:val="28"/>
        </w:rPr>
        <w:outlineLvl w:val="0"/>
      </w:pPr>
      <w:r/>
      <w:bookmarkStart w:id="125" w:name="_Toc16938545"/>
      <w:r/>
      <w:bookmarkStart w:id="126" w:name="_Toc513029229"/>
      <w:r/>
      <w:bookmarkStart w:id="127" w:name="_Toc240379783"/>
      <w:r/>
      <w:bookmarkStart w:id="128" w:name="_Toc120614218"/>
      <w:r/>
      <w:bookmarkStart w:id="129" w:name="_Toc20823301"/>
      <w:r>
        <w:rPr>
          <w:rFonts w:hint="eastAsia" w:ascii="方正黑体_GBK" w:hAnsi="方正黑体_GBK" w:eastAsia="方正黑体_GBK" w:cs="方正黑体_GBK"/>
          <w:sz w:val="28"/>
          <w:szCs w:val="28"/>
        </w:rPr>
        <w:t xml:space="preserve">五、开标与评标</w:t>
      </w:r>
      <w:bookmarkEnd w:id="125"/>
      <w:r/>
      <w:bookmarkEnd w:id="126"/>
      <w:r/>
      <w:bookmarkEnd w:id="127"/>
      <w:r/>
      <w:bookmarkEnd w:id="128"/>
      <w:r/>
      <w:bookmarkEnd w:id="129"/>
      <w:r>
        <w:rPr>
          <w:rFonts w:hint="eastAsia" w:ascii="方正黑体_GBK" w:hAnsi="方正黑体_GBK" w:eastAsia="方正黑体_GBK" w:cs="方正黑体_GBK"/>
          <w:sz w:val="28"/>
          <w:szCs w:val="28"/>
        </w:rPr>
      </w:r>
      <w:r/>
    </w:p>
    <w:p>
      <w:pPr>
        <w:pStyle w:val="734"/>
        <w:ind w:firstLine="560"/>
        <w:spacing w:line="400" w:lineRule="exact"/>
        <w:rPr>
          <w:rFonts w:hint="eastAsia" w:ascii="方正仿宋_GBK" w:hAnsi="方正仿宋_GBK" w:eastAsia="方正仿宋_GBK" w:cs="方正仿宋_GBK"/>
          <w:sz w:val="28"/>
          <w:szCs w:val="28"/>
        </w:rPr>
      </w:pPr>
      <w:r/>
      <w:bookmarkStart w:id="130" w:name="_Toc20823302"/>
      <w:r/>
      <w:bookmarkStart w:id="131" w:name="_Toc16938546"/>
      <w:r/>
      <w:bookmarkStart w:id="132" w:name="_Toc513029230"/>
      <w:r>
        <w:rPr>
          <w:rFonts w:hint="eastAsia" w:ascii="方正仿宋_GBK" w:hAnsi="方正仿宋_GBK" w:eastAsia="方正仿宋_GBK" w:cs="方正仿宋_GBK"/>
          <w:sz w:val="28"/>
          <w:szCs w:val="28"/>
        </w:rPr>
        <w:t xml:space="preserve">20.开标</w:t>
      </w:r>
      <w:bookmarkEnd w:id="130"/>
      <w:r/>
      <w:bookmarkEnd w:id="131"/>
      <w:r/>
      <w:bookmarkEnd w:id="132"/>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w:t>
      </w:r>
      <w:r>
        <w:rPr>
          <w:rFonts w:hint="eastAsia" w:ascii="方正仿宋_GBK" w:hAnsi="方正仿宋_GBK" w:eastAsia="方正仿宋_GBK" w:cs="方正仿宋_GBK"/>
          <w:sz w:val="28"/>
          <w:szCs w:val="28"/>
        </w:rPr>
        <w:t xml:space="preserve">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bookmarkStart w:id="133" w:name="_Toc16938547"/>
      <w:r/>
      <w:bookmarkStart w:id="134" w:name="_Toc20823303"/>
      <w:r/>
      <w:bookmarkStart w:id="135" w:name="_Toc513029231"/>
      <w:r>
        <w:rPr>
          <w:rFonts w:hint="eastAsia" w:ascii="方正仿宋_GBK" w:hAnsi="方正仿宋_GBK" w:eastAsia="方正仿宋_GBK" w:cs="方正仿宋_GBK"/>
          <w:sz w:val="28"/>
          <w:szCs w:val="28"/>
        </w:rPr>
        <w:t xml:space="preserve">21.评标委员会</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评标委员会由采购人代表和有关技术、经济等方面的专家组成，且人员构成符合政府采购有关规定。</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21.3评标委员会独立工作，负责评审所有投标文件并确定中标侯选人。</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22.评标过程的保密与公正</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bookmarkEnd w:id="133"/>
      <w:r/>
      <w:bookmarkEnd w:id="134"/>
      <w:r/>
      <w:bookmarkEnd w:id="135"/>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w:t>
      </w:r>
      <w:r>
        <w:rPr>
          <w:rFonts w:hint="eastAsia" w:ascii="方正仿宋_GBK" w:hAnsi="方正仿宋_GBK" w:eastAsia="方正仿宋_GBK" w:cs="方正仿宋_GBK"/>
          <w:sz w:val="28"/>
          <w:szCs w:val="28"/>
        </w:rPr>
        <w:t xml:space="preserve">标原因，也</w:t>
      </w:r>
      <w:r>
        <w:rPr>
          <w:rFonts w:hint="eastAsia" w:ascii="方正仿宋_GBK" w:hAnsi="方正仿宋_GBK" w:eastAsia="方正仿宋_GBK" w:cs="方正仿宋_GBK"/>
          <w:sz w:val="28"/>
          <w:szCs w:val="28"/>
        </w:rPr>
        <w:t xml:space="preserve">不公布评标过程中的相关细节。</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bookmarkStart w:id="136" w:name="_Toc20823304"/>
      <w:r/>
      <w:bookmarkStart w:id="137" w:name="_Toc16938548"/>
      <w:r/>
      <w:bookmarkStart w:id="138" w:name="_Toc513029232"/>
      <w:r>
        <w:rPr>
          <w:rFonts w:hint="eastAsia" w:ascii="方正仿宋_GBK" w:hAnsi="方正仿宋_GBK" w:eastAsia="方正仿宋_GBK" w:cs="方正仿宋_GBK"/>
          <w:sz w:val="28"/>
          <w:szCs w:val="28"/>
        </w:rPr>
        <w:t xml:space="preserve">23.投标文件的澄清</w:t>
      </w:r>
      <w:bookmarkEnd w:id="136"/>
      <w:r/>
      <w:bookmarkEnd w:id="137"/>
      <w:r/>
      <w:bookmarkEnd w:id="138"/>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23.1评标期间，评标委员会对投标文件中含义不明确、同类问题表述不一致或者有明显文字和计算错误的内容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23.2需要供应商进行澄清、说明和补正的，评标委员会将通</w:t>
      </w:r>
      <w:r>
        <w:rPr>
          <w:rFonts w:hint="eastAsia" w:ascii="方正仿宋_GBK" w:hAnsi="方正仿宋_GBK" w:eastAsia="方正仿宋_GBK" w:cs="方正仿宋_GBK"/>
          <w:sz w:val="28"/>
          <w:szCs w:val="28"/>
        </w:rPr>
        <w:t xml:space="preserve">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接到评标委员会澄清、说明和补正要求的投标人如未按规定做出澄清、说明和补正，其风险由投标人自行承担。</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bookmarkStart w:id="139" w:name="_Toc20823305"/>
      <w:r/>
      <w:bookmarkStart w:id="140" w:name="_Toc513029233"/>
      <w:r/>
      <w:bookmarkStart w:id="141" w:name="_Toc16938549"/>
      <w:r>
        <w:rPr>
          <w:rFonts w:hint="eastAsia" w:ascii="方正仿宋_GBK" w:hAnsi="方正仿宋_GBK" w:eastAsia="方正仿宋_GBK" w:cs="方正仿宋_GBK"/>
          <w:sz w:val="28"/>
          <w:szCs w:val="28"/>
        </w:rPr>
        <w:t xml:space="preserve">24.对投标文件的初审</w:t>
      </w:r>
      <w:bookmarkEnd w:id="139"/>
      <w:r/>
      <w:bookmarkEnd w:id="140"/>
      <w:r/>
      <w:bookmarkEnd w:id="141"/>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24.1投标文件初审分为资格审查和符合性审查。</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24.1.1 资格审查：依据法律法规和招标文件的规定，由采购人对投标文件中的资格证明文件进行审查。资格审查的结论，采购人以书面形式向评</w:t>
      </w:r>
      <w:r>
        <w:rPr>
          <w:rFonts w:hint="eastAsia" w:ascii="方正仿宋_GBK" w:hAnsi="方正仿宋_GBK" w:eastAsia="方正仿宋_GBK" w:cs="方正仿宋_GBK"/>
          <w:sz w:val="28"/>
          <w:szCs w:val="28"/>
        </w:rPr>
        <w:t xml:space="preserve">标委员会进行反馈。</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采购人在进行资格性审查的同时，将在“信用中国”网站（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）查询投标人的信用记录，以确定投标人是否具备投标资格,查询结果留存并归档。</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所谓重大偏离或保留是指与招标文件规定的实质性要求存在负偏离，或者在实质上与招标文件不一致，而且限制了合同中买方和采购中心的权利或投标人的义务，纠</w:t>
      </w:r>
      <w:r>
        <w:rPr>
          <w:rFonts w:hint="eastAsia" w:ascii="方正仿宋_GBK" w:hAnsi="方正仿宋_GBK" w:eastAsia="方正仿宋_GBK" w:cs="方正仿宋_GBK"/>
          <w:sz w:val="28"/>
          <w:szCs w:val="28"/>
        </w:rPr>
        <w:t xml:space="preserve">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（1）投标文件中开标一览表内容与投标文件中相应内容不一致的，以开标一览表为准。</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（2）大写金额和小写金额不一致的，以大写金额为准。</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（3）单价金额小数点或者百分比有明显错位的，以开标一览表的总价为准，并修改单价。</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（4）总价金额与按单价汇总金额不一致的，以单价金额计算结果为准。</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同时出现两种以上错误的，按照前款规定的顺序修正。</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bookmarkStart w:id="142" w:name="_Toc20823306"/>
      <w:r/>
      <w:bookmarkStart w:id="143" w:name="_Toc16938550"/>
      <w:r/>
      <w:bookmarkStart w:id="144" w:name="_Toc513029234"/>
      <w:r>
        <w:rPr>
          <w:rFonts w:hint="eastAsia" w:ascii="方正仿宋_GBK" w:hAnsi="方正仿宋_GBK" w:eastAsia="方正仿宋_GBK" w:cs="方正仿宋_GBK"/>
          <w:sz w:val="28"/>
          <w:szCs w:val="28"/>
        </w:rPr>
        <w:t xml:space="preserve">24.6投标人在开、评标全过程中应</w:t>
      </w:r>
      <w:r>
        <w:rPr>
          <w:rFonts w:hint="eastAsia" w:ascii="方正仿宋_GBK" w:hAnsi="方正仿宋_GBK" w:eastAsia="方正仿宋_GBK" w:cs="方正仿宋_GBK"/>
          <w:sz w:val="28"/>
          <w:szCs w:val="28"/>
        </w:rPr>
        <w:t xml:space="preserve">保持通讯畅通，及时登录苏采云系统查阅、答复相关信息，并安排专人与采购中心及评标委员会联系。</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 异常低价投标审查</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24.7.1 评标过程中出现下列情形之一的，评标委员会应当启动异常低价投标审查程序：</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（3）投标报价低于采购项</w:t>
      </w:r>
      <w:r>
        <w:rPr>
          <w:rFonts w:hint="eastAsia" w:ascii="方正仿宋_GBK" w:hAnsi="方正仿宋_GBK" w:eastAsia="方正仿宋_GBK" w:cs="方正仿宋_GBK"/>
          <w:sz w:val="28"/>
          <w:szCs w:val="28"/>
        </w:rPr>
        <w:t xml:space="preserve">目最高限价45%的，即投标报价&lt;采购项目最高限价×45%；</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根据《关于推动解决政府采购异常低价问题的通知》（财库〔2026〕2号）规定，采购人可以结合具体项目实际情况，提高上述第（1）项至第（3）项中启动异常低价投标审查的数值标准，但是最高不得超过65%。项目经办人与采购人确认具体数值后，该备注删除)。</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24.7.2 评标委员会启动异常低价投标审查后，属于前述第（1）项至第（4）项情形的，应当要求相关供应商在评审现场合理的时间内</w:t>
      </w:r>
      <w:r>
        <w:rPr>
          <w:rFonts w:hint="eastAsia" w:ascii="方正仿宋_GBK" w:hAnsi="方正仿宋_GBK" w:eastAsia="方正仿宋_GBK" w:cs="方正仿宋_GBK"/>
          <w:sz w:val="28"/>
          <w:szCs w:val="28"/>
        </w:rPr>
        <w:t xml:space="preserve">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w:t>
      </w:r>
      <w:bookmarkEnd w:id="142"/>
      <w:r/>
      <w:bookmarkEnd w:id="143"/>
      <w:r/>
      <w:bookmarkEnd w:id="144"/>
      <w:r>
        <w:rPr>
          <w:rFonts w:hint="eastAsia" w:ascii="方正仿宋_GBK" w:hAnsi="方正仿宋_GBK" w:eastAsia="方正仿宋_GBK" w:cs="方正仿宋_GBK"/>
          <w:sz w:val="28"/>
          <w:szCs w:val="28"/>
        </w:rPr>
        <w:t xml:space="preserve">.无效投标条款和废标条款</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bookmarkStart w:id="145" w:name="_Toc513029235"/>
      <w:r/>
      <w:bookmarkStart w:id="146" w:name="_Toc20823307"/>
      <w:r/>
      <w:bookmarkStart w:id="147" w:name="_Toc16938551"/>
      <w:r>
        <w:rPr>
          <w:rFonts w:hint="eastAsia" w:ascii="方正仿宋_GBK" w:hAnsi="方正仿宋_GBK" w:eastAsia="方正仿宋_GBK" w:cs="方正仿宋_GBK"/>
          <w:sz w:val="28"/>
          <w:szCs w:val="28"/>
        </w:rPr>
        <w:t xml:space="preserve">25.1无效投标条款</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 投标人在苏采云系统规定的时间内未成功解密电子投标文件的。</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25.1.2 投标人未按照招标文件要求上传电子投标文件的。</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25.1.3 投标人同一采购包提交两个（含两个）以上不同的投标报价的。</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25.1.4投标人不具备招标文件中规定资格要求的。</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25.1.5投标人的报价超过了采购预算或最高限价的。</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25.1.6未通过符合性审查的。</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w:t>
      </w:r>
      <w:r>
        <w:rPr>
          <w:rFonts w:hint="eastAsia" w:ascii="方正仿宋_GBK" w:hAnsi="方正仿宋_GBK" w:eastAsia="方正仿宋_GBK" w:cs="方正仿宋_GBK"/>
          <w:bCs/>
          <w:sz w:val="28"/>
          <w:szCs w:val="28"/>
        </w:rPr>
        <w:t xml:space="preserve">的实质性要求的</w:t>
      </w:r>
      <w:r>
        <w:rPr>
          <w:rFonts w:hint="eastAsia" w:ascii="方正仿宋_GBK" w:hAnsi="方正仿宋_GBK" w:eastAsia="方正仿宋_GBK" w:cs="方正仿宋_GBK"/>
          <w:b/>
          <w:bCs/>
          <w:sz w:val="28"/>
          <w:szCs w:val="28"/>
        </w:rPr>
        <w:t xml:space="preserve">（本招标</w:t>
      </w:r>
      <w:r>
        <w:rPr>
          <w:rFonts w:hint="eastAsia" w:ascii="方正仿宋_GBK" w:hAnsi="方正仿宋_GBK" w:eastAsia="方正仿宋_GBK" w:cs="方正仿宋_GBK"/>
          <w:b/>
          <w:bCs/>
          <w:sz w:val="28"/>
          <w:szCs w:val="28"/>
        </w:rPr>
        <w:t xml:space="preserve">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i/>
          <w:sz w:val="28"/>
          <w:szCs w:val="28"/>
          <w:u w:val="single"/>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25.1.8 投标人被 “信用中国”网站（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25.1.9 投标文件含有采购人不能接受的附加条件的。</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25.1.11 投标文件未按照招标文件要求加盖CA电子公章的。</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25.1.12 投标人所提供的服务不符合招标文件中所列国家强制性标准的。</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25.1.13专门面向中小微型企业采购的采购项目采购包，供应商未提供本项目所投采购包提供服务的人员均为依照《中华人民共和国劳动合同法》订立劳动合同的从业人员的书面声明（书面声明格式见招标文件第六章附件14）</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25.1.14其他法律、法规及本招标文件规定的属无效投标的情形。</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25.2废标条款</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25.2.1符合专业条件的供应商或者对招标文件作实质响应的供应商不足三家的。</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25.2.2出现影响采购公</w:t>
      </w:r>
      <w:r>
        <w:rPr>
          <w:rFonts w:hint="eastAsia" w:ascii="方正仿宋_GBK" w:hAnsi="方正仿宋_GBK" w:eastAsia="方正仿宋_GBK" w:cs="方正仿宋_GBK"/>
          <w:sz w:val="28"/>
          <w:szCs w:val="28"/>
        </w:rPr>
        <w:t xml:space="preserve">正的违法、违规行为的。</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25.2.3因重大变故，采购任务取消的。</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25.2.4评标委员会认定招标文件存在歧义、重大缺陷导致评审工作无法进行。</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25.2.5 因苏采云系统故障原因造成开标不成功的。</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 投标截止时间结束后参加投标的供应商不足三家的处理：</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8"/>
          <w:szCs w:val="28"/>
        </w:rPr>
      </w:r>
      <w:r/>
    </w:p>
    <w:p>
      <w:pPr>
        <w:pStyle w:val="734"/>
        <w:jc w:val="left"/>
        <w:keepNext/>
        <w:spacing w:line="400" w:lineRule="exact"/>
        <w:rPr>
          <w:rFonts w:hint="eastAsia" w:ascii="方正黑体_GBK" w:hAnsi="方正黑体_GBK" w:eastAsia="方正黑体_GBK" w:cs="方正黑体_GBK"/>
          <w:sz w:val="28"/>
          <w:szCs w:val="28"/>
        </w:rPr>
        <w:outlineLvl w:val="0"/>
      </w:pPr>
      <w:r/>
      <w:bookmarkStart w:id="148" w:name="_Toc120614219"/>
      <w:r/>
      <w:bookmarkStart w:id="149" w:name="_Toc240379784"/>
      <w:r>
        <w:rPr>
          <w:rFonts w:hint="eastAsia" w:ascii="方正黑体_GBK" w:hAnsi="方正黑体_GBK" w:eastAsia="方正黑体_GBK" w:cs="方正黑体_GBK"/>
          <w:sz w:val="28"/>
          <w:szCs w:val="28"/>
        </w:rPr>
        <w:t xml:space="preserve">六、</w:t>
      </w:r>
      <w:bookmarkEnd w:id="145"/>
      <w:r/>
      <w:bookmarkEnd w:id="146"/>
      <w:r/>
      <w:bookmarkEnd w:id="147"/>
      <w:r>
        <w:rPr>
          <w:rFonts w:hint="eastAsia" w:ascii="方正黑体_GBK" w:hAnsi="方正黑体_GBK" w:eastAsia="方正黑体_GBK" w:cs="方正黑体_GBK"/>
          <w:sz w:val="28"/>
          <w:szCs w:val="28"/>
        </w:rPr>
        <w:t xml:space="preserve">定标</w:t>
      </w:r>
      <w:bookmarkEnd w:id="148"/>
      <w:r/>
      <w:bookmarkEnd w:id="149"/>
      <w:r>
        <w:rPr>
          <w:rFonts w:hint="eastAsia" w:ascii="方正黑体_GBK" w:hAnsi="方正黑体_GBK" w:eastAsia="方正黑体_GBK" w:cs="方正黑体_GBK"/>
          <w:sz w:val="28"/>
          <w:szCs w:val="28"/>
        </w:rPr>
      </w:r>
      <w:r/>
    </w:p>
    <w:p>
      <w:pPr>
        <w:pStyle w:val="734"/>
        <w:ind w:firstLine="560"/>
        <w:spacing w:line="400" w:lineRule="exact"/>
        <w:rPr>
          <w:rFonts w:hint="eastAsia" w:ascii="方正仿宋_GBK" w:hAnsi="方正仿宋_GBK" w:eastAsia="方正仿宋_GBK" w:cs="方正仿宋_GBK"/>
          <w:sz w:val="28"/>
          <w:szCs w:val="28"/>
        </w:rPr>
      </w:pPr>
      <w:r/>
      <w:bookmarkStart w:id="150" w:name="_Toc513029238"/>
      <w:r/>
      <w:bookmarkStart w:id="151" w:name="_Toc20823310"/>
      <w:r/>
      <w:bookmarkStart w:id="152" w:name="_Toc16938554"/>
      <w:r>
        <w:rPr>
          <w:rFonts w:hint="eastAsia" w:ascii="方正仿宋_GBK" w:hAnsi="方正仿宋_GBK" w:eastAsia="方正仿宋_GBK" w:cs="方正仿宋_GBK"/>
          <w:sz w:val="28"/>
          <w:szCs w:val="28"/>
        </w:rPr>
        <w:t xml:space="preserve">26</w:t>
      </w:r>
      <w:bookmarkEnd w:id="150"/>
      <w:r>
        <w:rPr>
          <w:rFonts w:hint="eastAsia" w:ascii="方正仿宋_GBK" w:hAnsi="方正仿宋_GBK" w:eastAsia="方正仿宋_GBK" w:cs="方正仿宋_GBK"/>
          <w:sz w:val="28"/>
          <w:szCs w:val="28"/>
        </w:rPr>
        <w:t xml:space="preserve">.确定</w:t>
      </w:r>
      <w:bookmarkEnd w:id="151"/>
      <w:r/>
      <w:bookmarkEnd w:id="152"/>
      <w:r>
        <w:rPr>
          <w:rFonts w:hint="eastAsia" w:ascii="方正仿宋_GBK" w:hAnsi="方正仿宋_GBK" w:eastAsia="方正仿宋_GBK" w:cs="方正仿宋_GBK"/>
          <w:sz w:val="28"/>
          <w:szCs w:val="28"/>
        </w:rPr>
        <w:t xml:space="preserve">中标单位</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26.1中标候选人的选取原则和数量见招标文件第五章规定。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26.2采购人应根据评标委员会推荐的中标候选人确定中标供应商。</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 采购中心将在“江苏政府采购网”发布中标公告，公告期限为1个工作日。</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 若有充分证据证明，中标供应商出现下列情况之一的，一经查实，将被取消中标资格：</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26.4.1提供虚假材料谋取中标的。</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26.4.2向采购人、采购中心行贿或者提供其他不正当利益的。</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26.4.3属于本文件规定的无效条件，但在评标过程中又未被评标委员会发现的。</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26.4.4与采购人或者其他供应商恶意串通的。</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26.4.5采取不正当手段诋毁、排挤其他供应商的。</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bookmarkStart w:id="153" w:name="_Toc200451960"/>
      <w:r>
        <w:rPr>
          <w:rFonts w:hint="eastAsia" w:ascii="方正仿宋_GBK" w:hAnsi="方正仿宋_GBK" w:eastAsia="方正仿宋_GBK" w:cs="方正仿宋_GBK"/>
          <w:sz w:val="28"/>
          <w:szCs w:val="28"/>
        </w:rPr>
        <w:t xml:space="preserve">26.5有下列情形之一的，视为投</w:t>
      </w:r>
      <w:r>
        <w:rPr>
          <w:rFonts w:hint="eastAsia" w:ascii="方正仿宋_GBK" w:hAnsi="方正仿宋_GBK" w:eastAsia="方正仿宋_GBK" w:cs="方正仿宋_GBK"/>
          <w:sz w:val="28"/>
          <w:szCs w:val="28"/>
        </w:rPr>
        <w:t xml:space="preserve">标人串通投标，投标无效：</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26.5.1不同投标人的投标文件由同一单位或者个人编制。</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26.5.2不同投标人委托同一单位或者个人办理投标事宜。</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26.5.3 不同投标人的投标文件载明的项目管理成员或者联系人员为同一人。</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26.5.4不同投标人的投标文件异常一致或者投标报价呈规律性差异。</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27.质疑处理</w:t>
      </w:r>
      <w:bookmarkEnd w:id="153"/>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27.2供应商认为采购文件、采购过程和采购结果使自己的权益受到损害的，可以在知道或应</w:t>
      </w:r>
      <w:r>
        <w:rPr>
          <w:rFonts w:hint="eastAsia" w:ascii="方正仿宋_GBK" w:hAnsi="方正仿宋_GBK" w:eastAsia="方正仿宋_GBK" w:cs="方正仿宋_GBK"/>
          <w:sz w:val="28"/>
          <w:szCs w:val="28"/>
        </w:rPr>
        <w:t xml:space="preserve">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27.2.2对采购过程提出质疑的，为各采购程序环节结束之日；</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27.2.3对中标或者成交结果提出质疑的，为中标或者成交结果公告期限届满之日。</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w:t>
      </w:r>
      <w:r>
        <w:rPr>
          <w:rFonts w:hint="eastAsia" w:ascii="方正仿宋_GBK" w:hAnsi="方正仿宋_GBK" w:eastAsia="方正仿宋_GBK" w:cs="方正仿宋_GBK"/>
          <w:sz w:val="28"/>
          <w:szCs w:val="28"/>
        </w:rPr>
        <w:t xml:space="preserve">对供应商第一次质疑作出答复。</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w:t>
      </w:r>
      <w:r>
        <w:rPr>
          <w:rFonts w:hint="eastAsia" w:ascii="方正仿宋_GBK" w:hAnsi="方正仿宋_GBK" w:eastAsia="方正仿宋_GBK" w:cs="方正仿宋_GBK"/>
          <w:sz w:val="28"/>
          <w:szCs w:val="28"/>
        </w:rPr>
        <w:t xml:space="preserve">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采购人质疑接收人及联系方式见招标文件第一章。</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 以下情形的质疑不予受理</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27.5.1 内容不符合《政府采购质疑和投诉办法》第十二条规定的质疑。</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27.5.2 超出政府采购法定期限的质疑。</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27.5.3 以传真、电子邮件等</w:t>
      </w:r>
      <w:r>
        <w:rPr>
          <w:rFonts w:hint="eastAsia" w:ascii="方正仿宋_GBK" w:hAnsi="方正仿宋_GBK" w:eastAsia="方正仿宋_GBK" w:cs="方正仿宋_GBK"/>
          <w:sz w:val="28"/>
          <w:szCs w:val="28"/>
        </w:rPr>
        <w:t xml:space="preserve">方式递交的非原件形式的</w:t>
      </w:r>
      <w:r>
        <w:rPr>
          <w:rFonts w:hint="eastAsia" w:ascii="方正仿宋_GBK" w:hAnsi="方正仿宋_GBK" w:eastAsia="方正仿宋_GBK" w:cs="方正仿宋_GBK"/>
          <w:sz w:val="28"/>
          <w:szCs w:val="28"/>
        </w:rPr>
        <w:t xml:space="preserve">质疑。</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27.5.4 未参加投标活动的供应商或在投标活动中自身权益未受到损害的供应商所提出的质疑。</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28.中标通知书</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28.l 中标结果确定后，采购中心将向中标供应商发出中标通知书。请中标供应商在中标结果公</w:t>
      </w:r>
      <w:r>
        <w:rPr>
          <w:rFonts w:hint="eastAsia" w:ascii="方正仿宋_GBK" w:hAnsi="方正仿宋_GBK" w:eastAsia="方正仿宋_GBK" w:cs="方正仿宋_GBK"/>
          <w:sz w:val="28"/>
          <w:szCs w:val="28"/>
        </w:rPr>
        <w:t xml:space="preserve">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rPr>
      </w:r>
      <w:r/>
    </w:p>
    <w:p>
      <w:pPr>
        <w:pStyle w:val="734"/>
        <w:jc w:val="left"/>
        <w:keepNext/>
        <w:spacing w:line="400" w:lineRule="exact"/>
        <w:rPr>
          <w:rFonts w:hint="eastAsia" w:ascii="方正黑体_GBK" w:hAnsi="方正黑体_GBK" w:eastAsia="方正黑体_GBK" w:cs="方正黑体_GBK"/>
          <w:sz w:val="28"/>
          <w:szCs w:val="28"/>
        </w:rPr>
        <w:outlineLvl w:val="0"/>
      </w:pPr>
      <w:r/>
      <w:bookmarkStart w:id="154" w:name="_Toc120614220"/>
      <w:r/>
      <w:bookmarkStart w:id="155" w:name="_Toc240379785"/>
      <w:r/>
      <w:bookmarkStart w:id="156" w:name="_Toc20823308"/>
      <w:r/>
      <w:bookmarkStart w:id="157" w:name="_Toc513029236"/>
      <w:r/>
      <w:bookmarkStart w:id="158" w:name="_Toc16938552"/>
      <w:r>
        <w:rPr>
          <w:rFonts w:hint="eastAsia" w:ascii="方正黑体_GBK" w:hAnsi="方正黑体_GBK" w:eastAsia="方正黑体_GBK" w:cs="方正黑体_GBK"/>
          <w:sz w:val="28"/>
          <w:szCs w:val="28"/>
        </w:rPr>
        <w:t xml:space="preserve">七、授予合同</w:t>
      </w:r>
      <w:bookmarkEnd w:id="154"/>
      <w:r/>
      <w:bookmarkEnd w:id="155"/>
      <w:r>
        <w:rPr>
          <w:rFonts w:hint="eastAsia" w:ascii="方正黑体_GBK" w:hAnsi="方正黑体_GBK" w:eastAsia="方正黑体_GBK" w:cs="方正黑体_GBK"/>
          <w:sz w:val="28"/>
          <w:szCs w:val="28"/>
        </w:rPr>
      </w:r>
      <w:r/>
    </w:p>
    <w:p>
      <w:pPr>
        <w:pStyle w:val="734"/>
        <w:ind w:firstLine="560"/>
        <w:spacing w:line="400" w:lineRule="exact"/>
        <w:rPr>
          <w:rFonts w:hint="eastAsia" w:ascii="方正仿宋_GBK" w:hAnsi="方正仿宋_GBK" w:eastAsia="方正仿宋_GBK" w:cs="方正仿宋_GBK"/>
          <w:sz w:val="28"/>
          <w:szCs w:val="28"/>
        </w:rPr>
      </w:pPr>
      <w:r/>
      <w:bookmarkEnd w:id="156"/>
      <w:r/>
      <w:bookmarkEnd w:id="157"/>
      <w:r/>
      <w:bookmarkEnd w:id="158"/>
      <w:r/>
      <w:bookmarkStart w:id="159" w:name="_Toc20823309"/>
      <w:r/>
      <w:bookmarkStart w:id="160" w:name="_Toc16938553"/>
      <w:r/>
      <w:bookmarkStart w:id="161" w:name="_Toc513029237"/>
      <w:r>
        <w:rPr>
          <w:rFonts w:hint="eastAsia" w:ascii="方正仿宋_GBK" w:hAnsi="方正仿宋_GBK" w:eastAsia="方正仿宋_GBK" w:cs="方正仿宋_GBK"/>
          <w:sz w:val="28"/>
          <w:szCs w:val="28"/>
        </w:rPr>
        <w:t xml:space="preserve">29.签订合同</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29.l中标供应商应当在中标通知书发出之日起三十日内，按照招标文件确定的事项与采购人</w:t>
      </w:r>
      <w:r>
        <w:rPr>
          <w:rFonts w:hint="eastAsia" w:ascii="方正仿宋_GBK" w:hAnsi="方正仿宋_GBK" w:eastAsia="方正仿宋_GBK" w:cs="方正仿宋_GBK"/>
          <w:sz w:val="28"/>
          <w:szCs w:val="28"/>
        </w:rPr>
        <w:t xml:space="preserve">签订政府采购合同。</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29.2 招标文件、中标供应商的投标文件及招标过程中有关澄清、承诺文件均应作为合同附件。</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30.服务（包含与服务相关的货物）的追加</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bookmarkEnd w:id="159"/>
      <w:r/>
      <w:bookmarkEnd w:id="160"/>
      <w:r/>
      <w:bookmarkEnd w:id="161"/>
      <w:r/>
      <w:bookmarkStart w:id="162" w:name="_Toc20823314"/>
      <w:r/>
      <w:bookmarkStart w:id="163" w:name="_Toc513029242"/>
      <w:r/>
      <w:bookmarkStart w:id="164" w:name="_Toc479757207"/>
      <w:r/>
      <w:bookmarkStart w:id="165" w:name="_Toc16938558"/>
      <w:r/>
      <w:bookmarkStart w:id="166" w:name="_Toc120614221"/>
      <w:r>
        <w:rPr>
          <w:rFonts w:hint="eastAsia" w:ascii="方正仿宋_GBK" w:hAnsi="方正仿宋_GBK" w:eastAsia="方正仿宋_GBK" w:cs="方正仿宋_GBK"/>
          <w:sz w:val="28"/>
          <w:szCs w:val="28"/>
        </w:rPr>
        <w:t xml:space="preserve">31.政府采购履约资金扶持政策</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rPr>
      </w:r>
      <w:r/>
    </w:p>
    <w:p>
      <w:pPr>
        <w:pStyle w:val="734"/>
        <w:ind w:firstLine="560"/>
        <w:spacing w:line="400" w:lineRule="exact"/>
        <w:rPr>
          <w:rFonts w:hint="eastAsia" w:ascii="宋体" w:hAnsi="宋体"/>
          <w:bCs/>
          <w:sz w:val="24"/>
        </w:rPr>
      </w:pPr>
      <w:r>
        <w:rPr>
          <w:rFonts w:hint="eastAsia" w:ascii="方正仿宋_GBK" w:hAnsi="方正仿宋_GBK" w:eastAsia="方正仿宋_GBK" w:cs="方正仿宋_GBK"/>
          <w:sz w:val="28"/>
          <w:szCs w:val="28"/>
        </w:rPr>
        <w:br w:type="page" w:clear="all"/>
      </w:r>
      <w:r>
        <w:rPr>
          <w:rFonts w:hint="eastAsia" w:ascii="宋体" w:hAnsi="宋体"/>
          <w:bCs/>
          <w:sz w:val="24"/>
        </w:rPr>
      </w:r>
      <w:r/>
    </w:p>
    <w:p>
      <w:pPr>
        <w:pStyle w:val="734"/>
        <w:jc w:val="center"/>
        <w:keepNext/>
        <w:spacing w:line="360" w:lineRule="auto"/>
        <w:rPr>
          <w:rFonts w:hint="eastAsia" w:ascii="方正黑体_GBK" w:hAnsi="方正黑体_GBK" w:eastAsia="方正黑体_GBK" w:cs="方正黑体_GBK"/>
          <w:sz w:val="32"/>
          <w:szCs w:val="32"/>
        </w:rPr>
        <w:outlineLvl w:val="0"/>
      </w:pPr>
      <w:r/>
      <w:bookmarkStart w:id="167" w:name="_Toc240379786"/>
      <w:r>
        <w:rPr>
          <w:rFonts w:hint="eastAsia" w:ascii="方正黑体_GBK" w:hAnsi="方正黑体_GBK" w:eastAsia="方正黑体_GBK" w:cs="方正黑体_GBK"/>
          <w:sz w:val="32"/>
          <w:szCs w:val="32"/>
        </w:rPr>
        <w:t xml:space="preserve">第三章  合同</w:t>
      </w:r>
      <w:bookmarkEnd w:id="162"/>
      <w:r/>
      <w:bookmarkEnd w:id="163"/>
      <w:r/>
      <w:bookmarkEnd w:id="164"/>
      <w:r/>
      <w:bookmarkEnd w:id="165"/>
      <w:r/>
      <w:bookmarkEnd w:id="166"/>
      <w:r>
        <w:rPr>
          <w:rFonts w:hint="eastAsia" w:ascii="方正黑体_GBK" w:hAnsi="方正黑体_GBK" w:eastAsia="方正黑体_GBK" w:cs="方正黑体_GBK"/>
          <w:sz w:val="32"/>
          <w:szCs w:val="32"/>
        </w:rPr>
        <w:t xml:space="preserve">文本</w:t>
      </w:r>
      <w:bookmarkEnd w:id="167"/>
      <w:r>
        <w:rPr>
          <w:rFonts w:hint="eastAsia" w:ascii="方正黑体_GBK" w:hAnsi="方正黑体_GBK" w:eastAsia="方正黑体_GBK" w:cs="方正黑体_GBK"/>
          <w:sz w:val="32"/>
          <w:szCs w:val="32"/>
        </w:rPr>
      </w:r>
      <w:r/>
    </w:p>
    <w:p>
      <w:pPr>
        <w:pStyle w:val="734"/>
        <w:ind w:firstLine="560"/>
        <w:spacing w:line="400" w:lineRule="exact"/>
        <w:rPr>
          <w:rFonts w:hint="eastAsia" w:ascii="方正仿宋_GBK" w:hAnsi="方正仿宋_GBK" w:eastAsia="方正仿宋_GBK" w:cs="方正仿宋_GBK"/>
          <w:bCs/>
          <w:sz w:val="28"/>
          <w:szCs w:val="28"/>
        </w:rPr>
      </w:pPr>
      <w:r/>
      <w:bookmarkStart w:id="168" w:name="_Toc513029243"/>
      <w:r/>
      <w:bookmarkStart w:id="169" w:name="_Toc20823315"/>
      <w:r/>
      <w:bookmarkStart w:id="170" w:name="_Toc16938559"/>
      <w:r>
        <w:rPr>
          <w:rFonts w:hint="eastAsia" w:ascii="方正仿宋_GBK" w:hAnsi="方正仿宋_GBK" w:eastAsia="方正仿宋_GBK" w:cs="方正仿宋_GBK"/>
          <w:bCs/>
          <w:sz w:val="28"/>
          <w:szCs w:val="28"/>
        </w:rPr>
      </w:r>
      <w:r/>
    </w:p>
    <w:p>
      <w:pPr>
        <w:pStyle w:val="766"/>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r>
      <w:r/>
    </w:p>
    <w:p>
      <w:pPr>
        <w:pStyle w:val="766"/>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rPr>
          <w:rFonts w:hint="eastAsia" w:ascii="方正黑体_GBK" w:hAnsi="方正黑体_GBK" w:eastAsia="方正黑体_GBK" w:cs="方正黑体_GBK"/>
          <w:spacing w:val="-20"/>
        </w:rPr>
      </w:r>
      <w:r/>
    </w:p>
    <w:p>
      <w:pPr>
        <w:pStyle w:val="73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eastAsia="方正仿宋_GBK"/>
          <w:sz w:val="28"/>
          <w:szCs w:val="28"/>
        </w:rPr>
        <w:t xml:space="preserve">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3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3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r>
      <w:r/>
    </w:p>
    <w:p>
      <w:pPr>
        <w:pStyle w:val="77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77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rPr>
          <w:rFonts w:hint="eastAsia" w:ascii="方正仿宋_GBK" w:hAnsi="方正仿宋_GBK" w:eastAsia="方正仿宋_GBK" w:cs="方正仿宋_GBK"/>
          <w:sz w:val="28"/>
          <w:szCs w:val="28"/>
        </w:rPr>
      </w:r>
      <w:r/>
    </w:p>
    <w:p>
      <w:pPr>
        <w:pStyle w:val="773"/>
        <w:ind w:firstLine="560"/>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w:t>
      </w:r>
      <w:r>
        <w:rPr>
          <w:rFonts w:hint="eastAsia" w:ascii="方正仿宋_GBK" w:hAnsi="方正仿宋_GBK" w:eastAsia="方正仿宋_GBK" w:cs="方正仿宋_GBK"/>
          <w:sz w:val="28"/>
          <w:szCs w:val="28"/>
        </w:rPr>
        <w:t xml:space="preserve">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773"/>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rPr>
          <w:rFonts w:hint="eastAsia" w:ascii="方正黑体_GBK" w:hAnsi="方正黑体_GBK" w:eastAsia="方正黑体_GBK" w:cs="方正黑体_GBK"/>
          <w:bCs/>
          <w:sz w:val="28"/>
          <w:szCs w:val="28"/>
        </w:rPr>
      </w:r>
      <w:r/>
    </w:p>
    <w:p>
      <w:pPr>
        <w:pStyle w:val="77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77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rPr>
          <w:rFonts w:hint="eastAsia" w:ascii="方正仿宋_GBK" w:hAnsi="方正仿宋_GBK" w:eastAsia="方正仿宋_GBK" w:cs="方正仿宋_GBK"/>
          <w:sz w:val="28"/>
          <w:szCs w:val="28"/>
        </w:rPr>
      </w:r>
      <w:r/>
    </w:p>
    <w:p>
      <w:pPr>
        <w:pStyle w:val="77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77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77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77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773"/>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rPr>
          <w:rFonts w:hint="eastAsia" w:ascii="方正黑体_GBK" w:hAnsi="方正黑体_GBK" w:eastAsia="方正黑体_GBK" w:cs="方正黑体_GBK"/>
          <w:bCs/>
          <w:sz w:val="28"/>
          <w:szCs w:val="28"/>
        </w:rPr>
      </w:r>
      <w:r/>
    </w:p>
    <w:p>
      <w:pPr>
        <w:pStyle w:val="77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rPr>
          <w:rFonts w:hint="eastAsia" w:ascii="方正仿宋_GBK" w:hAnsi="方正仿宋_GBK" w:eastAsia="方正仿宋_GBK" w:cs="方正仿宋_GBK"/>
          <w:sz w:val="28"/>
          <w:szCs w:val="28"/>
        </w:rPr>
      </w:r>
      <w:r/>
    </w:p>
    <w:p>
      <w:pPr>
        <w:pStyle w:val="773"/>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rPr>
          <w:rFonts w:hint="eastAsia" w:ascii="方正黑体_GBK" w:hAnsi="方正黑体_GBK" w:eastAsia="方正黑体_GBK" w:cs="方正黑体_GBK"/>
          <w:bCs/>
          <w:sz w:val="28"/>
          <w:szCs w:val="28"/>
        </w:rPr>
      </w:r>
      <w:r/>
    </w:p>
    <w:p>
      <w:pPr>
        <w:pStyle w:val="77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rPr>
          <w:rFonts w:hint="eastAsia" w:ascii="方正仿宋_GBK" w:hAnsi="方正仿宋_GBK" w:eastAsia="方正仿宋_GBK" w:cs="方正仿宋_GBK"/>
          <w:sz w:val="28"/>
          <w:szCs w:val="28"/>
        </w:rPr>
      </w:r>
      <w:r/>
    </w:p>
    <w:p>
      <w:pPr>
        <w:pStyle w:val="77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w:t>
      </w:r>
      <w:r>
        <w:rPr>
          <w:rFonts w:hint="eastAsia" w:ascii="方正仿宋_GBK" w:hAnsi="方正仿宋_GBK" w:eastAsia="方正仿宋_GBK" w:cs="方正仿宋_GBK"/>
          <w:sz w:val="28"/>
          <w:szCs w:val="28"/>
        </w:rPr>
        <w:t xml:space="preserve">合同有关的人员提供，也应注意保密并限于履行合同的必需范围。</w:t>
      </w:r>
      <w:r>
        <w:rPr>
          <w:rFonts w:hint="eastAsia" w:ascii="方正仿宋_GBK" w:hAnsi="方正仿宋_GBK" w:eastAsia="方正仿宋_GBK" w:cs="方正仿宋_GBK"/>
          <w:sz w:val="28"/>
          <w:szCs w:val="28"/>
        </w:rPr>
      </w:r>
      <w:r/>
    </w:p>
    <w:p>
      <w:pPr>
        <w:pStyle w:val="773"/>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rPr>
          <w:rFonts w:hint="eastAsia" w:ascii="方正黑体_GBK" w:hAnsi="方正黑体_GBK" w:eastAsia="方正黑体_GBK" w:cs="方正黑体_GBK"/>
          <w:bCs/>
          <w:sz w:val="28"/>
          <w:szCs w:val="28"/>
        </w:rPr>
      </w:r>
      <w:r/>
    </w:p>
    <w:p>
      <w:pPr>
        <w:pStyle w:val="77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773"/>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rPr>
          <w:rFonts w:hint="eastAsia" w:ascii="方正黑体_GBK" w:hAnsi="方正黑体_GBK" w:eastAsia="方正黑体_GBK" w:cs="方正黑体_GBK"/>
          <w:bCs/>
          <w:sz w:val="28"/>
          <w:szCs w:val="28"/>
        </w:rPr>
      </w:r>
      <w:r/>
    </w:p>
    <w:p>
      <w:pPr>
        <w:pStyle w:val="77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rPr>
          <w:rFonts w:hint="eastAsia" w:ascii="方正仿宋_GBK" w:hAnsi="方正仿宋_GBK" w:eastAsia="方正仿宋_GBK" w:cs="方正仿宋_GBK"/>
          <w:sz w:val="28"/>
          <w:szCs w:val="28"/>
        </w:rPr>
      </w:r>
      <w:r/>
    </w:p>
    <w:p>
      <w:pPr>
        <w:pStyle w:val="773"/>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rPr>
          <w:rFonts w:hint="eastAsia" w:ascii="方正黑体_GBK" w:hAnsi="方正黑体_GBK" w:eastAsia="方正黑体_GBK" w:cs="方正黑体_GBK"/>
          <w:bCs/>
          <w:sz w:val="28"/>
          <w:szCs w:val="28"/>
        </w:rPr>
      </w:r>
      <w:r/>
    </w:p>
    <w:p>
      <w:pPr>
        <w:pStyle w:val="77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w:t>
      </w:r>
      <w:r>
        <w:rPr>
          <w:rFonts w:hint="eastAsia" w:ascii="方正仿宋_GBK" w:hAnsi="方正仿宋_GBK" w:eastAsia="方正仿宋_GBK" w:cs="方正仿宋_GBK"/>
          <w:sz w:val="28"/>
          <w:szCs w:val="28"/>
          <w:u w:val="single"/>
        </w:rPr>
        <w:t xml:space="preserve">合同总价10%_</w:t>
      </w:r>
      <w:r>
        <w:rPr>
          <w:rFonts w:hint="eastAsia" w:ascii="方正仿宋_GBK" w:hAnsi="方正仿宋_GBK" w:eastAsia="方正仿宋_GBK" w:cs="方正仿宋_GBK"/>
          <w:sz w:val="28"/>
          <w:szCs w:val="28"/>
        </w:rPr>
        <w:t xml:space="preserve">作为</w:t>
      </w:r>
      <w:r>
        <w:rPr>
          <w:rFonts w:hint="eastAsia" w:ascii="方正仿宋_GBK" w:hAnsi="方正仿宋_GBK" w:eastAsia="方正仿宋_GBK" w:cs="方正仿宋_GBK"/>
          <w:sz w:val="28"/>
          <w:szCs w:val="28"/>
        </w:rPr>
        <w:t xml:space="preserve">本合同的履约保证金。（不得超过合同金</w:t>
      </w:r>
      <w:r>
        <w:rPr>
          <w:rFonts w:hint="eastAsia" w:ascii="方正仿宋_GBK" w:hAnsi="方正仿宋_GBK" w:eastAsia="方正仿宋_GBK" w:cs="方正仿宋_GBK"/>
          <w:sz w:val="28"/>
          <w:szCs w:val="28"/>
        </w:rPr>
        <w:t xml:space="preserve">额的10%）</w:t>
      </w:r>
      <w:r>
        <w:rPr>
          <w:rFonts w:hint="eastAsia" w:ascii="方正仿宋_GBK" w:hAnsi="方正仿宋_GBK" w:eastAsia="方正仿宋_GBK" w:cs="方正仿宋_GBK"/>
          <w:bCs/>
          <w:sz w:val="28"/>
          <w:szCs w:val="28"/>
        </w:rPr>
        <w:t xml:space="preserve">支持和鼓励中标供应商自愿使用履约保函（保险）代替缴纳履约保证金。</w:t>
      </w:r>
      <w:r>
        <w:rPr>
          <w:rFonts w:hint="eastAsia" w:ascii="方正仿宋_GBK" w:hAnsi="方正仿宋_GBK" w:eastAsia="方正仿宋_GBK" w:cs="方正仿宋_GBK"/>
          <w:sz w:val="28"/>
          <w:szCs w:val="28"/>
        </w:rPr>
      </w:r>
      <w:r/>
    </w:p>
    <w:p>
      <w:pPr>
        <w:pStyle w:val="77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734"/>
        <w:ind w:firstLine="560"/>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w:t>
      </w:r>
      <w:r>
        <w:rPr>
          <w:rFonts w:ascii="方正仿宋_GBK" w:hAnsi="方正仿宋_GBK" w:eastAsia="方正仿宋_GBK" w:cs="方正仿宋_GBK"/>
          <w:sz w:val="28"/>
          <w:szCs w:val="28"/>
        </w:rPr>
        <w:t xml:space="preserve">以银行电汇、网上银行、数字人民币形式缴纳履约保证金的，退回至</w:t>
      </w:r>
      <w:r>
        <w:rPr>
          <w:rFonts w:ascii="方正仿宋_GBK" w:hAnsi="方正仿宋_GBK" w:eastAsia="方正仿宋_GBK" w:cs="方正仿宋_GBK"/>
          <w:sz w:val="28"/>
          <w:szCs w:val="28"/>
        </w:rPr>
        <w:t xml:space="preserve">投标人存款账户或投标人</w:t>
      </w:r>
      <w:r>
        <w:rPr>
          <w:rFonts w:ascii="方正仿宋_GBK" w:hAnsi="方正仿宋_GBK" w:eastAsia="方正仿宋_GBK" w:cs="方正仿宋_GBK"/>
          <w:sz w:val="28"/>
          <w:szCs w:val="28"/>
        </w:rPr>
        <w:t xml:space="preserve">数字人民币账户；以保函、担保、保险等形式缴纳履约保证金的，在保函、担保、保险约定的保证期限届满之日起自行失效；</w:t>
      </w:r>
      <w:r/>
    </w:p>
    <w:p>
      <w:pPr>
        <w:pStyle w:val="77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6.2.2履约保证金退还时间：</w:t>
      </w:r>
      <w:r>
        <w:rPr>
          <w:rFonts w:ascii="方正仿宋_GBK" w:hAnsi="方正仿宋_GBK" w:eastAsia="方正仿宋_GBK" w:cs="方正仿宋_GBK"/>
          <w:sz w:val="28"/>
          <w:szCs w:val="28"/>
        </w:rPr>
        <w:t xml:space="preserve">符合退还条件的5个工作日内退还</w:t>
      </w:r>
      <w:r>
        <w:rPr>
          <w:rFonts w:hint="eastAsia"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p>
      <w:pPr>
        <w:pStyle w:val="77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6.2.3履约保证金退还条件：</w:t>
      </w:r>
      <w:r>
        <w:rPr>
          <w:rFonts w:ascii="方正仿宋_GBK" w:hAnsi="方正仿宋_GBK" w:eastAsia="方正仿宋_GBK" w:cs="方正仿宋_GBK"/>
          <w:sz w:val="28"/>
          <w:szCs w:val="28"/>
        </w:rPr>
        <w:t xml:space="preserve">采购人在项目通过验收后按照合同条款规定的时间</w:t>
      </w:r>
      <w:r>
        <w:rPr>
          <w:rFonts w:ascii="方正仿宋_GBK" w:hAnsi="方正仿宋_GBK" w:eastAsia="方正仿宋_GBK" w:cs="方正仿宋_GBK"/>
          <w:sz w:val="28"/>
          <w:szCs w:val="28"/>
        </w:rPr>
        <w:t xml:space="preserve">内将履约保证金退还中标人</w:t>
      </w:r>
      <w:r>
        <w:rPr>
          <w:rFonts w:hint="eastAsia"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p>
      <w:pPr>
        <w:pStyle w:val="734"/>
        <w:ind w:firstLine="560"/>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6.2.4履约保证金不予退还的情形：</w:t>
      </w:r>
      <w:r>
        <w:rPr>
          <w:rFonts w:ascii="方正仿宋_GBK" w:hAnsi="方正仿宋_GBK" w:eastAsia="方正仿宋_GBK" w:cs="方正仿宋_GBK"/>
          <w:sz w:val="28"/>
          <w:szCs w:val="28"/>
        </w:rPr>
        <w:t xml:space="preserve">除不可抗力外，</w:t>
      </w:r>
      <w:r>
        <w:rPr>
          <w:rFonts w:ascii="方正仿宋_GBK" w:hAnsi="方正仿宋_GBK" w:eastAsia="方正仿宋_GBK" w:cs="方正仿宋_GBK"/>
          <w:sz w:val="28"/>
          <w:szCs w:val="28"/>
        </w:rPr>
        <w:t xml:space="preserve">投标人</w:t>
      </w:r>
      <w:r>
        <w:rPr>
          <w:rFonts w:ascii="方正仿宋_GBK" w:hAnsi="方正仿宋_GBK" w:eastAsia="方正仿宋_GBK" w:cs="方正仿宋_GBK"/>
          <w:sz w:val="28"/>
          <w:szCs w:val="28"/>
        </w:rPr>
        <w:t xml:space="preserve">不履行与采购人订立的采购合同、有质量问题未修复好产品缺陷时，履约保证金不予退还。质量问题中标人须承担修复责任并赔偿采购人损失，给采购人造成的损失超过履约保证金数额的，还应当对超过部分予以赔偿</w:t>
      </w:r>
      <w:r>
        <w:rPr>
          <w:rFonts w:hint="eastAsia"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p>
      <w:pPr>
        <w:pStyle w:val="773"/>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rPr>
          <w:rFonts w:hint="eastAsia" w:ascii="方正黑体_GBK" w:hAnsi="方正黑体_GBK" w:eastAsia="方正黑体_GBK" w:cs="方正黑体_GBK"/>
          <w:bCs/>
          <w:sz w:val="28"/>
          <w:szCs w:val="28"/>
        </w:rPr>
      </w:r>
      <w:r/>
    </w:p>
    <w:p>
      <w:pPr>
        <w:pStyle w:val="77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77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77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773"/>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rPr>
          <w:rFonts w:hint="eastAsia" w:ascii="方正黑体_GBK" w:hAnsi="方正黑体_GBK" w:eastAsia="方正黑体_GBK" w:cs="方正黑体_GBK"/>
          <w:bCs/>
          <w:sz w:val="28"/>
          <w:szCs w:val="28"/>
        </w:rPr>
      </w:r>
      <w:r/>
    </w:p>
    <w:p>
      <w:pPr>
        <w:pStyle w:val="77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rPr>
          <w:rFonts w:hint="eastAsia" w:ascii="方正仿宋_GBK" w:hAnsi="方正仿宋_GBK" w:eastAsia="方正仿宋_GBK" w:cs="方正仿宋_GBK"/>
          <w:sz w:val="28"/>
          <w:szCs w:val="28"/>
        </w:rPr>
      </w:r>
      <w:r/>
    </w:p>
    <w:p>
      <w:pPr>
        <w:pStyle w:val="77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 预付款支付时间：</w:t>
      </w:r>
      <w:r>
        <w:rPr>
          <w:rFonts w:hint="eastAsia" w:ascii="方正仿宋_GBK" w:hAnsi="方正仿宋_GBK" w:eastAsia="方正仿宋_GBK" w:cs="方正仿宋_GBK"/>
          <w:sz w:val="28"/>
          <w:szCs w:val="28"/>
        </w:rPr>
        <w:t xml:space="preserve">合同签订后</w:t>
      </w:r>
      <w:r>
        <w:rPr>
          <w:rFonts w:hint="eastAsia" w:ascii="Times New Roman" w:hAnsi="Times New Roman" w:eastAsia="方正仿宋_GBK"/>
          <w:sz w:val="28"/>
          <w:szCs w:val="28"/>
        </w:rPr>
        <w:t xml:space="preserve">10个</w:t>
      </w:r>
      <w:r>
        <w:rPr>
          <w:rFonts w:hint="eastAsia" w:ascii="方正仿宋_GBK" w:hAnsi="方正仿宋_GBK" w:eastAsia="方正仿宋_GBK" w:cs="方正仿宋_GBK"/>
          <w:sz w:val="28"/>
          <w:szCs w:val="28"/>
        </w:rPr>
        <w:t xml:space="preserve">工作日内，预付款支付比例：合同金额的</w:t>
      </w:r>
      <w:r>
        <w:rPr>
          <w:rFonts w:hint="eastAsia" w:ascii="Times New Roman" w:hAnsi="Times New Roman" w:eastAsia="方正仿宋_GBK"/>
          <w:sz w:val="28"/>
          <w:szCs w:val="28"/>
          <w:u w:val="single"/>
        </w:rPr>
        <w:t xml:space="preserve">30</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7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8.1.2 尾款支付时间：采购人收到发票后10个工作日内，尾款支付比例：合同金额的</w:t>
      </w:r>
      <w:r>
        <w:rPr>
          <w:rFonts w:hint="eastAsia" w:ascii="Times New Roman" w:hAnsi="Times New Roman" w:eastAsia="方正仿宋_GBK"/>
          <w:sz w:val="28"/>
          <w:szCs w:val="28"/>
          <w:u w:val="single"/>
        </w:rPr>
        <w:t xml:space="preserve">70</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73"/>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rPr>
          <w:rFonts w:hint="eastAsia" w:ascii="方正黑体_GBK" w:hAnsi="方正黑体_GBK" w:eastAsia="方正黑体_GBK" w:cs="方正黑体_GBK"/>
          <w:bCs/>
          <w:sz w:val="28"/>
          <w:szCs w:val="28"/>
        </w:rPr>
      </w:r>
      <w:r/>
    </w:p>
    <w:p>
      <w:pPr>
        <w:pStyle w:val="77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rPr>
          <w:rFonts w:hint="eastAsia" w:ascii="方正仿宋_GBK" w:hAnsi="方正仿宋_GBK" w:eastAsia="方正仿宋_GBK" w:cs="方正仿宋_GBK"/>
          <w:sz w:val="28"/>
          <w:szCs w:val="28"/>
        </w:rPr>
      </w:r>
      <w:r/>
    </w:p>
    <w:p>
      <w:pPr>
        <w:pStyle w:val="773"/>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rPr>
          <w:rFonts w:hint="eastAsia" w:ascii="方正黑体_GBK" w:hAnsi="方正黑体_GBK" w:eastAsia="方正黑体_GBK" w:cs="方正黑体_GBK"/>
          <w:bCs/>
          <w:sz w:val="28"/>
          <w:szCs w:val="28"/>
        </w:rPr>
      </w:r>
      <w:r/>
    </w:p>
    <w:p>
      <w:pPr>
        <w:pStyle w:val="77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rPr>
          <w:rFonts w:hint="eastAsia" w:ascii="方正仿宋_GBK" w:hAnsi="方正仿宋_GBK" w:eastAsia="方正仿宋_GBK" w:cs="方正仿宋_GBK"/>
          <w:sz w:val="28"/>
          <w:szCs w:val="28"/>
        </w:rPr>
      </w:r>
      <w:r/>
    </w:p>
    <w:p>
      <w:pPr>
        <w:pStyle w:val="77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sz w:val="28"/>
          <w:szCs w:val="28"/>
        </w:rPr>
      </w:r>
      <w:r/>
    </w:p>
    <w:p>
      <w:pPr>
        <w:pStyle w:val="77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rPr>
          <w:rFonts w:hint="eastAsia" w:ascii="方正仿宋_GBK" w:hAnsi="方正仿宋_GBK" w:eastAsia="方正仿宋_GBK" w:cs="方正仿宋_GBK"/>
          <w:sz w:val="28"/>
          <w:szCs w:val="28"/>
        </w:rPr>
      </w:r>
      <w:r/>
    </w:p>
    <w:p>
      <w:pPr>
        <w:pStyle w:val="77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sz w:val="28"/>
          <w:szCs w:val="28"/>
        </w:rPr>
      </w:r>
      <w:r/>
    </w:p>
    <w:p>
      <w:pPr>
        <w:pStyle w:val="77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sz w:val="28"/>
          <w:szCs w:val="28"/>
        </w:rPr>
      </w:r>
      <w:r/>
    </w:p>
    <w:p>
      <w:pPr>
        <w:pStyle w:val="77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w:t>
      </w:r>
      <w:r>
        <w:rPr>
          <w:rFonts w:hint="eastAsia" w:ascii="方正仿宋_GBK" w:hAnsi="方正仿宋_GBK" w:eastAsia="方正仿宋_GBK" w:cs="方正仿宋_GBK"/>
          <w:sz w:val="28"/>
          <w:szCs w:val="28"/>
        </w:rPr>
        <w:t xml:space="preserve">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方正仿宋_GBK" w:hAnsi="方正仿宋_GBK" w:eastAsia="方正仿宋_GBK" w:cs="方正仿宋_GBK"/>
          <w:sz w:val="28"/>
          <w:szCs w:val="28"/>
        </w:rPr>
      </w:r>
      <w:r/>
    </w:p>
    <w:p>
      <w:pPr>
        <w:pStyle w:val="773"/>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rPr>
          <w:rFonts w:hint="eastAsia" w:ascii="方正黑体_GBK" w:hAnsi="方正黑体_GBK" w:eastAsia="方正黑体_GBK" w:cs="方正黑体_GBK"/>
          <w:bCs/>
          <w:sz w:val="28"/>
          <w:szCs w:val="28"/>
        </w:rPr>
      </w:r>
      <w:r/>
    </w:p>
    <w:p>
      <w:pPr>
        <w:pStyle w:val="77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w:t>
      </w:r>
      <w:r>
        <w:rPr>
          <w:rFonts w:hint="eastAsia" w:ascii="方正仿宋_GBK" w:hAnsi="方正仿宋_GBK" w:eastAsia="方正仿宋_GBK" w:cs="方正仿宋_GBK"/>
          <w:sz w:val="28"/>
          <w:szCs w:val="28"/>
        </w:rPr>
      </w:r>
      <w:r/>
    </w:p>
    <w:p>
      <w:pPr>
        <w:pStyle w:val="77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每日向乙方支付违约金。</w:t>
      </w:r>
      <w:r>
        <w:rPr>
          <w:rFonts w:hint="eastAsia" w:ascii="方正仿宋_GBK" w:hAnsi="方正仿宋_GBK" w:eastAsia="方正仿宋_GBK" w:cs="方正仿宋_GBK"/>
          <w:sz w:val="28"/>
          <w:szCs w:val="28"/>
        </w:rPr>
      </w:r>
      <w:r/>
    </w:p>
    <w:p>
      <w:pPr>
        <w:pStyle w:val="77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rPr>
          <w:rFonts w:hint="eastAsia" w:ascii="方正仿宋_GBK" w:hAnsi="方正仿宋_GBK" w:eastAsia="方正仿宋_GBK" w:cs="方正仿宋_GBK"/>
          <w:sz w:val="28"/>
          <w:szCs w:val="28"/>
        </w:rPr>
      </w:r>
      <w:r/>
    </w:p>
    <w:p>
      <w:pPr>
        <w:pStyle w:val="77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rPr>
          <w:rFonts w:hint="eastAsia" w:ascii="方正仿宋_GBK" w:hAnsi="方正仿宋_GBK" w:eastAsia="方正仿宋_GBK" w:cs="方正仿宋_GBK"/>
          <w:sz w:val="28"/>
          <w:szCs w:val="28"/>
        </w:rPr>
      </w:r>
      <w:r/>
    </w:p>
    <w:p>
      <w:pPr>
        <w:pStyle w:val="773"/>
        <w:ind w:firstLine="560"/>
        <w:spacing w:before="120" w:after="120" w:line="3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甲乙双方任何一方违反本合同的相关规定，应承担相应的违约责任。</w:t>
      </w:r>
      <w:r>
        <w:rPr>
          <w:rFonts w:hint="eastAsia" w:ascii="方正仿宋_GBK" w:hAnsi="方正仿宋_GBK" w:eastAsia="方正仿宋_GBK" w:cs="方正仿宋_GBK"/>
          <w:sz w:val="28"/>
          <w:szCs w:val="28"/>
        </w:rPr>
      </w:r>
      <w:r/>
    </w:p>
    <w:p>
      <w:pPr>
        <w:pStyle w:val="773"/>
        <w:ind w:firstLine="560"/>
        <w:spacing w:before="120" w:after="120" w:line="3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双方均</w:t>
      </w:r>
      <w:r>
        <w:rPr>
          <w:rFonts w:hint="eastAsia" w:ascii="方正仿宋_GBK" w:hAnsi="方正仿宋_GBK" w:eastAsia="方正仿宋_GBK" w:cs="方正仿宋_GBK"/>
          <w:sz w:val="28"/>
          <w:szCs w:val="28"/>
        </w:rPr>
        <w:t xml:space="preserve">不可擅自终止合同或拒不履行合同，任何一方擅自终止合同(对方违约，一方有权解除本合同的除外)或拒不履行合同的，应支付给守约方相当于本合同总金额30%的违约金。</w:t>
      </w:r>
      <w:r>
        <w:rPr>
          <w:rFonts w:hint="eastAsia" w:ascii="方正仿宋_GBK" w:hAnsi="方正仿宋_GBK" w:eastAsia="方正仿宋_GBK" w:cs="方正仿宋_GBK"/>
          <w:sz w:val="28"/>
          <w:szCs w:val="28"/>
        </w:rPr>
      </w:r>
      <w:r/>
    </w:p>
    <w:p>
      <w:pPr>
        <w:pStyle w:val="773"/>
        <w:ind w:firstLine="560"/>
        <w:spacing w:before="120" w:after="120" w:line="3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因乙方原因造成软件安装、调试、验收迟延的，乙方应承担违约责任，从延迟交付第10日起，每逾期一日，按合同总价款的1%计算。逾期超过40天的，甲方有权解除合同，并要求按合同总价款30%支付违约金。如由此造成甲方损失的，乙方还应另行赔偿。</w:t>
      </w:r>
      <w:r>
        <w:rPr>
          <w:rFonts w:hint="eastAsia" w:ascii="方正仿宋_GBK" w:hAnsi="方正仿宋_GBK" w:eastAsia="方正仿宋_GBK" w:cs="方正仿宋_GBK"/>
          <w:sz w:val="28"/>
          <w:szCs w:val="28"/>
        </w:rPr>
      </w:r>
      <w:r/>
    </w:p>
    <w:p>
      <w:pPr>
        <w:pStyle w:val="773"/>
        <w:ind w:firstLine="560"/>
        <w:spacing w:before="120" w:after="120" w:line="3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如在试运行或验收过程中，乙方交付的系统与本合同及附件约定的技术指标、功能、质量要求不符，拒绝修改或经两次修改仍不符合的，甲方有权解除合</w:t>
      </w:r>
      <w:r>
        <w:rPr>
          <w:rFonts w:hint="eastAsia" w:ascii="方正仿宋_GBK" w:hAnsi="方正仿宋_GBK" w:eastAsia="方正仿宋_GBK" w:cs="方正仿宋_GBK"/>
          <w:sz w:val="28"/>
          <w:szCs w:val="28"/>
        </w:rPr>
        <w:t xml:space="preserve">同，拒付剩余合同款项，并有权自行或委托第三方对软件进行修改或另行开发，所发生的费用以及遭受的损失全部由乙方承担。</w:t>
      </w:r>
      <w:r>
        <w:rPr>
          <w:rFonts w:hint="eastAsia" w:ascii="方正仿宋_GBK" w:hAnsi="方正仿宋_GBK" w:eastAsia="方正仿宋_GBK" w:cs="方正仿宋_GBK"/>
          <w:sz w:val="28"/>
          <w:szCs w:val="28"/>
        </w:rPr>
      </w:r>
      <w:r/>
    </w:p>
    <w:p>
      <w:pPr>
        <w:pStyle w:val="773"/>
        <w:ind w:firstLine="560"/>
        <w:spacing w:before="120" w:after="120" w:line="3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11.5 如乙方交付的系统(包括软件和硬件)与本合同及附件约定的技术指标、功能、质量要求不符或乙方实施人员人为错误操作，导致甲方设备故障、数据丢失、被盗、信息泄露、系统停止运营甚至停止营业的，乙方应负责赔偿甲方的全部损失。如甲方损失金额难以举证的，乙方同意至少向甲方支付壹万元作为违约金，以弥补甲方损失。</w:t>
      </w:r>
      <w:r>
        <w:rPr>
          <w:rFonts w:hint="eastAsia" w:ascii="方正仿宋_GBK" w:hAnsi="方正仿宋_GBK" w:eastAsia="方正仿宋_GBK" w:cs="方正仿宋_GBK"/>
          <w:sz w:val="28"/>
          <w:szCs w:val="28"/>
        </w:rPr>
      </w:r>
      <w:r/>
    </w:p>
    <w:p>
      <w:pPr>
        <w:pStyle w:val="773"/>
        <w:ind w:firstLine="560"/>
        <w:spacing w:before="120" w:after="120" w:line="3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11.6 如在免费维保期内，乙方对甲方的</w:t>
      </w:r>
      <w:r>
        <w:rPr>
          <w:rFonts w:hint="eastAsia" w:ascii="方正仿宋_GBK" w:hAnsi="方正仿宋_GBK" w:eastAsia="方正仿宋_GBK" w:cs="方正仿宋_GBK"/>
          <w:sz w:val="28"/>
          <w:szCs w:val="28"/>
        </w:rPr>
        <w:t xml:space="preserve">服务请求迟延响应或</w:t>
      </w:r>
      <w:r>
        <w:rPr>
          <w:rFonts w:hint="eastAsia" w:ascii="方正仿宋_GBK" w:hAnsi="方正仿宋_GBK" w:eastAsia="方正仿宋_GBK" w:cs="方正仿宋_GBK"/>
          <w:sz w:val="28"/>
          <w:szCs w:val="28"/>
        </w:rPr>
        <w:t xml:space="preserve">拒绝响应的，每迟延(包括拒绝)一天，按合同总价款的1%支付违约金。如项目产品发生故障或问题，导致应用软件不能正常运行，且无法修复，或同一故障或问题经两次修复仍然存在，或项目产品因存在不同故障或问题修复三次以上，甲方有权按合同款项的10%追索乙方的违约金，并有权自行或委托第三方对软件进行修改或另行开发，所发生的费用以及遭受的损失全部由乙方承担。</w:t>
      </w:r>
      <w:r>
        <w:rPr>
          <w:rFonts w:hint="eastAsia" w:ascii="方正仿宋_GBK" w:hAnsi="方正仿宋_GBK" w:eastAsia="方正仿宋_GBK" w:cs="方正仿宋_GBK"/>
          <w:sz w:val="28"/>
          <w:szCs w:val="28"/>
        </w:rPr>
      </w:r>
      <w:r/>
    </w:p>
    <w:p>
      <w:pPr>
        <w:pStyle w:val="773"/>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rPr>
          <w:rFonts w:hint="eastAsia" w:ascii="方正黑体_GBK" w:hAnsi="方正黑体_GBK" w:eastAsia="方正黑体_GBK" w:cs="方正黑体_GBK"/>
          <w:bCs/>
          <w:sz w:val="28"/>
          <w:szCs w:val="28"/>
        </w:rPr>
      </w:r>
      <w:r/>
    </w:p>
    <w:p>
      <w:pPr>
        <w:pStyle w:val="77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sz w:val="28"/>
          <w:szCs w:val="28"/>
        </w:rPr>
      </w:r>
      <w:r/>
    </w:p>
    <w:p>
      <w:pPr>
        <w:pStyle w:val="77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rPr>
          <w:rFonts w:hint="eastAsia" w:ascii="方正仿宋_GBK" w:hAnsi="方正仿宋_GBK" w:eastAsia="方正仿宋_GBK" w:cs="方正仿宋_GBK"/>
          <w:sz w:val="28"/>
          <w:szCs w:val="28"/>
        </w:rPr>
      </w:r>
      <w:r/>
    </w:p>
    <w:p>
      <w:pPr>
        <w:pStyle w:val="77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rPr>
          <w:rFonts w:hint="eastAsia" w:ascii="方正仿宋_GBK" w:hAnsi="方正仿宋_GBK" w:eastAsia="方正仿宋_GBK" w:cs="方正仿宋_GBK"/>
          <w:sz w:val="28"/>
          <w:szCs w:val="28"/>
        </w:rPr>
      </w:r>
      <w:r/>
    </w:p>
    <w:p>
      <w:pPr>
        <w:pStyle w:val="773"/>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rPr>
          <w:rFonts w:hint="eastAsia" w:ascii="方正黑体_GBK" w:hAnsi="方正黑体_GBK" w:eastAsia="方正黑体_GBK" w:cs="方正黑体_GBK"/>
          <w:bCs/>
          <w:sz w:val="28"/>
          <w:szCs w:val="28"/>
        </w:rPr>
      </w:r>
      <w:r/>
    </w:p>
    <w:p>
      <w:pPr>
        <w:pStyle w:val="773"/>
        <w:ind w:firstLine="560"/>
        <w:spacing w:before="120" w:after="120" w:line="400" w:lineRule="exact"/>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int="eastAsia" w:hAnsi="宋体"/>
          <w:sz w:val="28"/>
          <w:szCs w:val="28"/>
        </w:rPr>
      </w:r>
      <w:r/>
    </w:p>
    <w:p>
      <w:pPr>
        <w:pStyle w:val="773"/>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rPr>
          <w:rFonts w:hint="eastAsia" w:ascii="方正黑体_GBK" w:hAnsi="方正黑体_GBK" w:eastAsia="方正黑体_GBK" w:cs="方正黑体_GBK"/>
          <w:bCs/>
          <w:sz w:val="28"/>
          <w:szCs w:val="28"/>
        </w:rPr>
      </w:r>
      <w:r/>
    </w:p>
    <w:p>
      <w:pPr>
        <w:pStyle w:val="77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rPr>
          <w:rFonts w:hint="eastAsia" w:ascii="方正仿宋_GBK" w:hAnsi="方正仿宋_GBK" w:eastAsia="方正仿宋_GBK" w:cs="方正仿宋_GBK"/>
          <w:sz w:val="28"/>
          <w:szCs w:val="28"/>
        </w:rPr>
      </w:r>
      <w:r/>
    </w:p>
    <w:p>
      <w:pPr>
        <w:pStyle w:val="77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rPr>
          <w:rFonts w:hint="eastAsia" w:ascii="方正仿宋_GBK" w:hAnsi="方正仿宋_GBK" w:eastAsia="方正仿宋_GBK" w:cs="方正仿宋_GBK"/>
          <w:sz w:val="28"/>
          <w:szCs w:val="28"/>
        </w:rPr>
      </w:r>
      <w:r/>
    </w:p>
    <w:p>
      <w:pPr>
        <w:pStyle w:val="77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rPr>
          <w:rFonts w:hint="eastAsia" w:ascii="方正仿宋_GBK" w:hAnsi="方正仿宋_GBK" w:eastAsia="方正仿宋_GBK" w:cs="方正仿宋_GBK"/>
          <w:sz w:val="28"/>
          <w:szCs w:val="28"/>
        </w:rPr>
      </w:r>
      <w:r/>
    </w:p>
    <w:p>
      <w:pPr>
        <w:pStyle w:val="77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w:t>
      </w:r>
      <w:r>
        <w:rPr>
          <w:rFonts w:hint="eastAsia" w:ascii="方正仿宋_GBK" w:hAnsi="方正仿宋_GBK" w:eastAsia="方正仿宋_GBK" w:cs="方正仿宋_GBK"/>
          <w:sz w:val="28"/>
          <w:szCs w:val="28"/>
        </w:rPr>
        <w:t xml:space="preserve">                        乙方： </w:t>
      </w:r>
      <w:r>
        <w:rPr>
          <w:rFonts w:hint="eastAsia" w:ascii="方正仿宋_GBK" w:hAnsi="方正仿宋_GBK" w:eastAsia="方正仿宋_GBK" w:cs="方正仿宋_GBK"/>
          <w:sz w:val="28"/>
          <w:szCs w:val="28"/>
        </w:rPr>
      </w:r>
      <w:r/>
    </w:p>
    <w:p>
      <w:pPr>
        <w:pStyle w:val="77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rPr>
          <w:rFonts w:hint="eastAsia" w:ascii="方正仿宋_GBK" w:hAnsi="方正仿宋_GBK" w:eastAsia="方正仿宋_GBK" w:cs="方正仿宋_GBK"/>
          <w:sz w:val="28"/>
          <w:szCs w:val="28"/>
        </w:rPr>
      </w:r>
      <w:r/>
    </w:p>
    <w:p>
      <w:pPr>
        <w:pStyle w:val="77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rPr>
          <w:rFonts w:hint="eastAsia" w:ascii="方正仿宋_GBK" w:hAnsi="方正仿宋_GBK" w:eastAsia="方正仿宋_GBK" w:cs="方正仿宋_GBK"/>
          <w:sz w:val="28"/>
          <w:szCs w:val="28"/>
        </w:rPr>
      </w:r>
      <w:r/>
    </w:p>
    <w:p>
      <w:pPr>
        <w:pStyle w:val="773"/>
        <w:ind w:firstLine="560"/>
        <w:spacing w:before="120" w:after="120" w:line="400" w:lineRule="exact"/>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r>
      <w:r/>
    </w:p>
    <w:p>
      <w:pPr>
        <w:pStyle w:val="773"/>
        <w:jc w:val="center"/>
        <w:spacing w:before="120" w:after="120" w:line="400" w:lineRule="exact"/>
        <w:rPr>
          <w:sz w:val="28"/>
          <w:szCs w:val="28"/>
        </w:rPr>
      </w:pPr>
      <w:r>
        <w:rPr>
          <w:rFonts w:hint="eastAsia"/>
          <w:sz w:val="28"/>
          <w:szCs w:val="28"/>
        </w:rPr>
        <w:t xml:space="preserve">                                         </w:t>
      </w:r>
      <w:r>
        <w:rPr>
          <w:sz w:val="28"/>
          <w:szCs w:val="28"/>
        </w:rPr>
      </w:r>
      <w:r/>
    </w:p>
    <w:p>
      <w:pPr>
        <w:pStyle w:val="773"/>
        <w:jc w:val="right"/>
        <w:spacing w:before="120" w:after="120" w:line="400" w:lineRule="exact"/>
        <w:rPr>
          <w:sz w:val="28"/>
          <w:szCs w:val="28"/>
        </w:rPr>
      </w:pPr>
      <w:r>
        <w:rPr>
          <w:rFonts w:hint="eastAsia"/>
          <w:sz w:val="28"/>
          <w:szCs w:val="28"/>
        </w:rPr>
        <w:t xml:space="preserve"> </w:t>
      </w:r>
      <w:r>
        <w:rPr>
          <w:sz w:val="28"/>
          <w:szCs w:val="28"/>
        </w:rPr>
      </w:r>
      <w:r/>
    </w:p>
    <w:p>
      <w:pPr>
        <w:pStyle w:val="773"/>
        <w:jc w:val="center"/>
        <w:spacing w:before="120" w:after="120" w:line="400" w:lineRule="exact"/>
        <w:rPr>
          <w:rFonts w:ascii="黑体" w:eastAsia="黑体"/>
          <w:bCs/>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68"/>
      <w:r/>
      <w:bookmarkEnd w:id="169"/>
      <w:r/>
      <w:bookmarkEnd w:id="170"/>
      <w:r/>
      <w:bookmarkStart w:id="171" w:name="_Hlt16619369"/>
      <w:r/>
      <w:bookmarkEnd w:id="171"/>
      <w:r/>
      <w:bookmarkStart w:id="172" w:name="_Toc20823346"/>
      <w:r/>
      <w:bookmarkStart w:id="173" w:name="_Toc120614244"/>
      <w:r/>
      <w:bookmarkStart w:id="174" w:name="_Toc16938590"/>
      <w:r/>
      <w:bookmarkStart w:id="175" w:name="_Hlt16619350"/>
      <w:r/>
      <w:bookmarkStart w:id="176" w:name="_Toc462564139"/>
      <w:r/>
      <w:bookmarkStart w:id="177" w:name="_Toc479757211"/>
      <w:r>
        <w:rPr>
          <w:rFonts w:ascii="黑体" w:eastAsia="黑体"/>
          <w:bCs/>
          <w:sz w:val="28"/>
          <w:szCs w:val="28"/>
        </w:rPr>
        <w:br w:type="page" w:clear="all"/>
      </w:r>
      <w:bookmarkEnd w:id="172"/>
      <w:r/>
      <w:bookmarkEnd w:id="173"/>
      <w:r/>
      <w:bookmarkEnd w:id="174"/>
      <w:r/>
      <w:bookmarkEnd w:id="175"/>
      <w:r>
        <w:rPr>
          <w:rFonts w:ascii="黑体" w:eastAsia="黑体"/>
          <w:bCs/>
          <w:sz w:val="28"/>
          <w:szCs w:val="28"/>
        </w:rPr>
      </w:r>
      <w:r/>
    </w:p>
    <w:p>
      <w:pPr>
        <w:pStyle w:val="734"/>
        <w:jc w:val="center"/>
        <w:keepNext/>
        <w:spacing w:line="360" w:lineRule="auto"/>
        <w:rPr>
          <w:rFonts w:hint="eastAsia" w:ascii="方正黑体_GBK" w:hAnsi="方正黑体_GBK" w:eastAsia="方正黑体_GBK" w:cs="方正黑体_GBK"/>
          <w:sz w:val="32"/>
          <w:szCs w:val="32"/>
        </w:rPr>
        <w:outlineLvl w:val="0"/>
      </w:pPr>
      <w:r/>
      <w:bookmarkStart w:id="178" w:name="_Toc240379787"/>
      <w:r>
        <w:rPr>
          <w:rFonts w:ascii="方正黑体_GBK" w:hAnsi="方正黑体_GBK" w:eastAsia="方正黑体_GBK" w:cs="方正黑体_GBK"/>
          <w:sz w:val="32"/>
          <w:szCs w:val="32"/>
        </w:rPr>
        <w:t xml:space="preserve">第四章 采购需求</w:t>
      </w:r>
      <w:bookmarkEnd w:id="178"/>
      <w:r>
        <w:rPr>
          <w:rFonts w:hint="eastAsia" w:ascii="方正黑体_GBK" w:hAnsi="方正黑体_GBK" w:eastAsia="方正黑体_GBK" w:cs="方正黑体_GBK"/>
          <w:sz w:val="32"/>
          <w:szCs w:val="32"/>
        </w:rPr>
      </w:r>
      <w:r/>
    </w:p>
    <w:p>
      <w:pPr>
        <w:pStyle w:val="773"/>
        <w:jc w:val="center"/>
        <w:spacing w:before="120" w:after="120" w:line="400" w:lineRule="exact"/>
        <w:rPr>
          <w:rFonts w:hint="eastAsia" w:ascii="黑体" w:eastAsia="黑体"/>
          <w:bCs/>
          <w:sz w:val="28"/>
          <w:szCs w:val="28"/>
        </w:rPr>
      </w:pPr>
      <w:r>
        <w:rPr>
          <w:rFonts w:hint="eastAsia" w:ascii="黑体" w:eastAsia="黑体"/>
          <w:bCs/>
          <w:sz w:val="28"/>
          <w:szCs w:val="28"/>
        </w:rPr>
      </w:r>
      <w:r/>
    </w:p>
    <w:p>
      <w:pPr>
        <w:pStyle w:val="773"/>
        <w:spacing w:before="120" w:after="120" w:line="400" w:lineRule="exact"/>
        <w:rPr>
          <w:rFonts w:hint="eastAsia" w:ascii="方正黑体_GBK" w:hAnsi="方正黑体_GBK" w:eastAsia="方正黑体_GBK" w:cs="方正黑体_GBK"/>
          <w:bCs/>
          <w:sz w:val="28"/>
          <w:szCs w:val="28"/>
        </w:rPr>
      </w:pPr>
      <w:r/>
      <w:bookmarkStart w:id="179" w:name="_Toc26554093"/>
      <w:r/>
      <w:bookmarkStart w:id="180" w:name="_Toc49090575"/>
      <w:r>
        <w:rPr>
          <w:rFonts w:hint="eastAsia" w:ascii="方正黑体_GBK" w:hAnsi="方正黑体_GBK" w:eastAsia="方正黑体_GBK" w:cs="方正黑体_GBK"/>
          <w:bCs/>
          <w:sz w:val="28"/>
          <w:szCs w:val="28"/>
        </w:rPr>
        <w:t xml:space="preserve">一、采购标的清单</w:t>
      </w:r>
      <w:r>
        <w:rPr>
          <w:rFonts w:hint="eastAsia" w:ascii="方正黑体_GBK" w:hAnsi="方正黑体_GBK" w:eastAsia="方正黑体_GBK" w:cs="方正黑体_GBK"/>
          <w:bCs/>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2794"/>
        <w:gridCol w:w="1695"/>
        <w:gridCol w:w="2438"/>
      </w:tblGrid>
      <w:tr>
        <w:trPr>
          <w:cantSplit/>
          <w:trHeight w:val="701"/>
        </w:trPr>
        <w:tc>
          <w:tcPr>
            <w:tcW w:w="79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79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169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43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79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eastAsia="方正仿宋_GBK"/>
                <w:sz w:val="28"/>
                <w:szCs w:val="28"/>
              </w:rPr>
              <w:t xml:space="preserve">1</w:t>
            </w:r>
            <w:r>
              <w:rPr>
                <w:rFonts w:hint="eastAsia" w:ascii="方正仿宋_GBK" w:hAnsi="方正仿宋_GBK" w:eastAsia="方正仿宋_GBK" w:cs="方正仿宋_GBK"/>
                <w:sz w:val="28"/>
                <w:szCs w:val="28"/>
              </w:rPr>
            </w:r>
            <w:r/>
          </w:p>
        </w:tc>
        <w:tc>
          <w:tcPr>
            <w:tcW w:w="279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695" w:type="dxa"/>
            <w:vAlign w:val="center"/>
            <w:textDirection w:val="lrTb"/>
            <w:noWrap w:val="false"/>
          </w:tcPr>
          <w:p>
            <w:pPr>
              <w:pStyle w:val="734"/>
              <w:jc w:val="center"/>
              <w:spacing w:line="400" w:lineRule="exact"/>
              <w:tabs>
                <w:tab w:val="left" w:pos="202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江苏省中医院</w:t>
            </w:r>
            <w:r>
              <w:rPr>
                <w:rFonts w:hint="eastAsia" w:ascii="宋体" w:hAnsi="宋体"/>
                <w:sz w:val="24"/>
              </w:rPr>
              <w:t xml:space="preserve">药品使用监测系统</w:t>
            </w:r>
            <w:r>
              <w:rPr>
                <w:rFonts w:hint="eastAsia" w:ascii="方正仿宋_GBK" w:hAnsi="方正仿宋_GBK" w:eastAsia="方正仿宋_GBK" w:cs="方正仿宋_GBK"/>
                <w:sz w:val="28"/>
                <w:szCs w:val="28"/>
              </w:rPr>
            </w:r>
            <w:r/>
          </w:p>
        </w:tc>
        <w:tc>
          <w:tcPr>
            <w:tcW w:w="2438" w:type="dxa"/>
            <w:vAlign w:val="center"/>
            <w:textDirection w:val="lrTb"/>
            <w:noWrap w:val="false"/>
          </w:tcPr>
          <w:p>
            <w:pPr>
              <w:pStyle w:val="734"/>
              <w:jc w:val="center"/>
              <w:spacing w:line="400" w:lineRule="exact"/>
              <w:tabs>
                <w:tab w:val="left" w:pos="2020" w:leader="none"/>
              </w:tabs>
              <w:rPr>
                <w:rFonts w:eastAsia="方正仿宋_GBK"/>
                <w:sz w:val="28"/>
                <w:szCs w:val="28"/>
              </w:rPr>
            </w:pPr>
            <w:r>
              <w:rPr>
                <w:rFonts w:hint="eastAsia" w:eastAsia="方正仿宋_GBK"/>
                <w:sz w:val="28"/>
                <w:szCs w:val="28"/>
              </w:rPr>
              <w:t xml:space="preserve">软件和信息技术服务业</w:t>
            </w:r>
            <w:r>
              <w:rPr>
                <w:rFonts w:eastAsia="方正仿宋_GBK"/>
                <w:sz w:val="28"/>
                <w:szCs w:val="28"/>
              </w:rPr>
            </w:r>
            <w:r/>
          </w:p>
        </w:tc>
      </w:tr>
    </w:tbl>
    <w:p>
      <w:pPr>
        <w:pStyle w:val="773"/>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二、政府采购中实施本国产品标准及相关政策</w:t>
      </w:r>
      <w:r>
        <w:rPr>
          <w:rFonts w:hint="eastAsia" w:ascii="方正黑体_GBK" w:hAnsi="方正黑体_GBK" w:eastAsia="方正黑体_GBK" w:cs="方正黑体_GBK"/>
          <w:bCs/>
          <w:sz w:val="28"/>
          <w:szCs w:val="28"/>
        </w:rPr>
      </w:r>
      <w:r/>
    </w:p>
    <w:p>
      <w:pPr>
        <w:pStyle w:val="73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sz w:val="28"/>
          <w:szCs w:val="28"/>
        </w:rPr>
      </w:r>
      <w:r/>
    </w:p>
    <w:p>
      <w:pPr>
        <w:pStyle w:val="73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w:t>
      </w:r>
      <w:r>
        <w:rPr>
          <w:rFonts w:hint="eastAsia" w:ascii="方正仿宋_GBK" w:hAnsi="方正仿宋_GBK" w:eastAsia="方正仿宋_GBK" w:cs="方正仿宋_GBK"/>
          <w:sz w:val="28"/>
          <w:szCs w:val="28"/>
        </w:rPr>
        <w:t xml:space="preserve">食品、饮料和烟草原料，无形资产。</w:t>
      </w:r>
      <w:r>
        <w:rPr>
          <w:rFonts w:hint="eastAsia" w:ascii="方正仿宋_GBK" w:hAnsi="方正仿宋_GBK" w:eastAsia="方正仿宋_GBK" w:cs="方正仿宋_GBK"/>
          <w:sz w:val="28"/>
          <w:szCs w:val="28"/>
        </w:rPr>
      </w:r>
      <w:r/>
    </w:p>
    <w:p>
      <w:pPr>
        <w:pStyle w:val="73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sz w:val="28"/>
          <w:szCs w:val="28"/>
        </w:rPr>
      </w:r>
      <w:r/>
    </w:p>
    <w:p>
      <w:pPr>
        <w:pStyle w:val="773"/>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三、技术要求</w:t>
      </w:r>
      <w:r>
        <w:rPr>
          <w:rFonts w:hint="eastAsia" w:ascii="方正黑体_GBK" w:hAnsi="方正黑体_GBK" w:eastAsia="方正黑体_GBK" w:cs="方正黑体_GBK"/>
          <w:bCs/>
          <w:sz w:val="28"/>
          <w:szCs w:val="28"/>
        </w:rPr>
      </w:r>
      <w:r/>
    </w:p>
    <w:p>
      <w:pPr>
        <w:pStyle w:val="734"/>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技术要求是指对采购</w:t>
      </w:r>
      <w:r>
        <w:rPr>
          <w:rFonts w:hint="eastAsia" w:ascii="方正仿宋_GBK" w:hAnsi="方正仿宋_GBK" w:eastAsia="方正仿宋_GBK" w:cs="方正仿宋_GBK"/>
          <w:bCs/>
          <w:sz w:val="28"/>
          <w:szCs w:val="28"/>
        </w:rPr>
        <w:t xml:space="preserve">标的功能和质量要求，包括性能、材料、结构、外观、安全，或者服务内容和标准等。其中</w:t>
      </w:r>
      <w:r>
        <w:rPr>
          <w:rFonts w:hint="eastAsia" w:ascii="方正仿宋_GBK" w:hAnsi="方正仿宋_GBK" w:eastAsia="方正仿宋_GBK" w:cs="方正仿宋_GBK"/>
          <w:b/>
          <w:bCs/>
          <w:i/>
          <w:sz w:val="28"/>
          <w:szCs w:val="28"/>
          <w:u w:val="single"/>
        </w:rPr>
        <w:t xml:space="preserve">斜体</w:t>
      </w:r>
      <w:r>
        <w:rPr>
          <w:rFonts w:hint="eastAsia" w:ascii="方正仿宋_GBK" w:hAnsi="方正仿宋_GBK" w:eastAsia="方正仿宋_GBK" w:cs="方正仿宋_GBK"/>
          <w:b/>
          <w:bCs/>
          <w:i/>
          <w:sz w:val="28"/>
          <w:szCs w:val="28"/>
          <w:u w:val="single"/>
        </w:rPr>
        <w:t xml:space="preserve">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
          <w:bCs/>
          <w:sz w:val="28"/>
          <w:szCs w:val="28"/>
        </w:rPr>
      </w:r>
      <w:r/>
    </w:p>
    <w:p>
      <w:pPr>
        <w:pStyle w:val="734"/>
        <w:ind w:firstLine="560"/>
        <w:spacing w:before="120" w:after="120" w:line="400" w:lineRule="exact"/>
        <w:rPr>
          <w:rFonts w:hint="eastAsia" w:ascii="方正楷体_GB2312" w:hAnsi="方正楷体_GB2312" w:eastAsia="方正楷体_GB2312" w:cs="方正楷体_GB2312"/>
          <w:bCs/>
          <w:sz w:val="28"/>
          <w:szCs w:val="28"/>
        </w:rPr>
      </w:pPr>
      <w:r>
        <w:rPr>
          <w:rFonts w:hint="eastAsia" w:ascii="方正楷体_GB2312" w:hAnsi="方正楷体_GB2312" w:eastAsia="方正楷体_GB2312" w:cs="方正楷体_GB2312"/>
          <w:bCs/>
          <w:sz w:val="28"/>
          <w:szCs w:val="28"/>
        </w:rPr>
        <w:t xml:space="preserve">（一）基本概况</w:t>
      </w:r>
      <w:r>
        <w:rPr>
          <w:rFonts w:hint="eastAsia" w:ascii="方正楷体_GB2312" w:hAnsi="方正楷体_GB2312" w:eastAsia="方正楷体_GB2312" w:cs="方正楷体_GB2312"/>
          <w:bCs/>
          <w:sz w:val="28"/>
          <w:szCs w:val="28"/>
        </w:rPr>
      </w:r>
      <w:r/>
    </w:p>
    <w:p>
      <w:pPr>
        <w:pStyle w:val="734"/>
        <w:ind w:firstLine="560"/>
        <w:spacing w:line="44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目前医院药品使用情况的统计分析，仍主要依赖工程师后台统计的传统模式，这种模式存在明显的局限性，已难以适应现代医院精细化管理的需求。</w:t>
      </w:r>
      <w:r>
        <w:rPr>
          <w:rFonts w:hint="eastAsia" w:ascii="方正仿宋_GBK" w:hAnsi="方正仿宋_GBK" w:eastAsia="方正仿宋_GBK" w:cs="方正仿宋_GBK"/>
          <w:bCs/>
          <w:sz w:val="28"/>
          <w:szCs w:val="28"/>
        </w:rPr>
      </w:r>
      <w:r/>
    </w:p>
    <w:p>
      <w:pPr>
        <w:pStyle w:val="734"/>
        <w:ind w:firstLine="560"/>
        <w:spacing w:line="44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首先，现有模式的数据的收集、整理和分析过程耗时较长，无法实现对药品使用情况的实时监测，当出现药品短缺、过度使用或不合理使用等问题时，难以及时采取有效的干预措施，影响患者的治疗和医院的正常运营。</w:t>
      </w:r>
      <w:r>
        <w:rPr>
          <w:rFonts w:hint="eastAsia" w:ascii="方正仿宋_GBK" w:hAnsi="方正仿宋_GBK" w:eastAsia="方正仿宋_GBK" w:cs="方正仿宋_GBK"/>
          <w:bCs/>
          <w:sz w:val="28"/>
          <w:szCs w:val="28"/>
        </w:rPr>
      </w:r>
      <w:r/>
    </w:p>
    <w:p>
      <w:pPr>
        <w:pStyle w:val="734"/>
        <w:ind w:firstLine="560"/>
        <w:spacing w:line="44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其次，现有模式无法满足多维度分析的要求。随着医疗行业的不断发展，对药品数据分析的精细化程度提出了越来越高的要求。医院需要从多个角度了解药品使用情况，比如不同科室之间</w:t>
      </w:r>
      <w:r>
        <w:rPr>
          <w:rFonts w:hint="eastAsia" w:ascii="方正仿宋_GBK" w:hAnsi="方正仿宋_GBK" w:eastAsia="方正仿宋_GBK" w:cs="方正仿宋_GBK"/>
          <w:bCs/>
          <w:sz w:val="28"/>
          <w:szCs w:val="28"/>
        </w:rPr>
        <w:t xml:space="preserve">的药品使用差异、不同时间段的药品消耗趋势、不同医生的处方习惯等。但目前的统计方式只能提供较为单一、笼统的数据，无法进行深入、细致的多维度统计汇总，影响了管理决策的科学性和合理性。此外，现有系统在对特殊药品管理和药占比分析等方面也存在不足。对于集采药品、国谈药品、抗菌药、辅助用药等特殊药品，缺乏专门的监测管理机制，不能及时跟踪其使用情况是否符合相关政策和规定。在药占分类统计上，也无法精准地进行数据归集和分析，难以满足医院对药占比控制的管理要求。</w:t>
      </w:r>
      <w:r>
        <w:rPr>
          <w:rFonts w:hint="eastAsia" w:ascii="方正仿宋_GBK" w:hAnsi="方正仿宋_GBK" w:eastAsia="方正仿宋_GBK" w:cs="方正仿宋_GBK"/>
          <w:bCs/>
          <w:sz w:val="28"/>
          <w:szCs w:val="28"/>
        </w:rPr>
      </w:r>
      <w:r/>
    </w:p>
    <w:p>
      <w:pPr>
        <w:pStyle w:val="734"/>
        <w:ind w:firstLine="560"/>
        <w:spacing w:line="44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因此，需要建设一套全院用药指标的统一采集、统计与分析</w:t>
      </w:r>
      <w:r>
        <w:rPr>
          <w:rFonts w:hint="eastAsia" w:ascii="方正仿宋_GBK" w:hAnsi="方正仿宋_GBK" w:eastAsia="方正仿宋_GBK" w:cs="方正仿宋_GBK"/>
          <w:bCs/>
          <w:sz w:val="28"/>
          <w:szCs w:val="28"/>
        </w:rPr>
        <w:t xml:space="preserve">，涵盖用药经济、临床用药、药房效能、药事质控与国考绩效、药事管理、药学运营大屏监测、带量采购等七大业务主题，为药剂科及医院管理层提供口径统一、数据可分析的药学运营与合理用药决策支持平台。</w:t>
      </w:r>
      <w:r>
        <w:rPr>
          <w:rFonts w:hint="eastAsia" w:ascii="方正仿宋_GBK" w:hAnsi="方正仿宋_GBK" w:eastAsia="方正仿宋_GBK" w:cs="方正仿宋_GBK"/>
          <w:bCs/>
          <w:sz w:val="28"/>
          <w:szCs w:val="28"/>
        </w:rPr>
      </w:r>
      <w:r/>
    </w:p>
    <w:p>
      <w:pPr>
        <w:pStyle w:val="734"/>
        <w:ind w:firstLine="560"/>
        <w:spacing w:before="120" w:after="120" w:line="400" w:lineRule="exact"/>
        <w:rPr>
          <w:rFonts w:hint="eastAsia" w:ascii="方正楷体_GB2312" w:hAnsi="方正楷体_GB2312" w:eastAsia="方正楷体_GB2312" w:cs="方正楷体_GB2312"/>
          <w:bCs/>
          <w:sz w:val="28"/>
          <w:szCs w:val="28"/>
        </w:rPr>
      </w:pPr>
      <w:r>
        <w:rPr>
          <w:rFonts w:hint="eastAsia" w:ascii="方正楷体_GB2312" w:hAnsi="方正楷体_GB2312" w:eastAsia="方正楷体_GB2312" w:cs="方正楷体_GB2312"/>
          <w:bCs/>
          <w:sz w:val="28"/>
          <w:szCs w:val="28"/>
        </w:rPr>
        <w:t xml:space="preserve">（二） 技术需求规格</w:t>
      </w:r>
      <w:r>
        <w:rPr>
          <w:rFonts w:hint="eastAsia" w:ascii="方正楷体_GB2312" w:hAnsi="方正楷体_GB2312" w:eastAsia="方正楷体_GB2312" w:cs="方正楷体_GB2312"/>
          <w:bCs/>
          <w:sz w:val="28"/>
          <w:szCs w:val="28"/>
        </w:rPr>
      </w:r>
      <w:r/>
    </w:p>
    <w:p>
      <w:pPr>
        <w:pStyle w:val="736"/>
        <w:jc w:val="left"/>
        <w:keepLines w:val="0"/>
        <w:keepNext w:val="0"/>
        <w:spacing w:before="0" w:after="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2.1架构要求</w:t>
      </w:r>
      <w:r>
        <w:rPr>
          <w:rFonts w:hint="eastAsia" w:ascii="方正仿宋_GBK" w:hAnsi="方正仿宋_GBK" w:eastAsia="方正仿宋_GBK" w:cs="方正仿宋_GBK"/>
          <w:sz w:val="28"/>
          <w:szCs w:val="28"/>
        </w:rPr>
      </w:r>
      <w:r/>
    </w:p>
    <w:p>
      <w:pPr>
        <w:pStyle w:val="734"/>
        <w:ind w:right="-57" w:firstLine="567"/>
        <w:spacing w:line="360" w:lineRule="auto"/>
        <w:tabs>
          <w:tab w:val="left" w:pos="9498"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项目需在江苏省中医院信息化系统建设的总体架构要求下统一研制开发</w:t>
      </w:r>
      <w:r>
        <w:rPr>
          <w:rFonts w:hint="eastAsia" w:ascii="方正仿宋_GBK" w:hAnsi="方正仿宋_GBK" w:eastAsia="方正仿宋_GBK" w:cs="方正仿宋_GBK"/>
          <w:sz w:val="28"/>
          <w:szCs w:val="28"/>
        </w:rPr>
        <w:t xml:space="preserve">。适配Windows、主流Linux操作系统及国产操作系统，兼容Oracle、MySQL及国产关系型数据库，支持主从备份,支持容器化部署，实现模块解耦、独立部署与维护，支持按需弹性扩展。具备高可用架构，避免单点故障。</w:t>
      </w:r>
      <w:r>
        <w:rPr>
          <w:rFonts w:hint="eastAsia" w:ascii="方正仿宋_GBK" w:hAnsi="方正仿宋_GBK" w:eastAsia="方正仿宋_GBK" w:cs="方正仿宋_GBK"/>
          <w:sz w:val="28"/>
          <w:szCs w:val="28"/>
        </w:rPr>
      </w:r>
      <w:r/>
    </w:p>
    <w:p>
      <w:pPr>
        <w:pStyle w:val="736"/>
        <w:jc w:val="left"/>
        <w:keepLines w:val="0"/>
        <w:keepNext w:val="0"/>
        <w:spacing w:before="0" w:after="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2.2客户端要求</w:t>
      </w:r>
      <w:r>
        <w:rPr>
          <w:rFonts w:hint="eastAsia" w:ascii="方正仿宋_GBK" w:hAnsi="方正仿宋_GBK" w:eastAsia="方正仿宋_GBK" w:cs="方正仿宋_GBK"/>
          <w:sz w:val="28"/>
          <w:szCs w:val="28"/>
        </w:rPr>
      </w:r>
      <w:r/>
    </w:p>
    <w:p>
      <w:pPr>
        <w:pStyle w:val="734"/>
        <w:ind w:right="-57" w:firstLine="567"/>
        <w:spacing w:line="360" w:lineRule="auto"/>
        <w:tabs>
          <w:tab w:val="left" w:pos="9498"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系统采用B/S架构或C/S架构。B/S架构需兼容Chrome、Edge、IE8.0及以上版本等主流浏览器；C/S架构需支持Windows 7及以上版本及国产操作系统。客户端安装便捷，便于维护。PDA、平板端需支持安卓或鸿蒙操作系统。</w:t>
      </w:r>
      <w:r>
        <w:rPr>
          <w:rFonts w:hint="eastAsia" w:ascii="方正仿宋_GBK" w:hAnsi="方正仿宋_GBK" w:eastAsia="方正仿宋_GBK" w:cs="方正仿宋_GBK"/>
          <w:sz w:val="28"/>
          <w:szCs w:val="28"/>
        </w:rPr>
      </w:r>
      <w:r/>
    </w:p>
    <w:p>
      <w:pPr>
        <w:pStyle w:val="736"/>
        <w:jc w:val="left"/>
        <w:keepLines w:val="0"/>
        <w:keepNext w:val="0"/>
        <w:spacing w:before="0" w:after="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2.3性能要求</w:t>
      </w:r>
      <w:r>
        <w:rPr>
          <w:rFonts w:hint="eastAsia" w:ascii="方正仿宋_GBK" w:hAnsi="方正仿宋_GBK" w:eastAsia="方正仿宋_GBK" w:cs="方正仿宋_GBK"/>
          <w:sz w:val="28"/>
          <w:szCs w:val="28"/>
        </w:rPr>
      </w:r>
      <w:r/>
    </w:p>
    <w:p>
      <w:pPr>
        <w:pStyle w:val="734"/>
        <w:ind w:right="-57" w:firstLine="567"/>
        <w:spacing w:line="360" w:lineRule="auto"/>
        <w:tabs>
          <w:tab w:val="left" w:pos="9498"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系统并发用户数不低于50人，核心业务响应时间不超过2秒，简单查询响应时间不超过1秒，1000台终端并发审核响应时间不超过200毫秒，数据备份恢复时间不超过30分钟。系统运行速度快，无明显的并发延迟，不得对院内原有系统效率造成重大负担。</w:t>
      </w:r>
      <w:r>
        <w:rPr>
          <w:rFonts w:hint="eastAsia" w:ascii="方正仿宋_GBK" w:hAnsi="方正仿宋_GBK" w:eastAsia="方正仿宋_GBK" w:cs="方正仿宋_GBK"/>
          <w:sz w:val="28"/>
          <w:szCs w:val="28"/>
        </w:rPr>
      </w:r>
      <w:r/>
    </w:p>
    <w:p>
      <w:pPr>
        <w:pStyle w:val="736"/>
        <w:jc w:val="left"/>
        <w:keepLines w:val="0"/>
        <w:keepNext w:val="0"/>
        <w:spacing w:before="0" w:after="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2.4安全要求</w:t>
      </w:r>
      <w:r>
        <w:rPr>
          <w:rFonts w:hint="eastAsia" w:ascii="方正仿宋_GBK" w:hAnsi="方正仿宋_GBK" w:eastAsia="方正仿宋_GBK" w:cs="方正仿宋_GBK"/>
          <w:sz w:val="28"/>
          <w:szCs w:val="28"/>
        </w:rPr>
      </w:r>
      <w:r/>
    </w:p>
    <w:p>
      <w:pPr>
        <w:pStyle w:val="734"/>
        <w:ind w:right="-57" w:firstLine="567"/>
        <w:spacing w:line="360" w:lineRule="auto"/>
        <w:tabs>
          <w:tab w:val="left" w:pos="9498"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符合《网络安全法》《数据安全法》《个人信息保护法》等法规要求。数据加密传输，加密存储；支持账号密码、短信验证码、人脸识别等多种认证方式；实行分级权限管理，禁止越权操作；操作日志留存不低于1年；每日自动全量备份至少1次，备份数据保存不低于6个月，支持灾难快速恢复。</w:t>
      </w:r>
      <w:r>
        <w:rPr>
          <w:rFonts w:hint="eastAsia" w:ascii="方正仿宋_GBK" w:hAnsi="方正仿宋_GBK" w:eastAsia="方正仿宋_GBK" w:cs="方正仿宋_GBK"/>
          <w:sz w:val="28"/>
          <w:szCs w:val="28"/>
        </w:rPr>
      </w:r>
      <w:r/>
    </w:p>
    <w:p>
      <w:pPr>
        <w:pStyle w:val="736"/>
        <w:jc w:val="left"/>
        <w:keepLines w:val="0"/>
        <w:keepNext w:val="0"/>
        <w:spacing w:before="0" w:after="0" w:line="360" w:lineRule="auto"/>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2.5易用性要求</w:t>
      </w:r>
      <w:r>
        <w:rPr>
          <w:rFonts w:hint="eastAsia" w:ascii="方正仿宋_GBK" w:hAnsi="方正仿宋_GBK" w:eastAsia="方正仿宋_GBK" w:cs="方正仿宋_GBK"/>
          <w:sz w:val="28"/>
          <w:szCs w:val="28"/>
          <w:shd w:val="clear" w:color="auto" w:fill="ffffff"/>
        </w:rPr>
      </w:r>
      <w:r/>
    </w:p>
    <w:p>
      <w:pPr>
        <w:pStyle w:val="734"/>
        <w:ind w:right="-57" w:firstLine="567"/>
        <w:spacing w:line="360" w:lineRule="auto"/>
        <w:tabs>
          <w:tab w:val="left" w:pos="9498"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界面简洁直观，符合医院多岗位操作习惯，降低学习成本；支持角色定制化工作台，为不同岗位展示专属功能模块、数据统计及待办事项；支持语音输入、手势滑动、快捷键等高效操作；提供清晰的操作引导与错误提示。</w:t>
      </w:r>
      <w:r>
        <w:rPr>
          <w:rFonts w:hint="eastAsia" w:ascii="方正仿宋_GBK" w:hAnsi="方正仿宋_GBK" w:eastAsia="方正仿宋_GBK" w:cs="方正仿宋_GBK"/>
          <w:sz w:val="28"/>
          <w:szCs w:val="28"/>
        </w:rPr>
      </w:r>
      <w:r/>
    </w:p>
    <w:p>
      <w:pPr>
        <w:pStyle w:val="736"/>
        <w:jc w:val="left"/>
        <w:keepLines w:val="0"/>
        <w:keepNext w:val="0"/>
        <w:spacing w:before="0" w:after="0" w:line="360" w:lineRule="auto"/>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2.6合规要求</w:t>
      </w:r>
      <w:r>
        <w:rPr>
          <w:rFonts w:hint="eastAsia" w:ascii="方正仿宋_GBK" w:hAnsi="方正仿宋_GBK" w:eastAsia="方正仿宋_GBK" w:cs="方正仿宋_GBK"/>
          <w:sz w:val="28"/>
          <w:szCs w:val="28"/>
          <w:shd w:val="clear" w:color="auto" w:fill="ffffff"/>
        </w:rPr>
      </w:r>
      <w:r/>
    </w:p>
    <w:p>
      <w:pPr>
        <w:pStyle w:val="734"/>
        <w:ind w:right="-57" w:firstLine="567"/>
        <w:spacing w:line="360" w:lineRule="auto"/>
        <w:tabs>
          <w:tab w:val="left" w:pos="9498"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系统建设需符合国家电子病历应</w:t>
      </w:r>
      <w:r>
        <w:rPr>
          <w:rFonts w:hint="eastAsia" w:ascii="方正仿宋_GBK" w:hAnsi="方正仿宋_GBK" w:eastAsia="方正仿宋_GBK" w:cs="方正仿宋_GBK"/>
          <w:sz w:val="28"/>
          <w:szCs w:val="28"/>
        </w:rPr>
        <w:t xml:space="preserve">用水平评级、互联互通评级标准要求，积极配合完成我院各类评级工作。支持生成符合国家三级公立医院绩效考核规则、国家医保规则、院内绩效考核规则的报表。</w:t>
      </w:r>
      <w:r>
        <w:rPr>
          <w:rFonts w:hint="eastAsia" w:ascii="方正仿宋_GBK" w:hAnsi="方正仿宋_GBK" w:eastAsia="方正仿宋_GBK" w:cs="方正仿宋_GBK"/>
          <w:sz w:val="28"/>
          <w:szCs w:val="28"/>
        </w:rPr>
      </w:r>
      <w:r/>
    </w:p>
    <w:p>
      <w:pPr>
        <w:pStyle w:val="736"/>
        <w:jc w:val="left"/>
        <w:keepLines w:val="0"/>
        <w:keepNext w:val="0"/>
        <w:spacing w:before="0" w:after="0" w:line="360" w:lineRule="auto"/>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2.7扩展性要求</w:t>
      </w:r>
      <w:r>
        <w:rPr>
          <w:rFonts w:hint="eastAsia" w:ascii="方正仿宋_GBK" w:hAnsi="方正仿宋_GBK" w:eastAsia="方正仿宋_GBK" w:cs="方正仿宋_GBK"/>
          <w:sz w:val="28"/>
          <w:szCs w:val="28"/>
          <w:shd w:val="clear" w:color="auto" w:fill="ffffff"/>
        </w:rPr>
      </w:r>
      <w:r/>
    </w:p>
    <w:p>
      <w:pPr>
        <w:pStyle w:val="734"/>
        <w:ind w:right="-57" w:firstLine="567"/>
        <w:spacing w:line="360" w:lineRule="auto"/>
        <w:tabs>
          <w:tab w:val="left" w:pos="9498"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预留标准化接口，支持功能升级与模块扩展，支持自定义工作流程，适配医院规模扩大、管理模式调整及分院区扩展。</w:t>
      </w:r>
      <w:r>
        <w:rPr>
          <w:rFonts w:hint="eastAsia" w:ascii="方正仿宋_GBK" w:hAnsi="方正仿宋_GBK" w:eastAsia="方正仿宋_GBK" w:cs="方正仿宋_GBK"/>
          <w:sz w:val="28"/>
          <w:szCs w:val="28"/>
        </w:rPr>
      </w:r>
      <w:r/>
    </w:p>
    <w:p>
      <w:pPr>
        <w:pStyle w:val="736"/>
        <w:jc w:val="left"/>
        <w:keepLines w:val="0"/>
        <w:keepNext w:val="0"/>
        <w:spacing w:before="0" w:after="0" w:line="360" w:lineRule="auto"/>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2.8接口与集成要求</w:t>
      </w:r>
      <w:r>
        <w:rPr>
          <w:rFonts w:hint="eastAsia" w:ascii="方正仿宋_GBK" w:hAnsi="方正仿宋_GBK" w:eastAsia="方正仿宋_GBK" w:cs="方正仿宋_GBK"/>
          <w:sz w:val="28"/>
          <w:szCs w:val="28"/>
          <w:shd w:val="clear" w:color="auto" w:fill="ffffff"/>
        </w:rPr>
      </w:r>
      <w:r/>
    </w:p>
    <w:p>
      <w:pPr>
        <w:pStyle w:val="734"/>
        <w:ind w:right="-57" w:firstLine="567"/>
        <w:spacing w:line="360" w:lineRule="auto"/>
        <w:tabs>
          <w:tab w:val="left" w:pos="9498"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系统需集成数据来源包括HIS、EMR、物流管理系统、ODS数据库、成本核算系统、全院运营管理系统、静脉配液系统、合理用药系统、门诊移动配方系统、药品追溯系统、煎药煎膏系统、互联网医院、闭环平台。</w:t>
      </w:r>
      <w:r>
        <w:rPr>
          <w:rFonts w:hint="eastAsia" w:ascii="方正仿宋_GBK" w:hAnsi="方正仿宋_GBK" w:eastAsia="方正仿宋_GBK" w:cs="方正仿宋_GBK"/>
          <w:sz w:val="28"/>
          <w:szCs w:val="28"/>
        </w:rPr>
      </w:r>
      <w:r/>
    </w:p>
    <w:p>
      <w:pPr>
        <w:pStyle w:val="734"/>
        <w:ind w:right="-57" w:firstLine="567"/>
        <w:spacing w:line="360" w:lineRule="auto"/>
        <w:tabs>
          <w:tab w:val="left" w:pos="9498"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供应商应根据医院数据管理的要求或数据对接方式的变更无偿配合医院完成数据对接调整，保证获取数据的准确完整及前端应用稳定运行。</w:t>
      </w:r>
      <w:r>
        <w:rPr>
          <w:rFonts w:hint="eastAsia" w:ascii="方正仿宋_GBK" w:hAnsi="方正仿宋_GBK" w:eastAsia="方正仿宋_GBK" w:cs="方正仿宋_GBK"/>
          <w:sz w:val="28"/>
          <w:szCs w:val="28"/>
        </w:rPr>
      </w:r>
      <w:r/>
    </w:p>
    <w:p>
      <w:pPr>
        <w:pStyle w:val="734"/>
        <w:ind w:right="-57" w:firstLine="567"/>
        <w:spacing w:line="360" w:lineRule="auto"/>
        <w:tabs>
          <w:tab w:val="left" w:pos="9498"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据接口应遵循医疗行业或国际通用的数据交换标准（如HL7、DICOM、FHIR等），以确保数据的标准化和与其他系统的兼容性。数据接口应采用加密技术（如SSL/TLS）保护数据传输过程中的安全性，同时实施严格的身份认证和访问控制机制，确保只有授权用户能够访问敏感数据。数据接口应具备高可用性和容错能力，确保在高峰时段或系统故障时仍能保持稳定运行，不丢失数据。</w:t>
      </w:r>
      <w:r>
        <w:rPr>
          <w:rFonts w:hint="eastAsia" w:ascii="方正仿宋_GBK" w:hAnsi="方正仿宋_GBK" w:eastAsia="方正仿宋_GBK" w:cs="方正仿宋_GBK"/>
          <w:sz w:val="28"/>
          <w:szCs w:val="28"/>
        </w:rPr>
      </w:r>
      <w:r/>
    </w:p>
    <w:p>
      <w:pPr>
        <w:pStyle w:val="734"/>
        <w:numPr>
          <w:ilvl w:val="0"/>
          <w:numId w:val="4"/>
        </w:numPr>
        <w:ind w:firstLine="562"/>
        <w:spacing w:line="440" w:lineRule="exact"/>
        <w:rPr>
          <w:rFonts w:hint="eastAsia" w:ascii="方正楷体_GB2312" w:hAnsi="方正楷体_GB2312" w:eastAsia="方正楷体_GB2312" w:cs="方正楷体_GB2312"/>
          <w:b/>
          <w:bCs/>
          <w:sz w:val="28"/>
          <w:szCs w:val="28"/>
        </w:rPr>
      </w:pPr>
      <w:r>
        <w:rPr>
          <w:rFonts w:hint="eastAsia" w:ascii="方正楷体_GB2312" w:hAnsi="方正楷体_GB2312" w:eastAsia="方正楷体_GB2312" w:cs="方正楷体_GB2312"/>
          <w:b/>
          <w:bCs/>
          <w:sz w:val="28"/>
          <w:szCs w:val="28"/>
        </w:rPr>
        <w:t xml:space="preserve">需求明细</w:t>
      </w:r>
      <w:r>
        <w:rPr>
          <w:rFonts w:hint="eastAsia" w:ascii="方正楷体_GB2312" w:hAnsi="方正楷体_GB2312" w:eastAsia="方正楷体_GB2312" w:cs="方正楷体_GB2312"/>
          <w:b/>
          <w:bCs/>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系统须在三级</w:t>
      </w:r>
      <w:r>
        <w:rPr>
          <w:rFonts w:hint="eastAsia" w:ascii="方正仿宋_GBK" w:hAnsi="方正仿宋_GBK" w:eastAsia="方正仿宋_GBK" w:cs="方正仿宋_GBK"/>
          <w:sz w:val="28"/>
          <w:szCs w:val="28"/>
        </w:rPr>
        <w:t xml:space="preserve">甲等医院、国家三级公立医院绩效考</w:t>
      </w:r>
      <w:r>
        <w:rPr>
          <w:rFonts w:hint="eastAsia" w:ascii="方正仿宋_GBK" w:hAnsi="方正仿宋_GBK" w:eastAsia="方正仿宋_GBK" w:cs="方正仿宋_GBK"/>
          <w:sz w:val="28"/>
          <w:szCs w:val="28"/>
        </w:rPr>
        <w:t xml:space="preserve">核（“国考”）等通用指标基础上重点强化国考口径对标与中医药特色指标（如中药饮片使用率、门诊中药处方比例等）的统计与分析能力。系统支持多院区数据汇总与独立核算并行，满足医院多院区一体化管理需求；提供灵活的自定义指标扩展能力，支持医院根据业务发展持续新增统计维度与指标口径。</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trike/>
          <w:sz w:val="28"/>
          <w:szCs w:val="28"/>
        </w:rPr>
      </w:pPr>
      <w:r>
        <w:rPr>
          <w:rFonts w:hint="eastAsia" w:ascii="方正仿宋_GBK" w:hAnsi="方正仿宋_GBK" w:eastAsia="方正仿宋_GBK" w:cs="方正仿宋_GBK"/>
          <w:sz w:val="28"/>
          <w:szCs w:val="28"/>
        </w:rPr>
        <w:t xml:space="preserve">系统各模块默认支持科室、医生、医疗组、患者、病区等维度的自由筛选；支持时间维度的自由筛选，包括自定义起止日期、按月/季/年汇总、同比环比计算；支持按药品通用名、商品名、剂型、采购方式、药理作用分类，等进行筛选，并可以按医院统计口径剔除特定药品，剔除规则支持自定义配置；支持多维度交叉分析与数据穿透查询，实现从汇总数据到明细处方的逐层分析，支持自定义排名数量、并对异动药品进行分级分颜色标记。</w:t>
      </w:r>
      <w:r>
        <w:rPr>
          <w:rFonts w:hint="eastAsia" w:ascii="方正仿宋_GBK" w:hAnsi="方正仿宋_GBK" w:eastAsia="方正仿宋_GBK" w:cs="方正仿宋_GBK"/>
          <w:strike/>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系统具备完善的权限管控体系，支持院级、科室级、医疗组级、医生级多层级数据权限隔离；提供统一的导出与打印功能，支持Excel、PDF等常见格式输出，确保数据可追溯、可审计。</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以下为具体需求清单：</w:t>
      </w:r>
      <w:r>
        <w:rPr>
          <w:rFonts w:hint="eastAsia" w:ascii="方正仿宋_GBK" w:hAnsi="方正仿宋_GBK" w:eastAsia="方正仿宋_GBK" w:cs="方正仿宋_GBK"/>
          <w:sz w:val="28"/>
          <w:szCs w:val="28"/>
        </w:rPr>
      </w:r>
      <w:r/>
    </w:p>
    <w:p>
      <w:pPr>
        <w:pStyle w:val="737"/>
        <w:jc w:val="left"/>
        <w:keepLines w:val="0"/>
        <w:keepNext w:val="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3.1用药经济主题</w:t>
      </w:r>
      <w:r>
        <w:rPr>
          <w:rFonts w:hint="eastAsia" w:ascii="方正仿宋_GBK" w:hAnsi="方正仿宋_GBK" w:eastAsia="方正仿宋_GBK" w:cs="方正仿宋_GBK"/>
          <w:sz w:val="28"/>
          <w:szCs w:val="28"/>
        </w:rPr>
      </w:r>
      <w:r/>
    </w:p>
    <w:p>
      <w:pPr>
        <w:pStyle w:val="738"/>
        <w:jc w:val="left"/>
        <w:keepLines w:val="0"/>
        <w:keepNext w:val="0"/>
        <w:spacing w:before="120" w:after="120" w:line="360" w:lineRule="auto"/>
        <w:rPr>
          <w:rFonts w:hint="eastAsia" w:ascii="方正仿宋_GBK" w:hAnsi="方正仿宋_GBK" w:eastAsia="方正仿宋_GBK" w:cs="方正仿宋_GBK"/>
        </w:rPr>
      </w:pPr>
      <w:r>
        <w:rPr>
          <w:rFonts w:hint="eastAsia" w:ascii="方正仿宋_GBK" w:hAnsi="方正仿宋_GBK" w:eastAsia="方正仿宋_GBK" w:cs="方正仿宋_GBK"/>
        </w:rPr>
        <w:t xml:space="preserve">3.1.1 药占比</w:t>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门急诊药占比：</w:t>
      </w:r>
      <w:r>
        <w:rPr>
          <w:rFonts w:hint="eastAsia" w:ascii="方正仿宋_GBK" w:hAnsi="方正仿宋_GBK" w:eastAsia="方正仿宋_GBK" w:cs="方正仿宋_GBK"/>
          <w:sz w:val="28"/>
          <w:szCs w:val="28"/>
        </w:rPr>
        <w:t xml:space="preserve">按科室、医生等维度统计门急诊药品费用占门急诊收入比例；支持目标值设定、同比环比对比，并按达标/预警/超限以绿/黄</w:t>
      </w:r>
      <w:r>
        <w:rPr>
          <w:rFonts w:hint="eastAsia" w:ascii="方正仿宋_GBK" w:hAnsi="方正仿宋_GBK" w:eastAsia="方正仿宋_GBK" w:cs="方正仿宋_GBK"/>
          <w:sz w:val="28"/>
          <w:szCs w:val="28"/>
        </w:rPr>
        <w:t xml:space="preserve">/红标注；提供按月度、季度的趋势分析图，支持数据分析至处方明细。</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出院药占比：</w:t>
      </w:r>
      <w:r>
        <w:rPr>
          <w:rFonts w:hint="eastAsia" w:ascii="方正仿宋_GBK" w:hAnsi="方正仿宋_GBK" w:eastAsia="方正仿宋_GBK" w:cs="方正仿宋_GBK"/>
          <w:sz w:val="28"/>
          <w:szCs w:val="28"/>
        </w:rPr>
        <w:t xml:space="preserve">按科室、医疗组、医生、患者、病区等维度统计出院患者药品费用占出院收入比例；支持目标值对比、同比环比与颜色标注；支持多院区数据合并汇总与分院区独立核算双模式，满足院区间横向对比需求。</w:t>
      </w:r>
      <w:r>
        <w:rPr>
          <w:rFonts w:hint="eastAsia" w:ascii="方正仿宋_GBK" w:hAnsi="方正仿宋_GBK" w:eastAsia="方正仿宋_GBK" w:cs="方正仿宋_GBK"/>
          <w:sz w:val="28"/>
          <w:szCs w:val="28"/>
        </w:rPr>
      </w:r>
      <w:r/>
    </w:p>
    <w:p>
      <w:pPr>
        <w:pStyle w:val="738"/>
        <w:jc w:val="left"/>
        <w:keepLines w:val="0"/>
        <w:keepNext w:val="0"/>
        <w:spacing w:before="120" w:after="120" w:line="360" w:lineRule="auto"/>
        <w:rPr>
          <w:rFonts w:hint="eastAsia" w:ascii="方正仿宋_GBK" w:hAnsi="方正仿宋_GBK" w:eastAsia="方正仿宋_GBK" w:cs="方正仿宋_GBK"/>
        </w:rPr>
      </w:pPr>
      <w:r>
        <w:rPr>
          <w:rFonts w:hint="eastAsia" w:ascii="方正仿宋_GBK" w:hAnsi="方正仿宋_GBK" w:eastAsia="方正仿宋_GBK" w:cs="方正仿宋_GBK"/>
        </w:rPr>
        <w:t xml:space="preserve">3.1.2均次费用</w:t>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门急诊均次费用：</w:t>
      </w:r>
      <w:r>
        <w:rPr>
          <w:rFonts w:hint="eastAsia" w:ascii="方正仿宋_GBK" w:hAnsi="方正仿宋_GBK" w:eastAsia="方正仿宋_GBK" w:cs="方正仿宋_GBK"/>
          <w:sz w:val="28"/>
          <w:szCs w:val="28"/>
        </w:rPr>
        <w:t xml:space="preserve">按科室、医生等维度统计门急诊患者均次药品费用；支持目标值与同比环比对比；提供均次费用趋势图，支持按时间段筛选与异常波动自动标注。</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出院均次费用：</w:t>
      </w:r>
      <w:r>
        <w:rPr>
          <w:rFonts w:hint="eastAsia" w:ascii="方正仿宋_GBK" w:hAnsi="方正仿宋_GBK" w:eastAsia="方正仿宋_GBK" w:cs="方正仿宋_GBK"/>
          <w:sz w:val="28"/>
          <w:szCs w:val="28"/>
        </w:rPr>
        <w:t xml:space="preserve">按科室、医疗组、医生、病区等维度统计出院患者均次药品费用；支持目标值</w:t>
      </w:r>
      <w:r>
        <w:rPr>
          <w:rFonts w:hint="eastAsia" w:ascii="方正仿宋_GBK" w:hAnsi="方正仿宋_GBK" w:eastAsia="方正仿宋_GBK" w:cs="方正仿宋_GBK"/>
          <w:sz w:val="28"/>
          <w:szCs w:val="28"/>
        </w:rPr>
        <w:t xml:space="preserve">与同比环比对比；支持按出院日期、住院天数等维度交叉分析，提供费用异常预警功能。</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麻醉科手术开单药费：</w:t>
      </w:r>
      <w:r>
        <w:rPr>
          <w:rFonts w:hint="eastAsia" w:ascii="方正仿宋_GBK" w:hAnsi="方正仿宋_GBK" w:eastAsia="方正仿宋_GBK" w:cs="方正仿宋_GBK"/>
          <w:sz w:val="28"/>
          <w:szCs w:val="28"/>
        </w:rPr>
        <w:t xml:space="preserve">专项统计麻醉科室手术开单药品费用，支持按手术、医生、药品明细穿透查询；支持按手术类别、麻醉方式等维度分类汇总，提供麻醉药品使用合理性分析参考；</w:t>
      </w:r>
      <w:r>
        <w:rPr>
          <w:rFonts w:hint="eastAsia" w:ascii="方正仿宋_GBK" w:hAnsi="方正仿宋_GBK" w:eastAsia="方正仿宋_GBK" w:cs="方正仿宋_GBK"/>
          <w:sz w:val="28"/>
          <w:szCs w:val="28"/>
        </w:rPr>
      </w:r>
      <w:r/>
    </w:p>
    <w:p>
      <w:pPr>
        <w:pStyle w:val="738"/>
        <w:jc w:val="left"/>
        <w:keepLines w:val="0"/>
        <w:keepNext w:val="0"/>
        <w:spacing w:before="120" w:after="120" w:line="360" w:lineRule="auto"/>
        <w:rPr>
          <w:rFonts w:hint="eastAsia" w:ascii="方正仿宋_GBK" w:hAnsi="方正仿宋_GBK" w:eastAsia="方正仿宋_GBK" w:cs="方正仿宋_GBK"/>
        </w:rPr>
      </w:pPr>
      <w:r>
        <w:rPr>
          <w:rFonts w:hint="eastAsia" w:ascii="方正仿宋_GBK" w:hAnsi="方正仿宋_GBK" w:eastAsia="方正仿宋_GBK" w:cs="方正仿宋_GBK"/>
        </w:rPr>
        <w:t xml:space="preserve">3.1.3药品金额占比</w:t>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门急诊药品金额占比：</w:t>
      </w:r>
      <w:r>
        <w:rPr>
          <w:rFonts w:hint="eastAsia" w:ascii="方正仿宋_GBK" w:hAnsi="方正仿宋_GBK" w:eastAsia="方正仿宋_GBK" w:cs="方正仿宋_GBK"/>
          <w:sz w:val="28"/>
          <w:szCs w:val="28"/>
        </w:rPr>
        <w:t xml:space="preserve">按科室、医生维度统计门急诊基本药物、抗菌药物、抗肿瘤药物、辅助用药、重点监控药品、国谈药品等各类药品金额占比；重点监控药品目录支持医院自行批量维护；提供各类药品占比的同比环比对比与趋势分析图。</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出院药品金额占比：</w:t>
      </w:r>
      <w:r>
        <w:rPr>
          <w:rFonts w:hint="eastAsia" w:ascii="方正仿宋_GBK" w:hAnsi="方正仿宋_GBK" w:eastAsia="方正仿宋_GBK" w:cs="方正仿宋_GBK"/>
          <w:sz w:val="28"/>
          <w:szCs w:val="28"/>
        </w:rPr>
        <w:t xml:space="preserve">按科室、医疗组、</w:t>
      </w:r>
      <w:r>
        <w:rPr>
          <w:rFonts w:hint="eastAsia" w:ascii="方正仿宋_GBK" w:hAnsi="方正仿宋_GBK" w:eastAsia="方正仿宋_GBK" w:cs="方正仿宋_GBK"/>
          <w:sz w:val="28"/>
          <w:szCs w:val="28"/>
        </w:rPr>
        <w:t xml:space="preserve">医生、病区维度统计出院各类药品（基本药物、抗菌药物、抗肿瘤药物、辅助用药、重点监控药品、国谈药品等）金额占比；重点监控药品目录支持自维护，支持按出院科室排名与超标预警，提供药品结构合理性分析。</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特殊药品金额统计：</w:t>
      </w:r>
      <w:r>
        <w:rPr>
          <w:rFonts w:hint="eastAsia" w:ascii="方正仿宋_GBK" w:hAnsi="方正仿宋_GBK" w:eastAsia="方正仿宋_GBK" w:cs="方正仿宋_GBK"/>
          <w:sz w:val="28"/>
          <w:szCs w:val="28"/>
        </w:rPr>
        <w:t xml:space="preserve">统计长处方、本院制剂、罕见病（关联病种）药品金额，支持按药品、科室专项细分与排名；支持按药品通用名、商品名、时间段等维度交叉筛选；提供金额排名与趋势分析图，支持药品使用合理性分析，目标值对标与同比环比对比，提供超标预警功能。</w:t>
      </w:r>
      <w:r>
        <w:rPr>
          <w:rFonts w:hint="eastAsia" w:ascii="方正仿宋_GBK" w:hAnsi="方正仿宋_GBK" w:eastAsia="方正仿宋_GBK" w:cs="方正仿宋_GBK"/>
          <w:sz w:val="28"/>
          <w:szCs w:val="28"/>
        </w:rPr>
      </w:r>
      <w:r/>
    </w:p>
    <w:p>
      <w:pPr>
        <w:pStyle w:val="738"/>
        <w:jc w:val="left"/>
        <w:keepLines w:val="0"/>
        <w:keepNext w:val="0"/>
        <w:spacing w:before="120" w:after="120" w:line="360" w:lineRule="auto"/>
        <w:rPr>
          <w:rFonts w:hint="eastAsia" w:ascii="方正仿宋_GBK" w:hAnsi="方正仿宋_GBK" w:eastAsia="方正仿宋_GBK" w:cs="方正仿宋_GBK"/>
        </w:rPr>
      </w:pPr>
      <w:r>
        <w:rPr>
          <w:rFonts w:hint="eastAsia" w:ascii="方正仿宋_GBK" w:hAnsi="方正仿宋_GBK" w:eastAsia="方正仿宋_GBK" w:cs="方正仿宋_GBK"/>
        </w:rPr>
        <w:t xml:space="preserve">3.1.4药品销售情况</w:t>
      </w:r>
      <w:r/>
    </w:p>
    <w:p>
      <w:pPr>
        <w:pStyle w:val="734"/>
        <w:ind w:firstLine="50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药品销售排名：</w:t>
      </w:r>
      <w:r>
        <w:rPr>
          <w:rFonts w:hint="eastAsia" w:ascii="方正仿宋_GBK" w:hAnsi="方正仿宋_GBK" w:eastAsia="方正仿宋_GBK" w:cs="方正仿宋_GBK"/>
          <w:sz w:val="28"/>
          <w:szCs w:val="28"/>
        </w:rPr>
        <w:t xml:space="preserve">统计全院药品销售金额及数量排名；支持按患者来源（门诊、急诊、住院等）、药品类型（西药、中成药、自制剂、中药饮片等）、通用名、商品名、剂型、科室等维度交叉筛选；提供金额与数量双维度排名对比，支持按时间段同比环比分析；支持按月度、季度、年度多周期展示，并提供排名变化趋势图。</w:t>
      </w:r>
      <w:r>
        <w:rPr>
          <w:rFonts w:hint="eastAsia" w:ascii="方正仿宋_GBK" w:hAnsi="方正仿宋_GBK" w:eastAsia="方正仿宋_GBK" w:cs="方正仿宋_GBK"/>
          <w:sz w:val="28"/>
          <w:szCs w:val="28"/>
        </w:rPr>
      </w:r>
      <w:r/>
    </w:p>
    <w:p>
      <w:pPr>
        <w:pStyle w:val="734"/>
        <w:ind w:firstLine="50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抗菌药物销售排名：</w:t>
      </w:r>
      <w:r>
        <w:rPr>
          <w:rFonts w:hint="eastAsia" w:ascii="方正仿宋_GBK" w:hAnsi="方正仿宋_GBK" w:eastAsia="方正仿宋_GBK" w:cs="方正仿宋_GBK"/>
          <w:sz w:val="28"/>
          <w:szCs w:val="28"/>
        </w:rPr>
        <w:t xml:space="preserve">统计全院抗菌药物销售金额及数量排名；支持按患者来源（门诊、急诊、住院等），支持按药品通用名、商品名、剂型、科室等维度交叉筛选；提供金额与数量双维度排名对比，支持排名变化趋势分析。</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重点监控药品销售排名：</w:t>
      </w:r>
      <w:r>
        <w:rPr>
          <w:rFonts w:hint="eastAsia" w:ascii="方正仿宋_GBK" w:hAnsi="方正仿宋_GBK" w:eastAsia="方正仿宋_GBK" w:cs="方正仿宋_GBK"/>
          <w:sz w:val="28"/>
          <w:szCs w:val="28"/>
        </w:rPr>
        <w:t xml:space="preserve">统计全院重点监控药品销售金额及数量排</w:t>
      </w:r>
      <w:r>
        <w:rPr>
          <w:rFonts w:hint="eastAsia" w:ascii="方正仿宋_GBK" w:hAnsi="方正仿宋_GBK" w:eastAsia="方正仿宋_GBK" w:cs="方正仿宋_GBK"/>
          <w:sz w:val="28"/>
          <w:szCs w:val="28"/>
        </w:rPr>
        <w:t xml:space="preserve">名；支持医院自定义重</w:t>
      </w:r>
      <w:r>
        <w:rPr>
          <w:rFonts w:hint="eastAsia" w:ascii="方正仿宋_GBK" w:hAnsi="方正仿宋_GBK" w:eastAsia="方正仿宋_GBK" w:cs="方正仿宋_GBK"/>
          <w:sz w:val="28"/>
          <w:szCs w:val="28"/>
        </w:rPr>
        <w:t xml:space="preserve">点监控药品目录，可按药品名称、科室、医生等维度交叉筛选；提供金额与数量双维度排名对比，并对异常增长药品自动标注预警。</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药品销售科室排名：</w:t>
      </w:r>
      <w:r>
        <w:rPr>
          <w:rFonts w:hint="eastAsia" w:ascii="方正仿宋_GBK" w:hAnsi="方正仿宋_GBK" w:eastAsia="方正仿宋_GBK" w:cs="方正仿宋_GBK"/>
          <w:sz w:val="28"/>
          <w:szCs w:val="28"/>
        </w:rPr>
        <w:t xml:space="preserve">统计药品金额对科室的金额及数量排名；支持按药品类别、时间段等维度筛选；提供科室排名变化趋势图，支持科室间横向对比分析；支持按月度、季度、年度多周期展示，并提供同比环比自动计算。</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门急诊药费统计：</w:t>
      </w:r>
      <w:r>
        <w:rPr>
          <w:rFonts w:hint="eastAsia" w:ascii="方正仿宋_GBK" w:hAnsi="方正仿宋_GBK" w:eastAsia="方正仿宋_GBK" w:cs="方正仿宋_GBK"/>
          <w:sz w:val="28"/>
          <w:szCs w:val="28"/>
        </w:rPr>
        <w:t xml:space="preserve">统计门急诊患者药品数量、药品总金额、中药饮片金额、中药饮片门诊均次费用、中药饮片金额占比、国谈药品金额等；支持按科室、医生、就诊日期等维度交叉筛选；提供同比环比对比与趋势分析图，支持药品费用结构分析；支持按月度、季度、年度多周期展示，并提供费用异常波动预警。</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出院药费统计：</w:t>
      </w:r>
      <w:r>
        <w:rPr>
          <w:rFonts w:hint="eastAsia" w:ascii="方正仿宋_GBK" w:hAnsi="方正仿宋_GBK" w:eastAsia="方正仿宋_GBK" w:cs="方正仿宋_GBK"/>
          <w:sz w:val="28"/>
          <w:szCs w:val="28"/>
        </w:rPr>
        <w:t xml:space="preserve">统计出院患者药品数量、药品总金额、草药金额、国谈金额等；支持按科室、病区、出院日期等维度交叉筛选；提供同比环比对比与趋势分析图，支持药品费用结构分析；支持按月度、季度、年度多周期展示，并提供费用异常波动预警。</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药品采购统计:</w:t>
      </w:r>
      <w:r>
        <w:rPr>
          <w:rFonts w:hint="eastAsia" w:ascii="方正仿宋_GBK" w:hAnsi="方正仿宋_GBK" w:eastAsia="方正仿宋_GBK" w:cs="方正仿宋_GBK"/>
          <w:sz w:val="28"/>
          <w:szCs w:val="28"/>
        </w:rPr>
        <w:t xml:space="preserve">统计药品采购情况，支持按供货公司、账簿类别、药品品种等维度进行筛选，支持对进货金额、品种占比等数据进行分类与汇总统计；提供同比环比对比与趋势分析图。</w:t>
      </w:r>
      <w:r>
        <w:rPr>
          <w:rFonts w:hint="eastAsia" w:ascii="方正仿宋_GBK" w:hAnsi="方正仿宋_GBK" w:eastAsia="方正仿宋_GBK" w:cs="方正仿宋_GBK"/>
          <w:sz w:val="28"/>
          <w:szCs w:val="28"/>
        </w:rPr>
      </w:r>
      <w:r/>
    </w:p>
    <w:p>
      <w:pPr>
        <w:pStyle w:val="737"/>
        <w:jc w:val="left"/>
        <w:keepLines w:val="0"/>
        <w:keepNext w:val="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3.2临床用药主</w:t>
      </w:r>
      <w:r>
        <w:rPr>
          <w:rFonts w:hint="eastAsia" w:ascii="方正仿宋_GBK" w:hAnsi="方正仿宋_GBK" w:eastAsia="方正仿宋_GBK" w:cs="方正仿宋_GBK"/>
          <w:sz w:val="28"/>
          <w:szCs w:val="28"/>
        </w:rPr>
        <w:t xml:space="preserve">题</w:t>
      </w:r>
      <w:r>
        <w:rPr>
          <w:rFonts w:hint="eastAsia" w:ascii="方正仿宋_GBK" w:hAnsi="方正仿宋_GBK" w:eastAsia="方正仿宋_GBK" w:cs="方正仿宋_GBK"/>
          <w:sz w:val="28"/>
          <w:szCs w:val="28"/>
        </w:rPr>
      </w:r>
      <w:r/>
    </w:p>
    <w:p>
      <w:pPr>
        <w:pStyle w:val="738"/>
        <w:jc w:val="left"/>
        <w:keepLines w:val="0"/>
        <w:keepNext w:val="0"/>
        <w:spacing w:before="120" w:after="120" w:line="360" w:lineRule="auto"/>
        <w:rPr>
          <w:rFonts w:hint="eastAsia" w:ascii="方正仿宋_GBK" w:hAnsi="方正仿宋_GBK" w:eastAsia="方正仿宋_GBK" w:cs="方正仿宋_GBK"/>
        </w:rPr>
      </w:pPr>
      <w:r>
        <w:rPr>
          <w:rFonts w:hint="eastAsia" w:ascii="方正仿宋_GBK" w:hAnsi="方正仿宋_GBK" w:eastAsia="方正仿宋_GBK" w:cs="方正仿宋_GBK"/>
        </w:rPr>
        <w:t xml:space="preserve">3.2.1药品使用率</w:t>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门急</w:t>
      </w:r>
      <w:r>
        <w:rPr>
          <w:rFonts w:hint="eastAsia" w:ascii="方正仿宋_GBK" w:hAnsi="方正仿宋_GBK" w:eastAsia="方正仿宋_GBK" w:cs="方正仿宋_GBK"/>
          <w:b/>
          <w:bCs/>
          <w:sz w:val="28"/>
          <w:szCs w:val="28"/>
        </w:rPr>
        <w:t xml:space="preserve">诊药品使用率：</w:t>
      </w:r>
      <w:r>
        <w:rPr>
          <w:rFonts w:hint="eastAsia" w:ascii="方正仿宋_GBK" w:hAnsi="方正仿宋_GBK" w:eastAsia="方正仿宋_GBK" w:cs="方正仿宋_GBK"/>
          <w:sz w:val="28"/>
          <w:szCs w:val="28"/>
        </w:rPr>
        <w:t xml:space="preserve">按科室、医生等维度统计门急诊抗菌药物、基本药物、静脉用药、静脉输液、糖皮质激素静脉用药、特殊使用级抗菌药物、PPI静脉用药等药品使用人次占比；支持目标值对标与同比环比对比，提供超标预警功能。</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门诊中药饮片使用率：</w:t>
      </w:r>
      <w:r>
        <w:rPr>
          <w:rFonts w:hint="eastAsia" w:ascii="方正仿宋_GBK" w:hAnsi="方正仿宋_GBK" w:eastAsia="方正仿宋_GBK" w:cs="方正仿宋_GBK"/>
          <w:sz w:val="28"/>
          <w:szCs w:val="28"/>
        </w:rPr>
        <w:t xml:space="preserve">门诊中药饮片使用率统计门诊使用中药饮片人次占门诊总人次比例（中医医院国考核心特色指标）；支持按科室、医生维度统计，提供目标值对标与同比环比；提供国考指标趋势图与达标情况标注，支持中药饮片使用合理性分析。</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出院中药饮片使用率：</w:t>
      </w:r>
      <w:r>
        <w:rPr>
          <w:rFonts w:hint="eastAsia" w:ascii="方正仿宋_GBK" w:hAnsi="方正仿宋_GBK" w:eastAsia="方正仿宋_GBK" w:cs="方正仿宋_GBK"/>
          <w:sz w:val="28"/>
          <w:szCs w:val="28"/>
        </w:rPr>
        <w:t xml:space="preserve">统计出院患者用中药饮片人次占出院总人次比例（中医</w:t>
      </w:r>
      <w:r>
        <w:rPr>
          <w:rFonts w:hint="eastAsia" w:ascii="方正仿宋_GBK" w:hAnsi="方正仿宋_GBK" w:eastAsia="方正仿宋_GBK" w:cs="方正仿宋_GBK"/>
          <w:sz w:val="28"/>
          <w:szCs w:val="28"/>
        </w:rPr>
        <w:t xml:space="preserve">医院国考核心特色指标）；支持按科室、医疗组、病区维度统计，提供目标值对标与同比环比；提供国考指标趋势图与达标情况标注，支持中药饮片使用合理性分析。</w:t>
      </w:r>
      <w:r>
        <w:rPr>
          <w:rFonts w:hint="eastAsia" w:ascii="方正仿宋_GBK" w:hAnsi="方正仿宋_GBK" w:eastAsia="方正仿宋_GBK" w:cs="方正仿宋_GBK"/>
          <w:sz w:val="28"/>
          <w:szCs w:val="28"/>
        </w:rPr>
      </w:r>
      <w:r/>
    </w:p>
    <w:p>
      <w:pPr>
        <w:pStyle w:val="738"/>
        <w:jc w:val="left"/>
        <w:keepLines w:val="0"/>
        <w:keepNext w:val="0"/>
        <w:spacing w:before="120" w:after="120" w:line="360" w:lineRule="auto"/>
        <w:rPr>
          <w:rFonts w:hint="eastAsia" w:ascii="方正仿宋_GBK" w:hAnsi="方正仿宋_GBK" w:eastAsia="方正仿宋_GBK" w:cs="方正仿宋_GBK"/>
        </w:rPr>
      </w:pPr>
      <w:r>
        <w:rPr>
          <w:rFonts w:hint="eastAsia" w:ascii="方正仿宋_GBK" w:hAnsi="方正仿宋_GBK" w:eastAsia="方正仿宋_GBK" w:cs="方正仿宋_GBK"/>
        </w:rPr>
        <w:t xml:space="preserve">3.2.2处方分析</w:t>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科室处方使用率：</w:t>
      </w:r>
      <w:r>
        <w:rPr>
          <w:rFonts w:hint="eastAsia" w:ascii="方正仿宋_GBK" w:hAnsi="方正仿宋_GBK" w:eastAsia="方正仿宋_GBK" w:cs="方正仿宋_GBK"/>
          <w:sz w:val="28"/>
          <w:szCs w:val="28"/>
        </w:rPr>
        <w:t xml:space="preserve">统计各科室门急诊基本药物处方、抗菌药物静脉用药处方、糖皮质激素静脉用药处方等数量及比例；支持按科室、医生、处方类别等维度交叉筛选；提供处方合理性分析参考，支持超标预警与趋势分析。</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门诊中药处方比例：</w:t>
      </w:r>
      <w:r>
        <w:rPr>
          <w:rFonts w:hint="eastAsia" w:ascii="方正仿宋_GBK" w:hAnsi="方正仿宋_GBK" w:eastAsia="方正仿宋_GBK" w:cs="方正仿宋_GBK"/>
          <w:sz w:val="28"/>
          <w:szCs w:val="28"/>
        </w:rPr>
        <w:t xml:space="preserve">统计门诊中药处方数占门诊处方总数比例，以及门诊散装中药饮片与小包装中药饮片处方比例（国考监测指标）；支持按科室、医生维度统计；提供国考指标趋势图</w:t>
      </w:r>
      <w:r>
        <w:rPr>
          <w:rFonts w:hint="eastAsia" w:ascii="方正仿宋_GBK" w:hAnsi="方正仿宋_GBK" w:eastAsia="方正仿宋_GBK" w:cs="方正仿宋_GBK"/>
          <w:sz w:val="28"/>
          <w:szCs w:val="28"/>
        </w:rPr>
        <w:t xml:space="preserve">与达标情况标注，支持中药处方合理性分析。</w:t>
      </w:r>
      <w:r>
        <w:rPr>
          <w:rFonts w:hint="eastAsia" w:ascii="方正仿宋_GBK" w:hAnsi="方正仿宋_GBK" w:eastAsia="方正仿宋_GBK" w:cs="方正仿宋_GBK"/>
          <w:b/>
          <w:bCs/>
          <w:sz w:val="28"/>
          <w:szCs w:val="28"/>
        </w:rPr>
      </w:r>
      <w:r/>
    </w:p>
    <w:p>
      <w:pPr>
        <w:pStyle w:val="738"/>
        <w:jc w:val="left"/>
        <w:keepLines w:val="0"/>
        <w:keepNext w:val="0"/>
        <w:spacing w:before="120" w:after="120" w:line="360" w:lineRule="auto"/>
        <w:rPr>
          <w:rFonts w:hint="eastAsia" w:ascii="方正仿宋_GBK" w:hAnsi="方正仿宋_GBK" w:eastAsia="方正仿宋_GBK" w:cs="方正仿宋_GBK"/>
        </w:rPr>
      </w:pPr>
      <w:r>
        <w:rPr>
          <w:rFonts w:hint="eastAsia" w:ascii="方正仿宋_GBK" w:hAnsi="方正仿宋_GBK" w:eastAsia="方正仿宋_GBK" w:cs="方正仿宋_GBK"/>
        </w:rPr>
        <w:t xml:space="preserve">3.2.3药品品种数</w:t>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门急诊药品品种数比例：</w:t>
      </w:r>
      <w:r>
        <w:rPr>
          <w:rFonts w:hint="eastAsia" w:ascii="方正仿宋_GBK" w:hAnsi="方正仿宋_GBK" w:eastAsia="方正仿宋_GBK" w:cs="方正仿宋_GBK"/>
          <w:sz w:val="28"/>
          <w:szCs w:val="28"/>
        </w:rPr>
        <w:t xml:space="preserve">按国家三级公立医院绩效考核口径统计门急诊统计各科室门急诊基本药物、抗菌药物等品种数及比例；支持门诊、急诊汇总及单独统计，支持按科室、医生、时间段等维度交叉筛选；提供品种数排名与趋势分析图，支持药品使用结构合理性分析，支持分析使用品种数量占同期门诊使用药品品种数量比例。</w:t>
      </w:r>
      <w:r>
        <w:rPr>
          <w:rFonts w:hint="eastAsia" w:ascii="方正仿宋_GBK" w:hAnsi="方正仿宋_GBK" w:eastAsia="方正仿宋_GBK" w:cs="方正仿宋_GBK"/>
          <w:sz w:val="28"/>
          <w:szCs w:val="28"/>
        </w:rPr>
      </w:r>
      <w:r/>
    </w:p>
    <w:p>
      <w:pPr>
        <w:pStyle w:val="734"/>
        <w:ind w:firstLine="562"/>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住院药品品种数比例：</w:t>
      </w:r>
      <w:r>
        <w:rPr>
          <w:rFonts w:hint="eastAsia" w:ascii="方正仿宋_GBK" w:hAnsi="方正仿宋_GBK" w:eastAsia="方正仿宋_GBK" w:cs="方正仿宋_GBK"/>
          <w:sz w:val="28"/>
          <w:szCs w:val="28"/>
        </w:rPr>
        <w:t xml:space="preserve">统计各科室出院基本药物、抗菌药物等品种数及比例；支持按科室、医疗组、病区、时间段等维度交叉筛选；提供品种数排名与趋势分析图，支持药品使用结构合理性分析，支持分析使用品种数量占同期住院使用药品品种数</w:t>
      </w:r>
      <w:r>
        <w:rPr>
          <w:rFonts w:hint="eastAsia" w:ascii="方正仿宋_GBK" w:hAnsi="方正仿宋_GBK" w:eastAsia="方正仿宋_GBK" w:cs="方正仿宋_GBK"/>
          <w:sz w:val="28"/>
          <w:szCs w:val="28"/>
        </w:rPr>
        <w:t xml:space="preserve">量比例。</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住院静脉用药品种数比例：</w:t>
      </w:r>
      <w:r>
        <w:rPr>
          <w:rFonts w:hint="eastAsia" w:ascii="方正仿宋_GBK" w:hAnsi="方正仿宋_GBK" w:eastAsia="方正仿宋_GBK" w:cs="方正仿宋_GBK"/>
          <w:sz w:val="28"/>
          <w:szCs w:val="28"/>
        </w:rPr>
        <w:t xml:space="preserve">按科室、患者维度统计出院静脉用药药品品种数；支持按病区、出院日期等维度交叉筛选；提供品种数排名与趋势分析图，支持静脉用药合理性分析。</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基本药物处方品种数占比：</w:t>
      </w:r>
      <w:r>
        <w:rPr>
          <w:rFonts w:hint="eastAsia" w:ascii="方正仿宋_GBK" w:hAnsi="方正仿宋_GBK" w:eastAsia="方正仿宋_GBK" w:cs="方正仿宋_GBK"/>
          <w:sz w:val="28"/>
          <w:szCs w:val="28"/>
        </w:rPr>
        <w:t xml:space="preserve">统计门诊/住院处方中基本药物品种数占使用药品品种总数比例（按最新国家三级公立医院绩效考核口径）；支持按科室维度统计；提供国考指标趋势图与达标情况标注，支持基本药物使用合理性分析。</w:t>
      </w:r>
      <w:r>
        <w:rPr>
          <w:rFonts w:hint="eastAsia" w:ascii="方正仿宋_GBK" w:hAnsi="方正仿宋_GBK" w:eastAsia="方正仿宋_GBK" w:cs="方正仿宋_GBK"/>
          <w:b/>
          <w:bCs/>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住院静脉输液（科室）：</w:t>
      </w:r>
      <w:r>
        <w:rPr>
          <w:rFonts w:hint="eastAsia" w:ascii="方正仿宋_GBK" w:hAnsi="方正仿宋_GBK" w:eastAsia="方正仿宋_GBK" w:cs="方正仿宋_GBK"/>
          <w:sz w:val="28"/>
          <w:szCs w:val="28"/>
        </w:rPr>
        <w:t xml:space="preserve">统计住院患者静脉输液使用总袋数、每床日使</w:t>
      </w:r>
      <w:r>
        <w:rPr>
          <w:rFonts w:hint="eastAsia" w:ascii="方正仿宋_GBK" w:hAnsi="方正仿宋_GBK" w:eastAsia="方正仿宋_GBK" w:cs="方正仿宋_GBK"/>
          <w:sz w:val="28"/>
          <w:szCs w:val="28"/>
        </w:rPr>
        <w:t xml:space="preserve">用袋数、静脉输液床</w:t>
      </w:r>
      <w:r>
        <w:rPr>
          <w:rFonts w:hint="eastAsia" w:ascii="方正仿宋_GBK" w:hAnsi="方正仿宋_GBK" w:eastAsia="方正仿宋_GBK" w:cs="方正仿宋_GBK"/>
          <w:sz w:val="28"/>
          <w:szCs w:val="28"/>
        </w:rPr>
        <w:t xml:space="preserve">日数、静脉输液床日数占比等；支持按科室、病区、时间段等维度交叉筛选；提供趋势分析图与超标预警，支持静脉输液合理性分析。</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住院静脉输液（按病种）：</w:t>
      </w:r>
      <w:r>
        <w:rPr>
          <w:rFonts w:hint="eastAsia" w:ascii="方正仿宋_GBK" w:hAnsi="方正仿宋_GBK" w:eastAsia="方正仿宋_GBK" w:cs="方正仿宋_GBK"/>
          <w:sz w:val="28"/>
          <w:szCs w:val="28"/>
        </w:rPr>
        <w:t xml:space="preserve">统计各诊断静脉输液使用总袋数、平均静脉输液袋数、输液量等；支持按诊断、科室、时间段等维度交叉筛选；提供按病种排名与趋势分析图，支持病种层面静脉输液合理性分析。</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出院静脉输液（科室）：</w:t>
      </w:r>
      <w:r>
        <w:rPr>
          <w:rFonts w:hint="eastAsia" w:ascii="方正仿宋_GBK" w:hAnsi="方正仿宋_GBK" w:eastAsia="方正仿宋_GBK" w:cs="方正仿宋_GBK"/>
          <w:sz w:val="28"/>
          <w:szCs w:val="28"/>
        </w:rPr>
        <w:t xml:space="preserve">支持按科室、病区、时间段等维度交叉筛选；提供趋势分析图与超标预警，支持出院静脉输液合理性分析。</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出院静脉输液（患者）：</w:t>
      </w:r>
      <w:r>
        <w:rPr>
          <w:rFonts w:hint="eastAsia" w:ascii="方正仿宋_GBK" w:hAnsi="方正仿宋_GBK" w:eastAsia="方正仿宋_GBK" w:cs="方正仿宋_GBK"/>
          <w:sz w:val="28"/>
          <w:szCs w:val="28"/>
        </w:rPr>
        <w:t xml:space="preserve">统计出院患者静脉输液使用总袋数、平均静脉输液袋数、输液量等；</w:t>
      </w:r>
      <w:r>
        <w:rPr>
          <w:rFonts w:hint="eastAsia" w:ascii="方正仿宋_GBK" w:hAnsi="方正仿宋_GBK" w:eastAsia="方正仿宋_GBK" w:cs="方正仿宋_GBK"/>
          <w:sz w:val="28"/>
          <w:szCs w:val="28"/>
        </w:rPr>
        <w:t xml:space="preserve">支持按患者、科室、时间段等维度交叉筛选；提供患者级别明细穿透查询，支持个体化静脉输液合理性分析。</w:t>
      </w:r>
      <w:r>
        <w:rPr>
          <w:rFonts w:hint="eastAsia" w:ascii="方正仿宋_GBK" w:hAnsi="方正仿宋_GBK" w:eastAsia="方正仿宋_GBK" w:cs="方正仿宋_GBK"/>
          <w:sz w:val="28"/>
          <w:szCs w:val="28"/>
        </w:rPr>
      </w:r>
      <w:r/>
    </w:p>
    <w:p>
      <w:pPr>
        <w:pStyle w:val="738"/>
        <w:ind w:firstLine="562"/>
        <w:jc w:val="left"/>
        <w:keepLines w:val="0"/>
        <w:keepNext w:val="0"/>
        <w:spacing w:before="120" w:after="120" w:line="360" w:lineRule="auto"/>
        <w:rPr>
          <w:rFonts w:hint="eastAsia" w:ascii="方正仿宋_GBK" w:hAnsi="方正仿宋_GBK" w:eastAsia="方正仿宋_GBK" w:cs="方正仿宋_GBK"/>
        </w:rPr>
      </w:pPr>
      <w:r>
        <w:rPr>
          <w:rFonts w:hint="eastAsia" w:ascii="方正仿宋_GBK" w:hAnsi="方正仿宋_GBK" w:eastAsia="方正仿宋_GBK" w:cs="方正仿宋_GBK"/>
        </w:rPr>
        <w:t xml:space="preserve">3.2.4抗菌药物管理</w:t>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门急诊抗菌药物使用强度：</w:t>
      </w:r>
      <w:r>
        <w:rPr>
          <w:rFonts w:hint="eastAsia" w:ascii="方正仿宋_GBK" w:hAnsi="方正仿宋_GBK" w:eastAsia="方正仿宋_GBK" w:cs="方正仿宋_GBK"/>
          <w:sz w:val="28"/>
          <w:szCs w:val="28"/>
        </w:rPr>
        <w:t xml:space="preserve">按科室、医疗组、患者等维度统计门急诊患者抗菌药物使用强度、特殊使用级抗菌药物使用强度等；须对标国考要求，支持目标值与国考线对比；提供使用强度趋势图与超标预警，支持抗菌药物分级管理分析，支持抗菌药物统计按照DDDs排名。</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出院患者抗菌药物使用强度：</w:t>
      </w:r>
      <w:r>
        <w:rPr>
          <w:rFonts w:hint="eastAsia" w:ascii="方正仿宋_GBK" w:hAnsi="方正仿宋_GBK" w:eastAsia="方正仿宋_GBK" w:cs="方正仿宋_GBK"/>
          <w:sz w:val="28"/>
          <w:szCs w:val="28"/>
        </w:rPr>
        <w:t xml:space="preserve">按科室、医疗组、患者、病区维度统计出院患者抗菌药物使用强度、出院带药累计DDD数、排除出院带药使用强度、特殊使用级抗菌药物使用强</w:t>
      </w:r>
      <w:r>
        <w:rPr>
          <w:rFonts w:hint="eastAsia" w:ascii="方正仿宋_GBK" w:hAnsi="方正仿宋_GBK" w:eastAsia="方正仿宋_GBK" w:cs="方正仿宋_GBK"/>
          <w:sz w:val="28"/>
          <w:szCs w:val="28"/>
        </w:rPr>
        <w:t xml:space="preserve">度等；须对标国考要求，支持目标值与国考线对比；提供使用强度趋势图与超标预警，支持抗菌药物分级管理分析，支持抗菌药物统计按照DDDs排名。</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在院患者抗菌药物使用强度：</w:t>
      </w:r>
      <w:r>
        <w:rPr>
          <w:rFonts w:hint="eastAsia" w:ascii="方正仿宋_GBK" w:hAnsi="方正仿宋_GBK" w:eastAsia="方正仿宋_GBK" w:cs="方正仿宋_GBK"/>
          <w:sz w:val="28"/>
          <w:szCs w:val="28"/>
        </w:rPr>
        <w:t xml:space="preserve">按科室、医疗组、患者维度统计在院患者抗菌药物使用强度、出院带药累计DDD数、排除出院带药使用强度、特殊使用级抗菌药物使用强度等；须对标国考要求，支持目标值与国考线对比；提供使用强度趋势图与超标预警，支持抗菌药物分级管理分析，支持抗菌药物统计按照DDDs排名。</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出院抗菌药物使用强度（按药品明细）：</w:t>
      </w:r>
      <w:r>
        <w:rPr>
          <w:rFonts w:hint="eastAsia" w:ascii="方正仿宋_GBK" w:hAnsi="方正仿宋_GBK" w:eastAsia="方正仿宋_GBK" w:cs="方正仿宋_GBK"/>
          <w:sz w:val="28"/>
          <w:szCs w:val="28"/>
        </w:rPr>
        <w:t xml:space="preserve">按科室、医疗组维度统计出院患</w:t>
      </w:r>
      <w:r>
        <w:rPr>
          <w:rFonts w:hint="eastAsia" w:ascii="方正仿宋_GBK" w:hAnsi="方正仿宋_GBK" w:eastAsia="方正仿宋_GBK" w:cs="方正仿宋_GBK"/>
          <w:sz w:val="28"/>
          <w:szCs w:val="28"/>
        </w:rPr>
        <w:t xml:space="preserve">者各抗菌药品使用数量、累计DDD数等；支持按药品通用名、剂型、时间段等维度交叉筛选；提供药品明细查询与排名分析，支持抗菌药物使用合理性逐药品评估，支持抗菌药物统计按照DDDs排名。</w:t>
      </w:r>
      <w:r>
        <w:rPr>
          <w:rFonts w:hint="eastAsia" w:ascii="方正仿宋_GBK" w:hAnsi="方正仿宋_GBK" w:eastAsia="方正仿宋_GBK" w:cs="方正仿宋_GBK"/>
          <w:b/>
          <w:bCs/>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I类切口抗菌药物预防使用率：</w:t>
      </w:r>
      <w:r>
        <w:rPr>
          <w:rFonts w:hint="eastAsia" w:ascii="方正仿宋_GBK" w:hAnsi="方正仿宋_GBK" w:eastAsia="方正仿宋_GBK" w:cs="方正仿宋_GBK"/>
          <w:sz w:val="28"/>
          <w:szCs w:val="28"/>
        </w:rPr>
        <w:t xml:space="preserve">统计I类切口手术人次、I类切口手术预防使用抗菌药物人次及预防使用率；支持按科室、手术医生、时间段等维度交叉筛选；提供预防使用率趋势图与目标值对标，支持I类切口抗菌药物预防使用合理性分析。</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抗菌药物的微生物送检率：</w:t>
      </w:r>
      <w:r>
        <w:rPr>
          <w:rFonts w:hint="eastAsia" w:ascii="方正仿宋_GBK" w:hAnsi="方正仿宋_GBK" w:eastAsia="方正仿宋_GBK" w:cs="方正仿宋_GBK"/>
          <w:sz w:val="28"/>
          <w:szCs w:val="28"/>
        </w:rPr>
        <w:t xml:space="preserve">统计限制使用级抗菌药物、特殊使用级抗菌药物的微生物送检率，支持按科室、病区、时间段等维度交叉筛选；提供使用强度趋势</w:t>
      </w:r>
      <w:r>
        <w:rPr>
          <w:rFonts w:hint="eastAsia" w:ascii="方正仿宋_GBK" w:hAnsi="方正仿宋_GBK" w:eastAsia="方正仿宋_GBK" w:cs="方正仿宋_GBK"/>
          <w:sz w:val="28"/>
          <w:szCs w:val="28"/>
        </w:rPr>
        <w:t xml:space="preserve">图与超标预警。</w:t>
      </w:r>
      <w:r>
        <w:rPr>
          <w:rFonts w:hint="eastAsia" w:ascii="方正仿宋_GBK" w:hAnsi="方正仿宋_GBK" w:eastAsia="方正仿宋_GBK" w:cs="方正仿宋_GBK"/>
          <w:b/>
          <w:bCs/>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抗肿瘤药物使用率（全院）：</w:t>
      </w:r>
      <w:r>
        <w:rPr>
          <w:rFonts w:hint="eastAsia" w:ascii="方正仿宋_GBK" w:hAnsi="方正仿宋_GBK" w:eastAsia="方正仿宋_GBK" w:cs="方正仿宋_GBK"/>
          <w:sz w:val="28"/>
          <w:szCs w:val="28"/>
        </w:rPr>
        <w:t xml:space="preserve">统计门诊及出院患者各级别抗肿瘤药品处方数量及使用率；支持按药品级别、科室、医生等维度交叉筛选；提供使用率趋势图与排名分析，支持抗肿瘤药物分级管理分析。</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抗肿瘤药物使用情况（全院）：</w:t>
      </w:r>
      <w:r>
        <w:rPr>
          <w:rFonts w:hint="eastAsia" w:ascii="方正仿宋_GBK" w:hAnsi="方正仿宋_GBK" w:eastAsia="方正仿宋_GBK" w:cs="方正仿宋_GBK"/>
          <w:sz w:val="28"/>
          <w:szCs w:val="28"/>
        </w:rPr>
        <w:t xml:space="preserve">统计全院各级别抗肿瘤药品使用数量及金额；支持按药品通用名、商品名、剂型等维度交叉筛选；提供金额与数量双维度排名对比，支持抗肿瘤药物使用经济性分析。</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抗肿瘤药物使用情况（科室）：</w:t>
      </w:r>
      <w:r>
        <w:rPr>
          <w:rFonts w:hint="eastAsia" w:ascii="方正仿宋_GBK" w:hAnsi="方正仿宋_GBK" w:eastAsia="方正仿宋_GBK" w:cs="方正仿宋_GBK"/>
          <w:sz w:val="28"/>
          <w:szCs w:val="28"/>
        </w:rPr>
        <w:t xml:space="preserve">统计各科室各级别抗肿瘤药品使用数量及金额；支持按科室、医疗组、时间段等维度交叉筛选；提供科室排名与趋势分析图，支持科室间抗肿瘤药物使用合理性对比分析。</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急诊中药注射剂使用强度：</w:t>
      </w:r>
      <w:r>
        <w:rPr>
          <w:rFonts w:hint="eastAsia" w:ascii="方正仿宋_GBK" w:hAnsi="方正仿宋_GBK" w:eastAsia="方正仿宋_GBK" w:cs="方正仿宋_GBK"/>
          <w:sz w:val="28"/>
          <w:szCs w:val="28"/>
        </w:rPr>
        <w:t xml:space="preserve">按科室、医疗组、患者等维度统计门急诊患者中药注射剂使用强度；须对标国考要求，支持目标值与国考线对比；提供使用强度趋势图与超标预警，支持中药注射剂统计按照DDDs排名。</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出院患者中药注射剂使用强度：</w:t>
      </w:r>
      <w:r>
        <w:rPr>
          <w:rFonts w:hint="eastAsia" w:ascii="方正仿宋_GBK" w:hAnsi="方正仿宋_GBK" w:eastAsia="方正仿宋_GBK" w:cs="方正仿宋_GBK"/>
          <w:sz w:val="28"/>
          <w:szCs w:val="28"/>
        </w:rPr>
        <w:t xml:space="preserve">按科室、医疗组、患者、病区等维度统计出院患者中药注射剂使用强度、出院带药累计DDD数、排除出院带药使用强度；须对标国考要求，支持目标值与国考线对比；提供使用强度趋势图与超标预警，支持中药注射剂统计按照DDDs排名。</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在院患者中药注射剂使用强度：</w:t>
      </w:r>
      <w:r>
        <w:rPr>
          <w:rFonts w:hint="eastAsia" w:ascii="方正仿宋_GBK" w:hAnsi="方正仿宋_GBK" w:eastAsia="方正仿宋_GBK" w:cs="方正仿宋_GBK"/>
          <w:sz w:val="28"/>
          <w:szCs w:val="28"/>
        </w:rPr>
        <w:t xml:space="preserve">按科室、医</w:t>
      </w:r>
      <w:r>
        <w:rPr>
          <w:rFonts w:hint="eastAsia" w:ascii="方正仿宋_GBK" w:hAnsi="方正仿宋_GBK" w:eastAsia="方正仿宋_GBK" w:cs="方正仿宋_GBK"/>
          <w:sz w:val="28"/>
          <w:szCs w:val="28"/>
        </w:rPr>
        <w:t xml:space="preserve">疗组、患者、病区等维度统计出院患者中药注射剂使用强度；须对标国考要求，支持目标值与国考线对比；提供使用强度趋势图与超标预警，支持中药注射剂统计按照DDDs排名。</w:t>
      </w:r>
      <w:r>
        <w:rPr>
          <w:rFonts w:hint="eastAsia" w:ascii="方正仿宋_GBK" w:hAnsi="方正仿宋_GBK" w:eastAsia="方正仿宋_GBK" w:cs="方正仿宋_GBK"/>
          <w:sz w:val="28"/>
          <w:szCs w:val="28"/>
        </w:rPr>
      </w:r>
      <w:r/>
    </w:p>
    <w:p>
      <w:pPr>
        <w:pStyle w:val="737"/>
        <w:jc w:val="left"/>
        <w:keepLines w:val="0"/>
        <w:keepNext w:val="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3.3 药房效能主题</w:t>
      </w:r>
      <w:r>
        <w:rPr>
          <w:rFonts w:hint="eastAsia" w:ascii="方正仿宋_GBK" w:hAnsi="方正仿宋_GBK" w:eastAsia="方正仿宋_GBK" w:cs="方正仿宋_GBK"/>
          <w:sz w:val="28"/>
          <w:szCs w:val="28"/>
        </w:rPr>
      </w:r>
      <w:r/>
    </w:p>
    <w:p>
      <w:pPr>
        <w:pStyle w:val="738"/>
        <w:jc w:val="left"/>
        <w:keepLines w:val="0"/>
        <w:keepNext w:val="0"/>
        <w:spacing w:before="120" w:after="120" w:line="360" w:lineRule="auto"/>
        <w:rPr>
          <w:rFonts w:hint="eastAsia" w:ascii="方正仿宋_GBK" w:hAnsi="方正仿宋_GBK" w:eastAsia="方正仿宋_GBK" w:cs="方正仿宋_GBK"/>
        </w:rPr>
      </w:pPr>
      <w:r>
        <w:rPr>
          <w:rFonts w:hint="eastAsia" w:ascii="方正仿宋_GBK" w:hAnsi="方正仿宋_GBK" w:eastAsia="方正仿宋_GBK" w:cs="方正仿宋_GBK"/>
        </w:rPr>
        <w:t xml:space="preserve">3.3.1药房工作量</w:t>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药房工作量（全院）：</w:t>
      </w:r>
      <w:r>
        <w:rPr>
          <w:rFonts w:hint="eastAsia" w:ascii="方正仿宋_GBK" w:hAnsi="方正仿宋_GBK" w:eastAsia="方正仿宋_GBK" w:cs="方正仿宋_GBK"/>
          <w:sz w:val="28"/>
          <w:szCs w:val="28"/>
        </w:rPr>
        <w:t xml:space="preserve">统计各药房处方数量及金额；支持按药房、时间段等维度交叉筛选；提供药房工作量排名与趋势分析图，支持药房效能评估分析。</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门急诊药房工作量：</w:t>
      </w:r>
      <w:r>
        <w:rPr>
          <w:rFonts w:hint="eastAsia" w:ascii="方正仿宋_GBK" w:hAnsi="方正仿宋_GBK" w:eastAsia="方正仿宋_GBK" w:cs="方正仿宋_GBK"/>
          <w:sz w:val="28"/>
          <w:szCs w:val="28"/>
        </w:rPr>
        <w:t xml:space="preserve">统计门急诊药房处方数量、门诊处方数量、急诊处方数量、急诊留观处方数量等；支持按药房、时间段、处方类别等维度交叉筛选；提供处方量趋势分析图与同比环比对比，支持门急诊药房工作量评估；支持按月度、季度、年度多周期展示，并提供处方量异常</w:t>
      </w:r>
      <w:r>
        <w:rPr>
          <w:rFonts w:hint="eastAsia" w:ascii="方正仿宋_GBK" w:hAnsi="方正仿宋_GBK" w:eastAsia="方正仿宋_GBK" w:cs="方正仿宋_GBK"/>
          <w:sz w:val="28"/>
          <w:szCs w:val="28"/>
        </w:rPr>
        <w:t xml:space="preserve">波动预警。</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住院药房工作量：</w:t>
      </w:r>
      <w:r>
        <w:rPr>
          <w:rFonts w:hint="eastAsia" w:ascii="方正仿宋_GBK" w:hAnsi="方正仿宋_GBK" w:eastAsia="方正仿宋_GBK" w:cs="方正仿宋_GBK"/>
          <w:sz w:val="28"/>
          <w:szCs w:val="28"/>
        </w:rPr>
        <w:t xml:space="preserve">统计住院总医嘱数、针剂医嘱数、非针剂医嘱数等；支持按药房、病区、时间段等维度交叉筛选；提供医嘱量趋势分析图与同比环比对比，支持住院药房工作量评估；支持按月度、季度、年度多周期展示，并提供医嘱量异常波动预警。</w:t>
      </w:r>
      <w:r>
        <w:rPr>
          <w:rFonts w:hint="eastAsia" w:ascii="方正仿宋_GBK" w:hAnsi="方正仿宋_GBK" w:eastAsia="方正仿宋_GBK" w:cs="方正仿宋_GBK"/>
          <w:sz w:val="28"/>
          <w:szCs w:val="28"/>
        </w:rPr>
      </w:r>
      <w:r/>
    </w:p>
    <w:p>
      <w:pPr>
        <w:pStyle w:val="737"/>
        <w:jc w:val="left"/>
        <w:keepLines w:val="0"/>
        <w:keepNext w:val="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3.4 国考绩效主题</w:t>
      </w:r>
      <w:r>
        <w:rPr>
          <w:rFonts w:hint="eastAsia" w:ascii="方正仿宋_GBK" w:hAnsi="方正仿宋_GBK" w:eastAsia="方正仿宋_GBK" w:cs="方正仿宋_GBK"/>
          <w:sz w:val="28"/>
          <w:szCs w:val="28"/>
        </w:rPr>
      </w:r>
      <w:r/>
    </w:p>
    <w:p>
      <w:pPr>
        <w:pStyle w:val="738"/>
        <w:jc w:val="left"/>
        <w:keepLines w:val="0"/>
        <w:keepNext w:val="0"/>
        <w:spacing w:before="120" w:after="120" w:line="360" w:lineRule="auto"/>
        <w:rPr>
          <w:rFonts w:hint="eastAsia" w:ascii="方正仿宋_GBK" w:hAnsi="方正仿宋_GBK" w:eastAsia="方正仿宋_GBK" w:cs="方正仿宋_GBK"/>
        </w:rPr>
      </w:pPr>
      <w:r>
        <w:rPr>
          <w:rFonts w:hint="eastAsia" w:ascii="方正仿宋_GBK" w:hAnsi="方正仿宋_GBK" w:eastAsia="方正仿宋_GBK" w:cs="方正仿宋_GBK"/>
        </w:rPr>
        <w:t xml:space="preserve">3.4.1国考专项药品</w:t>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门急诊药品使用率（国考口径）：</w:t>
      </w:r>
      <w:r>
        <w:rPr>
          <w:rFonts w:hint="eastAsia" w:ascii="方正仿宋_GBK" w:hAnsi="方正仿宋_GBK" w:eastAsia="方正仿宋_GBK" w:cs="方正仿宋_GBK"/>
          <w:sz w:val="28"/>
          <w:szCs w:val="28"/>
        </w:rPr>
        <w:t xml:space="preserve">按国家三级公立医院绩效考核口径，按科室、医生等维度，统计门急诊抗菌药物、基本药物、静脉用药、静脉输液、糖皮质激素静脉用药、特</w:t>
      </w:r>
      <w:r>
        <w:rPr>
          <w:rFonts w:hint="eastAsia" w:ascii="方正仿宋_GBK" w:hAnsi="方正仿宋_GBK" w:eastAsia="方正仿宋_GBK" w:cs="方正仿宋_GBK"/>
          <w:sz w:val="28"/>
          <w:szCs w:val="28"/>
        </w:rPr>
        <w:t xml:space="preserve">殊使用级抗菌药物、PPI静脉用药等药品分类，使用人次占门诊总人次比例，与国考要求对齐；门诊、急诊支持汇总及单独统计，支持国考指标值的自动对标与达标率计算；支持目标值对标与同比环比对比，提供超标预警功能。</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住院药品使用率（国考口径）：</w:t>
      </w:r>
      <w:r>
        <w:rPr>
          <w:rFonts w:hint="eastAsia" w:ascii="方正仿宋_GBK" w:hAnsi="方正仿宋_GBK" w:eastAsia="方正仿宋_GBK" w:cs="方正仿宋_GBK"/>
          <w:sz w:val="28"/>
          <w:szCs w:val="28"/>
        </w:rPr>
        <w:t xml:space="preserve">按国家三级公立医院绩效考核口径，按科室、医生等维度，统计门急诊抗菌药物、基本药物、静脉用药、静脉输液、糖皮质激素静脉用药、特殊使用级抗菌药物、PPI静脉用药等药品分类，使用人次数与同期出院总人次数比例，与国考要求对齐；门诊、急诊支持汇总及单独统计，支持国考指标值的自动对标与达标率计算；支持目标值对标与同比环比对比，提供超标预警功能。</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门急诊国谈药品金额：</w:t>
      </w:r>
      <w:r>
        <w:rPr>
          <w:rFonts w:hint="eastAsia" w:ascii="方正仿宋_GBK" w:hAnsi="方正仿宋_GBK" w:eastAsia="方正仿宋_GBK" w:cs="方正仿宋_GBK"/>
          <w:sz w:val="28"/>
          <w:szCs w:val="28"/>
        </w:rPr>
        <w:t xml:space="preserve">统计门急诊各国谈药品金额，支持按药品、科室门诊专项细分与排名；支持按药品通用名、商品名、时间段等维度交叉筛选；提供金额排名与趋势分析图，支持国谈药品使用经济性分析。</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出院国谈药品金额：</w:t>
      </w:r>
      <w:r>
        <w:rPr>
          <w:rFonts w:hint="eastAsia" w:ascii="方正仿宋_GBK" w:hAnsi="方正仿宋_GBK" w:eastAsia="方正仿宋_GBK" w:cs="方正仿宋_GBK"/>
          <w:sz w:val="28"/>
          <w:szCs w:val="28"/>
        </w:rPr>
        <w:t xml:space="preserve">统计出院各国谈药品金额，支持按药品、科室专项细分与排名；支持按药品通用名、商品名、时间段等维度交叉筛选；提供金额排名与趋势分析图，支持国谈药品使用经济性分析。</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门急诊医疗机构中药制剂使用率</w:t>
      </w:r>
      <w:r>
        <w:rPr>
          <w:rFonts w:hint="eastAsia" w:ascii="方正仿宋_GBK" w:hAnsi="方正仿宋_GBK" w:eastAsia="方正仿宋_GBK" w:cs="方正仿宋_GBK"/>
          <w:sz w:val="28"/>
          <w:szCs w:val="28"/>
        </w:rPr>
        <w:t xml:space="preserve">：按国家三级公立医院绩效考核口径，按科室、医生等维度</w:t>
      </w:r>
      <w:r>
        <w:rPr>
          <w:rFonts w:hint="eastAsia" w:ascii="方正仿宋_GBK" w:hAnsi="方正仿宋_GBK" w:eastAsia="方正仿宋_GBK" w:cs="方正仿宋_GBK"/>
          <w:sz w:val="28"/>
          <w:szCs w:val="28"/>
        </w:rPr>
        <w:t xml:space="preserve">，统计门急诊</w:t>
      </w:r>
      <w:r>
        <w:rPr>
          <w:rFonts w:hint="eastAsia" w:ascii="方正仿宋_GBK" w:hAnsi="方正仿宋_GBK" w:eastAsia="方正仿宋_GBK" w:cs="方正仿宋_GBK"/>
          <w:sz w:val="28"/>
          <w:szCs w:val="28"/>
        </w:rPr>
        <w:t xml:space="preserve">医疗机构中药制剂使用人次占门诊总人次比例，与国考要求对齐；门诊、急诊支持汇总及单独统计，支持国考指标值的自动对标与达标率计算；支持目标值对标与同比环比对比，提供超标预警功能。</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住院医疗机构中药制剂使用率：</w:t>
      </w:r>
      <w:r>
        <w:rPr>
          <w:rFonts w:hint="eastAsia" w:ascii="方正仿宋_GBK" w:hAnsi="方正仿宋_GBK" w:eastAsia="方正仿宋_GBK" w:cs="方正仿宋_GBK"/>
          <w:sz w:val="28"/>
          <w:szCs w:val="28"/>
        </w:rPr>
        <w:t xml:space="preserve">按国家三级公立医院绩效考核口径，按科室、医生等维度，统计住院医疗机构中药制剂使用人次数与同期出院总人次数比例，与国考要求对齐；支持国考指标值的自动对标与达标率计算；支持目标值对标与同比环比对比，提供超标预警功能。</w:t>
      </w:r>
      <w:r>
        <w:rPr>
          <w:rFonts w:hint="eastAsia" w:ascii="方正仿宋_GBK" w:hAnsi="方正仿宋_GBK" w:eastAsia="方正仿宋_GBK" w:cs="方正仿宋_GBK"/>
          <w:sz w:val="28"/>
          <w:szCs w:val="28"/>
        </w:rPr>
      </w:r>
      <w:r/>
    </w:p>
    <w:p>
      <w:pPr>
        <w:pStyle w:val="738"/>
        <w:jc w:val="left"/>
        <w:keepLines w:val="0"/>
        <w:keepNext w:val="0"/>
        <w:spacing w:before="120" w:after="120" w:line="360" w:lineRule="auto"/>
        <w:rPr>
          <w:rFonts w:hint="eastAsia" w:ascii="方正仿宋_GBK" w:hAnsi="方正仿宋_GBK" w:eastAsia="方正仿宋_GBK" w:cs="方正仿宋_GBK"/>
        </w:rPr>
      </w:pPr>
      <w:r>
        <w:rPr>
          <w:rFonts w:hint="eastAsia" w:ascii="方正仿宋_GBK" w:hAnsi="方正仿宋_GBK" w:eastAsia="方正仿宋_GBK" w:cs="方正仿宋_GBK"/>
        </w:rPr>
        <w:t xml:space="preserve">3.4.2集采药品统计</w:t>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国家集采中选药品完成情况：</w:t>
      </w:r>
      <w:r>
        <w:rPr>
          <w:rFonts w:hint="eastAsia" w:ascii="方正仿宋_GBK" w:hAnsi="方正仿宋_GBK" w:eastAsia="方正仿宋_GBK" w:cs="方正仿宋_GBK"/>
          <w:sz w:val="28"/>
          <w:szCs w:val="28"/>
        </w:rPr>
        <w:t xml:space="preserve">统计国家组织</w:t>
      </w:r>
      <w:r>
        <w:rPr>
          <w:rFonts w:hint="eastAsia" w:ascii="方正仿宋_GBK" w:hAnsi="方正仿宋_GBK" w:eastAsia="方正仿宋_GBK" w:cs="方正仿宋_GBK"/>
          <w:sz w:val="28"/>
          <w:szCs w:val="28"/>
        </w:rPr>
        <w:t xml:space="preserve">药品集中采购中选药品的约定采购量完成情况；支持按国家、省级、院内批次分别统计与去重，避免批次重叠；提供完成率排名与趋势分析图，支持集采药品执行情况监测与预警。</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集采药品双口径完成率：</w:t>
      </w:r>
      <w:r>
        <w:rPr>
          <w:rFonts w:hint="eastAsia" w:ascii="方正仿宋_GBK" w:hAnsi="方正仿宋_GBK" w:eastAsia="方正仿宋_GBK" w:cs="方正仿宋_GBK"/>
          <w:sz w:val="28"/>
          <w:szCs w:val="28"/>
        </w:rPr>
        <w:t xml:space="preserve">对集采药品同时按用量与金额两种口径统计完成率，支持规格→单位的当量换算；直接对医院“按用量还是按金额”的统计口径需求；提供双口径完成率对比分析与趋势图，支持集采执行情况多维度评估。</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集采未中选同通用名药品的使用情况：</w:t>
      </w:r>
      <w:r>
        <w:rPr>
          <w:rFonts w:hint="eastAsia" w:ascii="方正仿宋_GBK" w:hAnsi="方正仿宋_GBK" w:eastAsia="方正仿宋_GBK" w:cs="方正仿宋_GBK"/>
          <w:sz w:val="28"/>
          <w:szCs w:val="28"/>
        </w:rPr>
        <w:t xml:space="preserve">支持统计集采未中选同通用名药品的用量（按最小量折算）、使用比例及金额使用比例等，可支持按时间、批次、科室等维度筛选，支持超标预警与趋势分析。</w:t>
      </w:r>
      <w:r>
        <w:rPr>
          <w:rFonts w:hint="eastAsia" w:ascii="方正仿宋_GBK" w:hAnsi="方正仿宋_GBK" w:eastAsia="方正仿宋_GBK" w:cs="方正仿宋_GBK"/>
          <w:sz w:val="28"/>
          <w:szCs w:val="28"/>
        </w:rPr>
      </w:r>
      <w:r/>
    </w:p>
    <w:p>
      <w:pPr>
        <w:pStyle w:val="737"/>
        <w:jc w:val="left"/>
        <w:keepLines w:val="0"/>
        <w:keepNext w:val="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5 药事管理主题</w:t>
      </w:r>
      <w:r>
        <w:rPr>
          <w:rFonts w:hint="eastAsia" w:ascii="方正仿宋_GBK" w:hAnsi="方正仿宋_GBK" w:eastAsia="方正仿宋_GBK" w:cs="方正仿宋_GBK"/>
          <w:sz w:val="28"/>
          <w:szCs w:val="28"/>
        </w:rPr>
      </w:r>
      <w:r/>
    </w:p>
    <w:p>
      <w:pPr>
        <w:pStyle w:val="738"/>
        <w:jc w:val="left"/>
        <w:keepLines w:val="0"/>
        <w:keepNext w:val="0"/>
        <w:spacing w:before="120" w:after="120" w:line="360" w:lineRule="auto"/>
        <w:rPr>
          <w:rFonts w:hint="eastAsia" w:ascii="方正仿宋_GBK" w:hAnsi="方正仿宋_GBK" w:eastAsia="方正仿宋_GBK" w:cs="方正仿宋_GBK"/>
        </w:rPr>
      </w:pPr>
      <w:r>
        <w:rPr>
          <w:rFonts w:hint="eastAsia" w:ascii="方正仿宋_GBK" w:hAnsi="方正仿宋_GBK" w:eastAsia="方正仿宋_GBK" w:cs="方正仿宋_GBK"/>
        </w:rPr>
        <w:t xml:space="preserve">3.5.1药品收入分析</w:t>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全院药品总收入分析：</w:t>
      </w:r>
      <w:r>
        <w:rPr>
          <w:rFonts w:hint="eastAsia" w:ascii="方正仿宋_GBK" w:hAnsi="方正仿宋_GBK" w:eastAsia="方正仿宋_GBK" w:cs="方正仿宋_GBK"/>
          <w:sz w:val="28"/>
          <w:szCs w:val="28"/>
        </w:rPr>
        <w:t xml:space="preserve">含药品总收入、门诊/住院药品收入、西药、中成药、中草药、基本药物、抗菌药物收入等指标的当期值、同期值、同比；展示三大药类占比，并按国考监测口径展示中药收入、中药饮片收入、中药制剂收入占药品收入比例；呈现各科室与医疗组药品费用情况及时间维度费用趋势图。</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门诊药品收入分析：</w:t>
      </w:r>
      <w:r>
        <w:rPr>
          <w:rFonts w:hint="eastAsia" w:ascii="方正仿宋_GBK" w:hAnsi="方正仿宋_GBK" w:eastAsia="方正仿宋_GBK" w:cs="方正仿宋_GBK"/>
          <w:sz w:val="28"/>
          <w:szCs w:val="28"/>
        </w:rPr>
        <w:t xml:space="preserve">同口径聚焦门诊药品收入结构分析，含三大药类占比、中药/中药饮片/中药制剂收入占比、科室/医疗组费用及时间趋势图；支持按科室、医生、时间段等维度交叉筛选；提供门诊药品收入同比环比对比与异常波动预警。</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住院药品收入分析：</w:t>
      </w:r>
      <w:r>
        <w:rPr>
          <w:rFonts w:hint="eastAsia" w:ascii="方正仿宋_GBK" w:hAnsi="方正仿宋_GBK" w:eastAsia="方正仿宋_GBK" w:cs="方正仿宋_GBK"/>
          <w:sz w:val="28"/>
          <w:szCs w:val="28"/>
        </w:rPr>
        <w:t xml:space="preserve">同口径聚焦住院药品收入结构分析，含三大药类占比、中药/中药饮片/中药制剂收入占比、科室/医疗组费用及时间趋势图；支持按科室、病区、时间段等维度交叉筛选；提供住院药品收入同比环比对比与异常波动预警。</w:t>
      </w:r>
      <w:r>
        <w:rPr>
          <w:rFonts w:hint="eastAsia" w:ascii="方正仿宋_GBK" w:hAnsi="方正仿宋_GBK" w:eastAsia="方正仿宋_GBK" w:cs="方正仿宋_GBK"/>
          <w:sz w:val="28"/>
          <w:szCs w:val="28"/>
        </w:rPr>
      </w:r>
      <w:r/>
    </w:p>
    <w:p>
      <w:pPr>
        <w:pStyle w:val="738"/>
        <w:jc w:val="left"/>
        <w:keepLines w:val="0"/>
        <w:keepNext w:val="0"/>
        <w:spacing w:before="120" w:after="120" w:line="360" w:lineRule="auto"/>
        <w:rPr>
          <w:rFonts w:hint="eastAsia" w:ascii="方正仿宋_GBK" w:hAnsi="方正仿宋_GBK" w:eastAsia="方正仿宋_GBK" w:cs="方正仿宋_GBK"/>
        </w:rPr>
      </w:pPr>
      <w:r>
        <w:rPr>
          <w:rFonts w:hint="eastAsia" w:ascii="方正仿宋_GBK" w:hAnsi="方正仿宋_GBK" w:eastAsia="方正仿宋_GBK" w:cs="方正仿宋_GBK"/>
        </w:rPr>
        <w:t xml:space="preserve">3.5.2用药人次分析</w:t>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门急诊用药人次分析：</w:t>
      </w:r>
      <w:r>
        <w:rPr>
          <w:rFonts w:hint="eastAsia" w:ascii="方正仿宋_GBK" w:hAnsi="方正仿宋_GBK" w:eastAsia="方正仿宋_GBK" w:cs="方正仿宋_GBK"/>
          <w:sz w:val="28"/>
          <w:szCs w:val="28"/>
        </w:rPr>
        <w:t xml:space="preserve">含门急诊基本药物、抗菌药物、静脉用药、静脉输液使用人次，直观呈现各科室各指标数据，结合时间维度呈现趋势图；支持按科室、医生、时间段等维度交叉筛选；提供使用人次排名与同比环比对比，支持用药人次合理性分析。</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出院用药人次分析：</w:t>
      </w:r>
      <w:r>
        <w:rPr>
          <w:rFonts w:hint="eastAsia" w:ascii="方正仿宋_GBK" w:hAnsi="方正仿宋_GBK" w:eastAsia="方正仿宋_GBK" w:cs="方正仿宋_GBK"/>
          <w:sz w:val="28"/>
          <w:szCs w:val="28"/>
        </w:rPr>
        <w:t xml:space="preserve">含出院基本药</w:t>
      </w:r>
      <w:r>
        <w:rPr>
          <w:rFonts w:hint="eastAsia" w:ascii="方正仿宋_GBK" w:hAnsi="方正仿宋_GBK" w:eastAsia="方正仿宋_GBK" w:cs="方正仿宋_GBK"/>
          <w:sz w:val="28"/>
          <w:szCs w:val="28"/>
        </w:rPr>
        <w:t xml:space="preserve">物、抗菌药物、静脉用药、静脉输液使用人次，直观呈现各科室各指标数据，结合时间维度呈现趋势图；支持按科室、医疗组、时间段等维度交叉筛选；提供使用人次排名与同比环比对比，支持用药人次合理性分析。</w:t>
      </w:r>
      <w:r>
        <w:rPr>
          <w:rFonts w:hint="eastAsia" w:ascii="方正仿宋_GBK" w:hAnsi="方正仿宋_GBK" w:eastAsia="方正仿宋_GBK" w:cs="方正仿宋_GBK"/>
          <w:sz w:val="28"/>
          <w:szCs w:val="28"/>
        </w:rPr>
      </w:r>
      <w:r/>
    </w:p>
    <w:p>
      <w:pPr>
        <w:pStyle w:val="737"/>
        <w:keepLines w:val="0"/>
        <w:keepNext w:val="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3.6 带量采购管理分析</w:t>
      </w:r>
      <w:r>
        <w:rPr>
          <w:rFonts w:hint="eastAsia" w:ascii="方正仿宋_GBK" w:hAnsi="方正仿宋_GBK" w:eastAsia="方正仿宋_GBK" w:cs="方正仿宋_GBK"/>
          <w:sz w:val="28"/>
          <w:szCs w:val="28"/>
        </w:rPr>
      </w:r>
      <w:r/>
    </w:p>
    <w:p>
      <w:pPr>
        <w:pStyle w:val="738"/>
        <w:keepLines w:val="0"/>
        <w:keepNext w:val="0"/>
        <w:spacing w:before="120" w:after="120" w:line="360" w:lineRule="auto"/>
        <w:rPr>
          <w:rFonts w:hint="eastAsia" w:ascii="方正仿宋_GBK" w:hAnsi="方正仿宋_GBK" w:eastAsia="方正仿宋_GBK" w:cs="方正仿宋_GBK"/>
        </w:rPr>
      </w:pPr>
      <w:r>
        <w:rPr>
          <w:rFonts w:hint="eastAsia" w:ascii="方正仿宋_GBK" w:hAnsi="方正仿宋_GBK" w:eastAsia="方正仿宋_GBK" w:cs="方正仿宋_GBK"/>
        </w:rPr>
        <w:t xml:space="preserve">3.6.1 采购方式字典维护</w:t>
      </w:r>
      <w:r/>
    </w:p>
    <w:p>
      <w:pPr>
        <w:pStyle w:val="734"/>
        <w:ind w:firstLine="56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系统支持采购方式字典的全面维护管理，包括但不限于：</w:t>
      </w:r>
      <w:r>
        <w:rPr>
          <w:rFonts w:hint="eastAsia" w:ascii="方正仿宋_GBK" w:hAnsi="方正仿宋_GBK" w:eastAsia="方正仿宋_GBK" w:cs="方正仿宋_GBK"/>
          <w:sz w:val="28"/>
          <w:szCs w:val="28"/>
        </w:rPr>
      </w:r>
      <w:r/>
    </w:p>
    <w:p>
      <w:pPr>
        <w:pStyle w:val="734"/>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新增与删除采购方式字典条目，支持国家组织药品集中采购、省级集采及院内集采等多采购方式的分类录入；（2）集采批次开始时间与结束时间的精确维护，支持按批次维度设置统计周期；（3）自定义统计起止时间的灵活配置，适配多周期数据核算需求；（4）采购方式字典与集采批次数据的关联校验，确保数据逻辑一致性。</w:t>
      </w:r>
      <w:r>
        <w:rPr>
          <w:rFonts w:hint="eastAsia" w:ascii="方正仿宋_GBK" w:hAnsi="方正仿宋_GBK" w:eastAsia="方正仿宋_GBK" w:cs="方正仿宋_GBK"/>
          <w:sz w:val="28"/>
          <w:szCs w:val="28"/>
        </w:rPr>
      </w:r>
      <w:r/>
    </w:p>
    <w:p>
      <w:pPr>
        <w:pStyle w:val="738"/>
        <w:keepLines w:val="0"/>
        <w:keepNext w:val="0"/>
        <w:spacing w:before="120" w:after="120" w:line="360" w:lineRule="auto"/>
        <w:rPr>
          <w:rFonts w:hint="eastAsia" w:ascii="方正仿宋_GBK" w:hAnsi="方正仿宋_GBK" w:eastAsia="方正仿宋_GBK" w:cs="方正仿宋_GBK"/>
        </w:rPr>
      </w:pPr>
      <w:r>
        <w:rPr>
          <w:rFonts w:hint="eastAsia" w:ascii="方正仿宋_GBK" w:hAnsi="方正仿宋_GBK" w:eastAsia="方正仿宋_GBK" w:cs="方正仿宋_GBK"/>
        </w:rPr>
        <w:t xml:space="preserve">3.6.2 带量采购目录维护</w:t>
      </w:r>
      <w:r/>
    </w:p>
    <w:p>
      <w:pPr>
        <w:pStyle w:val="734"/>
        <w:ind w:firstLine="56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支持按采购方式、药品名称、通用名、商品名等多条件复合检索查询，查询结果支持分页展示与快速定位，确保大规模目录数据下的高效检索体验。</w:t>
      </w:r>
      <w:r>
        <w:rPr>
          <w:rFonts w:hint="eastAsia" w:ascii="方正仿宋_GBK" w:hAnsi="方正仿宋_GBK" w:eastAsia="方正仿宋_GBK" w:cs="方正仿宋_GBK"/>
          <w:sz w:val="28"/>
          <w:szCs w:val="28"/>
        </w:rPr>
      </w:r>
      <w:r/>
    </w:p>
    <w:p>
      <w:pPr>
        <w:pStyle w:val="734"/>
        <w:ind w:firstLine="56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支持采购目录的新增与删除操作，新增时支持手动录入与从HIS药品字典自动匹配两种方式，删除操作进行二次确认并保留操作日志，防止误删。</w:t>
      </w:r>
      <w:r>
        <w:rPr>
          <w:rFonts w:hint="eastAsia" w:ascii="方正仿宋_GBK" w:hAnsi="方正仿宋_GBK" w:eastAsia="方正仿宋_GBK" w:cs="方正仿宋_GBK"/>
          <w:sz w:val="28"/>
          <w:szCs w:val="28"/>
        </w:rPr>
      </w:r>
      <w:r/>
    </w:p>
    <w:p>
      <w:pPr>
        <w:pStyle w:val="734"/>
        <w:ind w:firstLine="56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支持设置采购总量及对科室采购量的分配置，支持按院区、科室、医疗组多层级采购量分解，并支持采购量的批量调整与校验。</w:t>
      </w:r>
      <w:r>
        <w:rPr>
          <w:rFonts w:hint="eastAsia" w:ascii="方正仿宋_GBK" w:hAnsi="方正仿宋_GBK" w:eastAsia="方正仿宋_GBK" w:cs="方正仿宋_GBK"/>
          <w:sz w:val="28"/>
          <w:szCs w:val="28"/>
        </w:rPr>
      </w:r>
      <w:r/>
    </w:p>
    <w:p>
      <w:pPr>
        <w:pStyle w:val="734"/>
        <w:ind w:firstLine="56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支持按科室、医疗</w:t>
      </w:r>
      <w:r>
        <w:rPr>
          <w:rFonts w:hint="eastAsia" w:ascii="方正仿宋_GBK" w:hAnsi="方正仿宋_GBK" w:eastAsia="方正仿宋_GBK" w:cs="方正仿宋_GBK"/>
          <w:sz w:val="28"/>
          <w:szCs w:val="28"/>
        </w:rPr>
        <w:t xml:space="preserve">组、医生三级设置采购基数，基数设置支持批量导入与单条编辑，并支持基数的历史版本管理与变更追溯。</w:t>
      </w:r>
      <w:r>
        <w:rPr>
          <w:rFonts w:hint="eastAsia" w:ascii="方正仿宋_GBK" w:hAnsi="方正仿宋_GBK" w:eastAsia="方正仿宋_GBK" w:cs="方正仿宋_GBK"/>
          <w:sz w:val="28"/>
          <w:szCs w:val="28"/>
        </w:rPr>
      </w:r>
      <w:r/>
    </w:p>
    <w:p>
      <w:pPr>
        <w:pStyle w:val="734"/>
        <w:ind w:firstLine="56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支持按批次批量导入集采药品目录数据，导入文件支持Excel格式，导入时自动校验药品通用名、规格、剂型等关键字段，校验不通过的数据标记并提示修正。</w:t>
      </w:r>
      <w:r>
        <w:rPr>
          <w:rFonts w:hint="eastAsia" w:ascii="方正仿宋_GBK" w:hAnsi="方正仿宋_GBK" w:eastAsia="方正仿宋_GBK" w:cs="方正仿宋_GBK"/>
          <w:sz w:val="28"/>
          <w:szCs w:val="28"/>
        </w:rPr>
      </w:r>
      <w:r/>
    </w:p>
    <w:p>
      <w:pPr>
        <w:pStyle w:val="734"/>
        <w:ind w:firstLine="56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支持按批次单独导出及批量导出功能，导出文件支持Excel格式，导出内容包含药品通用名、商品名、规格、采购量、完成量、完成率等完整字段。</w:t>
      </w:r>
      <w:r>
        <w:rPr>
          <w:rFonts w:hint="eastAsia" w:ascii="方正仿宋_GBK" w:hAnsi="方正仿宋_GBK" w:eastAsia="方正仿宋_GBK" w:cs="方正仿宋_GBK"/>
          <w:sz w:val="28"/>
          <w:szCs w:val="28"/>
        </w:rPr>
      </w:r>
      <w:r/>
    </w:p>
    <w:p>
      <w:pPr>
        <w:pStyle w:val="738"/>
        <w:keepLines w:val="0"/>
        <w:keepNext w:val="0"/>
        <w:spacing w:before="120" w:after="120" w:line="360" w:lineRule="auto"/>
        <w:rPr>
          <w:rFonts w:hint="eastAsia" w:ascii="方正仿宋_GBK" w:hAnsi="方正仿宋_GBK" w:eastAsia="方正仿宋_GBK" w:cs="方正仿宋_GBK"/>
        </w:rPr>
      </w:pPr>
      <w:r>
        <w:rPr>
          <w:rFonts w:hint="eastAsia" w:ascii="方正仿宋_GBK" w:hAnsi="方正仿宋_GBK" w:eastAsia="方正仿宋_GBK" w:cs="方正仿宋_GBK"/>
        </w:rPr>
        <w:t xml:space="preserve">3.6.3集采比例控制维护</w:t>
      </w:r>
      <w:r/>
    </w:p>
    <w:p>
      <w:pPr>
        <w:pStyle w:val="739"/>
        <w:keepNext w:val="0"/>
        <w:spacing w:before="120" w:after="120" w:line="360" w:lineRule="auto"/>
        <w:tabs>
          <w:tab w:val="left" w:pos="720" w:leader="none"/>
        </w:tabs>
        <w:rPr>
          <w:rFonts w:hint="eastAsia" w:ascii="方正仿宋_GBK" w:hAnsi="方正仿宋_GBK" w:eastAsia="方正仿宋_GBK" w:cs="方正仿宋_GBK"/>
          <w:b/>
          <w:bCs/>
          <w:color w:val="000000"/>
        </w:rPr>
      </w:pPr>
      <w:r>
        <w:rPr>
          <w:rFonts w:hint="eastAsia" w:ascii="方正仿宋_GBK" w:hAnsi="方正仿宋_GBK" w:eastAsia="方正仿宋_GBK" w:cs="方正仿宋_GBK"/>
          <w:b/>
          <w:bCs/>
          <w:color w:val="000000"/>
        </w:rPr>
        <w:t xml:space="preserve">3.6.3.1 支持集采比例维护</w:t>
      </w:r>
      <w:r>
        <w:rPr>
          <w:rFonts w:hint="eastAsia" w:ascii="方正仿宋_GBK" w:hAnsi="方正仿宋_GBK" w:eastAsia="方正仿宋_GBK" w:cs="方正仿宋_GBK"/>
          <w:b/>
          <w:bCs/>
          <w:color w:val="000000"/>
        </w:rPr>
      </w:r>
      <w:r/>
    </w:p>
    <w:p>
      <w:pPr>
        <w:pStyle w:val="734"/>
        <w:ind w:firstLine="56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 集采药品通用名配置：单通用名可关联多条商品数据，同一通用名同时存在多条集采药品的情况下，需支持允许勾选多条集采药品进行关联，系统提供通用名与商品的关联校验，防止跨通用名误关联。</w:t>
      </w:r>
      <w:r>
        <w:rPr>
          <w:rFonts w:hint="eastAsia" w:ascii="方正仿宋_GBK" w:hAnsi="方正仿宋_GBK" w:eastAsia="方正仿宋_GBK" w:cs="方正仿宋_GBK"/>
          <w:sz w:val="28"/>
          <w:szCs w:val="28"/>
        </w:rPr>
      </w:r>
      <w:r/>
    </w:p>
    <w:p>
      <w:pPr>
        <w:pStyle w:val="734"/>
        <w:ind w:firstLine="56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商品层参数维护：支持药房后台维护标准剂量基数，支持手动修改与更新；区分门诊开立比例与住院开立比例，双比例须独立配置、独立生效、独立统计考核。比例配置支持按药品通用名粒度设置，并支持批量复制与模板化管理。</w:t>
      </w:r>
      <w:r>
        <w:rPr>
          <w:rFonts w:hint="eastAsia" w:ascii="方正仿宋_GBK" w:hAnsi="方正仿宋_GBK" w:eastAsia="方正仿宋_GBK" w:cs="方正仿宋_GBK"/>
          <w:sz w:val="28"/>
          <w:szCs w:val="28"/>
        </w:rPr>
      </w:r>
      <w:r/>
    </w:p>
    <w:p>
      <w:pPr>
        <w:pStyle w:val="734"/>
        <w:ind w:firstLine="56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目录操作能力：支持按采购方式、药品名称精准检索；支持目录新增、删除、批次导入、单批次导出及批量导出；支持院区、科室、医疗组、医生四级采购基数配置。所有目录操作均记录操作日志，支持按操作</w:t>
      </w:r>
      <w:r>
        <w:rPr>
          <w:rFonts w:hint="eastAsia" w:ascii="方正仿宋_GBK" w:hAnsi="方正仿宋_GBK" w:eastAsia="方正仿宋_GBK" w:cs="方正仿宋_GBK"/>
          <w:sz w:val="28"/>
          <w:szCs w:val="28"/>
        </w:rPr>
        <w:t xml:space="preserve">人、操作时间、操作类型查询审计。</w:t>
      </w:r>
      <w:r>
        <w:rPr>
          <w:rFonts w:hint="eastAsia" w:ascii="方正仿宋_GBK" w:hAnsi="方正仿宋_GBK" w:eastAsia="方正仿宋_GBK" w:cs="方正仿宋_GBK"/>
          <w:sz w:val="28"/>
          <w:szCs w:val="28"/>
        </w:rPr>
      </w:r>
      <w:r/>
    </w:p>
    <w:p>
      <w:pPr>
        <w:pStyle w:val="734"/>
        <w:ind w:firstLine="56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 剂量基数：系统标准化定义为同药品通用名下标准规格剂量比例，由药房统一维护。示例：A药品标准规格1mg、基数为1，B药品同通用名规格2mg、基数为2，所有开立数据均须以剂量基数作为换算基准。剂量基数的维护与修改支持版本管理，变更后历史数据按当时基数重新核算。</w:t>
      </w:r>
      <w:r>
        <w:rPr>
          <w:rFonts w:hint="eastAsia" w:ascii="方正仿宋_GBK" w:hAnsi="方正仿宋_GBK" w:eastAsia="方正仿宋_GBK" w:cs="方正仿宋_GBK"/>
          <w:sz w:val="28"/>
          <w:szCs w:val="28"/>
        </w:rPr>
      </w:r>
      <w:r/>
    </w:p>
    <w:p>
      <w:pPr>
        <w:pStyle w:val="734"/>
        <w:ind w:firstLine="56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 开立比例：定义为集采药品总剂量÷（集采药品总剂量+非集采药品总剂量），门诊与住院比例须分开配置、分开校验、分开考核。比例计算实时更新，支持按月度、季度自动汇总，并提供比例趋势图与达标预警。</w:t>
      </w:r>
      <w:r>
        <w:rPr>
          <w:rFonts w:hint="eastAsia" w:ascii="方正仿宋_GBK" w:hAnsi="方正仿宋_GBK" w:eastAsia="方正仿宋_GBK" w:cs="方正仿宋_GBK"/>
          <w:sz w:val="28"/>
          <w:szCs w:val="28"/>
        </w:rPr>
      </w:r>
      <w:r/>
    </w:p>
    <w:p>
      <w:pPr>
        <w:pStyle w:val="734"/>
        <w:ind w:firstLine="56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 药品分组规则：基于ATC分类自动绑定同类药品，实现同组药品用量合并统计与异动统一监控，按月度周期汇总核算。分组规则支持医院自定义调整，并支持新增ATC分类外的自定义药品分组。</w:t>
      </w:r>
      <w:r>
        <w:rPr>
          <w:rFonts w:hint="eastAsia" w:ascii="方正仿宋_GBK" w:hAnsi="方正仿宋_GBK" w:eastAsia="方正仿宋_GBK" w:cs="方正仿宋_GBK"/>
          <w:sz w:val="28"/>
          <w:szCs w:val="28"/>
        </w:rPr>
      </w:r>
      <w:r/>
    </w:p>
    <w:p>
      <w:pPr>
        <w:pStyle w:val="739"/>
        <w:keepNext w:val="0"/>
        <w:spacing w:before="120" w:after="120" w:line="360" w:lineRule="auto"/>
        <w:tabs>
          <w:tab w:val="left" w:pos="720" w:leader="none"/>
        </w:tabs>
        <w:rPr>
          <w:rFonts w:hint="eastAsia" w:ascii="方正仿宋_GBK" w:hAnsi="方正仿宋_GBK" w:eastAsia="方正仿宋_GBK" w:cs="方正仿宋_GBK"/>
          <w:b/>
          <w:bCs/>
          <w:color w:val="000000"/>
        </w:rPr>
      </w:pPr>
      <w:r/>
      <w:bookmarkStart w:id="181" w:name="heading_2"/>
      <w:r>
        <w:rPr>
          <w:rFonts w:hint="eastAsia" w:ascii="方正仿宋_GBK" w:hAnsi="方正仿宋_GBK" w:eastAsia="方正仿宋_GBK" w:cs="方正仿宋_GBK"/>
          <w:b/>
          <w:bCs/>
          <w:color w:val="000000"/>
        </w:rPr>
        <w:t xml:space="preserve">3.6.3.2 支持豁免权限管理功能</w:t>
      </w:r>
      <w:bookmarkEnd w:id="181"/>
      <w:r>
        <w:rPr>
          <w:rFonts w:hint="eastAsia" w:ascii="方正仿宋_GBK" w:hAnsi="方正仿宋_GBK" w:eastAsia="方正仿宋_GBK" w:cs="方正仿宋_GBK"/>
          <w:b/>
          <w:bCs/>
          <w:color w:val="000000"/>
        </w:rPr>
      </w:r>
      <w:r/>
    </w:p>
    <w:p>
      <w:pPr>
        <w:pStyle w:val="734"/>
        <w:ind w:firstLine="56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 豁免对象范围：支持三类白名单权限，包含患者白名单、医生白名单及科室白名单，其中医生白名单须全覆盖医生站开立场景。白名单支持按有效期设置（永久/限期），到期自动失效并支持续期操作。</w:t>
      </w:r>
      <w:r>
        <w:rPr>
          <w:rFonts w:hint="eastAsia" w:ascii="方正仿宋_GBK" w:hAnsi="方正仿宋_GBK" w:eastAsia="方正仿宋_GBK" w:cs="方正仿宋_GBK"/>
          <w:sz w:val="28"/>
          <w:szCs w:val="28"/>
        </w:rPr>
      </w:r>
      <w:r/>
    </w:p>
    <w:p>
      <w:pPr>
        <w:pStyle w:val="734"/>
        <w:ind w:firstLine="56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豁免生效规则：白名单内医生、患者、科室不受集采开立比例限制，开立药品不触发比例校验、不弹窗拦截、不占用常规开立额度。豁</w:t>
      </w:r>
      <w:r>
        <w:rPr>
          <w:rFonts w:hint="eastAsia" w:ascii="方正仿宋_GBK" w:hAnsi="方正仿宋_GBK" w:eastAsia="方正仿宋_GBK" w:cs="方正仿宋_GBK"/>
          <w:sz w:val="28"/>
          <w:szCs w:val="28"/>
        </w:rPr>
        <w:t xml:space="preserve">免操作实时生效，并记录豁免开立日志，支持事后审计与统计分析。</w:t>
      </w:r>
      <w:r>
        <w:rPr>
          <w:rFonts w:hint="eastAsia" w:ascii="方正仿宋_GBK" w:hAnsi="方正仿宋_GBK" w:eastAsia="方正仿宋_GBK" w:cs="方正仿宋_GBK"/>
          <w:sz w:val="28"/>
          <w:szCs w:val="28"/>
        </w:rPr>
      </w:r>
      <w:r/>
    </w:p>
    <w:p>
      <w:pPr>
        <w:pStyle w:val="734"/>
        <w:ind w:firstLine="56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业务适配场景：适配干部用药、重点科室、科主任特殊诊疗等分层管理需求，豁免权限长期有效，并支持手动新增、删除与编辑维护。支持豁免权限的批量导入与导出，便于大规模权限调整与定期复核。</w:t>
      </w:r>
      <w:r>
        <w:rPr>
          <w:rFonts w:hint="eastAsia" w:ascii="方正仿宋_GBK" w:hAnsi="方正仿宋_GBK" w:eastAsia="方正仿宋_GBK" w:cs="方正仿宋_GBK"/>
          <w:sz w:val="28"/>
          <w:szCs w:val="28"/>
        </w:rPr>
      </w:r>
      <w:r/>
    </w:p>
    <w:p>
      <w:pPr>
        <w:pStyle w:val="739"/>
        <w:keepNext w:val="0"/>
        <w:spacing w:before="120" w:after="120" w:line="360" w:lineRule="auto"/>
        <w:tabs>
          <w:tab w:val="left" w:pos="720" w:leader="none"/>
        </w:tabs>
        <w:rPr>
          <w:rFonts w:hint="eastAsia" w:ascii="方正仿宋_GBK" w:hAnsi="方正仿宋_GBK" w:eastAsia="方正仿宋_GBK" w:cs="方正仿宋_GBK"/>
          <w:b/>
          <w:bCs/>
          <w:color w:val="000000"/>
        </w:rPr>
      </w:pPr>
      <w:r/>
      <w:bookmarkStart w:id="182" w:name="heading_3"/>
      <w:r>
        <w:rPr>
          <w:rFonts w:hint="eastAsia" w:ascii="方正仿宋_GBK" w:hAnsi="方正仿宋_GBK" w:eastAsia="方正仿宋_GBK" w:cs="方正仿宋_GBK"/>
          <w:b/>
          <w:bCs/>
          <w:color w:val="000000"/>
        </w:rPr>
        <w:t xml:space="preserve">3.6.3.3 支持医生处方比例管控管理</w:t>
      </w:r>
      <w:bookmarkEnd w:id="182"/>
      <w:r>
        <w:rPr>
          <w:rFonts w:hint="eastAsia" w:ascii="方正仿宋_GBK" w:hAnsi="方正仿宋_GBK" w:eastAsia="方正仿宋_GBK" w:cs="方正仿宋_GBK"/>
          <w:b/>
          <w:bCs/>
          <w:color w:val="000000"/>
        </w:rPr>
      </w:r>
      <w:r/>
    </w:p>
    <w:p>
      <w:pPr>
        <w:pStyle w:val="734"/>
        <w:ind w:firstLine="56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 权限管控逻辑：按药品通用名独立维护开立比例，支持比例绑定处方权限，采用“集采药品开立额度解锁非集采额度”机制，典型比例支持1:1等自定义配比模式。权限管控支持按科室、医疗组、医生差异化配置，满足分层管理需求。</w:t>
      </w:r>
      <w:r>
        <w:rPr>
          <w:rFonts w:hint="eastAsia" w:ascii="方正仿宋_GBK" w:hAnsi="方正仿宋_GBK" w:eastAsia="方正仿宋_GBK" w:cs="方正仿宋_GBK"/>
          <w:sz w:val="28"/>
          <w:szCs w:val="28"/>
        </w:rPr>
      </w:r>
      <w:r/>
    </w:p>
    <w:p>
      <w:pPr>
        <w:pStyle w:val="734"/>
        <w:ind w:firstLine="56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统计周期：所有医生开立数据、比例核算与额度计算均须按月度周期统计清零，月度动态刷新权限可用额度。月度切换时自动归档上月数据，并生成月度集采执行报告供管理层查阅。</w:t>
      </w:r>
      <w:r>
        <w:rPr>
          <w:rFonts w:hint="eastAsia" w:ascii="方正仿宋_GBK" w:hAnsi="方正仿宋_GBK" w:eastAsia="方正仿宋_GBK" w:cs="方正仿宋_GBK"/>
          <w:sz w:val="28"/>
          <w:szCs w:val="28"/>
        </w:rPr>
      </w:r>
      <w:r/>
    </w:p>
    <w:p>
      <w:pPr>
        <w:pStyle w:val="734"/>
        <w:ind w:firstLine="56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同类药品异动监控：依托ATC药品分类体系自动归集同类药品，月度统计同组药品总使用量与开立占比，自动识别用量异动与比例异常数据。异动监控支持设置异常阈值，超过阈值时自动生成预警并推送给指定管理人员。</w:t>
      </w:r>
      <w:r>
        <w:rPr>
          <w:rFonts w:hint="eastAsia" w:ascii="方正仿宋_GBK" w:hAnsi="方正仿宋_GBK" w:eastAsia="方正仿宋_GBK" w:cs="方正仿宋_GBK"/>
          <w:sz w:val="28"/>
          <w:szCs w:val="28"/>
        </w:rPr>
      </w:r>
      <w:r/>
    </w:p>
    <w:p>
      <w:pPr>
        <w:pStyle w:val="734"/>
        <w:ind w:firstLine="56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 处方拦截规则：当医生开立药品时，系统根据药品已开立剂量与开立比例校验当前开立情况；当集采比例未完成时，不允许开立同通用名下的非集采药品，并给</w:t>
      </w:r>
      <w:r>
        <w:rPr>
          <w:rFonts w:hint="eastAsia" w:ascii="方正仿宋_GBK" w:hAnsi="方正仿宋_GBK" w:eastAsia="方正仿宋_GBK" w:cs="方正仿宋_GBK"/>
          <w:sz w:val="28"/>
          <w:szCs w:val="28"/>
        </w:rPr>
        <w:t xml:space="preserve">出明确提示，提示信息包含当前集采完成比例、剩余需开立剂量及达标建议。</w:t>
      </w:r>
      <w:r>
        <w:rPr>
          <w:rFonts w:hint="eastAsia" w:ascii="方正仿宋_GBK" w:hAnsi="方正仿宋_GBK" w:eastAsia="方正仿宋_GBK" w:cs="方正仿宋_GBK"/>
          <w:sz w:val="28"/>
          <w:szCs w:val="28"/>
        </w:rPr>
      </w:r>
      <w:r/>
    </w:p>
    <w:p>
      <w:pPr>
        <w:pStyle w:val="738"/>
        <w:keepLines w:val="0"/>
        <w:keepNext w:val="0"/>
        <w:spacing w:before="120" w:after="120" w:line="360" w:lineRule="auto"/>
        <w:rPr>
          <w:rFonts w:hint="eastAsia" w:ascii="方正仿宋_GBK" w:hAnsi="方正仿宋_GBK" w:eastAsia="方正仿宋_GBK" w:cs="方正仿宋_GBK"/>
        </w:rPr>
      </w:pPr>
      <w:r>
        <w:rPr>
          <w:rFonts w:hint="eastAsia" w:ascii="方正仿宋_GBK" w:hAnsi="方正仿宋_GBK" w:eastAsia="方正仿宋_GBK" w:cs="方正仿宋_GBK"/>
        </w:rPr>
        <w:t xml:space="preserve">3.6.4 集采药品医生开立情况查询</w:t>
      </w:r>
      <w:r/>
    </w:p>
    <w:p>
      <w:pPr>
        <w:pStyle w:val="739"/>
        <w:keepNext w:val="0"/>
        <w:spacing w:before="120" w:after="120" w:line="360" w:lineRule="auto"/>
        <w:tabs>
          <w:tab w:val="left" w:pos="720" w:leader="none"/>
        </w:tabs>
        <w:rPr>
          <w:rFonts w:hint="eastAsia" w:ascii="方正仿宋_GBK" w:hAnsi="方正仿宋_GBK" w:eastAsia="方正仿宋_GBK" w:cs="方正仿宋_GBK"/>
          <w:b/>
          <w:bCs/>
          <w:color w:val="000000"/>
        </w:rPr>
      </w:pPr>
      <w:r>
        <w:rPr>
          <w:rFonts w:hint="eastAsia" w:ascii="方正仿宋_GBK" w:hAnsi="方正仿宋_GBK" w:eastAsia="方正仿宋_GBK" w:cs="方正仿宋_GBK"/>
          <w:b/>
          <w:bCs/>
          <w:color w:val="000000"/>
        </w:rPr>
        <w:t xml:space="preserve">3.6.4.1 带量采购药品查询</w:t>
      </w:r>
      <w:r>
        <w:rPr>
          <w:rFonts w:hint="eastAsia" w:ascii="方正仿宋_GBK" w:hAnsi="方正仿宋_GBK" w:eastAsia="方正仿宋_GBK" w:cs="方正仿宋_GBK"/>
          <w:b/>
          <w:bCs/>
          <w:color w:val="000000"/>
        </w:rPr>
      </w:r>
      <w:r/>
    </w:p>
    <w:p>
      <w:pPr>
        <w:pStyle w:val="734"/>
        <w:ind w:firstLine="56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 医生查询维度：覆盖全院执业医生，支持医生与药品精准定位；支持按院区、科室、时间、采购方式、药品名称等多条件复合检索。查询结果支持按开立数量、完成比例等关键字段排序，并支持数据穿透至处方明细。</w:t>
      </w:r>
      <w:r>
        <w:rPr>
          <w:rFonts w:hint="eastAsia" w:ascii="方正仿宋_GBK" w:hAnsi="方正仿宋_GBK" w:eastAsia="方正仿宋_GBK" w:cs="方正仿宋_GBK"/>
          <w:sz w:val="28"/>
          <w:szCs w:val="28"/>
        </w:rPr>
      </w:r>
      <w:r/>
    </w:p>
    <w:p>
      <w:pPr>
        <w:pStyle w:val="734"/>
        <w:ind w:firstLine="56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数据展示字段：包含商品名称、生产厂家、规格、门诊开立数量、住院开立数量、标准换算数量、是否集采标识、可开立剩余数量。展示字段支持自定义列设置，允许用户按需隐藏或显示特定列，并支持列宽自适调整。</w:t>
      </w:r>
      <w:r>
        <w:rPr>
          <w:rFonts w:hint="eastAsia" w:ascii="方正仿宋_GBK" w:hAnsi="方正仿宋_GBK" w:eastAsia="方正仿宋_GBK" w:cs="方正仿宋_GBK"/>
          <w:sz w:val="28"/>
          <w:szCs w:val="28"/>
        </w:rPr>
      </w:r>
      <w:r/>
    </w:p>
    <w:p>
      <w:pPr>
        <w:pStyle w:val="734"/>
        <w:ind w:firstLine="56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规格换算规则：所有非标规格开立数量统一换算为标准最小规格统计，余数直接舍弃，确保数据统计口径统一。换算规则与剂量基数维护逻辑一致，并支持换算过程的可追溯查询。</w:t>
      </w:r>
      <w:r>
        <w:rPr>
          <w:rFonts w:hint="eastAsia" w:ascii="方正仿宋_GBK" w:hAnsi="方正仿宋_GBK" w:eastAsia="方正仿宋_GBK" w:cs="方正仿宋_GBK"/>
          <w:sz w:val="28"/>
          <w:szCs w:val="28"/>
        </w:rPr>
      </w:r>
      <w:r/>
    </w:p>
    <w:p>
      <w:pPr>
        <w:pStyle w:val="734"/>
        <w:ind w:firstLine="56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 拓展功能：支持数据打印与批量导出；支持查询权限开关配置及权限保存生效。导出数据包含查询条件、数据生成时间等元信息，确保导出数据的可追溯性。</w:t>
      </w:r>
      <w:r>
        <w:rPr>
          <w:rFonts w:hint="eastAsia" w:ascii="方正仿宋_GBK" w:hAnsi="方正仿宋_GBK" w:eastAsia="方正仿宋_GBK" w:cs="方正仿宋_GBK"/>
          <w:sz w:val="28"/>
          <w:szCs w:val="28"/>
        </w:rPr>
      </w:r>
      <w:r/>
    </w:p>
    <w:p>
      <w:pPr>
        <w:pStyle w:val="739"/>
        <w:keepNext w:val="0"/>
        <w:spacing w:before="120" w:after="120" w:line="360" w:lineRule="auto"/>
        <w:tabs>
          <w:tab w:val="left" w:pos="720" w:leader="none"/>
        </w:tabs>
        <w:rPr>
          <w:rFonts w:hint="eastAsia" w:ascii="方正仿宋_GBK" w:hAnsi="方正仿宋_GBK" w:eastAsia="方正仿宋_GBK" w:cs="方正仿宋_GBK"/>
          <w:b/>
          <w:bCs/>
          <w:color w:val="000000"/>
        </w:rPr>
      </w:pPr>
      <w:r/>
      <w:bookmarkStart w:id="183" w:name="heading_6"/>
      <w:r>
        <w:rPr>
          <w:rFonts w:hint="eastAsia" w:ascii="方正仿宋_GBK" w:hAnsi="方正仿宋_GBK" w:eastAsia="方正仿宋_GBK" w:cs="方正仿宋_GBK"/>
          <w:b/>
          <w:bCs/>
          <w:color w:val="000000"/>
        </w:rPr>
        <w:t xml:space="preserve">3.6.4.2 住院与多院区统计口径参数</w:t>
      </w:r>
      <w:bookmarkEnd w:id="183"/>
      <w:r>
        <w:rPr>
          <w:rFonts w:hint="eastAsia" w:ascii="方正仿宋_GBK" w:hAnsi="方正仿宋_GBK" w:eastAsia="方正仿宋_GBK" w:cs="方正仿宋_GBK"/>
          <w:b/>
          <w:bCs/>
          <w:color w:val="000000"/>
        </w:rPr>
      </w:r>
      <w:r/>
    </w:p>
    <w:p>
      <w:pPr>
        <w:pStyle w:val="734"/>
        <w:ind w:firstLine="56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 住院统计依据：以患者医嘱当月发药计费时间为统计节点，不以开立时间为准，按月度周期统计。退药、冲销等业务数据按实际计费变动自动</w:t>
      </w:r>
      <w:r>
        <w:rPr>
          <w:rFonts w:hint="eastAsia" w:ascii="方正仿宋_GBK" w:hAnsi="方正仿宋_GBK" w:eastAsia="方正仿宋_GBK" w:cs="方正仿宋_GBK"/>
          <w:sz w:val="28"/>
          <w:szCs w:val="28"/>
        </w:rPr>
        <w:t xml:space="preserve">调整统计结果，确保数据准确性。</w:t>
      </w:r>
      <w:r>
        <w:rPr>
          <w:rFonts w:hint="eastAsia" w:ascii="方正仿宋_GBK" w:hAnsi="方正仿宋_GBK" w:eastAsia="方正仿宋_GBK" w:cs="方正仿宋_GBK"/>
          <w:sz w:val="28"/>
          <w:szCs w:val="28"/>
        </w:rPr>
      </w:r>
      <w:r/>
    </w:p>
    <w:p>
      <w:pPr>
        <w:pStyle w:val="734"/>
        <w:ind w:firstLine="56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多院区合并规则：多院区数据自动汇总，同一医生多院区开立数据须合并统计、统一核算比例、统一考核。同时支持分院区独立查询与对比分析，满足院区间的横向比较需求。</w:t>
      </w:r>
      <w:r>
        <w:rPr>
          <w:rFonts w:hint="eastAsia" w:ascii="方正仿宋_GBK" w:hAnsi="方正仿宋_GBK" w:eastAsia="方正仿宋_GBK" w:cs="方正仿宋_GBK"/>
          <w:sz w:val="28"/>
          <w:szCs w:val="28"/>
        </w:rPr>
      </w:r>
      <w:r/>
    </w:p>
    <w:p>
      <w:pPr>
        <w:pStyle w:val="734"/>
        <w:ind w:firstLine="56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考核区分规则：门诊开立比例与住院开立比例须完全独立核算，互不占用额度、互不干扰校验规则。门诊与住院数据在系统中明确标识，防止跨场景数据混算。</w:t>
      </w:r>
      <w:r>
        <w:rPr>
          <w:rFonts w:hint="eastAsia" w:ascii="方正仿宋_GBK" w:hAnsi="方正仿宋_GBK" w:eastAsia="方正仿宋_GBK" w:cs="方正仿宋_GBK"/>
          <w:sz w:val="28"/>
          <w:szCs w:val="28"/>
        </w:rPr>
      </w:r>
      <w:r/>
    </w:p>
    <w:p>
      <w:pPr>
        <w:pStyle w:val="738"/>
        <w:keepLines w:val="0"/>
        <w:keepNext w:val="0"/>
        <w:spacing w:before="120" w:after="120" w:line="360" w:lineRule="auto"/>
        <w:rPr>
          <w:rFonts w:hint="eastAsia" w:ascii="方正仿宋_GBK" w:hAnsi="方正仿宋_GBK" w:eastAsia="方正仿宋_GBK" w:cs="方正仿宋_GBK"/>
        </w:rPr>
      </w:pPr>
      <w:r>
        <w:rPr>
          <w:rFonts w:hint="eastAsia" w:ascii="方正仿宋_GBK" w:hAnsi="方正仿宋_GBK" w:eastAsia="方正仿宋_GBK" w:cs="方正仿宋_GBK"/>
        </w:rPr>
        <w:t xml:space="preserve">3.6.5 进度推送与短信通知</w:t>
      </w:r>
      <w:r/>
    </w:p>
    <w:p>
      <w:pPr>
        <w:pStyle w:val="734"/>
        <w:ind w:firstLine="56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 进度监测周期：按月度自动监测各科室、各药品集采完成进度、使用比例及达标情况。监测数据支持按周、按月、按季度多周期展示，并提供进度趋势图与达标率统计。</w:t>
      </w:r>
      <w:r>
        <w:rPr>
          <w:rFonts w:hint="eastAsia" w:ascii="方正仿宋_GBK" w:hAnsi="方正仿宋_GBK" w:eastAsia="方正仿宋_GBK" w:cs="方正仿宋_GBK"/>
          <w:sz w:val="28"/>
          <w:szCs w:val="28"/>
        </w:rPr>
      </w:r>
      <w:r/>
    </w:p>
    <w:p>
      <w:pPr>
        <w:pStyle w:val="734"/>
        <w:ind w:firstLine="56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定点推送规则：对进度落后、比例不达标科室实现定点数据推送，临床科室端可实时查询本科室集采进度与异常数据。推送内容包含不达标药品清单、当前完成比例、差距分析及改进建议。</w:t>
      </w:r>
      <w:r>
        <w:rPr>
          <w:rFonts w:hint="eastAsia" w:ascii="方正仿宋_GBK" w:hAnsi="方正仿宋_GBK" w:eastAsia="方正仿宋_GBK" w:cs="方正仿宋_GBK"/>
          <w:sz w:val="28"/>
          <w:szCs w:val="28"/>
        </w:rPr>
      </w:r>
      <w:r/>
    </w:p>
    <w:p>
      <w:pPr>
        <w:pStyle w:val="734"/>
        <w:ind w:firstLine="56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短信推送功能：基于科室集采完成情况报表，支持筛选不达标科室并一键批量短信推送；支持手动编辑与维护科室负责人手机号；支持自定义及修改短信推送模板。短信发送记录发送日志，包含发送时间、接收人、发送内容与发送状态，支持发送失败重试。</w:t>
      </w:r>
      <w:r>
        <w:rPr>
          <w:rFonts w:hint="eastAsia" w:ascii="方正仿宋_GBK" w:hAnsi="方正仿宋_GBK" w:eastAsia="方正仿宋_GBK" w:cs="方正仿宋_GBK"/>
          <w:sz w:val="28"/>
          <w:szCs w:val="28"/>
        </w:rPr>
      </w:r>
      <w:r/>
    </w:p>
    <w:p>
      <w:pPr>
        <w:pStyle w:val="737"/>
        <w:jc w:val="left"/>
        <w:keepLines w:val="0"/>
        <w:keepNext w:val="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3.7 药学运营大屏监测主题</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系统提供面向药剂科与医院管理层的药学运营监测大屏，集中呈</w:t>
      </w:r>
      <w:r>
        <w:rPr>
          <w:rFonts w:hint="eastAsia" w:ascii="方正仿宋_GBK" w:hAnsi="方正仿宋_GBK" w:eastAsia="方正仿宋_GBK" w:cs="方正仿宋_GBK"/>
          <w:sz w:val="28"/>
          <w:szCs w:val="28"/>
        </w:rPr>
        <w:t xml:space="preserve">现用药经济结构、中医药特色指标与抗菌药物使用强度，支持管理者一眼掌握全院药学运营全貌与合理用药达标情况。大屏支持按时间维度（起止日期、月/季/年汇总、同比环比）、多院区数据汇总与分院区独立展示并行、达标状态颜色标注（达标绿、预警黄、超限红）；各指标支持从汇总至科室、医疗组等维度展示，异常数据支持状态颜色标注。</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大屏通用展示要求：比值/强度类指标以 KPI 卡片形式展示当期值、目标值、同比/环比与达标状态；结构类指标以环形图展示构成；排名类指标以动态榜单展示并支持点击穿透；趋势类指标以折线图结合时间维度展示变化。</w:t>
      </w:r>
      <w:r>
        <w:rPr>
          <w:rFonts w:hint="eastAsia" w:ascii="方正仿宋_GBK" w:hAnsi="方正仿宋_GBK" w:eastAsia="方正仿宋_GBK" w:cs="方正仿宋_GBK"/>
          <w:sz w:val="28"/>
          <w:szCs w:val="28"/>
        </w:rPr>
      </w:r>
      <w:r/>
    </w:p>
    <w:p>
      <w:pPr>
        <w:pStyle w:val="738"/>
        <w:jc w:val="left"/>
        <w:keepLines w:val="0"/>
        <w:keepNext w:val="0"/>
        <w:spacing w:before="120" w:after="120" w:line="360" w:lineRule="auto"/>
        <w:rPr>
          <w:rFonts w:hint="eastAsia" w:ascii="方正仿宋_GBK" w:hAnsi="方正仿宋_GBK" w:eastAsia="方正仿宋_GBK" w:cs="方正仿宋_GBK"/>
        </w:rPr>
      </w:pPr>
      <w:r>
        <w:rPr>
          <w:rFonts w:hint="eastAsia" w:ascii="方正仿宋_GBK" w:hAnsi="方正仿宋_GBK" w:eastAsia="方正仿宋_GBK" w:cs="方正仿宋_GBK"/>
        </w:rPr>
        <w:t xml:space="preserve">3.7.1 门诊区域</w:t>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门急诊药品总收入：</w:t>
      </w:r>
      <w:r>
        <w:rPr>
          <w:rFonts w:hint="eastAsia" w:ascii="方正仿宋_GBK" w:hAnsi="方正仿宋_GBK" w:eastAsia="方正仿宋_GBK" w:cs="方正仿宋_GBK"/>
          <w:sz w:val="28"/>
          <w:szCs w:val="28"/>
        </w:rPr>
        <w:t xml:space="preserve">展示门急诊药品总收入当期值、同期值与同比；支持按科室、医生维度下钻，展示各科室药品收入贡献占比。</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门急诊均次药品费用：</w:t>
      </w:r>
      <w:r>
        <w:rPr>
          <w:rFonts w:hint="eastAsia" w:ascii="方正仿宋_GBK" w:hAnsi="方正仿宋_GBK" w:eastAsia="方正仿宋_GBK" w:cs="方正仿宋_GBK"/>
          <w:sz w:val="28"/>
          <w:szCs w:val="28"/>
        </w:rPr>
        <w:t xml:space="preserve">展示门急诊患者均次药品费用及目标值对标；按达标/预警/超限标注颜色，提供同比环比对比。</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门诊患者中药饮片使用率：</w:t>
      </w:r>
      <w:r>
        <w:rPr>
          <w:rFonts w:hint="eastAsia" w:ascii="方正仿宋_GBK" w:hAnsi="方正仿宋_GBK" w:eastAsia="方正仿宋_GBK" w:cs="方正仿宋_GBK"/>
          <w:sz w:val="28"/>
          <w:szCs w:val="28"/>
        </w:rPr>
        <w:t xml:space="preserve">按国考官方口径统计门诊使用中药饮片人次占门诊总人次比例（中医医院国考核心特色指标）；提供目标值对标与同比，展示达标状态。</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门急诊中药收入占药品收入比例：</w:t>
      </w:r>
      <w:r>
        <w:rPr>
          <w:rFonts w:hint="eastAsia" w:ascii="方正仿宋_GBK" w:hAnsi="方正仿宋_GBK" w:eastAsia="方正仿宋_GBK" w:cs="方正仿宋_GBK"/>
          <w:sz w:val="28"/>
          <w:szCs w:val="28"/>
        </w:rPr>
        <w:t xml:space="preserve">展示门急诊中药收入占药品收入比例及同比变化；支持按科室维度展示，体现中医药服务能力。</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门急诊中药饮片收入占药品收入比例：</w:t>
      </w:r>
      <w:r>
        <w:rPr>
          <w:rFonts w:hint="eastAsia" w:ascii="方正仿宋_GBK" w:hAnsi="方正仿宋_GBK" w:eastAsia="方正仿宋_GBK" w:cs="方正仿宋_GBK"/>
          <w:sz w:val="28"/>
          <w:szCs w:val="28"/>
        </w:rPr>
        <w:t xml:space="preserve">展示门急诊中药饮片收入占药品收入比例及同比变化；支持按科室维度展示。</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门诊中药处方比例：</w:t>
      </w:r>
      <w:r>
        <w:rPr>
          <w:rFonts w:hint="eastAsia" w:ascii="方正仿宋_GBK" w:hAnsi="方正仿宋_GBK" w:eastAsia="方正仿宋_GBK" w:cs="方正仿宋_GBK"/>
          <w:sz w:val="28"/>
          <w:szCs w:val="28"/>
        </w:rPr>
        <w:t xml:space="preserve">展示门诊中药处方数占门诊处方总数比例，以及门诊散装中药饮片与小包装中药饮片处方比例（国考监测指标）；提供目标值对标与同比。</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门急诊药品收入结构比例：</w:t>
      </w:r>
      <w:r>
        <w:rPr>
          <w:rFonts w:hint="eastAsia" w:ascii="方正仿宋_GBK" w:hAnsi="方正仿宋_GBK" w:eastAsia="方正仿宋_GBK" w:cs="方正仿宋_GBK"/>
          <w:sz w:val="28"/>
          <w:szCs w:val="28"/>
        </w:rPr>
        <w:t xml:space="preserve">以环形图同时展示三大药类占比（西药/中成药/中草药）与管控类别占比（基本药物/抗菌药物/抗肿瘤药物/辅助用药/重点监控药品等）；支持同比环比对比。</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门急诊药品收入科室排名：</w:t>
      </w:r>
      <w:r>
        <w:rPr>
          <w:rFonts w:hint="eastAsia" w:ascii="方正仿宋_GBK" w:hAnsi="方正仿宋_GBK" w:eastAsia="方正仿宋_GBK" w:cs="方正仿宋_GBK"/>
          <w:sz w:val="28"/>
          <w:szCs w:val="28"/>
        </w:rPr>
        <w:t xml:space="preserve">以动态榜单展示各科室门急诊药品收入由高到低排名。</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门急诊均次药品费用趋势图：</w:t>
      </w:r>
      <w:r>
        <w:rPr>
          <w:rFonts w:hint="eastAsia" w:ascii="方正仿宋_GBK" w:hAnsi="方正仿宋_GBK" w:eastAsia="方正仿宋_GBK" w:cs="方正仿宋_GBK"/>
          <w:sz w:val="28"/>
          <w:szCs w:val="28"/>
        </w:rPr>
        <w:t xml:space="preserve">结合时间维度以折线图展示门急诊均次药品费用变化趋势；支持按月/季/年汇总与异常波动自动标注。</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取药排队运行情况：</w:t>
      </w:r>
      <w:r>
        <w:rPr>
          <w:rFonts w:hint="eastAsia" w:ascii="方正仿宋_GBK" w:hAnsi="方正仿宋_GBK" w:eastAsia="方正仿宋_GBK" w:cs="方正仿宋_GBK"/>
          <w:sz w:val="28"/>
          <w:szCs w:val="28"/>
        </w:rPr>
        <w:t xml:space="preserve">展示门诊各楼层、窗口已配处方数、待配处方数、平均等待时间等信息；对排队人数分级标注颜色；支持同比环比对比。</w:t>
      </w:r>
      <w:r>
        <w:rPr>
          <w:rFonts w:hint="eastAsia" w:ascii="方正仿宋_GBK" w:hAnsi="方正仿宋_GBK" w:eastAsia="方正仿宋_GBK" w:cs="方正仿宋_GBK"/>
          <w:b/>
          <w:bCs/>
          <w:sz w:val="28"/>
          <w:szCs w:val="28"/>
        </w:rPr>
      </w:r>
      <w:r/>
    </w:p>
    <w:p>
      <w:pPr>
        <w:pStyle w:val="734"/>
        <w:ind w:firstLine="420"/>
        <w:spacing w:before="120" w:after="120" w:line="360" w:lineRule="auto"/>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煎药煎膏运行情况：</w:t>
      </w:r>
      <w:r>
        <w:rPr>
          <w:rFonts w:hint="eastAsia" w:ascii="方正仿宋_GBK" w:hAnsi="方正仿宋_GBK" w:eastAsia="方正仿宋_GBK" w:cs="方正仿宋_GBK"/>
          <w:sz w:val="28"/>
          <w:szCs w:val="28"/>
        </w:rPr>
        <w:t xml:space="preserve">展示医院煎药、煎膏办理数量、待发数量等运行数据，支持按科室维度展示。</w:t>
      </w:r>
      <w:r>
        <w:rPr>
          <w:rFonts w:hint="eastAsia" w:ascii="方正仿宋_GBK" w:hAnsi="方正仿宋_GBK" w:eastAsia="方正仿宋_GBK" w:cs="方正仿宋_GBK"/>
          <w:b/>
          <w:bCs/>
          <w:sz w:val="28"/>
          <w:szCs w:val="28"/>
        </w:rPr>
      </w:r>
      <w:r/>
    </w:p>
    <w:p>
      <w:pPr>
        <w:pStyle w:val="738"/>
        <w:jc w:val="left"/>
        <w:keepLines w:val="0"/>
        <w:keepNext w:val="0"/>
        <w:spacing w:before="120" w:after="120" w:line="360" w:lineRule="auto"/>
        <w:rPr>
          <w:rFonts w:hint="eastAsia" w:ascii="方正仿宋_GBK" w:hAnsi="方正仿宋_GBK" w:eastAsia="方正仿宋_GBK" w:cs="方正仿宋_GBK"/>
        </w:rPr>
      </w:pPr>
      <w:r>
        <w:rPr>
          <w:rFonts w:hint="eastAsia" w:ascii="方正仿宋_GBK" w:hAnsi="方正仿宋_GBK" w:eastAsia="方正仿宋_GBK" w:cs="方正仿宋_GBK"/>
        </w:rPr>
        <w:t xml:space="preserve">3.7.2 住院区域</w:t>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药品总收入：</w:t>
      </w:r>
      <w:r>
        <w:rPr>
          <w:rFonts w:hint="eastAsia" w:ascii="方正仿宋_GBK" w:hAnsi="方正仿宋_GBK" w:eastAsia="方正仿宋_GBK" w:cs="方正仿宋_GBK"/>
          <w:sz w:val="28"/>
          <w:szCs w:val="28"/>
        </w:rPr>
        <w:t xml:space="preserve">展示药品总收入当期值、同期值与同比；支持按科室、医疗组维度展示，展示各科室药品收入贡献占比。</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药品均次费用：</w:t>
      </w:r>
      <w:r>
        <w:rPr>
          <w:rFonts w:hint="eastAsia" w:ascii="方正仿宋_GBK" w:hAnsi="方正仿宋_GBK" w:eastAsia="方正仿宋_GBK" w:cs="方正仿宋_GBK"/>
          <w:sz w:val="28"/>
          <w:szCs w:val="28"/>
        </w:rPr>
        <w:t xml:space="preserve">展示患者均次药品费用及目标值对标；按达标/预警/超限标</w:t>
      </w:r>
      <w:r>
        <w:rPr>
          <w:rFonts w:hint="eastAsia" w:ascii="方正仿宋_GBK" w:hAnsi="方正仿宋_GBK" w:eastAsia="方正仿宋_GBK" w:cs="方正仿宋_GBK"/>
          <w:sz w:val="28"/>
          <w:szCs w:val="28"/>
        </w:rPr>
        <w:t xml:space="preserve">注颜色，提供同比环比对比。</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均次药品费用趋势图：</w:t>
      </w:r>
      <w:r>
        <w:rPr>
          <w:rFonts w:hint="eastAsia" w:ascii="方正仿宋_GBK" w:hAnsi="方正仿宋_GBK" w:eastAsia="方正仿宋_GBK" w:cs="方正仿宋_GBK"/>
          <w:sz w:val="28"/>
          <w:szCs w:val="28"/>
        </w:rPr>
        <w:t xml:space="preserve">结合时间维度以折线图展示出院均次药品费用变化趋势；支持按月/季/年汇总与异常波动自动标注。</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药品收入结构比例：</w:t>
      </w:r>
      <w:r>
        <w:rPr>
          <w:rFonts w:hint="eastAsia" w:ascii="方正仿宋_GBK" w:hAnsi="方正仿宋_GBK" w:eastAsia="方正仿宋_GBK" w:cs="方正仿宋_GBK"/>
          <w:sz w:val="28"/>
          <w:szCs w:val="28"/>
        </w:rPr>
        <w:t xml:space="preserve">以环形图同时展示三大药类占比（西药/中成药/中草药）与管控类别占比（基本药物/抗菌药物/抗肿瘤药物/辅助用药/重点监控药品等）；支持同比环比对比。</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患者中药饮片使用率：</w:t>
      </w:r>
      <w:r>
        <w:rPr>
          <w:rFonts w:hint="eastAsia" w:ascii="方正仿宋_GBK" w:hAnsi="方正仿宋_GBK" w:eastAsia="方正仿宋_GBK" w:cs="方正仿宋_GBK"/>
          <w:sz w:val="28"/>
          <w:szCs w:val="28"/>
        </w:rPr>
        <w:t xml:space="preserve">按国考官方口径统计出院患者用中药饮片人次占出院总人次比例（中医医院国考核心特色指标）；提供目标值对标与同比，展示达标状态。</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中药收入占药品收入比例：</w:t>
      </w:r>
      <w:r>
        <w:rPr>
          <w:rFonts w:hint="eastAsia" w:ascii="方正仿宋_GBK" w:hAnsi="方正仿宋_GBK" w:eastAsia="方正仿宋_GBK" w:cs="方正仿宋_GBK"/>
          <w:sz w:val="28"/>
          <w:szCs w:val="28"/>
        </w:rPr>
        <w:t xml:space="preserve">展示中药收入占药品收入比例及同比变化；支持按科室维度展示。</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中药饮片收入占药品收入比例：</w:t>
      </w:r>
      <w:r>
        <w:rPr>
          <w:rFonts w:hint="eastAsia" w:ascii="方正仿宋_GBK" w:hAnsi="方正仿宋_GBK" w:eastAsia="方正仿宋_GBK" w:cs="方正仿宋_GBK"/>
          <w:sz w:val="28"/>
          <w:szCs w:val="28"/>
        </w:rPr>
        <w:t xml:space="preserve">展示中药饮片收入占药品收入比例及同比变化；支持按科室维度展示。</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抗菌药物使用强度（DDDs）：</w:t>
      </w:r>
      <w:r>
        <w:rPr>
          <w:rFonts w:hint="eastAsia" w:ascii="方正仿宋_GBK" w:hAnsi="方正仿宋_GBK" w:eastAsia="方正仿宋_GBK" w:cs="方正仿宋_GBK"/>
          <w:sz w:val="28"/>
          <w:szCs w:val="28"/>
        </w:rPr>
        <w:t xml:space="preserve">展示患者抗菌药物使用强度；对标国考要求，超限标红预警，并支持限制级/特殊使用级分级展示。</w:t>
      </w:r>
      <w:r>
        <w:rPr>
          <w:rFonts w:hint="eastAsia" w:ascii="方正仿宋_GBK" w:hAnsi="方正仿宋_GBK" w:eastAsia="方正仿宋_GBK" w:cs="方正仿宋_GBK"/>
          <w:sz w:val="28"/>
          <w:szCs w:val="28"/>
        </w:rPr>
      </w:r>
      <w:r/>
    </w:p>
    <w:p>
      <w:pPr>
        <w:pStyle w:val="734"/>
        <w:ind w:firstLine="420"/>
        <w:spacing w:before="120" w:after="12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抗菌药物使用强度（DDDs）科室排名：</w:t>
      </w:r>
      <w:r>
        <w:rPr>
          <w:rFonts w:hint="eastAsia" w:ascii="方正仿宋_GBK" w:hAnsi="方正仿宋_GBK" w:eastAsia="方正仿宋_GBK" w:cs="方正仿宋_GBK"/>
          <w:sz w:val="28"/>
          <w:szCs w:val="28"/>
        </w:rPr>
        <w:t xml:space="preserve">以动态榜单展示各科室抗菌药物使用强度由高到低排名；对超标科室自动标红预警。</w:t>
      </w:r>
      <w:r>
        <w:rPr>
          <w:rFonts w:hint="eastAsia" w:ascii="方正仿宋_GBK" w:hAnsi="方正仿宋_GBK" w:eastAsia="方正仿宋_GBK" w:cs="方正仿宋_GBK"/>
          <w:sz w:val="28"/>
          <w:szCs w:val="28"/>
        </w:rPr>
      </w:r>
      <w:r/>
    </w:p>
    <w:p>
      <w:pPr>
        <w:pStyle w:val="734"/>
        <w:ind w:left="420"/>
        <w:spacing w:line="440" w:lineRule="exact"/>
        <w:rPr>
          <w:rFonts w:hint="eastAsia" w:ascii="方正楷体_GB2312" w:hAnsi="方正楷体_GB2312" w:eastAsia="方正楷体_GB2312" w:cs="方正楷体_GB2312"/>
          <w:b/>
          <w:bCs/>
          <w:sz w:val="28"/>
          <w:szCs w:val="28"/>
        </w:rPr>
      </w:pPr>
      <w:r>
        <w:rPr>
          <w:rFonts w:hint="eastAsia" w:ascii="方正楷体_GB2312" w:hAnsi="方正楷体_GB2312" w:eastAsia="方正楷体_GB2312" w:cs="方正楷体_GB2312"/>
          <w:b/>
          <w:bCs/>
          <w:sz w:val="28"/>
          <w:szCs w:val="28"/>
        </w:rPr>
      </w:r>
      <w:r/>
    </w:p>
    <w:p>
      <w:pPr>
        <w:pStyle w:val="734"/>
        <w:numPr>
          <w:ilvl w:val="0"/>
          <w:numId w:val="4"/>
        </w:numPr>
        <w:ind w:firstLine="562"/>
        <w:rPr>
          <w:rFonts w:hint="eastAsia" w:ascii="方正楷体_GB2312" w:hAnsi="方正楷体_GB2312" w:eastAsia="方正楷体_GB2312" w:cs="方正楷体_GB2312"/>
          <w:b/>
          <w:bCs/>
          <w:sz w:val="28"/>
          <w:szCs w:val="28"/>
        </w:rPr>
      </w:pPr>
      <w:r>
        <w:rPr>
          <w:rFonts w:hint="eastAsia" w:ascii="方正楷体_GB2312" w:hAnsi="方正楷体_GB2312" w:eastAsia="方正楷体_GB2312" w:cs="方正楷体_GB2312"/>
          <w:b/>
          <w:bCs/>
          <w:sz w:val="28"/>
          <w:szCs w:val="28"/>
        </w:rPr>
        <w:t xml:space="preserve">项目建设要求</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总体设计方案</w:t>
      </w:r>
      <w:r>
        <w:rPr>
          <w:rFonts w:hint="eastAsia" w:ascii="方正仿宋_GBK" w:hAnsi="方正仿宋_GBK" w:eastAsia="方正仿宋_GBK" w:cs="方正仿宋_GBK"/>
          <w:sz w:val="28"/>
          <w:szCs w:val="28"/>
        </w:rPr>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设计方案应包括但不限于以下内容：</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总体架构设计：提供系统整体架构设计，说明系统硬件（服务器、存储、算力等）配置、网络要求，国</w:t>
      </w:r>
      <w:r>
        <w:rPr>
          <w:rFonts w:hint="eastAsia" w:ascii="方正仿宋_GBK" w:hAnsi="方正仿宋_GBK" w:eastAsia="方正仿宋_GBK" w:cs="方正仿宋_GBK"/>
          <w:sz w:val="28"/>
          <w:szCs w:val="28"/>
        </w:rPr>
        <w:t xml:space="preserve">产化数据库、中间件适配，客户端架构、应用部署、与现有系统对接及相互间的架构层次关系等。</w:t>
      </w:r>
      <w:r>
        <w:rPr>
          <w:rFonts w:hint="eastAsia" w:ascii="方正仿宋_GBK" w:hAnsi="方正仿宋_GBK" w:eastAsia="方正仿宋_GBK" w:cs="方正仿宋_GBK"/>
          <w:sz w:val="28"/>
          <w:szCs w:val="28"/>
        </w:rPr>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系统逻辑架构：说明从数据获取到业务应用的整体逻辑架构。</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系统数据架构：详细说明数据的采集、存储、处理、分发和治理的全链路设计。</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功能模块设计：针对项目需求的各个功能模块及相应的功能细分进行详细设计。</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安全合规设计：设计覆盖网络安全、数据安全、应用安全和安全管理等层面。</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2）医疗数据安全保障方案</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系统能够提供严格的安全及权限管理体系，能够支持权限的多级分配、多重角色权限分配。要求系统能够灵活设置功能权限，严格控制不同操作权限与数据访问权限，保证系统数据的安全性、可靠性。包含但不仅限于：</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（1）身份认证：密码安全、多因素认证（人脸、动态口令等）、会话管理（登录失败处理、登录超时处理）、管理地址限制等使用人员身份认证方案。</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（2）访问控制：提供权限的多级分配、多重角色权限分配，支持最小化权限配置、数据访问权限控制等。</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（3）数据安全：运营数据分类分级、数据存储传输加密、脱敏、备份恢复、防泄漏、全生命周期管理等方案。</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（4）系统安全：操作系统、数据库安全加固、补丁漏洞管理、防病毒部署等。</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3）项目实施方案</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根据招标文件要求及本项目特点，制订项目实施方案，包括联合调试方案、各节点时间进度、人员配置安排等。实施方案应做到完整全面、科学可行，并有针对性，配备具有相应资质和经验的项目经理及技术服务人员，服从采购人管理要求，确保在规定的交付时限内完成；包括但不限于以下内容：</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实施团队：供应商应成立专门的项目实施团队，明确团队组成、角色分工、职责说明。项目实施期间驻场工程师人数不少于2人（不包含项目经理），项目经理应具有3年以上相关项目三甲医院实施工作经验（提供项目经理基本情况介绍及供应商3个月以来任意一个月为其缴纳社保的缴费记录），并参与项目整个开发和实施的过程。驻场人员需遵守院方的各项工作规章制度，并与院方作息时间一致。</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进度计划：明确各阶段任务分解、时间节点、里程碑设置；项目实施流程需按照医院管理规定进行，详细记录系统开发上线的全过程，形成完善的工作文档（包括开发、测试、培训、发布、会议纪要等相关文档），并在信息管理系统中归档。</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安全防范：需遵守医院的信息安全规章制度，未经许可不得泄露医院任何资料包括技术文档，数据文件，应用程序等，遵守患者隐私保护相关规定，不得泄露患者个人资料、医疗档案等。</w:t>
      </w:r>
      <w:r>
        <w:rPr>
          <w:rFonts w:hint="eastAsia" w:ascii="方正仿宋_GBK" w:hAnsi="方正仿宋_GBK" w:eastAsia="方正仿宋_GBK" w:cs="方正仿宋_GBK"/>
          <w:sz w:val="28"/>
          <w:szCs w:val="28"/>
        </w:rPr>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质量管控：供应商应具有完善的质量管理和控制体系，对本项目的风险预见以及风险规避有系统的解决方案，对项目进行中的突发事件有应急预案。</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t xml:space="preserve">）售后服务方案</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供应商应响应本招标项目服务要求并在投标文件中提供具体的售后服务方案。</w:t>
      </w:r>
      <w:r/>
    </w:p>
    <w:p>
      <w:pPr>
        <w:pStyle w:val="734"/>
        <w:ind w:firstLine="218"/>
        <w:spacing w:line="360" w:lineRule="auto"/>
        <w:widowControl/>
        <w:rPr>
          <w:rFonts w:hint="eastAsia" w:ascii="方正仿宋_GBK" w:hAnsi="方正仿宋_GBK" w:eastAsia="方正仿宋_GBK" w:cs="方正仿宋_GBK"/>
          <w:sz w:val="28"/>
          <w:szCs w:val="28"/>
        </w:rPr>
      </w:pPr>
      <w:r/>
      <w:bookmarkStart w:id="184" w:name="OLE_LINK19"/>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功能修改</w:t>
      </w:r>
      <w:bookmarkEnd w:id="184"/>
      <w:r>
        <w:rPr>
          <w:rFonts w:hint="eastAsia" w:ascii="方正仿宋_GBK" w:hAnsi="方正仿宋_GBK" w:eastAsia="方正仿宋_GBK" w:cs="方正仿宋_GBK"/>
          <w:sz w:val="28"/>
          <w:szCs w:val="28"/>
        </w:rPr>
        <w:t xml:space="preserve">：供应商对所提供的系统出现的软件缺陷，须实行终身免费修改维护。</w:t>
      </w:r>
      <w:r/>
    </w:p>
    <w:p>
      <w:pPr>
        <w:pStyle w:val="734"/>
        <w:ind w:firstLine="218"/>
        <w:spacing w:line="360" w:lineRule="auto"/>
        <w:widowControl/>
        <w:rPr>
          <w:rFonts w:hint="eastAsia" w:ascii="方正仿宋_GBK" w:hAnsi="方正仿宋_GBK" w:eastAsia="方正仿宋_GBK" w:cs="方正仿宋_GBK"/>
          <w:sz w:val="28"/>
          <w:szCs w:val="28"/>
        </w:rPr>
      </w:pPr>
      <w:r/>
      <w:bookmarkStart w:id="185" w:name="OLE_LINK20"/>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服务管理体系</w:t>
      </w:r>
      <w:bookmarkEnd w:id="185"/>
      <w:r>
        <w:rPr>
          <w:rFonts w:hint="eastAsia" w:ascii="方正仿宋_GBK" w:hAnsi="方正仿宋_GBK" w:eastAsia="方正仿宋_GBK" w:cs="方正仿宋_GBK"/>
          <w:sz w:val="28"/>
          <w:szCs w:val="28"/>
        </w:rPr>
        <w:t xml:space="preserve">：供应商应具有完善的售后服务管理体系，提供完善的售后服务和应急响应方案及承诺，投标书中需注明。</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质保期及后续维保方案：质保期自合同项目正式验收起不少于一年。供应商应列明质保期结束后，每年的维保费用和维保方案。如仍由中标供应商维保，软件维保费用不超过合同额的7%。</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维保巡检：质保期内，供应商必须派遣熟悉本项目并有一定的开发维护经验的工程师，每月&gt;=4次对系统进行巡检维护（须提供巡检记录文档），保证系统在最优状态下稳定运行。</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t xml:space="preserve">响应时间：质保期内供应商应采用定期走访、现场服务、电话和网络咨询等方式为用户提供全方位技术服务，并提供7*24小时的电话热线咨询服务。对于系统在使用过程中出现的问题，须在30分钟内远程维护响应；若远程维护不能解决，则在60分钟内技术人员须到达现场维修</w:t>
      </w:r>
      <w:r>
        <w:rPr>
          <w:rFonts w:hint="eastAsia" w:ascii="方正仿宋_GBK" w:hAnsi="方正仿宋_GBK" w:eastAsia="方正仿宋_GBK" w:cs="方正仿宋_GBK"/>
          <w:sz w:val="28"/>
          <w:szCs w:val="28"/>
        </w:rPr>
        <w:t xml:space="preserve">。发生影响系统正常运行的故障，致系统瘫痪等严重问题，须在故障发生后2小时内予以解决，造成恶劣影响的，根据医院相关规定进行处罚。</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5）培训方案</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提供完善的培训方案，培训方案包含培训内容、培训课时等。系统的培训工作要在系统上线试运行前完成，并在培训前编制专门的培训材料。供应商应安排具备相应资质和经验的技术人员，对采购单位使用部门主要技术人员和骨干用户提供全流程使用及维护培训，对普通用户提供使用培训，确保相关人员能熟练掌握设备或系统的日常使用及维护。包括但不限于以下内容：</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（1）培训人员：供应商应安排具备相应资质和经验的技术人员、专家进行培训工作。</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培训内容：对采购单位使用部门主要技术人员和骨干用户提供全流程使用及维护培训，对普通用户提供使用培训，确保相关人员能熟练掌握设备或系统的日常使用及维护，对医院主要技术人员提供系统开发所需的主要技术培训，如操作系统、数据库、开发工具的厂家认证培训，以及应用系统平台的二次开发培训。</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（3）培训方式：供应商应提供现场/远程培训，必须无偿提供培训文档等所有相关资料(操作手册、培训视频等)，同时允许在医院内部使用。</w:t>
      </w:r>
      <w:r/>
    </w:p>
    <w:p>
      <w:pPr>
        <w:pStyle w:val="734"/>
        <w:ind w:firstLine="218"/>
        <w:spacing w:line="360" w:lineRule="auto"/>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（4）培训计划：培训时间、课时安排、培训材料等。</w:t>
      </w:r>
      <w:r>
        <w:rPr>
          <w:rFonts w:ascii="方正仿宋_GBK" w:hAnsi="方正仿宋_GBK" w:eastAsia="方正仿宋_GBK" w:cs="方正仿宋_GBK"/>
          <w:sz w:val="28"/>
          <w:szCs w:val="28"/>
        </w:rPr>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t xml:space="preserve">）日常维护方案</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需提供详细的日常维护方案，保障医院各项业务的连续性与高效性，及时处理系统故障与性能问题，满足医院不断发展的信息化需求，提高用户对信息化平台的满意度。方案包括但不限于维护目标、维护范围、组织机构、维护内容、维护流程等内容。包含但不仅限于：</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维护范围：明确日常维护工作涉及的范围，如服务器、数据库、中间件、数据监控、数据备份、应用服务等。</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人员组织：建立日常维护人员组织安排，明确工作职责分工。</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维护内容：明确维护工作的主要内容，如巡检、监控、日志检查、补丁更新、端口及接口检查、用户请求响应、故障处理、技术支持服务等。</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维护流程：制定各项维护工作的操作流程及标准，如制定计划、明确操作步骤、制定处置标准、规范维护记录等</w:t>
      </w:r>
      <w:r/>
    </w:p>
    <w:p>
      <w:pPr>
        <w:pStyle w:val="734"/>
        <w:ind w:firstLine="218"/>
        <w:spacing w:line="360" w:lineRule="auto"/>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7）应急响应方案要求</w:t>
      </w:r>
      <w:r>
        <w:rPr>
          <w:rFonts w:ascii="方正仿宋_GBK" w:hAnsi="方正仿宋_GBK" w:eastAsia="方正仿宋_GBK" w:cs="方正仿宋_GBK"/>
          <w:sz w:val="28"/>
          <w:szCs w:val="28"/>
        </w:rPr>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为保障医院整体信息系统安全，本系统及其业务数据的安全符合国家相关标准规范的要求，在信息系统出现故障时，进行快速应急反应，提出并实施应急方案。</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需提供详细的应急响应方案，根据潜在信息安全风险给出合理的应急响应预案，能对突发事件进行分析与判断，初步确定事件的性质和类型，科学应对系统紧急事件，建立健全应急响应机制，有效预防、及时控制和最</w:t>
      </w:r>
      <w:r>
        <w:rPr>
          <w:rFonts w:hint="eastAsia" w:ascii="方正仿宋_GBK" w:hAnsi="方正仿宋_GBK" w:eastAsia="方正仿宋_GBK" w:cs="方正仿宋_GBK"/>
          <w:sz w:val="28"/>
          <w:szCs w:val="28"/>
        </w:rPr>
        <w:t xml:space="preserve">大限度地消除系统各类突发事件的危害和影响，在事件检测阶段做到“及时发现”，必须合理利用各种已有的检测手段，综合分析发现安全事件的真实原因，对已有安全防护措施和安全事件应急响应预案进行改进，从而提高医院应对突发事件的组织指挥能力和应急处置能力，使故障恢复工作迅速、高效、有序地进行，满足突发情况下系统保障和系统恢复工作的需要，确保系统的稳定运行。包含但不仅限于：</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应急响应流程：响应流程应覆盖应急准备、事件监测预警、事件评估、处置、恢复重建等方面。</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应急响应内容：响应内容应覆盖硬件故障、软件故障、网络故障（攻击）、数据泄露等方面</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应急响应时间：明确应急响应各环节的时限标准。</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人员安排：建立分级负责的应急组织体系，明确人员职责。</w:t>
      </w:r>
      <w:r/>
    </w:p>
    <w:p>
      <w:pPr>
        <w:pStyle w:val="734"/>
        <w:ind w:firstLine="218"/>
        <w:spacing w:line="360" w:lineRule="auto"/>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8）履约能力</w:t>
      </w:r>
      <w:r>
        <w:rPr>
          <w:rFonts w:ascii="方正仿宋_GBK" w:hAnsi="方正仿宋_GBK" w:eastAsia="方正仿宋_GBK" w:cs="方正仿宋_GBK"/>
          <w:sz w:val="28"/>
          <w:szCs w:val="28"/>
        </w:rPr>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投标人提供与本次建设内容相关以下类似软件著作权：</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1、药房系统类；2、药品管理类</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3、医院绩效考核类</w:t>
      </w:r>
      <w:r>
        <w:rPr>
          <w:rFonts w:hint="eastAsia" w:ascii="方正仿宋_GBK" w:hAnsi="方正仿宋_GBK" w:eastAsia="方正仿宋_GBK" w:cs="方正仿宋_GBK"/>
          <w:sz w:val="28"/>
          <w:szCs w:val="28"/>
        </w:rPr>
        <w:t xml:space="preserve">，证书须投标人自有，提供扫描件或影印件并加盖公章。（如投标文件中提供的著作权名称表述与招标文件描述的关键字样不一致，而该投标文件中能证明投标人拥有的软件著作权具有相同或相似功能和效果，且评标委员会认可的，视同符合要求）。</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项目经理（1人）具有国</w:t>
      </w:r>
      <w:r>
        <w:rPr>
          <w:rFonts w:hint="eastAsia" w:ascii="方正仿宋_GBK" w:hAnsi="方正仿宋_GBK" w:eastAsia="方正仿宋_GBK" w:cs="方正仿宋_GBK"/>
          <w:sz w:val="28"/>
          <w:szCs w:val="28"/>
        </w:rPr>
        <w:t xml:space="preserve">家计算机软考类（计算机技术与软件专业技术资格（水平）考试）：系统架构设计师证书得3分，本项最高得3分，提供人员证书复印件和近三个月任意一个月社保缴纳证明加盖公章。</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项目技术负责人（1人）具有信息</w:t>
      </w:r>
      <w:r>
        <w:rPr>
          <w:rFonts w:hint="eastAsia" w:ascii="方正仿宋_GBK" w:hAnsi="方正仿宋_GBK" w:eastAsia="方正仿宋_GBK" w:cs="方正仿宋_GBK"/>
          <w:sz w:val="28"/>
          <w:szCs w:val="28"/>
        </w:rPr>
        <w:t xml:space="preserve">化</w:t>
      </w:r>
      <w:r>
        <w:rPr>
          <w:rFonts w:hint="eastAsia" w:ascii="方正仿宋_GBK" w:hAnsi="方正仿宋_GBK" w:eastAsia="方正仿宋_GBK" w:cs="方正仿宋_GBK"/>
          <w:sz w:val="28"/>
          <w:szCs w:val="28"/>
        </w:rPr>
        <w:t xml:space="preserve">类正高级工程师职称证书得3分，副高级工程师职称证书得1分，本项最高得3分，提供人员证书复印件和近三个月任意一个月社保缴纳证明加盖公章。</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项目其他实施人员（项目经理除外）具有国家计算机软考类（计算机技术与软件专业技术资格（水平）考试）高级证书得2分，中级证书得1分，本项最高得6分，同一人只按照最高分赋分一次，提供人员证书复印件和近三个月任意一个月社保缴纳证明加盖公章。</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提供投标产品近三年2022年1月1日以来（以合同签订时间为准）承接过与本项目类似的业绩，每提供1项有效业绩得2分，本项最多得10分，有效业绩指提供中标公告、采购合同协议书，缺一不可。（合同必须跟最终用户直接签订，提供合同关键页加盖投标人公章）。</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t xml:space="preserve">）验收要求</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本项目正式上线稳定运行3个月并且达到院方的验收标准后，双方组织验收，共同签署验收合格同意书。</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在项目验收时应将系统全部有关技术文件、资料、及安装、测试、验收报告、数据结构等文档汇集</w:t>
      </w:r>
      <w:r>
        <w:rPr>
          <w:rFonts w:hint="eastAsia" w:ascii="方正仿宋_GBK" w:hAnsi="方正仿宋_GBK" w:eastAsia="方正仿宋_GBK" w:cs="方正仿宋_GBK"/>
          <w:sz w:val="28"/>
          <w:szCs w:val="28"/>
        </w:rPr>
        <w:t xml:space="preserve">成册交付院方。</w:t>
      </w:r>
      <w:r/>
    </w:p>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主要验收文档包括但不限于：</w:t>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72"/>
      </w:tblGrid>
      <w:tr>
        <w:trPr>
          <w:trHeight w:val="448"/>
        </w:trPr>
        <w:tc>
          <w:tcPr>
            <w:tcBorders>
              <w:top w:val="single" w:color="000000" w:sz="4" w:space="0"/>
              <w:left w:val="single" w:color="000000" w:sz="4" w:space="0"/>
              <w:bottom w:val="single" w:color="000000" w:sz="4" w:space="0"/>
              <w:right w:val="single" w:color="000000" w:sz="4" w:space="0"/>
            </w:tcBorders>
            <w:tcW w:w="9698" w:type="dxa"/>
            <w:vAlign w:val="center"/>
            <w:textDirection w:val="lrTb"/>
            <w:noWrap w:val="false"/>
          </w:tcPr>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招投标文件、中标通知书、合同</w:t>
            </w:r>
            <w:r/>
          </w:p>
        </w:tc>
      </w:tr>
      <w:tr>
        <w:trPr/>
        <w:tc>
          <w:tcPr>
            <w:tcBorders>
              <w:top w:val="single" w:color="000000" w:sz="4" w:space="0"/>
              <w:left w:val="single" w:color="000000" w:sz="4" w:space="0"/>
              <w:bottom w:val="single" w:color="000000" w:sz="4" w:space="0"/>
              <w:right w:val="single" w:color="000000" w:sz="4" w:space="0"/>
            </w:tcBorders>
            <w:tcW w:w="9698" w:type="dxa"/>
            <w:vAlign w:val="center"/>
            <w:textDirection w:val="lrTb"/>
            <w:noWrap w:val="false"/>
          </w:tcPr>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开工文档（开工申请、开工令、方案报审）</w:t>
            </w:r>
            <w:r/>
          </w:p>
        </w:tc>
      </w:tr>
      <w:tr>
        <w:trPr/>
        <w:tc>
          <w:tcPr>
            <w:tcBorders>
              <w:top w:val="single" w:color="000000" w:sz="4" w:space="0"/>
              <w:left w:val="single" w:color="000000" w:sz="4" w:space="0"/>
              <w:bottom w:val="single" w:color="000000" w:sz="4" w:space="0"/>
              <w:right w:val="single" w:color="000000" w:sz="4" w:space="0"/>
            </w:tcBorders>
            <w:tcW w:w="9698" w:type="dxa"/>
            <w:vAlign w:val="center"/>
            <w:textDirection w:val="lrTb"/>
            <w:noWrap w:val="false"/>
          </w:tcPr>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软件需求说明书及需求确认表</w:t>
            </w:r>
            <w:r/>
          </w:p>
        </w:tc>
      </w:tr>
      <w:tr>
        <w:trPr/>
        <w:tc>
          <w:tcPr>
            <w:tcBorders>
              <w:top w:val="single" w:color="000000" w:sz="4" w:space="0"/>
              <w:left w:val="single" w:color="000000" w:sz="4" w:space="0"/>
              <w:bottom w:val="single" w:color="000000" w:sz="4" w:space="0"/>
              <w:right w:val="single" w:color="000000" w:sz="4" w:space="0"/>
            </w:tcBorders>
            <w:tcW w:w="9698" w:type="dxa"/>
            <w:vAlign w:val="center"/>
            <w:textDirection w:val="lrTb"/>
            <w:noWrap w:val="false"/>
          </w:tcPr>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软件概要设计、详细设计、数据库设计及设计确认</w:t>
            </w:r>
            <w:r/>
          </w:p>
        </w:tc>
      </w:tr>
      <w:tr>
        <w:trPr/>
        <w:tc>
          <w:tcPr>
            <w:tcBorders>
              <w:top w:val="single" w:color="000000" w:sz="4" w:space="0"/>
              <w:left w:val="single" w:color="000000" w:sz="4" w:space="0"/>
              <w:bottom w:val="single" w:color="000000" w:sz="4" w:space="0"/>
              <w:right w:val="single" w:color="000000" w:sz="4" w:space="0"/>
            </w:tcBorders>
            <w:tcW w:w="9698" w:type="dxa"/>
            <w:vAlign w:val="center"/>
            <w:textDirection w:val="lrTb"/>
            <w:noWrap w:val="false"/>
          </w:tcPr>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接口规范说明（规范文档、第三方对接协议）</w:t>
            </w:r>
            <w:r/>
          </w:p>
        </w:tc>
      </w:tr>
      <w:tr>
        <w:trPr/>
        <w:tc>
          <w:tcPr>
            <w:tcBorders>
              <w:top w:val="single" w:color="000000" w:sz="4" w:space="0"/>
              <w:left w:val="single" w:color="000000" w:sz="4" w:space="0"/>
              <w:bottom w:val="single" w:color="000000" w:sz="4" w:space="0"/>
              <w:right w:val="single" w:color="000000" w:sz="4" w:space="0"/>
            </w:tcBorders>
            <w:tcW w:w="9698" w:type="dxa"/>
            <w:vAlign w:val="center"/>
            <w:textDirection w:val="lrTb"/>
            <w:noWrap w:val="false"/>
          </w:tcPr>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项目变更申请确认表或变更情况说明</w:t>
            </w:r>
            <w:r/>
          </w:p>
        </w:tc>
      </w:tr>
      <w:tr>
        <w:trPr/>
        <w:tc>
          <w:tcPr>
            <w:tcBorders>
              <w:top w:val="single" w:color="000000" w:sz="4" w:space="0"/>
              <w:left w:val="single" w:color="000000" w:sz="4" w:space="0"/>
              <w:bottom w:val="single" w:color="000000" w:sz="4" w:space="0"/>
              <w:right w:val="single" w:color="000000" w:sz="4" w:space="0"/>
            </w:tcBorders>
            <w:tcW w:w="9698" w:type="dxa"/>
            <w:vAlign w:val="center"/>
            <w:textDirection w:val="lrTb"/>
            <w:noWrap w:val="false"/>
          </w:tcPr>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阶段性支付确认</w:t>
            </w:r>
            <w:r/>
          </w:p>
        </w:tc>
      </w:tr>
      <w:tr>
        <w:trPr/>
        <w:tc>
          <w:tcPr>
            <w:tcBorders>
              <w:top w:val="single" w:color="000000" w:sz="4" w:space="0"/>
              <w:left w:val="single" w:color="000000" w:sz="4" w:space="0"/>
              <w:bottom w:val="single" w:color="000000" w:sz="4" w:space="0"/>
              <w:right w:val="single" w:color="000000" w:sz="4" w:space="0"/>
            </w:tcBorders>
            <w:tcW w:w="9698" w:type="dxa"/>
            <w:vAlign w:val="center"/>
            <w:textDirection w:val="lrTb"/>
            <w:noWrap w:val="false"/>
          </w:tcPr>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会议纪要（启动会、周例会、专题协调会）</w:t>
            </w:r>
            <w:r/>
          </w:p>
        </w:tc>
      </w:tr>
      <w:tr>
        <w:trPr/>
        <w:tc>
          <w:tcPr>
            <w:tcBorders>
              <w:top w:val="single" w:color="000000" w:sz="4" w:space="0"/>
              <w:left w:val="single" w:color="000000" w:sz="4" w:space="0"/>
              <w:bottom w:val="single" w:color="000000" w:sz="4" w:space="0"/>
              <w:right w:val="single" w:color="000000" w:sz="4" w:space="0"/>
            </w:tcBorders>
            <w:tcW w:w="9698" w:type="dxa"/>
            <w:vAlign w:val="center"/>
            <w:textDirection w:val="lrTb"/>
            <w:noWrap w:val="false"/>
          </w:tcPr>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现场工作记录（日报、周报或月报）</w:t>
            </w:r>
            <w:r/>
          </w:p>
        </w:tc>
      </w:tr>
      <w:tr>
        <w:trPr/>
        <w:tc>
          <w:tcPr>
            <w:tcBorders>
              <w:top w:val="single" w:color="000000" w:sz="4" w:space="0"/>
              <w:left w:val="single" w:color="000000" w:sz="4" w:space="0"/>
              <w:bottom w:val="single" w:color="000000" w:sz="4" w:space="0"/>
              <w:right w:val="single" w:color="000000" w:sz="4" w:space="0"/>
            </w:tcBorders>
            <w:tcW w:w="9698" w:type="dxa"/>
            <w:vAlign w:val="center"/>
            <w:textDirection w:val="lrTb"/>
            <w:noWrap w:val="false"/>
          </w:tcPr>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测试报告（功能、性能、安全）</w:t>
            </w:r>
            <w:r/>
          </w:p>
        </w:tc>
      </w:tr>
      <w:tr>
        <w:trPr/>
        <w:tc>
          <w:tcPr>
            <w:tcBorders>
              <w:top w:val="single" w:color="000000" w:sz="4" w:space="0"/>
              <w:left w:val="single" w:color="000000" w:sz="4" w:space="0"/>
              <w:bottom w:val="single" w:color="000000" w:sz="4" w:space="0"/>
              <w:right w:val="single" w:color="000000" w:sz="4" w:space="0"/>
            </w:tcBorders>
            <w:tcW w:w="9698" w:type="dxa"/>
            <w:vAlign w:val="center"/>
            <w:textDirection w:val="lrTb"/>
            <w:noWrap w:val="false"/>
          </w:tcPr>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系统部署方案(包括上线切换方案、数据迁移方案和应急预案)</w:t>
            </w:r>
            <w:r/>
          </w:p>
        </w:tc>
      </w:tr>
      <w:tr>
        <w:trPr/>
        <w:tc>
          <w:tcPr>
            <w:tcBorders>
              <w:top w:val="single" w:color="000000" w:sz="4" w:space="0"/>
              <w:left w:val="single" w:color="000000" w:sz="4" w:space="0"/>
              <w:bottom w:val="single" w:color="000000" w:sz="4" w:space="0"/>
              <w:right w:val="single" w:color="000000" w:sz="4" w:space="0"/>
            </w:tcBorders>
            <w:tcW w:w="9698" w:type="dxa"/>
            <w:vAlign w:val="center"/>
            <w:textDirection w:val="lrTb"/>
            <w:noWrap w:val="false"/>
          </w:tcPr>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试运行申请、试运行方案、试运行日志、试运行问题记录、试运行报告</w:t>
            </w:r>
            <w:r/>
          </w:p>
        </w:tc>
      </w:tr>
      <w:tr>
        <w:trPr/>
        <w:tc>
          <w:tcPr>
            <w:tcBorders>
              <w:top w:val="single" w:color="000000" w:sz="4" w:space="0"/>
              <w:left w:val="single" w:color="000000" w:sz="4" w:space="0"/>
              <w:bottom w:val="single" w:color="000000" w:sz="4" w:space="0"/>
              <w:right w:val="single" w:color="000000" w:sz="4" w:space="0"/>
            </w:tcBorders>
            <w:tcW w:w="9698" w:type="dxa"/>
            <w:vAlign w:val="center"/>
            <w:textDirection w:val="lrTb"/>
            <w:noWrap w:val="false"/>
          </w:tcPr>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用户操作手册（包括管理员运维手册、权限分配方案、账号管理台账）</w:t>
            </w:r>
            <w:r/>
          </w:p>
        </w:tc>
      </w:tr>
      <w:tr>
        <w:trPr/>
        <w:tc>
          <w:tcPr>
            <w:tcBorders>
              <w:top w:val="single" w:color="000000" w:sz="4" w:space="0"/>
              <w:left w:val="single" w:color="000000" w:sz="4" w:space="0"/>
              <w:bottom w:val="single" w:color="000000" w:sz="4" w:space="0"/>
              <w:right w:val="single" w:color="000000" w:sz="4" w:space="0"/>
            </w:tcBorders>
            <w:tcW w:w="9698" w:type="dxa"/>
            <w:vAlign w:val="center"/>
            <w:textDirection w:val="lrTb"/>
            <w:noWrap w:val="false"/>
          </w:tcPr>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软硬件兼容认证、国产化选型论证（如有）、安全加固方案及记录（如有）</w:t>
            </w:r>
            <w:r/>
          </w:p>
        </w:tc>
      </w:tr>
      <w:tr>
        <w:trPr/>
        <w:tc>
          <w:tcPr>
            <w:tcBorders>
              <w:top w:val="single" w:color="000000" w:sz="4" w:space="0"/>
              <w:left w:val="single" w:color="000000" w:sz="4" w:space="0"/>
              <w:bottom w:val="single" w:color="000000" w:sz="4" w:space="0"/>
              <w:right w:val="single" w:color="000000" w:sz="4" w:space="0"/>
            </w:tcBorders>
            <w:tcW w:w="9698" w:type="dxa"/>
            <w:vAlign w:val="center"/>
            <w:textDirection w:val="lrTb"/>
            <w:noWrap w:val="false"/>
          </w:tcPr>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培训记录、培训签到表、培训课件</w:t>
            </w:r>
            <w:r/>
          </w:p>
        </w:tc>
      </w:tr>
      <w:tr>
        <w:trPr>
          <w:trHeight w:val="461"/>
        </w:trPr>
        <w:tc>
          <w:tcPr>
            <w:tcBorders>
              <w:top w:val="single" w:color="000000" w:sz="4" w:space="0"/>
              <w:left w:val="single" w:color="000000" w:sz="4" w:space="0"/>
              <w:bottom w:val="single" w:color="000000" w:sz="4" w:space="0"/>
              <w:right w:val="single" w:color="000000" w:sz="4" w:space="0"/>
            </w:tcBorders>
            <w:tcW w:w="9698" w:type="dxa"/>
            <w:vAlign w:val="center"/>
            <w:textDirection w:val="lrTb"/>
            <w:noWrap w:val="false"/>
          </w:tcPr>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源码交付清单</w:t>
            </w:r>
            <w:r/>
          </w:p>
        </w:tc>
      </w:tr>
      <w:tr>
        <w:trPr/>
        <w:tc>
          <w:tcPr>
            <w:tcBorders>
              <w:top w:val="single" w:color="000000" w:sz="4" w:space="0"/>
              <w:left w:val="single" w:color="000000" w:sz="4" w:space="0"/>
              <w:bottom w:val="single" w:color="000000" w:sz="4" w:space="0"/>
              <w:right w:val="single" w:color="000000" w:sz="4" w:space="0"/>
            </w:tcBorders>
            <w:tcW w:w="9698" w:type="dxa"/>
            <w:vAlign w:val="center"/>
            <w:textDirection w:val="lrTb"/>
            <w:noWrap w:val="false"/>
          </w:tcPr>
          <w:p>
            <w:pPr>
              <w:pStyle w:val="734"/>
              <w:ind w:firstLine="218"/>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初、终验收申请表，初、终验收合格表</w:t>
            </w:r>
            <w:r/>
          </w:p>
        </w:tc>
      </w:tr>
    </w:tbl>
    <w:p>
      <w:pPr>
        <w:pStyle w:val="773"/>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73"/>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三、商务要求</w:t>
      </w:r>
      <w:r>
        <w:rPr>
          <w:rFonts w:hint="eastAsia" w:ascii="方正黑体_GBK" w:hAnsi="方正黑体_GBK" w:eastAsia="方正黑体_GBK" w:cs="方正黑体_GBK"/>
          <w:bCs/>
          <w:sz w:val="28"/>
          <w:szCs w:val="28"/>
        </w:rPr>
      </w:r>
      <w:r/>
    </w:p>
    <w:p>
      <w:pPr>
        <w:pStyle w:val="734"/>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
          <w:bCs/>
          <w:sz w:val="28"/>
          <w:szCs w:val="28"/>
        </w:rPr>
      </w:r>
      <w:r/>
    </w:p>
    <w:p>
      <w:pPr>
        <w:pStyle w:val="734"/>
        <w:ind w:firstLine="562"/>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 xml:space="preserve">（一）质保及售后技术服务要求</w:t>
      </w:r>
      <w:r>
        <w:rPr>
          <w:rFonts w:hint="eastAsia" w:ascii="方正仿宋_GBK" w:hAnsi="方正仿宋_GBK" w:eastAsia="方正仿宋_GBK" w:cs="方正仿宋_GBK"/>
          <w:sz w:val="28"/>
          <w:szCs w:val="28"/>
        </w:rPr>
      </w:r>
      <w:r/>
    </w:p>
    <w:p>
      <w:pPr>
        <w:pStyle w:val="734"/>
        <w:ind w:firstLine="560"/>
        <w:spacing w:line="360" w:lineRule="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w:t>
      </w:r>
      <w:r>
        <w:rPr>
          <w:rFonts w:hint="eastAsia" w:ascii="方正仿宋_GBK" w:hAnsi="方正仿宋_GBK" w:eastAsia="方正仿宋_GBK" w:cs="方正仿宋_GBK"/>
          <w:sz w:val="28"/>
          <w:szCs w:val="28"/>
        </w:rPr>
        <w:t xml:space="preserve">提供原厂质保≥1年，自采购人验收合格，验收报告确认签字日起，开始进入质保期。</w:t>
      </w:r>
      <w:r>
        <w:rPr>
          <w:rFonts w:hint="eastAsia" w:ascii="方正仿宋_GBK" w:hAnsi="方正仿宋_GBK" w:eastAsia="方正仿宋_GBK" w:cs="方正仿宋_GBK"/>
          <w:bCs/>
          <w:sz w:val="28"/>
          <w:szCs w:val="28"/>
        </w:rPr>
      </w:r>
      <w:r/>
    </w:p>
    <w:p>
      <w:pPr>
        <w:pStyle w:val="734"/>
        <w:ind w:firstLine="560"/>
        <w:spacing w:line="360" w:lineRule="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iCs/>
          <w:sz w:val="28"/>
          <w:szCs w:val="28"/>
        </w:rPr>
        <w:t xml:space="preserve">1.2</w:t>
      </w:r>
      <w:r>
        <w:rPr>
          <w:rFonts w:hint="eastAsia" w:ascii="方正仿宋_GBK" w:hAnsi="方正仿宋_GBK" w:eastAsia="方正仿宋_GBK" w:cs="方正仿宋_GBK"/>
          <w:bCs/>
          <w:sz w:val="28"/>
          <w:szCs w:val="28"/>
        </w:rPr>
        <w:t xml:space="preserve"> 质保期内，一旦发生质量问题，参加供应商在接到通知的2小时内响应，在24小时内到达现场，一切费用由参加供货商负责。更换部件时须保证与原有产品的规格、型号、颜色和结构的一致性，并不得影响已使用场所的正常工作的开展。</w:t>
      </w:r>
      <w:r>
        <w:rPr>
          <w:rFonts w:hint="eastAsia" w:ascii="方正仿宋_GBK" w:hAnsi="方正仿宋_GBK" w:eastAsia="方正仿宋_GBK" w:cs="方正仿宋_GBK"/>
          <w:bCs/>
          <w:sz w:val="28"/>
          <w:szCs w:val="28"/>
        </w:rPr>
      </w:r>
      <w:r/>
    </w:p>
    <w:p>
      <w:pPr>
        <w:pStyle w:val="734"/>
        <w:ind w:firstLine="560"/>
        <w:rPr>
          <w:rFonts w:hint="eastAsia" w:ascii="方正仿宋_GBK" w:hAnsi="方正仿宋_GBK" w:eastAsia="方正仿宋_GBK" w:cs="方正仿宋_GBK"/>
          <w:i/>
          <w:iCs/>
          <w:sz w:val="28"/>
          <w:szCs w:val="28"/>
          <w:u w:val="single"/>
        </w:rPr>
      </w:pPr>
      <w:r>
        <w:rPr>
          <w:rFonts w:hint="eastAsia" w:ascii="方正仿宋_GBK" w:hAnsi="方正仿宋_GBK" w:eastAsia="方正仿宋_GBK" w:cs="方正仿宋_GBK"/>
          <w:bCs/>
          <w:i/>
          <w:iCs/>
          <w:sz w:val="28"/>
          <w:szCs w:val="28"/>
          <w:u w:val="single"/>
        </w:rPr>
        <w:t xml:space="preserve">1.3 </w:t>
      </w:r>
      <w:r>
        <w:rPr>
          <w:rFonts w:hint="eastAsia" w:ascii="方正仿宋_GBK" w:hAnsi="方正仿宋_GBK" w:eastAsia="方正仿宋_GBK" w:cs="方正仿宋_GBK"/>
          <w:i/>
          <w:iCs/>
          <w:sz w:val="28"/>
          <w:szCs w:val="28"/>
          <w:u w:val="single"/>
        </w:rPr>
        <w:t xml:space="preserve">参加供应商需提供以下书面承诺：</w:t>
      </w:r>
      <w:r>
        <w:rPr>
          <w:rFonts w:hint="eastAsia" w:ascii="方正仿宋_GBK" w:hAnsi="方正仿宋_GBK" w:eastAsia="方正仿宋_GBK" w:cs="方正仿宋_GBK"/>
          <w:i/>
          <w:iCs/>
          <w:sz w:val="28"/>
          <w:szCs w:val="28"/>
          <w:u w:val="single"/>
        </w:rPr>
      </w:r>
      <w:r/>
    </w:p>
    <w:p>
      <w:pPr>
        <w:pStyle w:val="734"/>
        <w:ind w:firstLine="560"/>
        <w:spacing w:line="360" w:lineRule="auto"/>
        <w:rPr>
          <w:rFonts w:hint="eastAsia" w:ascii="方正仿宋_GBK" w:hAnsi="方正仿宋_GBK" w:eastAsia="方正仿宋_GBK" w:cs="方正仿宋_GBK"/>
          <w:i/>
          <w:iCs/>
          <w:sz w:val="28"/>
          <w:szCs w:val="28"/>
          <w:u w:val="single"/>
        </w:rPr>
      </w:pPr>
      <w:r>
        <w:rPr>
          <w:rFonts w:hint="eastAsia" w:ascii="方正仿宋_GBK" w:hAnsi="方正仿宋_GBK" w:eastAsia="方正仿宋_GBK" w:cs="方正仿宋_GBK"/>
          <w:i/>
          <w:iCs/>
          <w:sz w:val="28"/>
          <w:szCs w:val="28"/>
          <w:u w:val="single"/>
        </w:rPr>
        <w:t xml:space="preserve">（1）</w:t>
      </w:r>
      <w:r>
        <w:rPr>
          <w:rFonts w:hint="eastAsia" w:ascii="方正仿宋_GBK" w:hAnsi="方正仿宋_GBK" w:eastAsia="方正仿宋_GBK" w:cs="方正仿宋_GBK"/>
          <w:i/>
          <w:iCs/>
          <w:sz w:val="28"/>
          <w:szCs w:val="28"/>
          <w:u w:val="single"/>
        </w:rPr>
        <w:tab/>
      </w:r>
      <w:r>
        <w:rPr>
          <w:rFonts w:hint="eastAsia" w:ascii="方正仿宋_GBK" w:hAnsi="方正仿宋_GBK" w:eastAsia="方正仿宋_GBK" w:cs="方正仿宋_GBK"/>
          <w:i/>
          <w:iCs/>
          <w:sz w:val="28"/>
          <w:szCs w:val="28"/>
          <w:u w:val="single"/>
        </w:rPr>
        <w:t xml:space="preserve">本次采购的软件要求不影响现有的业务系统，供应商要负责平台的部署。本项目投标总报价包括本次采购、安装调试、数据和售后服务等所有费用；</w:t>
      </w:r>
      <w:r>
        <w:rPr>
          <w:rFonts w:hint="eastAsia" w:ascii="方正仿宋_GBK" w:hAnsi="方正仿宋_GBK" w:eastAsia="方正仿宋_GBK" w:cs="方正仿宋_GBK"/>
          <w:i/>
          <w:iCs/>
          <w:sz w:val="28"/>
          <w:szCs w:val="28"/>
          <w:u w:val="single"/>
        </w:rPr>
      </w:r>
      <w:r/>
    </w:p>
    <w:p>
      <w:pPr>
        <w:pStyle w:val="734"/>
        <w:ind w:firstLine="560"/>
        <w:spacing w:line="360" w:lineRule="auto"/>
        <w:rPr>
          <w:rFonts w:hint="eastAsia" w:ascii="方正仿宋_GBK" w:hAnsi="方正仿宋_GBK" w:eastAsia="方正仿宋_GBK" w:cs="方正仿宋_GBK"/>
          <w:i/>
          <w:iCs/>
          <w:sz w:val="28"/>
          <w:szCs w:val="28"/>
          <w:u w:val="single"/>
        </w:rPr>
      </w:pPr>
      <w:r>
        <w:rPr>
          <w:rFonts w:hint="eastAsia" w:ascii="方正仿宋_GBK" w:hAnsi="方正仿宋_GBK" w:eastAsia="方正仿宋_GBK" w:cs="方正仿宋_GBK"/>
          <w:i/>
          <w:iCs/>
          <w:sz w:val="28"/>
          <w:szCs w:val="28"/>
          <w:u w:val="single"/>
        </w:rPr>
        <w:t xml:space="preserve">（2）</w:t>
      </w:r>
      <w:r>
        <w:rPr>
          <w:rFonts w:hint="eastAsia" w:ascii="方正仿宋_GBK" w:hAnsi="方正仿宋_GBK" w:eastAsia="方正仿宋_GBK" w:cs="方正仿宋_GBK"/>
          <w:i/>
          <w:iCs/>
          <w:sz w:val="28"/>
          <w:szCs w:val="28"/>
          <w:u w:val="single"/>
        </w:rPr>
        <w:tab/>
      </w:r>
      <w:r>
        <w:rPr>
          <w:rFonts w:hint="eastAsia" w:ascii="方正仿宋_GBK" w:hAnsi="方正仿宋_GBK" w:eastAsia="方正仿宋_GBK" w:cs="方正仿宋_GBK"/>
          <w:i/>
          <w:iCs/>
          <w:sz w:val="28"/>
          <w:szCs w:val="28"/>
          <w:u w:val="single"/>
        </w:rPr>
        <w:t xml:space="preserve">供应商提供的软件平台（系统）与</w:t>
      </w:r>
      <w:r>
        <w:rPr>
          <w:rFonts w:hint="eastAsia" w:ascii="方正仿宋_GBK" w:hAnsi="方正仿宋_GBK" w:eastAsia="方正仿宋_GBK" w:cs="方正仿宋_GBK"/>
          <w:i/>
          <w:iCs/>
          <w:sz w:val="28"/>
          <w:szCs w:val="28"/>
          <w:u w:val="single"/>
        </w:rPr>
        <w:t xml:space="preserve">江苏省中医院现有系统、集成平台无缝集成，包括系统及集成平台所需所有信息。投标系统免费与江苏省中医院集成平台对接，以及免费与江苏省中医院各院区该软件系统间、该系统与其他系统的对接，免费配合江苏省中医院以后的所有过级、评级改造需求。上述工作均含在此次报价中，且不再另行向采购人收费。</w:t>
      </w:r>
      <w:r>
        <w:rPr>
          <w:rFonts w:hint="eastAsia" w:ascii="方正仿宋_GBK" w:hAnsi="方正仿宋_GBK" w:eastAsia="方正仿宋_GBK" w:cs="方正仿宋_GBK"/>
          <w:i/>
          <w:iCs/>
          <w:sz w:val="28"/>
          <w:szCs w:val="28"/>
          <w:u w:val="single"/>
        </w:rPr>
      </w:r>
      <w:r/>
    </w:p>
    <w:p>
      <w:pPr>
        <w:pStyle w:val="734"/>
        <w:ind w:firstLine="560"/>
        <w:spacing w:line="360" w:lineRule="auto"/>
        <w:rPr>
          <w:rFonts w:hint="eastAsia" w:ascii="方正仿宋_GBK" w:hAnsi="方正仿宋_GBK" w:eastAsia="方正仿宋_GBK" w:cs="方正仿宋_GBK"/>
          <w:i/>
          <w:iCs/>
          <w:sz w:val="28"/>
          <w:szCs w:val="28"/>
          <w:u w:val="single"/>
        </w:rPr>
      </w:pPr>
      <w:r>
        <w:rPr>
          <w:rFonts w:hint="eastAsia" w:ascii="方正仿宋_GBK" w:hAnsi="方正仿宋_GBK" w:eastAsia="方正仿宋_GBK" w:cs="方正仿宋_GBK"/>
          <w:i/>
          <w:iCs/>
          <w:sz w:val="28"/>
          <w:szCs w:val="28"/>
          <w:u w:val="single"/>
        </w:rPr>
        <w:t xml:space="preserve">（3）</w:t>
      </w:r>
      <w:r>
        <w:rPr>
          <w:rFonts w:hint="eastAsia" w:ascii="方正仿宋_GBK" w:hAnsi="方正仿宋_GBK" w:eastAsia="方正仿宋_GBK" w:cs="方正仿宋_GBK"/>
          <w:i/>
          <w:iCs/>
          <w:sz w:val="28"/>
          <w:szCs w:val="28"/>
          <w:u w:val="single"/>
        </w:rPr>
        <w:tab/>
      </w:r>
      <w:r>
        <w:rPr>
          <w:rFonts w:hint="eastAsia" w:ascii="方正仿宋_GBK" w:hAnsi="方正仿宋_GBK" w:eastAsia="方正仿宋_GBK" w:cs="方正仿宋_GBK"/>
          <w:i/>
          <w:iCs/>
          <w:sz w:val="28"/>
          <w:szCs w:val="28"/>
          <w:u w:val="single"/>
        </w:rPr>
        <w:t xml:space="preserve">供应商提供的软件平台（系统）终身免费开放软、硬件接口（硬件设备费用按报价收取），即无条件配合采购人增加软件工作站点、无条件配合采购人接入新的硬件设备、无条件配合采购人的其他软件完成与本平台（系统）对接，如需接口开发，由于关联不确定的第三方，供应商承诺如产生接口费用供应商不再另行向采购人收费。上述工作均含在此次报价中，且不再另行向采购人收费。并保证所涉系统正常运行。</w:t>
      </w:r>
      <w:r>
        <w:rPr>
          <w:rFonts w:hint="eastAsia" w:ascii="方正仿宋_GBK" w:hAnsi="方正仿宋_GBK" w:eastAsia="方正仿宋_GBK" w:cs="方正仿宋_GBK"/>
          <w:i/>
          <w:iCs/>
          <w:sz w:val="28"/>
          <w:szCs w:val="28"/>
          <w:u w:val="single"/>
        </w:rPr>
      </w:r>
      <w:r/>
    </w:p>
    <w:p>
      <w:pPr>
        <w:pStyle w:val="734"/>
        <w:ind w:firstLine="560"/>
        <w:spacing w:line="360" w:lineRule="auto"/>
        <w:rPr>
          <w:rFonts w:hint="eastAsia" w:ascii="方正仿宋_GBK" w:hAnsi="方正仿宋_GBK" w:eastAsia="方正仿宋_GBK" w:cs="方正仿宋_GBK"/>
          <w:i/>
          <w:iCs/>
          <w:sz w:val="28"/>
          <w:szCs w:val="28"/>
          <w:u w:val="single"/>
        </w:rPr>
      </w:pPr>
      <w:r>
        <w:rPr>
          <w:rFonts w:hint="eastAsia" w:ascii="方正仿宋_GBK" w:hAnsi="方正仿宋_GBK" w:eastAsia="方正仿宋_GBK" w:cs="方正仿宋_GBK"/>
          <w:i/>
          <w:iCs/>
          <w:sz w:val="28"/>
          <w:szCs w:val="28"/>
          <w:u w:val="single"/>
        </w:rPr>
        <w:t xml:space="preserve">（4）</w:t>
      </w:r>
      <w:r>
        <w:rPr>
          <w:rFonts w:hint="eastAsia" w:ascii="方正仿宋_GBK" w:hAnsi="方正仿宋_GBK" w:eastAsia="方正仿宋_GBK" w:cs="方正仿宋_GBK"/>
          <w:i/>
          <w:iCs/>
          <w:sz w:val="28"/>
          <w:szCs w:val="28"/>
          <w:u w:val="single"/>
        </w:rPr>
        <w:tab/>
      </w:r>
      <w:r>
        <w:rPr>
          <w:rFonts w:hint="eastAsia" w:ascii="方正仿宋_GBK" w:hAnsi="方正仿宋_GBK" w:eastAsia="方正仿宋_GBK" w:cs="方正仿宋_GBK"/>
          <w:i/>
          <w:iCs/>
          <w:sz w:val="28"/>
          <w:szCs w:val="28"/>
          <w:u w:val="single"/>
        </w:rPr>
        <w:t xml:space="preserve">在不涉及大版本升级的情况下，无条件配合医院调整功能、需求。软件功能满足采购人个性化需求修改。且不再另行向采购人收费。并保证所涉系统正常运行。</w:t>
      </w:r>
      <w:r>
        <w:rPr>
          <w:rFonts w:hint="eastAsia" w:ascii="方正仿宋_GBK" w:hAnsi="方正仿宋_GBK" w:eastAsia="方正仿宋_GBK" w:cs="方正仿宋_GBK"/>
          <w:i/>
          <w:iCs/>
          <w:sz w:val="28"/>
          <w:szCs w:val="28"/>
          <w:u w:val="single"/>
        </w:rPr>
      </w:r>
      <w:r/>
    </w:p>
    <w:p>
      <w:pPr>
        <w:pStyle w:val="734"/>
        <w:ind w:firstLine="560"/>
        <w:spacing w:line="360" w:lineRule="auto"/>
        <w:rPr>
          <w:rFonts w:hint="eastAsia" w:ascii="方正仿宋_GBK" w:hAnsi="方正仿宋_GBK" w:eastAsia="方正仿宋_GBK" w:cs="方正仿宋_GBK"/>
          <w:bCs/>
          <w:i/>
          <w:iCs/>
          <w:sz w:val="28"/>
          <w:szCs w:val="28"/>
          <w:u w:val="single"/>
        </w:rPr>
      </w:pPr>
      <w:r>
        <w:rPr>
          <w:rFonts w:hint="eastAsia" w:ascii="方正仿宋_GBK" w:hAnsi="方正仿宋_GBK" w:eastAsia="方正仿宋_GBK" w:cs="方正仿宋_GBK"/>
          <w:bCs/>
          <w:i/>
          <w:iCs/>
          <w:sz w:val="28"/>
          <w:szCs w:val="28"/>
          <w:u w:val="single"/>
        </w:rPr>
        <w:t xml:space="preserve">（5）采购人只提供项目所需硬件资源基础设施，供应商为本项目提供的所有软件（含服务器端的操作系统、数据库等第三方软件），均需为正版软件，若由于未使用正版软件引起纠纷或处罚，由供应商负责。</w:t>
      </w:r>
      <w:r>
        <w:rPr>
          <w:rFonts w:hint="eastAsia" w:ascii="方正仿宋_GBK" w:hAnsi="方正仿宋_GBK" w:eastAsia="方正仿宋_GBK" w:cs="方正仿宋_GBK"/>
          <w:bCs/>
          <w:i/>
          <w:iCs/>
          <w:sz w:val="28"/>
          <w:szCs w:val="28"/>
          <w:u w:val="single"/>
        </w:rPr>
      </w:r>
      <w:r/>
    </w:p>
    <w:p>
      <w:pPr>
        <w:pStyle w:val="734"/>
        <w:ind w:firstLine="560"/>
        <w:spacing w:line="360" w:lineRule="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734"/>
        <w:ind w:firstLine="562"/>
        <w:spacing w:line="360" w:lineRule="auto"/>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（二）交货期、交货方式及交货地</w:t>
      </w:r>
      <w:r>
        <w:rPr>
          <w:rFonts w:hint="eastAsia" w:ascii="方正仿宋_GBK" w:hAnsi="方正仿宋_GBK" w:eastAsia="方正仿宋_GBK" w:cs="方正仿宋_GBK"/>
          <w:b/>
          <w:sz w:val="28"/>
          <w:szCs w:val="28"/>
        </w:rPr>
        <w:t xml:space="preserve">点</w:t>
      </w:r>
      <w:r>
        <w:rPr>
          <w:rFonts w:hint="eastAsia" w:ascii="方正仿宋_GBK" w:hAnsi="方正仿宋_GBK" w:eastAsia="方正仿宋_GBK" w:cs="方正仿宋_GBK"/>
          <w:b/>
          <w:sz w:val="28"/>
          <w:szCs w:val="28"/>
        </w:rPr>
      </w:r>
      <w:r/>
    </w:p>
    <w:p>
      <w:pPr>
        <w:pStyle w:val="734"/>
        <w:ind w:firstLine="560"/>
        <w:spacing w:line="360" w:lineRule="auto"/>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Cs/>
          <w:sz w:val="28"/>
          <w:szCs w:val="28"/>
        </w:rPr>
        <w:t xml:space="preserve">2.1交货期：合同签订后5个月内</w:t>
      </w:r>
      <w:r>
        <w:rPr>
          <w:rFonts w:hint="eastAsia" w:ascii="方正仿宋_GBK" w:hAnsi="方正仿宋_GBK" w:eastAsia="方正仿宋_GBK" w:cs="方正仿宋_GBK"/>
          <w:b/>
          <w:sz w:val="28"/>
          <w:szCs w:val="28"/>
        </w:rPr>
      </w:r>
      <w:r/>
    </w:p>
    <w:p>
      <w:pPr>
        <w:pStyle w:val="734"/>
        <w:ind w:firstLine="560"/>
        <w:spacing w:line="360" w:lineRule="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2.2交货方式：供应商在采购人指定地点交货，并完成安装、调试。</w:t>
      </w:r>
      <w:r>
        <w:rPr>
          <w:rFonts w:hint="eastAsia" w:ascii="方正仿宋_GBK" w:hAnsi="方正仿宋_GBK" w:eastAsia="方正仿宋_GBK" w:cs="方正仿宋_GBK"/>
          <w:bCs/>
          <w:sz w:val="28"/>
          <w:szCs w:val="28"/>
        </w:rPr>
      </w:r>
      <w:r/>
    </w:p>
    <w:p>
      <w:pPr>
        <w:pStyle w:val="734"/>
        <w:ind w:firstLine="560"/>
        <w:spacing w:line="360" w:lineRule="auto"/>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Cs/>
          <w:sz w:val="28"/>
          <w:szCs w:val="28"/>
        </w:rPr>
        <w:t xml:space="preserve">2.3交货地点：</w:t>
      </w:r>
      <w:r>
        <w:rPr>
          <w:rFonts w:hint="eastAsia" w:ascii="方正仿宋_GBK" w:hAnsi="方正仿宋_GBK" w:eastAsia="方正仿宋_GBK" w:cs="方正仿宋_GBK"/>
          <w:sz w:val="28"/>
          <w:szCs w:val="28"/>
        </w:rPr>
        <w:t xml:space="preserve">采购人指定地点，由供应商负责办理运输和装卸等，费用由供应商负责，采购人组织验收，检验不合格或不符合质量要求，供应商除无条件退货、返工外，还应承担采购人由此造成的一切损失。</w:t>
      </w:r>
      <w:r>
        <w:rPr>
          <w:rFonts w:hint="eastAsia" w:ascii="方正仿宋_GBK" w:hAnsi="方正仿宋_GBK" w:eastAsia="方正仿宋_GBK" w:cs="方正仿宋_GBK"/>
          <w:b/>
          <w:sz w:val="28"/>
          <w:szCs w:val="28"/>
        </w:rPr>
      </w:r>
      <w:r/>
    </w:p>
    <w:p>
      <w:pPr>
        <w:pStyle w:val="734"/>
        <w:ind w:firstLine="562"/>
        <w:spacing w:line="360" w:lineRule="auto"/>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（三）付款方式</w:t>
      </w:r>
      <w:r>
        <w:rPr>
          <w:rFonts w:hint="eastAsia" w:ascii="方正仿宋_GBK" w:hAnsi="方正仿宋_GBK" w:eastAsia="方正仿宋_GBK" w:cs="方正仿宋_GBK"/>
          <w:b/>
          <w:sz w:val="28"/>
          <w:szCs w:val="28"/>
        </w:rPr>
      </w:r>
      <w:r/>
    </w:p>
    <w:p>
      <w:pPr>
        <w:pStyle w:val="734"/>
        <w:ind w:firstLine="560"/>
        <w:spacing w:line="360" w:lineRule="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3.1自合同签订生效后，甲方向乙方支付项目总金额的 30 %。</w:t>
      </w:r>
      <w:r>
        <w:rPr>
          <w:rFonts w:hint="eastAsia" w:ascii="方正仿宋_GBK" w:hAnsi="方正仿宋_GBK" w:eastAsia="方正仿宋_GBK" w:cs="方正仿宋_GBK"/>
          <w:bCs/>
          <w:sz w:val="28"/>
          <w:szCs w:val="28"/>
        </w:rPr>
      </w:r>
      <w:r/>
    </w:p>
    <w:p>
      <w:pPr>
        <w:pStyle w:val="734"/>
        <w:ind w:firstLine="560"/>
        <w:spacing w:line="360" w:lineRule="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3.2乙方提出验收申请，甲方及时进行验收，验收合格后，甲方向乙方支付项目总金额的 70 ％。</w:t>
      </w:r>
      <w:r>
        <w:rPr>
          <w:rFonts w:hint="eastAsia" w:ascii="方正仿宋_GBK" w:hAnsi="方正仿宋_GBK" w:eastAsia="方正仿宋_GBK" w:cs="方正仿宋_GBK"/>
          <w:bCs/>
          <w:sz w:val="28"/>
          <w:szCs w:val="28"/>
        </w:rPr>
      </w:r>
      <w:r/>
    </w:p>
    <w:p>
      <w:pPr>
        <w:pStyle w:val="734"/>
        <w:ind w:firstLine="560"/>
        <w:spacing w:line="360" w:lineRule="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3.3履约保证金</w:t>
      </w:r>
      <w:r>
        <w:rPr>
          <w:rFonts w:hint="eastAsia" w:ascii="方正仿宋_GBK" w:hAnsi="方正仿宋_GBK" w:eastAsia="方正仿宋_GBK" w:cs="方正仿宋_GBK"/>
          <w:bCs/>
          <w:sz w:val="28"/>
          <w:szCs w:val="28"/>
        </w:rPr>
      </w:r>
      <w:r/>
    </w:p>
    <w:p>
      <w:pPr>
        <w:pStyle w:val="734"/>
        <w:ind w:firstLine="560"/>
        <w:spacing w:line="360" w:lineRule="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中标人应在合同签订后，支付预付款前缴纳合同总价10%的履约保证金。</w:t>
      </w:r>
      <w:r>
        <w:rPr>
          <w:rFonts w:hint="eastAsia" w:ascii="方正仿宋_GBK" w:hAnsi="方正仿宋_GBK" w:eastAsia="方正仿宋_GBK" w:cs="方正仿宋_GBK"/>
          <w:bCs/>
          <w:sz w:val="28"/>
          <w:szCs w:val="28"/>
        </w:rPr>
      </w:r>
      <w:r/>
    </w:p>
    <w:p>
      <w:pPr>
        <w:pStyle w:val="734"/>
        <w:ind w:firstLine="560"/>
        <w:spacing w:line="360" w:lineRule="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（1）履约保证金应在采购合同签订前提交，除银行电汇、网上银行、数字人民币外，投标人还可选用银行保函、担保公司的保证担保或保险公司的保证保险等多种形式向采购人缴纳。</w:t>
      </w:r>
      <w:r>
        <w:rPr>
          <w:rFonts w:hint="eastAsia" w:ascii="方正仿宋_GBK" w:hAnsi="方正仿宋_GBK" w:eastAsia="方正仿宋_GBK" w:cs="方正仿宋_GBK"/>
          <w:bCs/>
          <w:sz w:val="28"/>
          <w:szCs w:val="28"/>
        </w:rPr>
      </w:r>
      <w:r/>
    </w:p>
    <w:p>
      <w:pPr>
        <w:pStyle w:val="734"/>
        <w:ind w:firstLine="560"/>
        <w:spacing w:line="360" w:lineRule="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方正仿宋_GBK" w:hAnsi="方正仿宋_GBK" w:eastAsia="方正仿宋_GBK" w:cs="方正仿宋_GBK"/>
          <w:bCs/>
          <w:sz w:val="28"/>
          <w:szCs w:val="28"/>
        </w:rPr>
      </w:r>
      <w:r/>
    </w:p>
    <w:p>
      <w:pPr>
        <w:pStyle w:val="734"/>
        <w:ind w:firstLine="560"/>
        <w:spacing w:line="360" w:lineRule="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（3）履约保证金退还的条件：采购人在项目通过验收后按照合同条款规定的时间内将履约保证金退</w:t>
      </w:r>
      <w:r>
        <w:rPr>
          <w:rFonts w:hint="eastAsia" w:ascii="方正仿宋_GBK" w:hAnsi="方正仿宋_GBK" w:eastAsia="方正仿宋_GBK" w:cs="方正仿宋_GBK"/>
          <w:bCs/>
          <w:sz w:val="28"/>
          <w:szCs w:val="28"/>
        </w:rPr>
        <w:t xml:space="preserve">还中标人。履约保证金退还时间：符合退还条件的5个工作日内退还。</w:t>
      </w:r>
      <w:r>
        <w:rPr>
          <w:rFonts w:hint="eastAsia" w:ascii="方正仿宋_GBK" w:hAnsi="方正仿宋_GBK" w:eastAsia="方正仿宋_GBK" w:cs="方正仿宋_GBK"/>
          <w:bCs/>
          <w:sz w:val="28"/>
          <w:szCs w:val="28"/>
        </w:rPr>
      </w:r>
      <w:r/>
    </w:p>
    <w:p>
      <w:pPr>
        <w:pStyle w:val="734"/>
        <w:ind w:firstLine="560"/>
        <w:jc w:val="left"/>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履约保证金不予退还情形：除不可抗力外，投标人不履行与采购人订立的采购合同、有质量问题未修复好产品缺陷时，履约保证金不予退还。质量问题中标人须承担修复责任并赔偿采购人损失，给采购人造成的损失超过履约保证金数额的，还应当对超过部分予以赔偿。</w:t>
      </w:r>
      <w:r>
        <w:rPr>
          <w:rFonts w:hint="eastAsia" w:ascii="方正仿宋_GBK" w:hAnsi="方正仿宋_GBK" w:eastAsia="方正仿宋_GBK" w:cs="方正仿宋_GBK"/>
          <w:bCs/>
          <w:sz w:val="28"/>
          <w:szCs w:val="28"/>
        </w:rPr>
      </w:r>
      <w:r/>
    </w:p>
    <w:p>
      <w:pPr>
        <w:pStyle w:val="734"/>
        <w:ind w:firstLine="562"/>
        <w:jc w:val="left"/>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（四）货币</w:t>
      </w:r>
      <w:r>
        <w:rPr>
          <w:rFonts w:hint="eastAsia" w:ascii="方正仿宋_GBK" w:hAnsi="方正仿宋_GBK" w:eastAsia="方正仿宋_GBK" w:cs="方正仿宋_GBK"/>
          <w:b/>
          <w:bCs/>
          <w:sz w:val="28"/>
          <w:szCs w:val="28"/>
        </w:rPr>
      </w:r>
      <w:r/>
    </w:p>
    <w:p>
      <w:pPr>
        <w:pStyle w:val="734"/>
        <w:ind w:firstLine="560"/>
        <w:jc w:val="left"/>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投标文件中单价和总价均采用人民币报价，以元为单位标注。</w:t>
      </w:r>
      <w:r>
        <w:rPr>
          <w:rFonts w:hint="eastAsia" w:ascii="方正仿宋_GBK" w:hAnsi="方正仿宋_GBK" w:eastAsia="方正仿宋_GBK" w:cs="方正仿宋_GBK"/>
          <w:sz w:val="28"/>
          <w:szCs w:val="28"/>
          <w:lang w:val="zh-CN"/>
        </w:rPr>
      </w:r>
      <w:r/>
    </w:p>
    <w:p>
      <w:pPr>
        <w:pStyle w:val="734"/>
        <w:ind w:firstLine="562"/>
        <w:jc w:val="left"/>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（五）出保后年维保价格要求</w:t>
      </w:r>
      <w:r>
        <w:rPr>
          <w:rFonts w:hint="eastAsia" w:ascii="方正仿宋_GBK" w:hAnsi="方正仿宋_GBK" w:eastAsia="方正仿宋_GBK" w:cs="方正仿宋_GBK"/>
          <w:b/>
          <w:bCs/>
          <w:sz w:val="28"/>
          <w:szCs w:val="28"/>
        </w:rPr>
      </w:r>
      <w:r/>
    </w:p>
    <w:p>
      <w:pPr>
        <w:pStyle w:val="73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质保期满后年维保费用不高于合同总价的7%。</w:t>
      </w:r>
      <w:r>
        <w:rPr>
          <w:rFonts w:hint="eastAsia" w:ascii="方正仿宋_GBK" w:hAnsi="方正仿宋_GBK" w:eastAsia="方正仿宋_GBK" w:cs="方正仿宋_GBK"/>
          <w:sz w:val="28"/>
          <w:szCs w:val="28"/>
        </w:rPr>
      </w:r>
      <w:r/>
    </w:p>
    <w:p>
      <w:pPr>
        <w:pStyle w:val="734"/>
        <w:ind w:firstLine="562"/>
        <w:jc w:val="left"/>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（六）保密协议</w:t>
      </w:r>
      <w:r>
        <w:rPr>
          <w:rFonts w:hint="eastAsia" w:ascii="方正仿宋_GBK" w:hAnsi="方正仿宋_GBK" w:eastAsia="方正仿宋_GBK" w:cs="方正仿宋_GBK"/>
          <w:b/>
          <w:bCs/>
          <w:sz w:val="28"/>
          <w:szCs w:val="28"/>
        </w:rPr>
      </w:r>
      <w:r/>
    </w:p>
    <w:p>
      <w:pPr>
        <w:pStyle w:val="73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中标供应商须与医院签订《信息安全与保密协议》，遵守国家相关政策法规及医院信息安全规章制度，未经许可不得泄露医院任何资料，包括但不限于技术文档、数据文件、应用程序、患者资料、医疗档案等。 </w:t>
      </w:r>
      <w:r>
        <w:rPr>
          <w:rFonts w:hint="eastAsia" w:ascii="方正仿宋_GBK" w:hAnsi="方正仿宋_GBK" w:eastAsia="方正仿宋_GBK" w:cs="方正仿宋_GBK"/>
          <w:sz w:val="28"/>
          <w:szCs w:val="28"/>
        </w:rPr>
      </w:r>
      <w:r/>
    </w:p>
    <w:p>
      <w:pPr>
        <w:pStyle w:val="773"/>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五、其他要求</w:t>
      </w:r>
      <w:r>
        <w:rPr>
          <w:rFonts w:hint="eastAsia" w:ascii="方正黑体_GBK" w:hAnsi="方正黑体_GBK" w:eastAsia="方正黑体_GBK" w:cs="方正黑体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1.项目属性:服务类项目。</w:t>
      </w:r>
      <w:r>
        <w:rPr>
          <w:rFonts w:hint="eastAsia" w:ascii="方正仿宋_GBK" w:hAnsi="方正仿宋_GBK" w:eastAsia="方正仿宋_GBK" w:cs="方正仿宋_GBK"/>
          <w:bCs/>
          <w:sz w:val="28"/>
          <w:szCs w:val="28"/>
        </w:rPr>
      </w:r>
      <w:r/>
    </w:p>
    <w:p>
      <w:pPr>
        <w:pStyle w:val="734"/>
        <w:rPr>
          <w:rFonts w:hint="eastAsia" w:ascii="黑体" w:eastAsia="黑体"/>
          <w:bCs/>
          <w:sz w:val="44"/>
        </w:rPr>
      </w:pPr>
      <w:r/>
      <w:bookmarkStart w:id="186" w:name="_Toc120614281"/>
      <w:r>
        <w:rPr>
          <w:rFonts w:ascii="黑体" w:eastAsia="黑体"/>
          <w:bCs/>
          <w:sz w:val="44"/>
        </w:rPr>
        <w:br w:type="page" w:clear="all"/>
      </w:r>
      <w:r>
        <w:rPr>
          <w:rFonts w:hint="eastAsia" w:ascii="黑体" w:eastAsia="黑体"/>
          <w:bCs/>
          <w:sz w:val="44"/>
        </w:rPr>
      </w:r>
      <w:r/>
    </w:p>
    <w:p>
      <w:pPr>
        <w:pStyle w:val="734"/>
        <w:jc w:val="center"/>
        <w:keepNext/>
        <w:spacing w:line="360" w:lineRule="auto"/>
        <w:rPr>
          <w:rFonts w:hint="eastAsia" w:ascii="方正黑体_GBK" w:hAnsi="方正黑体_GBK" w:eastAsia="方正黑体_GBK" w:cs="方正黑体_GBK"/>
          <w:sz w:val="32"/>
          <w:szCs w:val="32"/>
        </w:rPr>
        <w:outlineLvl w:val="0"/>
      </w:pPr>
      <w:r/>
      <w:bookmarkStart w:id="187" w:name="_Toc240379788"/>
      <w:r>
        <w:rPr>
          <w:rFonts w:hint="eastAsia" w:ascii="方正黑体_GBK" w:hAnsi="方正黑体_GBK" w:eastAsia="方正黑体_GBK" w:cs="方正黑体_GBK"/>
          <w:sz w:val="32"/>
          <w:szCs w:val="32"/>
        </w:rPr>
        <w:t xml:space="preserve">第五章  评标方法与评标标准</w:t>
      </w:r>
      <w:bookmarkEnd w:id="187"/>
      <w:r>
        <w:rPr>
          <w:rFonts w:hint="eastAsia" w:ascii="方正黑体_GBK" w:hAnsi="方正黑体_GBK" w:eastAsia="方正黑体_GBK" w:cs="方正黑体_GBK"/>
          <w:sz w:val="32"/>
          <w:szCs w:val="32"/>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sz w:val="28"/>
          <w:szCs w:val="28"/>
        </w:rPr>
        <w:t xml:space="preserve">得分且投标报价相同的并列。</w:t>
      </w:r>
      <w:r>
        <w:rPr>
          <w:rFonts w:hint="eastAsia" w:ascii="方正仿宋_GBK" w:hAnsi="方正仿宋_GBK" w:eastAsia="方正仿宋_GBK" w:cs="方正仿宋_GBK"/>
          <w:sz w:val="28"/>
          <w:szCs w:val="28"/>
        </w:rPr>
      </w:r>
      <w: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08"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822"/>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rPr>
      </w:r>
      <w:r/>
    </w:p>
    <w:p>
      <w:pPr>
        <w:pStyle w:val="8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1.小微型企业价格扣除</w:t>
      </w:r>
      <w:r>
        <w:rPr>
          <w:rFonts w:hint="eastAsia" w:ascii="方正仿宋_GBK" w:hAnsi="方正仿宋_GBK" w:eastAsia="方正仿宋_GBK" w:cs="方正仿宋_GBK"/>
          <w:sz w:val="28"/>
          <w:szCs w:val="28"/>
        </w:rPr>
      </w:r>
      <w:r/>
    </w:p>
    <w:p>
      <w:pPr>
        <w:pStyle w:val="822"/>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（1）本项目对小型和微型企业提供的服务给予10%的扣除价格，用扣除后的价格参与评审。</w:t>
      </w:r>
      <w:r>
        <w:rPr>
          <w:rFonts w:hint="eastAsia" w:ascii="方正仿宋_GBK" w:hAnsi="方正仿宋_GBK" w:eastAsia="方正仿宋_GBK" w:cs="方正仿宋_GBK"/>
          <w:sz w:val="28"/>
          <w:szCs w:val="28"/>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rPr>
          <w:rFonts w:hint="eastAsia" w:ascii="宋体" w:hAnsi="宋体"/>
          <w:sz w:val="28"/>
          <w:szCs w:val="28"/>
        </w:rPr>
      </w:r>
      <w:r/>
    </w:p>
    <w:p>
      <w:pPr>
        <w:pStyle w:val="8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rPr>
          <w:rFonts w:hint="eastAsia" w:ascii="方正仿宋_GBK" w:hAnsi="方正仿宋_GBK" w:eastAsia="方正仿宋_GBK" w:cs="方正仿宋_GBK"/>
          <w:sz w:val="28"/>
          <w:szCs w:val="28"/>
        </w:rPr>
      </w:r>
      <w:r/>
    </w:p>
    <w:p>
      <w:pPr>
        <w:pStyle w:val="8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2.残疾人福利单位价格扣除</w:t>
      </w:r>
      <w:r>
        <w:rPr>
          <w:rFonts w:hint="eastAsia" w:ascii="方正仿宋_GBK" w:hAnsi="方正仿宋_GBK" w:eastAsia="方正仿宋_GBK" w:cs="方正仿宋_GBK"/>
          <w:sz w:val="28"/>
          <w:szCs w:val="28"/>
        </w:rPr>
      </w:r>
      <w:r/>
    </w:p>
    <w:p>
      <w:pPr>
        <w:pStyle w:val="822"/>
        <w:ind w:left="120"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（1）本项目对残疾人福利性单位视同小型、微型企业，给予10%的价格扣除，用扣除后的价格参与评审。</w:t>
      </w:r>
      <w:r>
        <w:rPr>
          <w:rFonts w:hint="eastAsia" w:ascii="宋体" w:hAnsi="宋体"/>
          <w:sz w:val="28"/>
          <w:szCs w:val="28"/>
        </w:rPr>
      </w:r>
      <w:r/>
    </w:p>
    <w:p>
      <w:pPr>
        <w:pStyle w:val="822"/>
        <w:ind w:left="12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rPr>
          <w:rFonts w:hint="eastAsia" w:ascii="方正仿宋_GBK" w:hAnsi="方正仿宋_GBK" w:eastAsia="方正仿宋_GBK" w:cs="方正仿宋_GBK"/>
          <w:sz w:val="28"/>
          <w:szCs w:val="28"/>
        </w:rPr>
      </w:r>
      <w:r/>
    </w:p>
    <w:p>
      <w:pPr>
        <w:pStyle w:val="822"/>
        <w:ind w:left="12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sz w:val="28"/>
          <w:szCs w:val="28"/>
        </w:rPr>
      </w:r>
      <w:r/>
    </w:p>
    <w:p>
      <w:pPr>
        <w:pStyle w:val="8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3.监狱和戒毒企业价格扣除</w:t>
      </w:r>
      <w:r>
        <w:rPr>
          <w:rFonts w:hint="eastAsia" w:ascii="方正仿宋_GBK" w:hAnsi="方正仿宋_GBK" w:eastAsia="方正仿宋_GBK" w:cs="方正仿宋_GBK"/>
          <w:sz w:val="28"/>
          <w:szCs w:val="28"/>
        </w:rPr>
      </w:r>
      <w:r/>
    </w:p>
    <w:p>
      <w:pPr>
        <w:pStyle w:val="8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sz w:val="28"/>
          <w:szCs w:val="28"/>
        </w:rPr>
      </w:r>
      <w:r/>
    </w:p>
    <w:p>
      <w:pPr>
        <w:pStyle w:val="8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（2）监狱企业参加政府采购活动时，需提供由省级以上监狱管理局、戒毒管理局(含新疆生产建设兵团)出具的属于监狱企业的证明文件。供</w:t>
      </w:r>
      <w:r>
        <w:rPr>
          <w:rFonts w:hint="eastAsia" w:ascii="方正仿宋_GBK" w:hAnsi="方正仿宋_GBK" w:eastAsia="方正仿宋_GBK" w:cs="方正仿宋_GBK"/>
          <w:sz w:val="28"/>
          <w:szCs w:val="28"/>
        </w:rPr>
        <w:t xml:space="preserve">应商如不提供上述证明文件，价格将不做相应扣除。</w:t>
      </w:r>
      <w:r>
        <w:rPr>
          <w:rFonts w:hint="eastAsia" w:ascii="方正仿宋_GBK" w:hAnsi="方正仿宋_GBK" w:eastAsia="方正仿宋_GBK" w:cs="方正仿宋_GBK"/>
          <w:sz w:val="28"/>
          <w:szCs w:val="28"/>
        </w:rPr>
      </w:r>
      <w:r/>
    </w:p>
    <w:p>
      <w:pPr>
        <w:pStyle w:val="8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sz w:val="28"/>
          <w:szCs w:val="28"/>
        </w:rPr>
      </w:r>
      <w:r/>
    </w:p>
    <w:p>
      <w:pPr>
        <w:pStyle w:val="8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4.残疾人福利单位、监狱企业属于小型、微型企业的，不重复享受政策。</w:t>
      </w:r>
      <w:r>
        <w:rPr>
          <w:rFonts w:hint="eastAsia" w:ascii="方正仿宋_GBK" w:hAnsi="方正仿宋_GBK" w:eastAsia="方正仿宋_GBK" w:cs="方正仿宋_GBK"/>
          <w:sz w:val="28"/>
          <w:szCs w:val="28"/>
        </w:rPr>
      </w:r>
      <w:r/>
    </w:p>
    <w:p>
      <w:pPr>
        <w:pStyle w:val="8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方正仿宋_GBK" w:hAnsi="方正仿宋_GBK" w:eastAsia="方正仿宋_GBK" w:cs="方正仿宋_GBK"/>
          <w:sz w:val="28"/>
          <w:szCs w:val="28"/>
        </w:rPr>
      </w:r>
      <w:r/>
    </w:p>
    <w:p>
      <w:pPr>
        <w:pStyle w:val="822"/>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73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rPr>
          <w:rFonts w:hint="eastAsia" w:ascii="方正仿宋_GBK" w:hAnsi="方正仿宋_GBK" w:eastAsia="方正仿宋_GBK" w:cs="方正仿宋_GBK"/>
          <w:sz w:val="28"/>
          <w:szCs w:val="28"/>
        </w:rPr>
      </w:r>
      <w:r/>
    </w:p>
    <w:p>
      <w:pPr>
        <w:pStyle w:val="73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sz w:val="28"/>
          <w:szCs w:val="28"/>
          <w:u w:val="single"/>
        </w:rPr>
        <w:t xml:space="preserve">20%</w:t>
      </w:r>
      <w:r>
        <w:rPr>
          <w:rFonts w:hint="eastAsia" w:ascii="方正仿宋_GBK" w:hAnsi="方正仿宋_GBK" w:eastAsia="方正仿宋_GBK" w:cs="方正仿宋_GBK"/>
          <w:sz w:val="28"/>
          <w:szCs w:val="28"/>
        </w:rPr>
        <w:t xml:space="preserve">的价格扣除，用扣除后的价格参与评审。供</w:t>
      </w:r>
      <w:r>
        <w:rPr>
          <w:rFonts w:hint="eastAsia" w:ascii="方正仿宋_GBK" w:hAnsi="方正仿宋_GBK" w:eastAsia="方正仿宋_GBK" w:cs="方正仿宋_GBK"/>
          <w:sz w:val="28"/>
          <w:szCs w:val="28"/>
        </w:rPr>
        <w:t xml:space="preserve">应商未填写比例数值，或比例数值不足</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73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供应商需按照招标文件的要求提供《关于符合本国产品标准的声明函》（以下简称《声明函》），如不提供将不享受本国产品价格评审优惠。</w:t>
      </w:r>
      <w:r>
        <w:rPr>
          <w:rFonts w:hint="eastAsia" w:ascii="方正仿宋_GBK" w:hAnsi="方正仿宋_GBK" w:eastAsia="方正仿宋_GBK" w:cs="方正仿宋_GBK"/>
          <w:sz w:val="28"/>
          <w:szCs w:val="28"/>
        </w:rPr>
      </w:r>
      <w:r/>
    </w:p>
    <w:p>
      <w:pPr>
        <w:pStyle w:val="73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rPr>
          <w:rFonts w:hint="eastAsia" w:ascii="方正仿宋_GBK" w:hAnsi="方正仿宋_GBK" w:eastAsia="方正仿宋_GBK" w:cs="方正仿宋_GBK"/>
          <w:sz w:val="28"/>
          <w:szCs w:val="28"/>
        </w:rPr>
      </w:r>
      <w:r/>
    </w:p>
    <w:p>
      <w:pPr>
        <w:pStyle w:val="73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方正仿宋_GBK" w:hAnsi="方正仿宋_GBK" w:eastAsia="方正仿宋_GBK" w:cs="方正仿宋_GBK"/>
          <w:sz w:val="28"/>
          <w:szCs w:val="28"/>
        </w:rPr>
      </w:r>
      <w:r/>
    </w:p>
    <w:p>
      <w:pPr>
        <w:pStyle w:val="734"/>
        <w:ind w:firstLine="562"/>
        <w:jc w:val="left"/>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评标方法与评标标准</w:t>
      </w:r>
      <w:r>
        <w:rPr>
          <w:rFonts w:hint="eastAsia" w:ascii="方正仿宋_GBK" w:hAnsi="方正仿宋_GBK" w:eastAsia="方正仿宋_GBK" w:cs="方正仿宋_GBK"/>
          <w:b/>
          <w:sz w:val="28"/>
          <w:szCs w:val="28"/>
        </w:rPr>
      </w:r>
      <w:r/>
    </w:p>
    <w:tbl>
      <w:tblPr>
        <w:tblW w:w="9469" w:type="dxa"/>
        <w:tblInd w:w="100" w:type="dxa"/>
        <w:tblLayout w:type="fixed"/>
        <w:tblCellMar>
          <w:left w:w="108" w:type="dxa"/>
          <w:top w:w="0" w:type="dxa"/>
          <w:right w:w="108" w:type="dxa"/>
          <w:bottom w:w="0" w:type="dxa"/>
        </w:tblCellMar>
        <w:tblLook w:val="04A0" w:firstRow="1" w:lastRow="0" w:firstColumn="1" w:lastColumn="0" w:noHBand="0" w:noVBand="1"/>
      </w:tblPr>
      <w:tblGrid>
        <w:gridCol w:w="1564"/>
        <w:gridCol w:w="6578"/>
        <w:gridCol w:w="1327"/>
      </w:tblGrid>
      <w:tr>
        <w:trPr>
          <w:trHeight w:val="315"/>
        </w:trPr>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pStyle w:val="734"/>
              <w:jc w:val="center"/>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评标指标</w:t>
            </w: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W w:w="6578" w:type="dxa"/>
            <w:vAlign w:val="center"/>
            <w:textDirection w:val="lrTb"/>
            <w:noWrap w:val="false"/>
          </w:tcPr>
          <w:p>
            <w:pPr>
              <w:pStyle w:val="734"/>
              <w:jc w:val="center"/>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评分标准</w:t>
            </w: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734"/>
              <w:jc w:val="center"/>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分值</w:t>
            </w:r>
            <w:r>
              <w:rPr>
                <w:rFonts w:hint="eastAsia" w:ascii="方正仿宋_GBK" w:hAnsi="方正仿宋_GBK" w:eastAsia="方正仿宋_GBK" w:cs="方正仿宋_GBK"/>
                <w:sz w:val="24"/>
                <w:szCs w:val="24"/>
              </w:rPr>
            </w:r>
            <w:r/>
          </w:p>
        </w:tc>
      </w:tr>
      <w:tr>
        <w:trPr>
          <w:trHeight w:val="945"/>
        </w:trPr>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pStyle w:val="734"/>
              <w:jc w:val="center"/>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价格情况</w:t>
            </w: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W w:w="6578" w:type="dxa"/>
            <w:vAlign w:val="center"/>
            <w:textDirection w:val="lrTb"/>
            <w:noWrap w:val="false"/>
          </w:tcPr>
          <w:p>
            <w:pPr>
              <w:pStyle w:val="734"/>
              <w:jc w:val="lef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1.1价格分采用低价优先法计算，即满足采购文件要求且报价最低的供应商报价为评标基准价，其价格分为满分20分，其它投标人的价格分统一按照以下公式计算：投标报价得</w:t>
            </w:r>
            <w:r>
              <w:rPr>
                <w:rFonts w:hint="eastAsia" w:ascii="方正仿宋_GBK" w:hAnsi="方正仿宋_GBK" w:eastAsia="方正仿宋_GBK" w:cs="方正仿宋_GBK"/>
                <w:sz w:val="24"/>
                <w:szCs w:val="24"/>
                <w:lang w:bidi="ar"/>
              </w:rPr>
              <w:t xml:space="preserve">分=（评标基准价/该投标人的最终投标报价）×20分。分值保留小数点后2位</w:t>
            </w: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pStyle w:val="734"/>
              <w:jc w:val="center"/>
              <w:widowControl/>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lang w:bidi="ar"/>
              </w:rPr>
              <w:t xml:space="preserve">20</w:t>
            </w:r>
            <w:r>
              <w:rPr>
                <w:rFonts w:hint="eastAsia" w:ascii="方正仿宋_GBK" w:hAnsi="方正仿宋_GBK" w:eastAsia="方正仿宋_GBK" w:cs="方正仿宋_GBK"/>
                <w:sz w:val="22"/>
                <w:szCs w:val="22"/>
              </w:rPr>
            </w:r>
            <w:r/>
          </w:p>
        </w:tc>
      </w:tr>
      <w:tr>
        <w:trPr>
          <w:trHeight w:val="756"/>
        </w:trPr>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pStyle w:val="734"/>
              <w:jc w:val="center"/>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技术方案</w:t>
            </w: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W w:w="6578" w:type="dxa"/>
            <w:vAlign w:val="center"/>
            <w:textDirection w:val="lrTb"/>
            <w:noWrap w:val="false"/>
          </w:tcPr>
          <w:p>
            <w:pPr>
              <w:pStyle w:val="734"/>
              <w:jc w:val="lef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2.1投标人对招标文件具体需求的响应程度：响应即满足招标文件“三、技术参数”的得</w:t>
            </w:r>
            <w:r>
              <w:rPr>
                <w:rFonts w:hint="eastAsia" w:ascii="方正仿宋_GBK" w:hAnsi="方正仿宋_GBK" w:eastAsia="方正仿宋_GBK" w:cs="方正仿宋_GBK"/>
                <w:sz w:val="24"/>
                <w:szCs w:val="24"/>
                <w:lang w:bidi="ar"/>
              </w:rPr>
              <w:t xml:space="preserve">20</w:t>
            </w:r>
            <w:r>
              <w:rPr>
                <w:rFonts w:hint="eastAsia" w:ascii="方正仿宋_GBK" w:hAnsi="方正仿宋_GBK" w:eastAsia="方正仿宋_GBK" w:cs="方正仿宋_GBK"/>
                <w:sz w:val="24"/>
                <w:szCs w:val="24"/>
                <w:lang w:bidi="ar"/>
              </w:rPr>
              <w:t xml:space="preserve">分。每项不满足每项扣1分，扣完为止。</w:t>
            </w: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pStyle w:val="734"/>
              <w:jc w:val="center"/>
              <w:widowControl/>
              <w:rPr>
                <w:rFonts w:ascii="方正仿宋_GBK" w:hAnsi="方正仿宋_GBK" w:eastAsia="方正仿宋_GBK" w:cs="方正仿宋_GBK"/>
                <w:sz w:val="22"/>
                <w:szCs w:val="22"/>
              </w:rPr>
            </w:pPr>
            <w:r>
              <w:rPr>
                <w:rFonts w:hint="eastAsia" w:ascii="方正仿宋_GBK" w:hAnsi="方正仿宋_GBK" w:eastAsia="方正仿宋_GBK" w:cs="方正仿宋_GBK"/>
                <w:sz w:val="22"/>
                <w:szCs w:val="22"/>
                <w:lang w:bidi="ar"/>
              </w:rPr>
              <w:t xml:space="preserve">20</w:t>
            </w:r>
            <w:r>
              <w:rPr>
                <w:rFonts w:ascii="方正仿宋_GBK" w:hAnsi="方正仿宋_GBK" w:eastAsia="方正仿宋_GBK" w:cs="方正仿宋_GBK"/>
                <w:sz w:val="22"/>
                <w:szCs w:val="22"/>
              </w:rPr>
            </w:r>
            <w:r/>
          </w:p>
        </w:tc>
      </w:tr>
      <w:tr>
        <w:trPr>
          <w:trHeight w:val="1068"/>
        </w:trPr>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pStyle w:val="734"/>
              <w:jc w:val="center"/>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设计方案</w:t>
            </w: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W w:w="6578" w:type="dxa"/>
            <w:vAlign w:val="center"/>
            <w:textDirection w:val="lrTb"/>
            <w:noWrap w:val="false"/>
          </w:tcPr>
          <w:p>
            <w:pPr>
              <w:pStyle w:val="734"/>
              <w:jc w:val="lef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3</w:t>
            </w:r>
            <w:r>
              <w:rPr>
                <w:rFonts w:hint="eastAsia" w:ascii="方正仿宋_GBK" w:hAnsi="方正仿宋_GBK" w:eastAsia="方正仿宋_GBK" w:cs="方正仿宋_GBK"/>
                <w:sz w:val="24"/>
                <w:szCs w:val="24"/>
                <w:lang w:bidi="ar"/>
              </w:rPr>
              <w:t xml:space="preserve">.1</w:t>
            </w:r>
            <w:r>
              <w:rPr>
                <w:rFonts w:hint="eastAsia" w:ascii="方正仿宋_GBK" w:hAnsi="方正仿宋_GBK" w:eastAsia="方正仿宋_GBK" w:cs="方正仿宋_GBK"/>
                <w:sz w:val="24"/>
                <w:szCs w:val="24"/>
                <w:lang w:bidi="ar"/>
              </w:rPr>
              <w:t xml:space="preserve">评委根据投标文件对招标文件“项目建设要求”中“总体设计方案”要求的响应情况进行评审。</w:t>
            </w:r>
            <w:r/>
          </w:p>
          <w:p>
            <w:pPr>
              <w:pStyle w:val="734"/>
              <w:jc w:val="lef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(1)投标文件未符合“总体设计方案”中全部要求的，视为不符合招标文件，本项得0分。</w:t>
            </w:r>
            <w:r/>
          </w:p>
          <w:p>
            <w:pPr>
              <w:pStyle w:val="734"/>
              <w:jc w:val="lef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(2)投标文件符合“总体设计方案”中全部要求的，视为符合招标文件，本项得3分。</w:t>
            </w:r>
            <w:r/>
          </w:p>
          <w:p>
            <w:pPr>
              <w:pStyle w:val="734"/>
              <w:jc w:val="lef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(3)经评委认定，投标文件对“总体设计方案”中“总体架构设计”、“系统逻辑架构”、“功能模块设计”三项要求的响应内容全部优于招标文件要</w:t>
            </w:r>
            <w:r>
              <w:rPr>
                <w:rFonts w:hint="eastAsia" w:ascii="方正仿宋_GBK" w:hAnsi="方正仿宋_GBK" w:eastAsia="方正仿宋_GBK" w:cs="方正仿宋_GBK"/>
                <w:sz w:val="24"/>
                <w:szCs w:val="24"/>
                <w:lang w:bidi="ar"/>
              </w:rPr>
              <w:t xml:space="preserve">求的（前提是投标文件对“总体设计方案”中除“总体架构设计”、“系统逻辑架构”、“功能模块设计”外其他要求响应内容符合招标文件要求），本项得5分。</w:t>
            </w:r>
            <w:r>
              <w:rPr>
                <w:rFonts w:hint="eastAsia" w:ascii="方正仿宋_GBK" w:hAnsi="方正仿宋_GBK" w:eastAsia="方正仿宋_GBK" w:cs="方正仿宋_GBK"/>
                <w:sz w:val="24"/>
                <w:szCs w:val="24"/>
                <w:lang w:bidi="ar"/>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pStyle w:val="734"/>
              <w:jc w:val="center"/>
              <w:widowControl/>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lang w:bidi="ar"/>
              </w:rPr>
              <w:t xml:space="preserve">5</w:t>
            </w:r>
            <w:r>
              <w:rPr>
                <w:rFonts w:hint="eastAsia" w:ascii="方正仿宋_GBK" w:hAnsi="方正仿宋_GBK" w:eastAsia="方正仿宋_GBK" w:cs="方正仿宋_GBK"/>
                <w:sz w:val="22"/>
                <w:szCs w:val="22"/>
              </w:rPr>
            </w:r>
            <w:r/>
          </w:p>
        </w:tc>
      </w:tr>
      <w:tr>
        <w:trPr>
          <w:trHeight w:val="1284"/>
        </w:trPr>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pStyle w:val="734"/>
              <w:jc w:val="center"/>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医疗数据安全保障方案</w:t>
            </w: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W w:w="6578" w:type="dxa"/>
            <w:vAlign w:val="center"/>
            <w:textDirection w:val="lrTb"/>
            <w:noWrap w:val="false"/>
          </w:tcPr>
          <w:p>
            <w:pPr>
              <w:pStyle w:val="734"/>
              <w:jc w:val="lef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3</w:t>
            </w:r>
            <w:r>
              <w:rPr>
                <w:rFonts w:hint="eastAsia" w:ascii="方正仿宋_GBK" w:hAnsi="方正仿宋_GBK" w:eastAsia="方正仿宋_GBK" w:cs="方正仿宋_GBK"/>
                <w:sz w:val="24"/>
                <w:szCs w:val="24"/>
                <w:lang w:bidi="ar"/>
              </w:rPr>
              <w:t xml:space="preserve">.2</w:t>
            </w:r>
            <w:r>
              <w:rPr>
                <w:rFonts w:hint="eastAsia" w:ascii="方正仿宋_GBK" w:hAnsi="方正仿宋_GBK" w:eastAsia="方正仿宋_GBK" w:cs="方正仿宋_GBK"/>
                <w:sz w:val="24"/>
                <w:szCs w:val="24"/>
                <w:lang w:bidi="ar"/>
              </w:rPr>
              <w:t xml:space="preserve">评委根据投标文件对招标文件第三章“项目建设要求”中“医疗数据安全保障方案”要求的响应情况进行评审。</w:t>
            </w:r>
            <w:r/>
          </w:p>
          <w:p>
            <w:pPr>
              <w:pStyle w:val="734"/>
              <w:jc w:val="lef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(1)投标文件未符合“医疗数据安全保障方案”中全部要求的，视为不符合招标文件，本项得0分。</w:t>
            </w:r>
            <w:r/>
          </w:p>
          <w:p>
            <w:pPr>
              <w:pStyle w:val="734"/>
              <w:jc w:val="lef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(2)投标文件符合“医疗数据安全保障方案”中全部要求的，视为符合招标文件，本项得3分。</w:t>
            </w:r>
            <w:r/>
          </w:p>
          <w:p>
            <w:pPr>
              <w:pStyle w:val="734"/>
              <w:jc w:val="lef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(3)经评委认定，投标文件对“医疗数据安全保障方案”中“身份认证”、“访问控制”、“数据安全”三项要求的响应内容全部优于招标文件要求的（前提是投标文件对“信息安全保障方案要求”中除“身份认证”、“访问控制”、“数据安全”外其他要求响应内容符合招标文件要求），本项得5分。</w:t>
            </w:r>
            <w:r>
              <w:rPr>
                <w:rFonts w:hint="eastAsia" w:ascii="方正仿宋_GBK" w:hAnsi="方正仿宋_GBK" w:eastAsia="方正仿宋_GBK" w:cs="方正仿宋_GBK"/>
                <w:sz w:val="24"/>
                <w:szCs w:val="24"/>
                <w:lang w:bidi="ar"/>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pStyle w:val="734"/>
              <w:jc w:val="center"/>
              <w:widowControl/>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lang w:bidi="ar"/>
              </w:rPr>
              <w:t xml:space="preserve">5</w:t>
            </w:r>
            <w:r>
              <w:rPr>
                <w:rFonts w:hint="eastAsia" w:ascii="方正仿宋_GBK" w:hAnsi="方正仿宋_GBK" w:eastAsia="方正仿宋_GBK" w:cs="方正仿宋_GBK"/>
                <w:sz w:val="22"/>
                <w:szCs w:val="22"/>
              </w:rPr>
            </w:r>
            <w:r/>
          </w:p>
        </w:tc>
      </w:tr>
      <w:tr>
        <w:trPr>
          <w:trHeight w:val="1092"/>
        </w:trPr>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pStyle w:val="734"/>
              <w:jc w:val="center"/>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项目实施方案</w:t>
            </w: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W w:w="6578" w:type="dxa"/>
            <w:vAlign w:val="center"/>
            <w:textDirection w:val="lrTb"/>
            <w:noWrap w:val="false"/>
          </w:tcPr>
          <w:p>
            <w:pPr>
              <w:pStyle w:val="734"/>
              <w:jc w:val="lef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3</w:t>
            </w:r>
            <w:r>
              <w:rPr>
                <w:rFonts w:hint="eastAsia" w:ascii="方正仿宋_GBK" w:hAnsi="方正仿宋_GBK" w:eastAsia="方正仿宋_GBK" w:cs="方正仿宋_GBK"/>
                <w:sz w:val="24"/>
                <w:szCs w:val="24"/>
                <w:lang w:bidi="ar"/>
              </w:rPr>
              <w:t xml:space="preserve">.3</w:t>
            </w:r>
            <w:r>
              <w:rPr>
                <w:rFonts w:hint="eastAsia" w:ascii="方正仿宋_GBK" w:hAnsi="方正仿宋_GBK" w:eastAsia="方正仿宋_GBK" w:cs="方正仿宋_GBK"/>
                <w:sz w:val="24"/>
                <w:szCs w:val="24"/>
                <w:lang w:bidi="ar"/>
              </w:rPr>
              <w:t xml:space="preserve">评委根据投标文件对招标文件“项目建设要求”中“实施方案要求”要求的响应情况进行评审。</w:t>
            </w:r>
            <w:r/>
          </w:p>
          <w:p>
            <w:pPr>
              <w:pStyle w:val="734"/>
              <w:jc w:val="lef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(1)投标文件</w:t>
            </w:r>
            <w:r>
              <w:rPr>
                <w:rFonts w:hint="eastAsia" w:ascii="方正仿宋_GBK" w:hAnsi="方正仿宋_GBK" w:eastAsia="方正仿宋_GBK" w:cs="方正仿宋_GBK"/>
                <w:sz w:val="24"/>
                <w:szCs w:val="24"/>
                <w:lang w:bidi="ar"/>
              </w:rPr>
              <w:t xml:space="preserve">未符合“实施方案要求”中全部要求的，视为不符合招标文件，本项得0分。</w:t>
            </w:r>
            <w:r/>
          </w:p>
          <w:p>
            <w:pPr>
              <w:pStyle w:val="734"/>
              <w:jc w:val="lef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(2)投标文件符合“实施方案要求”中全部要求的，视为符合招标文件，本项得3分。</w:t>
            </w:r>
            <w:r/>
          </w:p>
          <w:p>
            <w:pPr>
              <w:pStyle w:val="734"/>
              <w:jc w:val="lef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(3)经评委认定，投标文件对“实施方案要求”中“实施团队”、“进度计划”两项要求的响应内容全部优于招标文件要求的（前提是投标文件对“实施方案要求”中除“实施团队”、“进度计划”外其他要求响应内容符合招标文件要求），本项得5分。</w:t>
            </w:r>
            <w:r>
              <w:rPr>
                <w:rFonts w:hint="eastAsia" w:ascii="方正仿宋_GBK" w:hAnsi="方正仿宋_GBK" w:eastAsia="方正仿宋_GBK" w:cs="方正仿宋_GBK"/>
                <w:sz w:val="24"/>
                <w:szCs w:val="24"/>
                <w:lang w:bidi="ar"/>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pStyle w:val="734"/>
              <w:jc w:val="center"/>
              <w:widowControl/>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lang w:bidi="ar"/>
              </w:rPr>
              <w:t xml:space="preserve">5</w:t>
            </w:r>
            <w:r>
              <w:rPr>
                <w:rFonts w:hint="eastAsia" w:ascii="方正仿宋_GBK" w:hAnsi="方正仿宋_GBK" w:eastAsia="方正仿宋_GBK" w:cs="方正仿宋_GBK"/>
                <w:sz w:val="22"/>
                <w:szCs w:val="22"/>
              </w:rPr>
            </w:r>
            <w:r/>
          </w:p>
        </w:tc>
      </w:tr>
      <w:tr>
        <w:trPr>
          <w:trHeight w:val="1116"/>
        </w:trPr>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pStyle w:val="734"/>
              <w:jc w:val="center"/>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售后服务</w:t>
            </w: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W w:w="6578" w:type="dxa"/>
            <w:vAlign w:val="center"/>
            <w:textDirection w:val="lrTb"/>
            <w:noWrap w:val="false"/>
          </w:tcPr>
          <w:p>
            <w:pPr>
              <w:pStyle w:val="734"/>
              <w:jc w:val="lef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3</w:t>
            </w:r>
            <w:r>
              <w:rPr>
                <w:rFonts w:hint="eastAsia" w:ascii="方正仿宋_GBK" w:hAnsi="方正仿宋_GBK" w:eastAsia="方正仿宋_GBK" w:cs="方正仿宋_GBK"/>
                <w:sz w:val="24"/>
                <w:szCs w:val="24"/>
                <w:lang w:bidi="ar"/>
              </w:rPr>
              <w:t xml:space="preserve">.4</w:t>
            </w:r>
            <w:r>
              <w:rPr>
                <w:rFonts w:hint="eastAsia" w:ascii="方正仿宋_GBK" w:hAnsi="方正仿宋_GBK" w:eastAsia="方正仿宋_GBK" w:cs="方正仿宋_GBK"/>
                <w:sz w:val="24"/>
                <w:szCs w:val="24"/>
                <w:lang w:bidi="ar"/>
              </w:rPr>
              <w:t xml:space="preserve">评委根据投标文件对招标文件“商务条款”中“售后服务方案”要求的响应情况进行评审。</w:t>
            </w:r>
            <w:r/>
          </w:p>
          <w:p>
            <w:pPr>
              <w:pStyle w:val="734"/>
              <w:jc w:val="lef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(1)投标文件未符合“售后服务方案”中全部要求的，视为不符合招标文件，本项得0分。</w:t>
            </w:r>
            <w:r/>
          </w:p>
          <w:p>
            <w:pPr>
              <w:pStyle w:val="734"/>
              <w:jc w:val="lef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(2)投标文件符合“售后服务方案”中全部要求的，视为符合招标文件，本项得3分。</w:t>
            </w:r>
            <w:r/>
          </w:p>
          <w:p>
            <w:pPr>
              <w:pStyle w:val="734"/>
              <w:jc w:val="lef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(3)经评委认定，投标文件对“售后服务方案”中“维保巡检”、“响应时间”两项要求的响应内容全部优于招标文件要求的（前提是投标文件对“售后服务方案”中除“维保巡检”、“响应时间”外其他要求响应内容符合招标文件要求），本项得5分。</w:t>
            </w:r>
            <w:r>
              <w:rPr>
                <w:rFonts w:hint="eastAsia" w:ascii="方正仿宋_GBK" w:hAnsi="方正仿宋_GBK" w:eastAsia="方正仿宋_GBK" w:cs="方正仿宋_GBK"/>
                <w:sz w:val="24"/>
                <w:szCs w:val="24"/>
                <w:lang w:bidi="ar"/>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pStyle w:val="734"/>
              <w:jc w:val="center"/>
              <w:widowControl/>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lang w:bidi="ar"/>
              </w:rPr>
              <w:t xml:space="preserve">5</w:t>
            </w:r>
            <w:r>
              <w:rPr>
                <w:rFonts w:hint="eastAsia" w:ascii="方正仿宋_GBK" w:hAnsi="方正仿宋_GBK" w:eastAsia="方正仿宋_GBK" w:cs="方正仿宋_GBK"/>
                <w:sz w:val="22"/>
                <w:szCs w:val="22"/>
              </w:rPr>
            </w:r>
            <w:r/>
          </w:p>
        </w:tc>
      </w:tr>
      <w:tr>
        <w:trPr>
          <w:trHeight w:val="1116"/>
        </w:trPr>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pStyle w:val="734"/>
              <w:jc w:val="center"/>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培训方案</w:t>
            </w: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W w:w="6578" w:type="dxa"/>
            <w:vAlign w:val="center"/>
            <w:textDirection w:val="lrTb"/>
            <w:noWrap w:val="false"/>
          </w:tcPr>
          <w:p>
            <w:pPr>
              <w:pStyle w:val="734"/>
              <w:jc w:val="lef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3</w:t>
            </w:r>
            <w:r>
              <w:rPr>
                <w:rFonts w:hint="eastAsia" w:ascii="方正仿宋_GBK" w:hAnsi="方正仿宋_GBK" w:eastAsia="方正仿宋_GBK" w:cs="方正仿宋_GBK"/>
                <w:sz w:val="24"/>
                <w:szCs w:val="24"/>
                <w:lang w:bidi="ar"/>
              </w:rPr>
              <w:t xml:space="preserve">.5</w:t>
            </w:r>
            <w:r>
              <w:rPr>
                <w:rFonts w:hint="eastAsia" w:ascii="方正仿宋_GBK" w:hAnsi="方正仿宋_GBK" w:eastAsia="方正仿宋_GBK" w:cs="方正仿宋_GBK"/>
                <w:sz w:val="24"/>
                <w:szCs w:val="24"/>
                <w:lang w:bidi="ar"/>
              </w:rPr>
              <w:t xml:space="preserve">评委根据投标文件对招标文件第三章“项目建设要求”中“培训服务方案要求”要求的响应情况进行评审。</w:t>
            </w:r>
            <w:r/>
          </w:p>
          <w:p>
            <w:pPr>
              <w:pStyle w:val="734"/>
              <w:jc w:val="lef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(1)投标文件未符合“培训服务方案要求”中全部要求的，视为不符合招标文件，本项得0分。</w:t>
            </w:r>
            <w:r/>
          </w:p>
          <w:p>
            <w:pPr>
              <w:pStyle w:val="734"/>
              <w:jc w:val="lef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(2)投标文件符合“培训服务方案要求”中全部要求的，视为符合招标文件，本项得3分。</w:t>
            </w:r>
            <w:r/>
          </w:p>
          <w:p>
            <w:pPr>
              <w:pStyle w:val="734"/>
              <w:jc w:val="lef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(3)经评委认定，投标文件对“培训服务方案要求”中“培训人员”、“培训内容”两项要求的响应内容全部优于招标文件要求的（前提是投标文件对“培训服务方案要求”中除“培训人员”、“培训内容”外其他要求响应内容符合招标文件要求），本项得5分。</w:t>
            </w:r>
            <w:r>
              <w:rPr>
                <w:rFonts w:hint="eastAsia" w:ascii="方正仿宋_GBK" w:hAnsi="方正仿宋_GBK" w:eastAsia="方正仿宋_GBK" w:cs="方正仿宋_GBK"/>
                <w:sz w:val="24"/>
                <w:szCs w:val="24"/>
                <w:lang w:bidi="ar"/>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pStyle w:val="734"/>
              <w:jc w:val="center"/>
              <w:widowControl/>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lang w:bidi="ar"/>
              </w:rPr>
              <w:t xml:space="preserve">5</w:t>
            </w:r>
            <w:r>
              <w:rPr>
                <w:rFonts w:hint="eastAsia" w:ascii="方正仿宋_GBK" w:hAnsi="方正仿宋_GBK" w:eastAsia="方正仿宋_GBK" w:cs="方正仿宋_GBK"/>
                <w:sz w:val="22"/>
                <w:szCs w:val="22"/>
              </w:rPr>
            </w:r>
            <w:r/>
          </w:p>
        </w:tc>
      </w:tr>
      <w:tr>
        <w:trPr>
          <w:trHeight w:val="1176"/>
        </w:trPr>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pStyle w:val="734"/>
              <w:jc w:val="center"/>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日常维护方案</w:t>
            </w: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W w:w="6578" w:type="dxa"/>
            <w:vAlign w:val="center"/>
            <w:textDirection w:val="lrTb"/>
            <w:noWrap w:val="false"/>
          </w:tcPr>
          <w:p>
            <w:pPr>
              <w:pStyle w:val="734"/>
              <w:jc w:val="lef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3</w:t>
            </w:r>
            <w:r>
              <w:rPr>
                <w:rFonts w:hint="eastAsia" w:ascii="方正仿宋_GBK" w:hAnsi="方正仿宋_GBK" w:eastAsia="方正仿宋_GBK" w:cs="方正仿宋_GBK"/>
                <w:sz w:val="24"/>
                <w:szCs w:val="24"/>
                <w:lang w:bidi="ar"/>
              </w:rPr>
              <w:t xml:space="preserve">.6</w:t>
            </w:r>
            <w:r>
              <w:rPr>
                <w:rFonts w:hint="eastAsia" w:ascii="方正仿宋_GBK" w:hAnsi="方正仿宋_GBK" w:eastAsia="方正仿宋_GBK" w:cs="方正仿宋_GBK"/>
                <w:sz w:val="24"/>
                <w:szCs w:val="24"/>
                <w:lang w:bidi="ar"/>
              </w:rPr>
              <w:t xml:space="preserve">评委根据投标文件对招标文件第三章“项目建设要求”中“日常维护方案要求”要求的响应情况进行评审。</w:t>
            </w:r>
            <w:r/>
          </w:p>
          <w:p>
            <w:pPr>
              <w:pStyle w:val="734"/>
              <w:jc w:val="lef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(1)投标文件未符合“日常维护方案要求”中全部要求的，视为不符合招标文件，本项得0分。</w:t>
            </w:r>
            <w:r/>
          </w:p>
          <w:p>
            <w:pPr>
              <w:pStyle w:val="734"/>
              <w:jc w:val="lef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(2)投标文件符合“日常维护方案要求”中全部要求的，视为符合招标文件，本项得3分。</w:t>
            </w:r>
            <w:r/>
          </w:p>
          <w:p>
            <w:pPr>
              <w:pStyle w:val="734"/>
              <w:jc w:val="lef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(3)经评委认定，投标文件对“日常维护方案要求”中“人员组织”、“维护内容”两项要求的响应内容全部优于招标文件要求的（前</w:t>
            </w:r>
            <w:r>
              <w:rPr>
                <w:rFonts w:hint="eastAsia" w:ascii="方正仿宋_GBK" w:hAnsi="方正仿宋_GBK" w:eastAsia="方正仿宋_GBK" w:cs="方正仿宋_GBK"/>
                <w:sz w:val="24"/>
                <w:szCs w:val="24"/>
                <w:lang w:bidi="ar"/>
              </w:rPr>
              <w:t xml:space="preserve">提是投标文件对“日常维护方案要求”中除“人员组织”、“维护内容”外其他要求响应内容符合招标文件要求），本项得5分。</w:t>
            </w:r>
            <w:r>
              <w:rPr>
                <w:rFonts w:hint="eastAsia" w:ascii="方正仿宋_GBK" w:hAnsi="方正仿宋_GBK" w:eastAsia="方正仿宋_GBK" w:cs="方正仿宋_GBK"/>
                <w:sz w:val="24"/>
                <w:szCs w:val="24"/>
                <w:lang w:bidi="ar"/>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pStyle w:val="734"/>
              <w:jc w:val="center"/>
              <w:widowControl/>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lang w:bidi="ar"/>
              </w:rPr>
              <w:t xml:space="preserve">5</w:t>
            </w:r>
            <w:r>
              <w:rPr>
                <w:rFonts w:hint="eastAsia" w:ascii="方正仿宋_GBK" w:hAnsi="方正仿宋_GBK" w:eastAsia="方正仿宋_GBK" w:cs="方正仿宋_GBK"/>
                <w:sz w:val="22"/>
                <w:szCs w:val="22"/>
              </w:rPr>
            </w:r>
            <w:r/>
          </w:p>
        </w:tc>
      </w:tr>
      <w:tr>
        <w:trPr>
          <w:trHeight w:val="1320"/>
        </w:trPr>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pStyle w:val="734"/>
              <w:jc w:val="center"/>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应急响应方案</w:t>
            </w:r>
            <w:r>
              <w:rPr>
                <w:rFonts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W w:w="6578" w:type="dxa"/>
            <w:vAlign w:val="center"/>
            <w:textDirection w:val="lrTb"/>
            <w:noWrap w:val="false"/>
          </w:tcPr>
          <w:p>
            <w:pPr>
              <w:pStyle w:val="734"/>
              <w:jc w:val="lef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3</w:t>
            </w:r>
            <w:r>
              <w:rPr>
                <w:rFonts w:hint="eastAsia" w:ascii="方正仿宋_GBK" w:hAnsi="方正仿宋_GBK" w:eastAsia="方正仿宋_GBK" w:cs="方正仿宋_GBK"/>
                <w:sz w:val="24"/>
                <w:szCs w:val="24"/>
                <w:lang w:bidi="ar"/>
              </w:rPr>
              <w:t xml:space="preserve">.7</w:t>
            </w:r>
            <w:r>
              <w:rPr>
                <w:rFonts w:hint="eastAsia" w:ascii="方正仿宋_GBK" w:hAnsi="方正仿宋_GBK" w:eastAsia="方正仿宋_GBK" w:cs="方正仿宋_GBK"/>
                <w:sz w:val="24"/>
                <w:szCs w:val="24"/>
                <w:lang w:bidi="ar"/>
              </w:rPr>
              <w:t xml:space="preserve">评委根据投标文件对招标文件第三章“项目建设要求”中“应急响应方案要求”要求的响应情况进行评审。</w:t>
            </w:r>
            <w:r/>
          </w:p>
          <w:p>
            <w:pPr>
              <w:pStyle w:val="734"/>
              <w:jc w:val="lef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(1)投标文件未符合“应急响应方案要求”中全部要求的，视为不符合招标文件，本项得0分。</w:t>
            </w:r>
            <w:r/>
          </w:p>
          <w:p>
            <w:pPr>
              <w:pStyle w:val="734"/>
              <w:jc w:val="lef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(2)投标文件符合“应急响应方案要求”中全部要求的，视为符合招标文件，本项得3分。</w:t>
            </w:r>
            <w:r/>
          </w:p>
          <w:p>
            <w:pPr>
              <w:pStyle w:val="734"/>
              <w:jc w:val="lef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(3)经评委认定，投标文件对“应急响应方案要求”中“应急相应流程”、“应急相应内容”、“应急相应时间”三项要求的响应内容全部优于招标文件要求的（前提是投标文件对“应急响应方案要求”中除“应急相应流程”、“应急相应内容”、“应急相应时间”外其他要求响应内容符合招标文件要求），本项得5分。</w:t>
            </w:r>
            <w:r>
              <w:rPr>
                <w:rFonts w:hint="eastAsia" w:ascii="方正仿宋_GBK" w:hAnsi="方正仿宋_GBK" w:eastAsia="方正仿宋_GBK" w:cs="方正仿宋_GBK"/>
                <w:sz w:val="24"/>
                <w:szCs w:val="24"/>
                <w:lang w:bidi="ar"/>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pStyle w:val="734"/>
              <w:jc w:val="center"/>
              <w:widowControl/>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lang w:bidi="ar"/>
              </w:rPr>
              <w:t xml:space="preserve">5</w:t>
            </w:r>
            <w:r>
              <w:rPr>
                <w:rFonts w:hint="eastAsia" w:ascii="方正仿宋_GBK" w:hAnsi="方正仿宋_GBK" w:eastAsia="方正仿宋_GBK" w:cs="方正仿宋_GBK"/>
                <w:sz w:val="22"/>
                <w:szCs w:val="22"/>
              </w:rPr>
            </w:r>
            <w:r/>
          </w:p>
        </w:tc>
      </w:tr>
      <w:tr>
        <w:trPr>
          <w:trHeight w:val="1461"/>
        </w:trPr>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pStyle w:val="734"/>
              <w:jc w:val="center"/>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业绩情况</w:t>
            </w:r>
            <w:r>
              <w:rPr>
                <w:rFonts w:hint="eastAsia" w:ascii="方正仿宋_GBK" w:hAnsi="方正仿宋_GBK" w:eastAsia="方正仿宋_GBK" w:cs="方正仿宋_GBK"/>
                <w:sz w:val="24"/>
                <w:szCs w:val="24"/>
                <w:lang w:bidi="ar"/>
              </w:rPr>
            </w:r>
            <w:r/>
          </w:p>
        </w:tc>
        <w:tc>
          <w:tcPr>
            <w:tcBorders>
              <w:top w:val="single" w:color="000000" w:sz="4" w:space="0"/>
              <w:left w:val="single" w:color="000000" w:sz="4" w:space="0"/>
              <w:bottom w:val="single" w:color="000000" w:sz="4" w:space="0"/>
              <w:right w:val="single" w:color="000000" w:sz="4" w:space="0"/>
            </w:tcBorders>
            <w:tcW w:w="6578" w:type="dxa"/>
            <w:vAlign w:val="center"/>
            <w:textDirection w:val="lrTb"/>
            <w:noWrap w:val="false"/>
          </w:tcPr>
          <w:p>
            <w:pPr>
              <w:pStyle w:val="734"/>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4</w:t>
            </w:r>
            <w:r>
              <w:rPr>
                <w:rFonts w:hint="eastAsia" w:ascii="方正仿宋_GBK" w:hAnsi="方正仿宋_GBK" w:eastAsia="方正仿宋_GBK" w:cs="方正仿宋_GBK"/>
                <w:sz w:val="24"/>
                <w:szCs w:val="24"/>
                <w:lang w:bidi="ar"/>
              </w:rPr>
              <w:t xml:space="preserve">.1提供投标产品近三年2022年1月1日以来（以合同签订时间为准）承接过与本项目类似的业绩，每提供1项有效业绩得2分，本项最多得10分，有效业绩指提供中标公告、采购合同协议书，缺一不可。（合同必须跟</w:t>
            </w:r>
            <w:r>
              <w:rPr>
                <w:rFonts w:hint="eastAsia" w:ascii="方正仿宋_GBK" w:hAnsi="方正仿宋_GBK" w:eastAsia="方正仿宋_GBK" w:cs="方正仿宋_GBK"/>
                <w:sz w:val="24"/>
                <w:szCs w:val="24"/>
                <w:lang w:bidi="ar"/>
              </w:rPr>
              <w:t xml:space="preserve">最终用户</w:t>
            </w:r>
            <w:r>
              <w:rPr>
                <w:rFonts w:hint="eastAsia" w:ascii="方正仿宋_GBK" w:hAnsi="方正仿宋_GBK" w:eastAsia="方正仿宋_GBK" w:cs="方正仿宋_GBK"/>
                <w:sz w:val="24"/>
                <w:szCs w:val="24"/>
                <w:lang w:bidi="ar"/>
              </w:rPr>
              <w:t xml:space="preserve">直接签订，提供合同关键页加盖投标人公章）。</w:t>
            </w: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pStyle w:val="734"/>
              <w:jc w:val="center"/>
              <w:widowControl/>
              <w:rPr>
                <w:rFonts w:hint="eastAsia" w:ascii="方正仿宋_GBK" w:hAnsi="方正仿宋_GBK" w:eastAsia="方正仿宋_GBK" w:cs="方正仿宋_GBK"/>
                <w:sz w:val="22"/>
                <w:szCs w:val="22"/>
                <w:lang w:bidi="ar"/>
              </w:rPr>
            </w:pPr>
            <w:r>
              <w:rPr>
                <w:rFonts w:hint="eastAsia" w:ascii="方正仿宋_GBK" w:hAnsi="方正仿宋_GBK" w:eastAsia="方正仿宋_GBK" w:cs="方正仿宋_GBK"/>
                <w:sz w:val="22"/>
                <w:szCs w:val="22"/>
                <w:lang w:bidi="ar"/>
              </w:rPr>
              <w:t xml:space="preserve">10</w:t>
            </w:r>
            <w:r>
              <w:rPr>
                <w:rFonts w:hint="eastAsia" w:ascii="方正仿宋_GBK" w:hAnsi="方正仿宋_GBK" w:eastAsia="方正仿宋_GBK" w:cs="方正仿宋_GBK"/>
                <w:sz w:val="22"/>
                <w:szCs w:val="22"/>
                <w:lang w:bidi="ar"/>
              </w:rPr>
            </w:r>
            <w:r/>
          </w:p>
        </w:tc>
      </w:tr>
      <w:tr>
        <w:trPr>
          <w:cantSplit/>
          <w:trHeight w:val="1461"/>
        </w:trPr>
        <w:tc>
          <w:tcPr>
            <w:tcBorders>
              <w:top w:val="single" w:color="000000" w:sz="4" w:space="0"/>
              <w:left w:val="single" w:color="000000" w:sz="4" w:space="0"/>
              <w:right w:val="single" w:color="000000" w:sz="4" w:space="0"/>
            </w:tcBorders>
            <w:tcW w:w="1564" w:type="dxa"/>
            <w:vAlign w:val="center"/>
            <w:vMerge w:val="restart"/>
            <w:textDirection w:val="lrTb"/>
            <w:noWrap w:val="false"/>
          </w:tcPr>
          <w:p>
            <w:pPr>
              <w:pStyle w:val="734"/>
              <w:jc w:val="center"/>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履约能力</w:t>
            </w:r>
            <w:r>
              <w:rPr>
                <w:rFonts w:hint="eastAsia" w:ascii="方正仿宋_GBK" w:hAnsi="方正仿宋_GBK" w:eastAsia="方正仿宋_GBK" w:cs="方正仿宋_GBK"/>
                <w:sz w:val="24"/>
                <w:szCs w:val="24"/>
                <w:lang w:bidi="ar"/>
              </w:rPr>
            </w:r>
            <w:r/>
          </w:p>
        </w:tc>
        <w:tc>
          <w:tcPr>
            <w:tcBorders>
              <w:top w:val="single" w:color="000000" w:sz="4" w:space="0"/>
              <w:left w:val="single" w:color="000000" w:sz="4" w:space="0"/>
              <w:bottom w:val="single" w:color="000000" w:sz="4" w:space="0"/>
              <w:right w:val="single" w:color="000000" w:sz="4" w:space="0"/>
            </w:tcBorders>
            <w:tcW w:w="6578" w:type="dxa"/>
            <w:vAlign w:val="center"/>
            <w:textDirection w:val="lrTb"/>
            <w:noWrap w:val="false"/>
          </w:tcPr>
          <w:p>
            <w:pPr>
              <w:pStyle w:val="734"/>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5</w:t>
            </w:r>
            <w:r>
              <w:rPr>
                <w:rFonts w:hint="eastAsia" w:ascii="方正仿宋_GBK" w:hAnsi="方正仿宋_GBK" w:eastAsia="方正仿宋_GBK" w:cs="方正仿宋_GBK"/>
                <w:sz w:val="24"/>
                <w:szCs w:val="24"/>
                <w:lang w:bidi="ar"/>
              </w:rPr>
              <w:t xml:space="preserve">.1投标人需提供与本次建设内容相关以下类似软件著作权：</w:t>
            </w:r>
            <w:r>
              <w:rPr>
                <w:rFonts w:hint="eastAsia" w:ascii="方正仿宋_GBK" w:hAnsi="方正仿宋_GBK" w:eastAsia="方正仿宋_GBK" w:cs="方正仿宋_GBK"/>
                <w:sz w:val="24"/>
                <w:szCs w:val="24"/>
                <w:lang w:bidi="ar"/>
              </w:rPr>
              <w:t xml:space="preserve">药房系统类、药品管理类、医院绩效考核类</w:t>
            </w:r>
            <w:r>
              <w:rPr>
                <w:rFonts w:hint="eastAsia" w:ascii="方正仿宋_GBK" w:hAnsi="方正仿宋_GBK" w:eastAsia="方正仿宋_GBK" w:cs="方正仿宋_GBK"/>
                <w:sz w:val="24"/>
                <w:szCs w:val="24"/>
                <w:lang w:bidi="ar"/>
              </w:rPr>
              <w:t xml:space="preserve">，</w:t>
            </w:r>
            <w:r>
              <w:rPr>
                <w:rFonts w:hint="eastAsia" w:ascii="方正仿宋_GBK" w:hAnsi="方正仿宋_GBK" w:eastAsia="方正仿宋_GBK" w:cs="方正仿宋_GBK"/>
                <w:sz w:val="24"/>
                <w:szCs w:val="24"/>
                <w:lang w:bidi="ar"/>
              </w:rPr>
              <w:t xml:space="preserve">每提供一类软件著作权证书得1分，本项最高得</w:t>
            </w:r>
            <w:r>
              <w:rPr>
                <w:rFonts w:hint="eastAsia" w:ascii="方正仿宋_GBK" w:hAnsi="方正仿宋_GBK" w:eastAsia="方正仿宋_GBK" w:cs="方正仿宋_GBK"/>
                <w:sz w:val="24"/>
                <w:szCs w:val="24"/>
                <w:lang w:bidi="ar"/>
              </w:rPr>
              <w:t xml:space="preserve">3</w:t>
            </w:r>
            <w:r>
              <w:rPr>
                <w:rFonts w:hint="eastAsia" w:ascii="方正仿宋_GBK" w:hAnsi="方正仿宋_GBK" w:eastAsia="方正仿宋_GBK" w:cs="方正仿宋_GBK"/>
                <w:sz w:val="24"/>
                <w:szCs w:val="24"/>
                <w:lang w:bidi="ar"/>
              </w:rPr>
              <w:t xml:space="preserve">分，证书须投标人自有，复印件加盖公章。</w:t>
            </w:r>
            <w:r>
              <w:rPr>
                <w:rFonts w:hint="eastAsia" w:ascii="方正仿宋_GBK" w:hAnsi="方正仿宋_GBK" w:eastAsia="方正仿宋_GBK" w:cs="方正仿宋_GBK"/>
                <w:sz w:val="24"/>
                <w:szCs w:val="24"/>
                <w:lang w:bidi="ar"/>
              </w:rPr>
              <w:t xml:space="preserve">（</w:t>
            </w:r>
            <w:r>
              <w:rPr>
                <w:rFonts w:ascii="方正仿宋_GBK" w:hAnsi="方正仿宋_GBK" w:eastAsia="方正仿宋_GBK" w:cs="方正仿宋_GBK"/>
                <w:sz w:val="24"/>
                <w:szCs w:val="24"/>
                <w:lang w:bidi="ar"/>
              </w:rPr>
              <w:t xml:space="preserve">如投标文件中提供的著作权名称表述与招标文件</w:t>
            </w:r>
            <w:r>
              <w:rPr>
                <w:rFonts w:hint="eastAsia" w:ascii="宋体" w:hAnsi="宋体" w:cs="宋体"/>
                <w:sz w:val="24"/>
                <w:szCs w:val="24"/>
                <w:lang w:bidi="ar"/>
              </w:rPr>
              <w:t xml:space="preserve">描</w:t>
            </w:r>
            <w:r>
              <w:rPr>
                <w:rFonts w:hint="eastAsia" w:ascii="方正仿宋_GBK" w:hAnsi="方正仿宋_GBK" w:eastAsia="方正仿宋_GBK" w:cs="方正仿宋_GBK"/>
                <w:sz w:val="24"/>
                <w:szCs w:val="24"/>
                <w:lang w:bidi="ar"/>
              </w:rPr>
              <w:t xml:space="preserve">述的关键字样不一致，而该投标文件中能证明投标人</w:t>
            </w:r>
            <w:r>
              <w:rPr>
                <w:rFonts w:hint="eastAsia" w:ascii="宋体" w:hAnsi="宋体" w:cs="宋体"/>
                <w:sz w:val="24"/>
                <w:szCs w:val="24"/>
                <w:lang w:bidi="ar"/>
              </w:rPr>
              <w:t xml:space="preserve">拥</w:t>
            </w:r>
            <w:r>
              <w:rPr>
                <w:rFonts w:hint="eastAsia" w:ascii="方正仿宋_GBK" w:hAnsi="方正仿宋_GBK" w:eastAsia="方正仿宋_GBK" w:cs="方正仿宋_GBK"/>
                <w:sz w:val="24"/>
                <w:szCs w:val="24"/>
                <w:lang w:bidi="ar"/>
              </w:rPr>
              <w:t xml:space="preserve">有的软件著作权具有相同或相似功能和效果，且评标委员会认可的，视同符合要求）</w:t>
            </w: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pStyle w:val="734"/>
              <w:jc w:val="center"/>
              <w:widowControl/>
              <w:rPr>
                <w:rFonts w:hint="eastAsia" w:ascii="方正仿宋_GBK" w:hAnsi="方正仿宋_GBK" w:eastAsia="方正仿宋_GBK" w:cs="方正仿宋_GBK"/>
                <w:sz w:val="22"/>
                <w:szCs w:val="22"/>
                <w:lang w:bidi="ar"/>
              </w:rPr>
            </w:pPr>
            <w:r>
              <w:rPr>
                <w:rFonts w:hint="eastAsia" w:ascii="方正仿宋_GBK" w:hAnsi="方正仿宋_GBK" w:eastAsia="方正仿宋_GBK" w:cs="方正仿宋_GBK"/>
                <w:sz w:val="22"/>
                <w:szCs w:val="22"/>
                <w:lang w:bidi="ar"/>
              </w:rPr>
              <w:t xml:space="preserve">3</w:t>
            </w:r>
            <w:r>
              <w:rPr>
                <w:rFonts w:hint="eastAsia" w:ascii="方正仿宋_GBK" w:hAnsi="方正仿宋_GBK" w:eastAsia="方正仿宋_GBK" w:cs="方正仿宋_GBK"/>
                <w:sz w:val="22"/>
                <w:szCs w:val="22"/>
                <w:lang w:bidi="ar"/>
              </w:rPr>
            </w:r>
            <w:r/>
          </w:p>
        </w:tc>
      </w:tr>
      <w:tr>
        <w:trPr>
          <w:cantSplit/>
          <w:trHeight w:val="1461"/>
        </w:trPr>
        <w:tc>
          <w:tcPr>
            <w:tcBorders>
              <w:left w:val="single" w:color="000000" w:sz="4" w:space="0"/>
              <w:right w:val="single" w:color="000000" w:sz="4" w:space="0"/>
            </w:tcBorders>
            <w:tcW w:w="1564" w:type="dxa"/>
            <w:vAlign w:val="center"/>
            <w:vMerge w:val="continue"/>
            <w:textDirection w:val="lrTb"/>
            <w:noWrap w:val="false"/>
          </w:tcPr>
          <w:p>
            <w:pPr>
              <w:pStyle w:val="734"/>
              <w:jc w:val="center"/>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r>
            <w:r/>
          </w:p>
        </w:tc>
        <w:tc>
          <w:tcPr>
            <w:tcBorders>
              <w:top w:val="single" w:color="000000" w:sz="4" w:space="0"/>
              <w:left w:val="single" w:color="000000" w:sz="4" w:space="0"/>
              <w:bottom w:val="single" w:color="000000" w:sz="4" w:space="0"/>
              <w:right w:val="single" w:color="000000" w:sz="4" w:space="0"/>
            </w:tcBorders>
            <w:tcW w:w="6578" w:type="dxa"/>
            <w:vAlign w:val="center"/>
            <w:textDirection w:val="lrTb"/>
            <w:noWrap w:val="false"/>
          </w:tcPr>
          <w:p>
            <w:pPr>
              <w:pStyle w:val="734"/>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5</w:t>
            </w:r>
            <w:r>
              <w:rPr>
                <w:rFonts w:hint="eastAsia" w:ascii="方正仿宋_GBK" w:hAnsi="方正仿宋_GBK" w:eastAsia="方正仿宋_GBK" w:cs="方正仿宋_GBK"/>
                <w:sz w:val="24"/>
                <w:szCs w:val="24"/>
                <w:lang w:bidi="ar"/>
              </w:rPr>
              <w:t xml:space="preserve">.2拟派本项目的项目经理（1人）具有国家计算机软考类（计算机技术与软件专业技术资格（水平）考试）：系统架构设计</w:t>
            </w:r>
            <w:r>
              <w:rPr>
                <w:rFonts w:hint="eastAsia" w:ascii="方正仿宋_GBK" w:hAnsi="方正仿宋_GBK" w:eastAsia="方正仿宋_GBK" w:cs="方正仿宋_GBK"/>
                <w:sz w:val="24"/>
                <w:szCs w:val="24"/>
                <w:lang w:bidi="ar"/>
              </w:rPr>
              <w:t xml:space="preserve">师证书得3分，本项最高得3分，提供人员证书复印件和近三个月任意一个月社保缴纳证明加盖公章。</w:t>
            </w: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pStyle w:val="734"/>
              <w:jc w:val="center"/>
              <w:widowControl/>
              <w:rPr>
                <w:rFonts w:hint="eastAsia" w:ascii="方正仿宋_GBK" w:hAnsi="方正仿宋_GBK" w:eastAsia="方正仿宋_GBK" w:cs="方正仿宋_GBK"/>
                <w:sz w:val="22"/>
                <w:szCs w:val="22"/>
                <w:lang w:bidi="ar"/>
              </w:rPr>
            </w:pPr>
            <w:r>
              <w:rPr>
                <w:rFonts w:hint="eastAsia" w:ascii="方正仿宋_GBK" w:hAnsi="方正仿宋_GBK" w:eastAsia="方正仿宋_GBK" w:cs="方正仿宋_GBK"/>
                <w:sz w:val="22"/>
                <w:szCs w:val="22"/>
                <w:lang w:bidi="ar"/>
              </w:rPr>
              <w:t xml:space="preserve">3</w:t>
            </w:r>
            <w:r>
              <w:rPr>
                <w:rFonts w:hint="eastAsia" w:ascii="方正仿宋_GBK" w:hAnsi="方正仿宋_GBK" w:eastAsia="方正仿宋_GBK" w:cs="方正仿宋_GBK"/>
                <w:sz w:val="22"/>
                <w:szCs w:val="22"/>
                <w:lang w:bidi="ar"/>
              </w:rPr>
            </w:r>
            <w:r/>
          </w:p>
        </w:tc>
      </w:tr>
      <w:tr>
        <w:trPr>
          <w:cantSplit/>
          <w:trHeight w:val="1461"/>
        </w:trPr>
        <w:tc>
          <w:tcPr>
            <w:tcBorders>
              <w:left w:val="single" w:color="000000" w:sz="4" w:space="0"/>
              <w:right w:val="single" w:color="000000" w:sz="4" w:space="0"/>
            </w:tcBorders>
            <w:tcW w:w="1564" w:type="dxa"/>
            <w:vAlign w:val="center"/>
            <w:vMerge w:val="continue"/>
            <w:textDirection w:val="lrTb"/>
            <w:noWrap w:val="false"/>
          </w:tcPr>
          <w:p>
            <w:pPr>
              <w:pStyle w:val="734"/>
              <w:jc w:val="center"/>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r>
            <w:r/>
          </w:p>
        </w:tc>
        <w:tc>
          <w:tcPr>
            <w:tcBorders>
              <w:top w:val="single" w:color="000000" w:sz="4" w:space="0"/>
              <w:left w:val="single" w:color="000000" w:sz="4" w:space="0"/>
              <w:bottom w:val="single" w:color="000000" w:sz="4" w:space="0"/>
              <w:right w:val="single" w:color="000000" w:sz="4" w:space="0"/>
            </w:tcBorders>
            <w:tcW w:w="6578" w:type="dxa"/>
            <w:vAlign w:val="center"/>
            <w:textDirection w:val="lrTb"/>
            <w:noWrap w:val="false"/>
          </w:tcPr>
          <w:p>
            <w:pPr>
              <w:pStyle w:val="734"/>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5</w:t>
            </w:r>
            <w:r>
              <w:rPr>
                <w:rFonts w:hint="eastAsia" w:ascii="方正仿宋_GBK" w:hAnsi="方正仿宋_GBK" w:eastAsia="方正仿宋_GBK" w:cs="方正仿宋_GBK"/>
                <w:sz w:val="24"/>
                <w:szCs w:val="24"/>
                <w:lang w:bidi="ar"/>
              </w:rPr>
              <w:t xml:space="preserve">.3拟派本项目技术负责人（1人）具有</w:t>
            </w:r>
            <w:r>
              <w:rPr>
                <w:rFonts w:hint="eastAsia" w:ascii="方正仿宋_GBK" w:hAnsi="方正仿宋_GBK" w:eastAsia="方正仿宋_GBK" w:cs="方正仿宋_GBK"/>
                <w:sz w:val="24"/>
                <w:szCs w:val="24"/>
                <w:lang w:bidi="ar"/>
              </w:rPr>
              <w:t xml:space="preserve">信息</w:t>
            </w:r>
            <w:r>
              <w:rPr>
                <w:rFonts w:hint="eastAsia" w:ascii="方正仿宋_GBK" w:hAnsi="方正仿宋_GBK" w:eastAsia="方正仿宋_GBK" w:cs="方正仿宋_GBK"/>
                <w:sz w:val="24"/>
                <w:szCs w:val="24"/>
                <w:lang w:bidi="ar"/>
              </w:rPr>
              <w:t xml:space="preserve">化</w:t>
            </w:r>
            <w:r>
              <w:rPr>
                <w:rFonts w:hint="eastAsia" w:ascii="方正仿宋_GBK" w:hAnsi="方正仿宋_GBK" w:eastAsia="方正仿宋_GBK" w:cs="方正仿宋_GBK"/>
                <w:sz w:val="24"/>
                <w:szCs w:val="24"/>
                <w:lang w:bidi="ar"/>
              </w:rPr>
              <w:t xml:space="preserve">类</w:t>
            </w:r>
            <w:r>
              <w:rPr>
                <w:rFonts w:hint="eastAsia" w:ascii="方正仿宋_GBK" w:hAnsi="方正仿宋_GBK" w:eastAsia="方正仿宋_GBK" w:cs="方正仿宋_GBK"/>
                <w:sz w:val="24"/>
                <w:szCs w:val="24"/>
                <w:lang w:bidi="ar"/>
              </w:rPr>
              <w:t xml:space="preserve">正高级工程师职称证书得3分，副高级工程师职称证书得1分，本项最高得3分，提供人员证书复印件和近三个月任意一个月社保缴纳证明加盖公章。                                       </w:t>
            </w: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pStyle w:val="734"/>
              <w:jc w:val="center"/>
              <w:widowControl/>
              <w:rPr>
                <w:rFonts w:hint="eastAsia" w:ascii="方正仿宋_GBK" w:hAnsi="方正仿宋_GBK" w:eastAsia="方正仿宋_GBK" w:cs="方正仿宋_GBK"/>
                <w:sz w:val="22"/>
                <w:szCs w:val="22"/>
                <w:lang w:bidi="ar"/>
              </w:rPr>
            </w:pPr>
            <w:r>
              <w:rPr>
                <w:rFonts w:hint="eastAsia" w:ascii="方正仿宋_GBK" w:hAnsi="方正仿宋_GBK" w:eastAsia="方正仿宋_GBK" w:cs="方正仿宋_GBK"/>
                <w:sz w:val="22"/>
                <w:szCs w:val="22"/>
                <w:lang w:bidi="ar"/>
              </w:rPr>
              <w:t xml:space="preserve">3</w:t>
            </w:r>
            <w:r>
              <w:rPr>
                <w:rFonts w:hint="eastAsia" w:ascii="方正仿宋_GBK" w:hAnsi="方正仿宋_GBK" w:eastAsia="方正仿宋_GBK" w:cs="方正仿宋_GBK"/>
                <w:sz w:val="22"/>
                <w:szCs w:val="22"/>
                <w:lang w:bidi="ar"/>
              </w:rPr>
            </w:r>
            <w:r/>
          </w:p>
        </w:tc>
      </w:tr>
      <w:tr>
        <w:trPr>
          <w:cantSplit/>
          <w:trHeight w:val="1461"/>
        </w:trPr>
        <w:tc>
          <w:tcPr>
            <w:tcBorders>
              <w:left w:val="single" w:color="000000" w:sz="4" w:space="0"/>
              <w:bottom w:val="single" w:color="000000" w:sz="4" w:space="0"/>
              <w:right w:val="single" w:color="000000" w:sz="4" w:space="0"/>
            </w:tcBorders>
            <w:tcW w:w="1564" w:type="dxa"/>
            <w:vAlign w:val="center"/>
            <w:vMerge w:val="continue"/>
            <w:textDirection w:val="lrTb"/>
            <w:noWrap w:val="false"/>
          </w:tcPr>
          <w:p>
            <w:pPr>
              <w:pStyle w:val="734"/>
              <w:jc w:val="center"/>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r>
            <w:r/>
          </w:p>
        </w:tc>
        <w:tc>
          <w:tcPr>
            <w:tcBorders>
              <w:top w:val="single" w:color="000000" w:sz="4" w:space="0"/>
              <w:left w:val="single" w:color="000000" w:sz="4" w:space="0"/>
              <w:bottom w:val="single" w:color="000000" w:sz="4" w:space="0"/>
              <w:right w:val="single" w:color="000000" w:sz="4" w:space="0"/>
            </w:tcBorders>
            <w:tcW w:w="6578" w:type="dxa"/>
            <w:vAlign w:val="center"/>
            <w:textDirection w:val="lrTb"/>
            <w:noWrap w:val="false"/>
          </w:tcPr>
          <w:p>
            <w:pPr>
              <w:pStyle w:val="734"/>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5</w:t>
            </w:r>
            <w:r>
              <w:rPr>
                <w:rFonts w:hint="eastAsia" w:ascii="方正仿宋_GBK" w:hAnsi="方正仿宋_GBK" w:eastAsia="方正仿宋_GBK" w:cs="方正仿宋_GBK"/>
                <w:sz w:val="24"/>
                <w:szCs w:val="24"/>
                <w:lang w:bidi="ar"/>
              </w:rPr>
              <w:t xml:space="preserve">.4拟派本项目其他实施人员（项目经理除外）具有国家计算机软考类（计算机技术与软件专业技术资格（水平）考试）高级证书得2分，中级证书得1分，本项最高得6分，同一人只按照最高分赋分一次，提供人员证书复印件和近三个月任意一个月社保缴纳证明加盖公章。</w:t>
            </w: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pStyle w:val="734"/>
              <w:jc w:val="center"/>
              <w:widowControl/>
              <w:rPr>
                <w:rFonts w:hint="eastAsia" w:ascii="方正仿宋_GBK" w:hAnsi="方正仿宋_GBK" w:eastAsia="方正仿宋_GBK" w:cs="方正仿宋_GBK"/>
                <w:sz w:val="22"/>
                <w:szCs w:val="22"/>
                <w:lang w:bidi="ar"/>
              </w:rPr>
            </w:pPr>
            <w:r>
              <w:rPr>
                <w:rFonts w:hint="eastAsia" w:ascii="方正仿宋_GBK" w:hAnsi="方正仿宋_GBK" w:eastAsia="方正仿宋_GBK" w:cs="方正仿宋_GBK"/>
                <w:sz w:val="22"/>
                <w:szCs w:val="22"/>
                <w:lang w:bidi="ar"/>
              </w:rPr>
              <w:t xml:space="preserve">6</w:t>
            </w:r>
            <w:r>
              <w:rPr>
                <w:rFonts w:hint="eastAsia" w:ascii="方正仿宋_GBK" w:hAnsi="方正仿宋_GBK" w:eastAsia="方正仿宋_GBK" w:cs="方正仿宋_GBK"/>
                <w:sz w:val="22"/>
                <w:szCs w:val="22"/>
                <w:lang w:bidi="ar"/>
              </w:rPr>
            </w:r>
            <w:r/>
          </w:p>
        </w:tc>
      </w:tr>
      <w:tr>
        <w:trPr>
          <w:trHeight w:val="1461"/>
        </w:trPr>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pStyle w:val="734"/>
              <w:jc w:val="center"/>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总得分</w:t>
            </w: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W w:w="6578" w:type="dxa"/>
            <w:vAlign w:val="center"/>
            <w:textDirection w:val="lrTb"/>
            <w:noWrap w:val="false"/>
          </w:tcPr>
          <w:p>
            <w:pPr>
              <w:pStyle w:val="734"/>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pStyle w:val="734"/>
              <w:jc w:val="center"/>
              <w:widowControl/>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lang w:bidi="ar"/>
              </w:rPr>
              <w:t xml:space="preserve">100</w:t>
            </w:r>
            <w:r>
              <w:rPr>
                <w:rFonts w:hint="eastAsia" w:ascii="方正仿宋_GBK" w:hAnsi="方正仿宋_GBK" w:eastAsia="方正仿宋_GBK" w:cs="方正仿宋_GBK"/>
                <w:sz w:val="22"/>
                <w:szCs w:val="22"/>
              </w:rPr>
            </w:r>
            <w:r/>
          </w:p>
        </w:tc>
      </w:tr>
    </w:tbl>
    <w:p>
      <w:pPr>
        <w:pStyle w:val="734"/>
        <w:ind w:firstLine="562"/>
        <w:jc w:val="left"/>
        <w:spacing w:line="42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说明：</w:t>
      </w:r>
      <w:r>
        <w:rPr>
          <w:rFonts w:hint="eastAsia" w:ascii="方正仿宋_GBK" w:hAnsi="方正仿宋_GBK" w:eastAsia="方正仿宋_GBK" w:cs="方正仿宋_GBK"/>
          <w:b/>
          <w:bCs/>
          <w:sz w:val="28"/>
          <w:szCs w:val="28"/>
        </w:rPr>
      </w:r>
      <w:r/>
    </w:p>
    <w:p>
      <w:pPr>
        <w:pStyle w:val="734"/>
        <w:ind w:firstLine="562"/>
        <w:jc w:val="left"/>
        <w:spacing w:line="420" w:lineRule="exact"/>
        <w:widowControl/>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以上证明、证书、认证等资料的复印件或扫描件，采购人有权在中标后签订合同前要求中标人提供原件备查，如有虚假，按虚假投标处理。</w:t>
      </w:r>
      <w:r>
        <w:rPr>
          <w:rFonts w:hint="eastAsia" w:ascii="方正仿宋_GBK" w:hAnsi="方正仿宋_GBK" w:eastAsia="方正仿宋_GBK" w:cs="方正仿宋_GBK"/>
          <w:b/>
          <w:sz w:val="28"/>
          <w:szCs w:val="28"/>
        </w:rPr>
      </w:r>
      <w:r/>
    </w:p>
    <w:p>
      <w:pPr>
        <w:pStyle w:val="822"/>
        <w:ind w:firstLine="562"/>
        <w:spacing w:line="400" w:lineRule="exact"/>
        <w:rPr>
          <w:rFonts w:hint="eastAsia" w:ascii="宋体" w:hAnsi="宋体"/>
          <w:b/>
          <w:sz w:val="28"/>
          <w:szCs w:val="28"/>
        </w:rPr>
      </w:pPr>
      <w:r>
        <w:rPr>
          <w:rFonts w:hint="eastAsia" w:ascii="宋体" w:hAnsi="宋体"/>
          <w:b/>
          <w:sz w:val="28"/>
          <w:szCs w:val="28"/>
        </w:rPr>
      </w:r>
      <w:r/>
    </w:p>
    <w:p>
      <w:pPr>
        <w:pStyle w:val="822"/>
        <w:ind w:firstLine="562"/>
        <w:spacing w:line="400" w:lineRule="exact"/>
        <w:rPr>
          <w:rFonts w:hint="eastAsia" w:ascii="宋体" w:hAnsi="宋体"/>
          <w:b/>
          <w:sz w:val="28"/>
          <w:szCs w:val="28"/>
        </w:rPr>
      </w:pPr>
      <w:r>
        <w:rPr>
          <w:rFonts w:hint="eastAsia" w:ascii="宋体" w:hAnsi="宋体"/>
          <w:b/>
          <w:sz w:val="28"/>
          <w:szCs w:val="28"/>
        </w:rPr>
      </w:r>
      <w:r/>
    </w:p>
    <w:p>
      <w:pPr>
        <w:pStyle w:val="734"/>
        <w:rPr>
          <w:rFonts w:hint="eastAsia"/>
        </w:rPr>
      </w:pPr>
      <w:r>
        <w:rPr>
          <w:rFonts w:hint="eastAsia"/>
        </w:rPr>
      </w:r>
      <w:r/>
    </w:p>
    <w:p>
      <w:pPr>
        <w:pStyle w:val="734"/>
        <w:rPr>
          <w:rFonts w:hint="eastAsia"/>
        </w:rPr>
      </w:pPr>
      <w:r>
        <w:rPr>
          <w:rFonts w:hint="eastAsia"/>
        </w:rPr>
      </w:r>
      <w:r/>
    </w:p>
    <w:p>
      <w:pPr>
        <w:pStyle w:val="734"/>
        <w:rPr>
          <w:rFonts w:ascii="黑体" w:eastAsia="黑体"/>
          <w:bCs/>
          <w:sz w:val="44"/>
        </w:rPr>
      </w:pPr>
      <w:r>
        <w:rPr>
          <w:rFonts w:ascii="黑体" w:eastAsia="黑体"/>
          <w:bCs/>
          <w:sz w:val="44"/>
        </w:rPr>
      </w:r>
      <w:r/>
    </w:p>
    <w:p>
      <w:pPr>
        <w:pStyle w:val="734"/>
        <w:rPr>
          <w:rFonts w:ascii="黑体" w:eastAsia="黑体"/>
          <w:bCs/>
          <w:sz w:val="44"/>
        </w:rPr>
      </w:pPr>
      <w:r>
        <w:rPr>
          <w:rFonts w:ascii="黑体" w:eastAsia="黑体"/>
          <w:bCs/>
          <w:sz w:val="44"/>
        </w:rPr>
      </w:r>
      <w:r/>
    </w:p>
    <w:p>
      <w:pPr>
        <w:pStyle w:val="734"/>
        <w:rPr>
          <w:rFonts w:ascii="黑体" w:eastAsia="黑体"/>
          <w:bCs/>
          <w:sz w:val="44"/>
        </w:rPr>
      </w:pPr>
      <w:r>
        <w:rPr>
          <w:rFonts w:ascii="黑体" w:eastAsia="黑体"/>
          <w:bCs/>
          <w:sz w:val="44"/>
        </w:rPr>
      </w:r>
      <w:r/>
    </w:p>
    <w:p>
      <w:pPr>
        <w:pStyle w:val="734"/>
        <w:ind w:right="839"/>
        <w:jc w:val="center"/>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734"/>
        <w:ind w:right="839"/>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734"/>
        <w:jc w:val="center"/>
        <w:keepNext/>
        <w:spacing w:line="360" w:lineRule="auto"/>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rPr>
        <w:t xml:space="preserve">第六章  投标</w:t>
      </w:r>
      <w:bookmarkEnd w:id="179"/>
      <w:r/>
      <w:bookmarkEnd w:id="180"/>
      <w:r/>
      <w:bookmarkEnd w:id="186"/>
      <w:r>
        <w:rPr>
          <w:rFonts w:hint="eastAsia" w:ascii="方正黑体_GBK" w:hAnsi="方正黑体_GBK" w:eastAsia="方正黑体_GBK" w:cs="方正黑体_GBK"/>
          <w:sz w:val="32"/>
          <w:szCs w:val="32"/>
        </w:rPr>
        <w:t xml:space="preserve">文件格式 </w:t>
      </w:r>
      <w:r>
        <w:rPr>
          <w:rFonts w:hint="eastAsia" w:ascii="方正黑体_GBK" w:hAnsi="方正黑体_GBK" w:eastAsia="方正黑体_GBK" w:cs="方正黑体_GBK"/>
          <w:sz w:val="32"/>
          <w:szCs w:val="32"/>
        </w:rPr>
      </w:r>
      <w:r/>
    </w:p>
    <w:p>
      <w:pPr>
        <w:pStyle w:val="734"/>
        <w:jc w:val="center"/>
        <w:rPr>
          <w:rFonts w:hint="eastAsia" w:ascii="宋体" w:hAnsi="宋体"/>
          <w:b/>
          <w:sz w:val="28"/>
          <w:szCs w:val="28"/>
        </w:rPr>
      </w:pPr>
      <w:r/>
      <w:bookmarkStart w:id="188" w:name="_Hlt26671244"/>
      <w:r/>
      <w:bookmarkEnd w:id="188"/>
      <w:r/>
      <w:bookmarkStart w:id="189" w:name="_Hlt26955039"/>
      <w:r/>
      <w:bookmarkEnd w:id="189"/>
      <w:r/>
      <w:bookmarkStart w:id="190" w:name="_Toc26554094"/>
      <w:r/>
      <w:bookmarkStart w:id="191" w:name="_Toc49090576"/>
      <w:r/>
      <w:bookmarkStart w:id="192" w:name="_Toc120614282"/>
      <w:r>
        <w:rPr>
          <w:rFonts w:hint="eastAsia" w:ascii="宋体" w:hAnsi="宋体"/>
          <w:b/>
          <w:sz w:val="28"/>
          <w:szCs w:val="28"/>
        </w:rPr>
      </w:r>
      <w:r/>
    </w:p>
    <w:p>
      <w:pPr>
        <w:pStyle w:val="734"/>
        <w:jc w:val="center"/>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r>
      <w:r/>
    </w:p>
    <w:p>
      <w:pPr>
        <w:pStyle w:val="734"/>
        <w:jc w:val="center"/>
        <w:rPr>
          <w:rFonts w:hint="eastAsia"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t xml:space="preserve">投  标  文  件</w:t>
      </w:r>
      <w:r>
        <w:rPr>
          <w:rFonts w:hint="eastAsia" w:ascii="方正小标宋_GBK" w:hAnsi="方正小标宋_GBK" w:eastAsia="方正小标宋_GBK" w:cs="方正小标宋_GBK"/>
          <w:bCs/>
          <w:sz w:val="32"/>
          <w:szCs w:val="32"/>
        </w:rPr>
      </w:r>
      <w:r/>
    </w:p>
    <w:p>
      <w:pPr>
        <w:pStyle w:val="734"/>
        <w:jc w:val="center"/>
        <w:rPr>
          <w:rFonts w:hint="eastAsia" w:ascii="宋体" w:hAnsi="宋体"/>
          <w:b/>
          <w:sz w:val="28"/>
          <w:szCs w:val="28"/>
        </w:rPr>
      </w:pPr>
      <w:r>
        <w:rPr>
          <w:rFonts w:hint="eastAsia" w:ascii="宋体" w:hAnsi="宋体"/>
          <w:b/>
          <w:sz w:val="28"/>
          <w:szCs w:val="28"/>
        </w:rPr>
      </w:r>
      <w:r/>
    </w:p>
    <w:p>
      <w:pPr>
        <w:pStyle w:val="734"/>
        <w:jc w:val="center"/>
        <w:rPr>
          <w:rFonts w:hint="eastAsia" w:ascii="宋体" w:hAnsi="宋体"/>
          <w:b/>
          <w:sz w:val="28"/>
          <w:szCs w:val="28"/>
        </w:rPr>
      </w:pPr>
      <w:r>
        <w:rPr>
          <w:rFonts w:hint="eastAsia" w:ascii="宋体" w:hAnsi="宋体"/>
          <w:b/>
          <w:sz w:val="28"/>
          <w:szCs w:val="28"/>
        </w:rPr>
      </w:r>
      <w:r/>
    </w:p>
    <w:p>
      <w:pPr>
        <w:pStyle w:val="734"/>
        <w:jc w:val="center"/>
        <w:rPr>
          <w:rFonts w:hint="eastAsia" w:ascii="宋体" w:hAnsi="宋体"/>
          <w:b/>
          <w:sz w:val="28"/>
          <w:szCs w:val="28"/>
        </w:rPr>
      </w:pPr>
      <w:r>
        <w:rPr>
          <w:rFonts w:hint="eastAsia" w:ascii="宋体" w:hAnsi="宋体"/>
          <w:b/>
          <w:sz w:val="28"/>
          <w:szCs w:val="28"/>
        </w:rPr>
      </w:r>
      <w:r/>
    </w:p>
    <w:p>
      <w:pPr>
        <w:pStyle w:val="734"/>
        <w:jc w:val="center"/>
        <w:rPr>
          <w:rFonts w:hint="eastAsia" w:ascii="宋体" w:hAnsi="宋体"/>
          <w:b/>
          <w:sz w:val="28"/>
          <w:szCs w:val="28"/>
        </w:rPr>
      </w:pPr>
      <w:r>
        <w:rPr>
          <w:rFonts w:hint="eastAsia" w:ascii="宋体" w:hAnsi="宋体"/>
          <w:b/>
          <w:sz w:val="28"/>
          <w:szCs w:val="28"/>
        </w:rPr>
      </w:r>
      <w:r/>
    </w:p>
    <w:p>
      <w:pPr>
        <w:pStyle w:val="734"/>
        <w:jc w:val="center"/>
        <w:rPr>
          <w:rFonts w:hint="eastAsia" w:ascii="宋体" w:hAnsi="宋体"/>
          <w:b/>
          <w:sz w:val="28"/>
          <w:szCs w:val="28"/>
        </w:rPr>
      </w:pPr>
      <w:r>
        <w:rPr>
          <w:rFonts w:hint="eastAsia" w:ascii="宋体" w:hAnsi="宋体"/>
          <w:b/>
          <w:sz w:val="28"/>
          <w:szCs w:val="28"/>
        </w:rPr>
      </w:r>
      <w:r/>
    </w:p>
    <w:p>
      <w:pPr>
        <w:pStyle w:val="734"/>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734"/>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734"/>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投标人名称 ：</w:t>
      </w:r>
      <w:r>
        <w:rPr>
          <w:rFonts w:hint="eastAsia" w:ascii="方正黑体_GBK" w:hAnsi="方正黑体_GBK" w:eastAsia="方正黑体_GBK" w:cs="方正黑体_GBK"/>
          <w:bCs/>
          <w:sz w:val="28"/>
          <w:szCs w:val="28"/>
          <w:u w:val="single"/>
        </w:rPr>
        <w:t xml:space="preserve">（加盖CA电子公章）</w:t>
      </w:r>
      <w:r>
        <w:rPr>
          <w:rFonts w:hint="eastAsia" w:ascii="方正黑体_GBK" w:hAnsi="方正黑体_GBK" w:eastAsia="方正黑体_GBK" w:cs="方正黑体_GBK"/>
          <w:bCs/>
          <w:sz w:val="28"/>
          <w:szCs w:val="28"/>
          <w:u w:val="single"/>
        </w:rPr>
      </w:r>
      <w:r/>
    </w:p>
    <w:p>
      <w:pPr>
        <w:pStyle w:val="734"/>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734"/>
        <w:jc w:val="center"/>
        <w:spacing w:line="440" w:lineRule="exact"/>
        <w:rPr>
          <w:rFonts w:hint="eastAsia" w:ascii="宋体" w:hAnsi="宋体"/>
          <w:b/>
          <w:bCs/>
          <w:sz w:val="32"/>
          <w:szCs w:val="32"/>
        </w:rPr>
      </w:pPr>
      <w:r>
        <w:rPr>
          <w:rFonts w:hint="eastAsia" w:ascii="宋体" w:hAnsi="宋体"/>
          <w:b/>
          <w:bCs/>
          <w:sz w:val="32"/>
          <w:szCs w:val="32"/>
        </w:rPr>
      </w:r>
      <w:r/>
    </w:p>
    <w:p>
      <w:pPr>
        <w:pStyle w:val="734"/>
        <w:spacing w:line="440" w:lineRule="exact"/>
        <w:rPr>
          <w:rFonts w:ascii="宋体" w:hAnsi="宋体"/>
        </w:rPr>
      </w:pPr>
      <w:r>
        <w:rPr>
          <w:rFonts w:ascii="宋体" w:hAnsi="宋体"/>
        </w:rPr>
      </w:r>
      <w:r/>
    </w:p>
    <w:p>
      <w:pPr>
        <w:pStyle w:val="734"/>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34"/>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rPr>
          <w:rFonts w:hint="eastAsia" w:ascii="方正黑体_GBK" w:hAnsi="方正黑体_GBK" w:eastAsia="方正黑体_GBK" w:cs="方正黑体_GBK"/>
          <w:sz w:val="28"/>
          <w:szCs w:val="28"/>
        </w:rPr>
      </w:r>
      <w:r/>
    </w:p>
    <w:p>
      <w:pPr>
        <w:pStyle w:val="734"/>
        <w:jc w:val="center"/>
        <w:spacing w:line="400" w:lineRule="exact"/>
        <w:rPr>
          <w:rFonts w:hint="eastAsia" w:ascii="宋体" w:hAnsi="宋体"/>
          <w:b/>
          <w:bCs/>
          <w:sz w:val="28"/>
          <w:szCs w:val="28"/>
        </w:rPr>
      </w:pPr>
      <w:r>
        <w:rPr>
          <w:rFonts w:hint="eastAsia" w:ascii="宋体" w:hAnsi="宋体"/>
          <w:b/>
          <w:bCs/>
          <w:sz w:val="28"/>
          <w:szCs w:val="28"/>
        </w:rPr>
      </w:r>
      <w:r/>
    </w:p>
    <w:p>
      <w:pPr>
        <w:pStyle w:val="734"/>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rPr>
          <w:rFonts w:hint="eastAsia" w:ascii="方正黑体_GBK" w:hAnsi="方正黑体_GBK" w:eastAsia="方正黑体_GBK" w:cs="方正黑体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1.开标一览表（格式见附件1）</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2.投标分项报价表（格式见附件2）</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3.技术要求响应及偏离表（格式见附件3）</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4.商务要求响应及偏离表（格式见附件4）</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eastAsia="方正仿宋_GBK"/>
          <w:sz w:val="28"/>
          <w:szCs w:val="28"/>
        </w:rPr>
        <w:t xml:space="preserve">X</w:t>
      </w:r>
      <w:r>
        <w:rPr>
          <w:rFonts w:hint="eastAsia" w:eastAsia="方正仿宋_GBK"/>
          <w:sz w:val="28"/>
          <w:szCs w:val="28"/>
        </w:rPr>
        <w:t xml:space="preserve">XXX</w:t>
      </w:r>
      <w:r>
        <w:rPr>
          <w:rFonts w:hint="eastAsia" w:ascii="方正仿宋_GBK" w:hAnsi="方正仿宋_GBK" w:eastAsia="方正仿宋_GBK" w:cs="方正仿宋_GBK"/>
          <w:sz w:val="28"/>
          <w:szCs w:val="28"/>
        </w:rPr>
        <w:t xml:space="preserve">（格式见附件</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4"/>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rPr>
          <w:rFonts w:hint="eastAsia" w:ascii="方正黑体_GBK" w:hAnsi="方正黑体_GBK" w:eastAsia="方正黑体_GBK" w:cs="方正黑体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10.中小微企业声明函（如果本项目专门面向中小微型企业采购，则必须提供。格式见附件9）</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11.残疾人福利性单位声明函（如果本</w:t>
      </w:r>
      <w:r>
        <w:rPr>
          <w:rFonts w:hint="eastAsia" w:ascii="方正仿宋_GBK" w:hAnsi="方正仿宋_GBK" w:eastAsia="方正仿宋_GBK" w:cs="方正仿宋_GBK"/>
          <w:sz w:val="28"/>
          <w:szCs w:val="28"/>
        </w:rPr>
        <w:t xml:space="preserve">项目专门面向中小微型企业采购，供应商为残疾人福利性单位并由本单位提供服务。格式见附件10）</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12.联合体协议（如果本项目接受联合体参加投标，投标人是联合体的，则必须提供。格式见附件11）</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sz w:val="28"/>
          <w:szCs w:val="28"/>
        </w:rPr>
      </w:r>
      <w:r/>
    </w:p>
    <w:p>
      <w:pPr>
        <w:pStyle w:val="734"/>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rPr>
          <w:rFonts w:hint="eastAsia" w:ascii="方正黑体_GBK" w:hAnsi="方正黑体_GBK" w:eastAsia="方正黑体_GBK" w:cs="方正黑体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sz w:val="28"/>
          <w:szCs w:val="28"/>
        </w:rPr>
      </w:r>
      <w:r/>
    </w:p>
    <w:p>
      <w:pPr>
        <w:pStyle w:val="734"/>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rPr>
          <w:rFonts w:hint="eastAsia" w:ascii="方正黑体_GBK" w:hAnsi="方正黑体_GBK" w:eastAsia="方正黑体_GBK" w:cs="方正黑体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3.关于符合本国产品标准的声明函（格式见附件13）</w:t>
      </w:r>
      <w:r>
        <w:rPr>
          <w:rFonts w:hint="eastAsia" w:ascii="方正仿宋_GBK" w:hAnsi="方正仿宋_GBK" w:eastAsia="方正仿宋_GBK" w:cs="方正仿宋_GBK"/>
          <w:sz w:val="28"/>
          <w:szCs w:val="28"/>
        </w:rPr>
      </w:r>
      <w:r/>
    </w:p>
    <w:p>
      <w:pPr>
        <w:pStyle w:val="734"/>
        <w:spacing w:line="400" w:lineRule="exact"/>
        <w:rPr>
          <w:rFonts w:ascii="宋体" w:hAnsi="宋体"/>
          <w:sz w:val="28"/>
          <w:szCs w:val="28"/>
        </w:rPr>
      </w:pPr>
      <w:r>
        <w:rPr>
          <w:rFonts w:ascii="宋体" w:hAnsi="宋体"/>
          <w:sz w:val="28"/>
          <w:szCs w:val="28"/>
        </w:rPr>
      </w:r>
      <w:r/>
    </w:p>
    <w:p>
      <w:pPr>
        <w:pStyle w:val="734"/>
        <w:spacing w:line="400" w:lineRule="exact"/>
        <w:rPr>
          <w:rFonts w:ascii="宋体" w:hAnsi="宋体"/>
          <w:b/>
          <w:sz w:val="28"/>
          <w:szCs w:val="28"/>
        </w:rPr>
      </w:pPr>
      <w:r>
        <w:rPr>
          <w:rFonts w:ascii="宋体" w:hAnsi="宋体"/>
          <w:b/>
          <w:sz w:val="28"/>
          <w:szCs w:val="28"/>
        </w:rPr>
      </w:r>
      <w:r/>
    </w:p>
    <w:p>
      <w:pPr>
        <w:pStyle w:val="734"/>
        <w:spacing w:line="400" w:lineRule="exact"/>
        <w:rPr>
          <w:rFonts w:ascii="宋体" w:hAnsi="宋体"/>
          <w:b/>
          <w:sz w:val="28"/>
          <w:szCs w:val="28"/>
        </w:rPr>
      </w:pPr>
      <w:r>
        <w:rPr>
          <w:rFonts w:ascii="宋体" w:hAnsi="宋体"/>
          <w:b/>
          <w:sz w:val="28"/>
          <w:szCs w:val="28"/>
        </w:rPr>
      </w:r>
      <w:r/>
    </w:p>
    <w:p>
      <w:pPr>
        <w:pStyle w:val="734"/>
        <w:spacing w:line="400" w:lineRule="exact"/>
        <w:rPr>
          <w:rFonts w:ascii="宋体" w:hAnsi="宋体"/>
          <w:b/>
          <w:sz w:val="28"/>
          <w:szCs w:val="28"/>
        </w:rPr>
      </w:pPr>
      <w:r>
        <w:rPr>
          <w:rFonts w:ascii="宋体" w:hAnsi="宋体"/>
          <w:b/>
          <w:sz w:val="28"/>
          <w:szCs w:val="28"/>
        </w:rPr>
      </w:r>
      <w:r/>
    </w:p>
    <w:p>
      <w:pPr>
        <w:pStyle w:val="734"/>
        <w:spacing w:line="400" w:lineRule="exact"/>
        <w:rPr>
          <w:rFonts w:ascii="宋体" w:hAnsi="宋体"/>
          <w:b/>
          <w:sz w:val="28"/>
          <w:szCs w:val="28"/>
        </w:rPr>
      </w:pPr>
      <w:r>
        <w:rPr>
          <w:rFonts w:ascii="宋体" w:hAnsi="宋体"/>
          <w:b/>
          <w:sz w:val="28"/>
          <w:szCs w:val="28"/>
        </w:rPr>
      </w:r>
      <w:r/>
    </w:p>
    <w:p>
      <w:pPr>
        <w:pStyle w:val="734"/>
        <w:spacing w:line="400" w:lineRule="exact"/>
        <w:rPr>
          <w:rFonts w:ascii="宋体" w:hAnsi="宋体"/>
          <w:b/>
          <w:sz w:val="28"/>
          <w:szCs w:val="28"/>
        </w:rPr>
      </w:pPr>
      <w:r>
        <w:rPr>
          <w:rFonts w:ascii="宋体" w:hAnsi="宋体"/>
          <w:b/>
          <w:sz w:val="28"/>
          <w:szCs w:val="28"/>
        </w:rPr>
      </w:r>
      <w:r/>
    </w:p>
    <w:p>
      <w:pPr>
        <w:pStyle w:val="734"/>
        <w:spacing w:line="400" w:lineRule="exact"/>
        <w:rPr>
          <w:rFonts w:ascii="宋体" w:hAnsi="宋体"/>
          <w:b/>
          <w:sz w:val="28"/>
          <w:szCs w:val="28"/>
        </w:rPr>
      </w:pPr>
      <w:r>
        <w:rPr>
          <w:rFonts w:ascii="宋体" w:hAnsi="宋体"/>
          <w:b/>
          <w:sz w:val="28"/>
          <w:szCs w:val="28"/>
        </w:rPr>
      </w:r>
      <w:r/>
    </w:p>
    <w:p>
      <w:pPr>
        <w:pStyle w:val="734"/>
        <w:spacing w:line="400" w:lineRule="exact"/>
        <w:rPr>
          <w:rFonts w:ascii="宋体" w:hAnsi="宋体"/>
          <w:b/>
          <w:sz w:val="28"/>
          <w:szCs w:val="28"/>
        </w:rPr>
      </w:pPr>
      <w:r>
        <w:rPr>
          <w:rFonts w:ascii="宋体" w:hAnsi="宋体"/>
          <w:b/>
          <w:sz w:val="28"/>
          <w:szCs w:val="28"/>
        </w:rPr>
      </w:r>
      <w:r/>
    </w:p>
    <w:p>
      <w:pPr>
        <w:pStyle w:val="734"/>
        <w:spacing w:line="400" w:lineRule="exact"/>
        <w:rPr>
          <w:rFonts w:ascii="宋体" w:hAnsi="宋体"/>
          <w:b/>
          <w:sz w:val="28"/>
          <w:szCs w:val="28"/>
        </w:rPr>
      </w:pPr>
      <w:r>
        <w:rPr>
          <w:rFonts w:ascii="宋体" w:hAnsi="宋体"/>
          <w:b/>
          <w:sz w:val="28"/>
          <w:szCs w:val="28"/>
        </w:rPr>
      </w:r>
      <w:r/>
    </w:p>
    <w:p>
      <w:pPr>
        <w:pStyle w:val="734"/>
        <w:spacing w:line="400" w:lineRule="exact"/>
        <w:rPr>
          <w:rFonts w:ascii="宋体" w:hAnsi="宋体"/>
          <w:b/>
          <w:sz w:val="28"/>
          <w:szCs w:val="28"/>
        </w:rPr>
      </w:pPr>
      <w:r>
        <w:rPr>
          <w:rFonts w:ascii="宋体" w:hAnsi="宋体"/>
          <w:b/>
          <w:sz w:val="28"/>
          <w:szCs w:val="28"/>
        </w:rPr>
      </w:r>
      <w:r/>
    </w:p>
    <w:p>
      <w:pPr>
        <w:pStyle w:val="734"/>
        <w:spacing w:line="400" w:lineRule="exact"/>
        <w:rPr>
          <w:rFonts w:ascii="宋体" w:hAnsi="宋体"/>
          <w:b/>
          <w:sz w:val="28"/>
          <w:szCs w:val="28"/>
        </w:rPr>
      </w:pPr>
      <w:r>
        <w:rPr>
          <w:rFonts w:ascii="宋体" w:hAnsi="宋体"/>
          <w:b/>
          <w:sz w:val="28"/>
          <w:szCs w:val="28"/>
        </w:rPr>
      </w:r>
      <w:r/>
    </w:p>
    <w:p>
      <w:pPr>
        <w:pStyle w:val="734"/>
        <w:spacing w:line="400" w:lineRule="exact"/>
        <w:rPr>
          <w:rFonts w:ascii="宋体" w:hAnsi="宋体"/>
          <w:b/>
          <w:sz w:val="28"/>
          <w:szCs w:val="28"/>
        </w:rPr>
      </w:pPr>
      <w:r>
        <w:rPr>
          <w:rFonts w:ascii="宋体" w:hAnsi="宋体"/>
          <w:b/>
          <w:sz w:val="28"/>
          <w:szCs w:val="28"/>
        </w:rPr>
      </w:r>
      <w:r/>
    </w:p>
    <w:p>
      <w:pPr>
        <w:pStyle w:val="734"/>
        <w:spacing w:line="400" w:lineRule="exact"/>
        <w:rPr>
          <w:rFonts w:ascii="宋体" w:hAnsi="宋体"/>
          <w:b/>
          <w:sz w:val="28"/>
          <w:szCs w:val="28"/>
        </w:rPr>
      </w:pPr>
      <w:r>
        <w:rPr>
          <w:rFonts w:ascii="宋体" w:hAnsi="宋体"/>
          <w:b/>
          <w:sz w:val="28"/>
          <w:szCs w:val="28"/>
        </w:rPr>
      </w:r>
      <w:r/>
    </w:p>
    <w:p>
      <w:pPr>
        <w:pStyle w:val="734"/>
        <w:spacing w:line="400" w:lineRule="exact"/>
        <w:rPr>
          <w:rFonts w:ascii="宋体" w:hAnsi="宋体"/>
          <w:b/>
          <w:sz w:val="28"/>
          <w:szCs w:val="28"/>
        </w:rPr>
      </w:pPr>
      <w:r>
        <w:rPr>
          <w:rFonts w:ascii="宋体" w:hAnsi="宋体"/>
          <w:b/>
          <w:sz w:val="28"/>
          <w:szCs w:val="28"/>
        </w:rPr>
      </w:r>
      <w:r/>
    </w:p>
    <w:p>
      <w:pPr>
        <w:pStyle w:val="734"/>
        <w:spacing w:line="400" w:lineRule="exact"/>
        <w:rPr>
          <w:rFonts w:ascii="宋体" w:hAnsi="宋体"/>
          <w:b/>
          <w:sz w:val="28"/>
          <w:szCs w:val="28"/>
        </w:rPr>
      </w:pPr>
      <w:r>
        <w:rPr>
          <w:rFonts w:ascii="宋体" w:hAnsi="宋体"/>
          <w:b/>
          <w:sz w:val="28"/>
          <w:szCs w:val="28"/>
        </w:rPr>
      </w:r>
      <w:r/>
    </w:p>
    <w:p>
      <w:pPr>
        <w:pStyle w:val="734"/>
        <w:spacing w:line="400" w:lineRule="exact"/>
        <w:rPr>
          <w:rFonts w:ascii="宋体" w:hAnsi="宋体"/>
          <w:b/>
          <w:sz w:val="28"/>
          <w:szCs w:val="28"/>
        </w:rPr>
      </w:pPr>
      <w:r>
        <w:rPr>
          <w:rFonts w:ascii="宋体" w:hAnsi="宋体"/>
          <w:b/>
          <w:sz w:val="28"/>
          <w:szCs w:val="28"/>
        </w:rPr>
      </w:r>
      <w:r/>
    </w:p>
    <w:p>
      <w:pPr>
        <w:pStyle w:val="734"/>
        <w:spacing w:line="400" w:lineRule="exact"/>
        <w:rPr>
          <w:rFonts w:ascii="宋体" w:hAnsi="宋体"/>
          <w:b/>
          <w:sz w:val="28"/>
          <w:szCs w:val="28"/>
        </w:rPr>
      </w:pPr>
      <w:r>
        <w:rPr>
          <w:rFonts w:ascii="宋体" w:hAnsi="宋体"/>
          <w:b/>
          <w:sz w:val="28"/>
          <w:szCs w:val="28"/>
        </w:rPr>
      </w:r>
      <w:r/>
    </w:p>
    <w:p>
      <w:pPr>
        <w:pStyle w:val="734"/>
        <w:spacing w:line="400" w:lineRule="exact"/>
        <w:rPr>
          <w:rFonts w:ascii="宋体" w:hAnsi="宋体"/>
          <w:b/>
          <w:sz w:val="28"/>
          <w:szCs w:val="28"/>
        </w:rPr>
      </w:pPr>
      <w:r>
        <w:rPr>
          <w:rFonts w:ascii="宋体" w:hAnsi="宋体"/>
          <w:b/>
          <w:sz w:val="28"/>
          <w:szCs w:val="28"/>
        </w:rPr>
      </w:r>
      <w:r/>
    </w:p>
    <w:p>
      <w:pPr>
        <w:pStyle w:val="734"/>
        <w:spacing w:line="400" w:lineRule="exact"/>
        <w:rPr>
          <w:rFonts w:ascii="宋体" w:hAnsi="宋体"/>
          <w:b/>
          <w:sz w:val="28"/>
          <w:szCs w:val="28"/>
        </w:rPr>
      </w:pPr>
      <w:r>
        <w:rPr>
          <w:rFonts w:hint="eastAsia" w:ascii="宋体" w:hAnsi="宋体"/>
          <w:b/>
          <w:sz w:val="28"/>
          <w:szCs w:val="28"/>
        </w:rPr>
        <w:br w:type="page" w:clear="all"/>
      </w:r>
      <w:r>
        <w:rPr>
          <w:rFonts w:ascii="宋体" w:hAnsi="宋体"/>
          <w:b/>
          <w:sz w:val="28"/>
          <w:szCs w:val="28"/>
        </w:rPr>
      </w:r>
      <w:r/>
    </w:p>
    <w:p>
      <w:pPr>
        <w:pStyle w:val="734"/>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bCs/>
          <w:sz w:val="28"/>
          <w:szCs w:val="28"/>
        </w:rPr>
        <w:t xml:space="preserve">附件1 开标一览表</w:t>
      </w:r>
      <w:r>
        <w:rPr>
          <w:rFonts w:hint="eastAsia" w:ascii="方正黑体_GBK" w:hAnsi="方正黑体_GBK" w:eastAsia="方正黑体_GBK" w:cs="方正黑体_GBK"/>
          <w:sz w:val="28"/>
          <w:szCs w:val="28"/>
        </w:rPr>
      </w:r>
      <w:r/>
    </w:p>
    <w:p>
      <w:pPr>
        <w:pStyle w:val="73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734"/>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sz w:val="28"/>
          <w:szCs w:val="28"/>
        </w:rPr>
        <w:t xml:space="preserve">XXXX</w:t>
      </w:r>
      <w:r>
        <w:rPr>
          <w:rFonts w:ascii="方正仿宋_GBK" w:hAnsi="方正仿宋_GBK" w:eastAsia="方正仿宋_GBK" w:cs="方正仿宋_GBK"/>
          <w:sz w:val="28"/>
          <w:szCs w:val="28"/>
        </w:rPr>
      </w:r>
      <w:r/>
    </w:p>
    <w:p>
      <w:pPr>
        <w:pStyle w:val="73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34"/>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sz w:val="28"/>
          <w:szCs w:val="28"/>
        </w:rPr>
        <w:t xml:space="preserve">XX</w:t>
      </w:r>
      <w:r>
        <w:rPr>
          <w:rFonts w:ascii="方正仿宋_GBK" w:hAnsi="方正仿宋_GBK" w:eastAsia="方正仿宋_GBK" w:cs="方正仿宋_GBK"/>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73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tcW w:w="8934" w:type="dxa"/>
            <w:vAlign w:val="center"/>
            <w:textDirection w:val="lrTb"/>
            <w:noWrap w:val="false"/>
          </w:tcPr>
          <w:p>
            <w:pPr>
              <w:pStyle w:val="822"/>
              <w:ind w:firstLine="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734"/>
        <w:ind w:firstLine="480"/>
        <w:spacing w:line="400" w:lineRule="exact"/>
        <w:rPr>
          <w:rFonts w:hint="eastAsia" w:ascii="宋体" w:hAnsi="宋体"/>
          <w:sz w:val="28"/>
          <w:szCs w:val="28"/>
        </w:rPr>
      </w:pPr>
      <w:r>
        <w:rPr>
          <w:rFonts w:hint="eastAsia" w:ascii="宋体" w:hAnsi="宋体"/>
          <w:sz w:val="28"/>
          <w:szCs w:val="28"/>
        </w:rPr>
      </w:r>
      <w:r/>
    </w:p>
    <w:p>
      <w:pPr>
        <w:pStyle w:val="734"/>
        <w:spacing w:line="400" w:lineRule="exact"/>
        <w:rPr>
          <w:rFonts w:ascii="宋体" w:hAnsi="宋体"/>
          <w:sz w:val="28"/>
          <w:szCs w:val="28"/>
        </w:rPr>
      </w:pPr>
      <w:r>
        <w:rPr>
          <w:rFonts w:ascii="宋体" w:hAnsi="宋体"/>
          <w:sz w:val="28"/>
          <w:szCs w:val="28"/>
        </w:rPr>
      </w:r>
      <w:r/>
    </w:p>
    <w:p>
      <w:pPr>
        <w:pStyle w:val="73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72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73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72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86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734"/>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tc>
      </w:tr>
      <w:tr>
        <w:trPr>
          <w:cantSplit/>
          <w:trHeight w:val="757"/>
        </w:trPr>
        <w:tc>
          <w:tcPr>
            <w:gridSpan w:val="10"/>
            <w:tcW w:w="9861" w:type="dxa"/>
            <w:vAlign w:val="top"/>
            <w:textDirection w:val="lrTb"/>
            <w:noWrap w:val="false"/>
          </w:tcPr>
          <w:p>
            <w:pPr>
              <w:pStyle w:val="797"/>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73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hint="eastAsia" w:ascii="方正仿宋_GBK" w:hAnsi="方正仿宋_GBK" w:eastAsia="方正仿宋_GBK" w:cs="方正仿宋_GBK"/>
          <w:sz w:val="28"/>
          <w:szCs w:val="28"/>
        </w:rPr>
      </w:r>
      <w:r/>
    </w:p>
    <w:p>
      <w:pPr>
        <w:pStyle w:val="73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73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w:t>
      </w:r>
      <w:r>
        <w:rPr>
          <w:rFonts w:hint="eastAsia" w:ascii="方正仿宋_GBK" w:hAnsi="方正仿宋_GBK" w:eastAsia="方正仿宋_GBK" w:cs="方正仿宋_GBK"/>
          <w:sz w:val="28"/>
          <w:szCs w:val="28"/>
        </w:rPr>
        <w:t xml:space="preserve">格型号、制造商、产地。</w:t>
      </w:r>
      <w:r>
        <w:rPr>
          <w:rFonts w:hint="eastAsia" w:ascii="方正仿宋_GBK" w:hAnsi="方正仿宋_GBK" w:eastAsia="方正仿宋_GBK" w:cs="方正仿宋_GBK"/>
          <w:sz w:val="28"/>
          <w:szCs w:val="28"/>
        </w:rPr>
      </w:r>
      <w:r/>
    </w:p>
    <w:p>
      <w:pPr>
        <w:pStyle w:val="73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73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5.项目经办人可以根据项目实际需要对表格结构进行调整。</w:t>
      </w:r>
      <w:r>
        <w:rPr>
          <w:rFonts w:hint="eastAsia" w:ascii="方正仿宋_GBK" w:hAnsi="方正仿宋_GBK" w:eastAsia="方正仿宋_GBK" w:cs="方正仿宋_GBK"/>
          <w:sz w:val="28"/>
          <w:szCs w:val="28"/>
        </w:rPr>
      </w:r>
      <w:r/>
    </w:p>
    <w:p>
      <w:pPr>
        <w:pStyle w:val="734"/>
        <w:spacing w:line="400" w:lineRule="exact"/>
        <w:rPr>
          <w:rFonts w:hint="eastAsia" w:ascii="方正魏碑_GBK" w:hAnsi="方正魏碑_GBK" w:eastAsia="方正魏碑_GBK" w:cs="方正魏碑_GBK"/>
          <w:b/>
          <w:bCs/>
          <w:sz w:val="28"/>
          <w:szCs w:val="28"/>
        </w:rPr>
      </w:pPr>
      <w:r>
        <w:rPr>
          <w:rFonts w:hint="eastAsia" w:ascii="方正魏碑_GBK" w:hAnsi="方正魏碑_GBK" w:eastAsia="方正魏碑_GBK" w:cs="方正魏碑_GBK"/>
          <w:b/>
          <w:bCs/>
          <w:sz w:val="28"/>
          <w:szCs w:val="28"/>
        </w:rPr>
      </w:r>
      <w:r/>
    </w:p>
    <w:p>
      <w:pPr>
        <w:pStyle w:val="734"/>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73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技术要求响应及偏离表（采购包号：XX）</w:t>
      </w:r>
      <w:r>
        <w:rPr>
          <w:rFonts w:hint="eastAsia" w:ascii="方正黑体_GBK" w:hAnsi="方正黑体_GBK" w:eastAsia="方正黑体_GBK" w:cs="方正黑体_GBK"/>
          <w:bCs/>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34"/>
        <w:jc w:val="left"/>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73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商务要求响应及偏离表（采购包号：XX）</w:t>
      </w:r>
      <w:r>
        <w:rPr>
          <w:rFonts w:hint="eastAsia" w:ascii="方正黑体_GBK" w:hAnsi="方正黑体_GBK" w:eastAsia="方正黑体_GBK" w:cs="方正黑体_GBK"/>
          <w:bCs/>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29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rPr>
          <w:rFonts w:hint="eastAsia" w:ascii="方正仿宋_GBK" w:hAnsi="方正仿宋_GBK" w:eastAsia="方正仿宋_GBK" w:cs="方正仿宋_GBK"/>
          <w:sz w:val="28"/>
          <w:szCs w:val="28"/>
        </w:rPr>
      </w:r>
      <w:r/>
    </w:p>
    <w:p>
      <w:pPr>
        <w:pStyle w:val="734"/>
        <w:spacing w:line="400" w:lineRule="exact"/>
        <w:rPr>
          <w:rFonts w:ascii="宋体" w:hAnsi="宋体"/>
          <w:sz w:val="28"/>
          <w:szCs w:val="28"/>
        </w:rPr>
      </w:pPr>
      <w:r>
        <w:rPr>
          <w:rFonts w:ascii="宋体" w:hAnsi="宋体"/>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734"/>
        <w:ind w:firstLine="560"/>
        <w:spacing w:line="400" w:lineRule="exact"/>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宋体" w:hAnsi="宋体"/>
          <w:b/>
          <w:sz w:val="28"/>
          <w:szCs w:val="28"/>
        </w:rPr>
      </w:r>
      <w:r/>
    </w:p>
    <w:p>
      <w:pPr>
        <w:pStyle w:val="734"/>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w:t>
      </w:r>
      <w:r>
        <w:rPr>
          <w:rFonts w:hint="eastAsia" w:ascii="方正黑体_GBK" w:hAnsi="方正黑体_GBK" w:eastAsia="方正黑体_GBK" w:cs="方正黑体_GBK"/>
          <w:bCs/>
          <w:sz w:val="28"/>
          <w:szCs w:val="28"/>
        </w:rPr>
        <w:t xml:space="preserve">所必需的设备和专业技术能力的书面声明</w:t>
      </w:r>
      <w:r>
        <w:rPr>
          <w:rFonts w:hint="eastAsia" w:ascii="方正黑体_GBK" w:hAnsi="方正黑体_GBK" w:eastAsia="方正黑体_GBK" w:cs="方正黑体_GBK"/>
          <w:bCs/>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4"/>
        <w:spacing w:line="400" w:lineRule="exact"/>
        <w:rPr>
          <w:rFonts w:ascii="宋体" w:hAnsi="宋体"/>
          <w:b/>
          <w:sz w:val="28"/>
          <w:szCs w:val="28"/>
        </w:rPr>
      </w:pPr>
      <w:r>
        <w:rPr>
          <w:rFonts w:hint="eastAsia" w:ascii="宋体" w:hAnsi="宋体"/>
          <w:bCs/>
          <w:sz w:val="28"/>
          <w:szCs w:val="28"/>
        </w:rPr>
        <w:t xml:space="preserve">                                     </w:t>
      </w:r>
      <w:r>
        <w:rPr>
          <w:rFonts w:ascii="宋体" w:hAnsi="宋体"/>
          <w:b/>
          <w:sz w:val="28"/>
          <w:szCs w:val="28"/>
        </w:rPr>
      </w:r>
      <w:r/>
    </w:p>
    <w:p>
      <w:pPr>
        <w:pStyle w:val="73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4"/>
        <w:jc w:val="center"/>
        <w:spacing w:line="400" w:lineRule="exact"/>
        <w:rPr>
          <w:rFonts w:ascii="宋体" w:hAnsi="宋体"/>
          <w:bCs/>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rPr>
          <w:rFonts w:ascii="宋体" w:hAnsi="宋体"/>
          <w:bCs/>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73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rPr>
          <w:rFonts w:hint="eastAsia" w:ascii="方正黑体_GBK" w:hAnsi="方正黑体_GBK" w:eastAsia="方正黑体_GBK" w:cs="方正黑体_GBK"/>
          <w:bCs/>
          <w:sz w:val="28"/>
          <w:szCs w:val="28"/>
        </w:rPr>
      </w:r>
      <w:r/>
    </w:p>
    <w:p>
      <w:pPr>
        <w:pStyle w:val="734"/>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本授权书声明：</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（投标人名称）授权</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（被授权人的姓名）为我方就采购编号为</w:t>
      </w:r>
      <w:r>
        <w:rPr>
          <w:rFonts w:eastAsia="方正仿宋_GBK"/>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sz w:val="28"/>
          <w:szCs w:val="28"/>
        </w:rPr>
      </w:r>
      <w:r/>
    </w:p>
    <w:p>
      <w:pPr>
        <w:pStyle w:val="734"/>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本授权书于</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年</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月</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日起生效，特此声明。</w:t>
      </w:r>
      <w:r>
        <w:rPr>
          <w:rFonts w:hint="eastAsia" w:ascii="方正仿宋_GBK" w:hAnsi="方正仿宋_GBK" w:eastAsia="方正仿宋_GBK" w:cs="方正仿宋_GBK"/>
          <w:sz w:val="28"/>
          <w:szCs w:val="28"/>
        </w:rPr>
      </w:r>
      <w:r/>
    </w:p>
    <w:p>
      <w:pPr>
        <w:pStyle w:val="734"/>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被授权人身份证号码：</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4"/>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4"/>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4"/>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734"/>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4"/>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4"/>
        <w:jc w:val="center"/>
        <w:spacing w:line="400" w:lineRule="exact"/>
        <w:rPr>
          <w:rFonts w:ascii="黑体" w:hAnsi="黑体" w:eastAsia="黑体"/>
          <w:b/>
          <w:i/>
          <w:sz w:val="28"/>
          <w:szCs w:val="28"/>
          <w:u w:val="single"/>
        </w:rPr>
      </w:pPr>
      <w:r>
        <w:rPr>
          <w:rFonts w:ascii="宋体" w:hAnsi="宋体" w:eastAsia="幼圆" w:cs="Arial"/>
          <w:b/>
          <w:sz w:val="28"/>
          <w:szCs w:val="28"/>
        </w:rPr>
        <w:br w:type="page" w:clear="all"/>
      </w:r>
      <w:r>
        <w:rPr>
          <w:rFonts w:hint="eastAsia" w:ascii="方正黑体_GBK" w:hAnsi="方正黑体_GBK" w:eastAsia="方正黑体_GBK" w:cs="方正黑体_GBK"/>
          <w:bCs/>
          <w:sz w:val="28"/>
          <w:szCs w:val="28"/>
        </w:rPr>
        <w:t xml:space="preserve">附件8              投标函</w:t>
      </w:r>
      <w:r>
        <w:rPr>
          <w:rFonts w:ascii="黑体" w:hAnsi="黑体" w:eastAsia="黑体"/>
          <w:b/>
          <w:i/>
          <w:sz w:val="28"/>
          <w:szCs w:val="28"/>
          <w:u w:val="single"/>
        </w:rPr>
      </w:r>
      <w:r/>
    </w:p>
    <w:p>
      <w:pPr>
        <w:pStyle w:val="73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rPr>
          <w:rFonts w:hint="eastAsia" w:ascii="方正仿宋_GBK" w:hAnsi="方正仿宋_GBK" w:eastAsia="方正仿宋_GBK" w:cs="方正仿宋_GBK"/>
          <w:sz w:val="28"/>
          <w:szCs w:val="28"/>
        </w:rPr>
      </w:r>
      <w:r/>
    </w:p>
    <w:p>
      <w:pPr>
        <w:pStyle w:val="822"/>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sz w:val="28"/>
          <w:szCs w:val="28"/>
        </w:rPr>
        <w:t xml:space="preserve">JSZC-320000-SCZX-G20XX-XXXX</w:t>
      </w:r>
      <w:r>
        <w:rPr>
          <w:rFonts w:ascii="Times New Roman" w:hAnsi="Times New Roman" w:eastAsia="方正仿宋_GBK"/>
          <w:sz w:val="28"/>
          <w:szCs w:val="28"/>
        </w:rPr>
        <w:t xml:space="preserve">，</w:t>
      </w:r>
      <w:r>
        <w:rPr>
          <w:rFonts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项目（项目名称）的</w:t>
      </w:r>
      <w:r>
        <w:rPr>
          <w:rFonts w:hint="eastAsia" w:ascii="方正仿宋_GBK" w:hAnsi="方正仿宋_GBK" w:eastAsia="方正仿宋_GBK" w:cs="方正仿宋_GBK"/>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（投标人的名称），全权处理本次项目投标的有关事宜。</w:t>
      </w:r>
      <w:r>
        <w:rPr>
          <w:rFonts w:hint="eastAsia" w:ascii="方正仿宋_GBK" w:hAnsi="方正仿宋_GBK" w:eastAsia="方正仿宋_GBK" w:cs="方正仿宋_GBK"/>
          <w:sz w:val="28"/>
          <w:szCs w:val="28"/>
        </w:rPr>
      </w:r>
      <w:r/>
    </w:p>
    <w:p>
      <w:pPr>
        <w:pStyle w:val="822"/>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822"/>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rPr>
          <w:rFonts w:hint="eastAsia" w:ascii="方正仿宋_GBK" w:hAnsi="方正仿宋_GBK" w:eastAsia="方正仿宋_GBK" w:cs="方正仿宋_GBK"/>
          <w:sz w:val="28"/>
          <w:szCs w:val="28"/>
        </w:rPr>
      </w:r>
      <w:r/>
    </w:p>
    <w:p>
      <w:pPr>
        <w:pStyle w:val="822"/>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rPr>
          <w:rFonts w:hint="eastAsia" w:ascii="方正仿宋_GBK" w:hAnsi="方正仿宋_GBK" w:eastAsia="方正仿宋_GBK" w:cs="方正仿宋_GBK"/>
          <w:sz w:val="28"/>
          <w:szCs w:val="28"/>
        </w:rPr>
      </w:r>
      <w:r/>
    </w:p>
    <w:p>
      <w:pPr>
        <w:pStyle w:val="822"/>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rPr>
          <w:rFonts w:hint="eastAsia" w:ascii="方正仿宋_GBK" w:hAnsi="方正仿宋_GBK" w:eastAsia="方正仿宋_GBK" w:cs="方正仿宋_GBK"/>
          <w:sz w:val="28"/>
          <w:szCs w:val="28"/>
        </w:rPr>
      </w:r>
      <w:r/>
    </w:p>
    <w:p>
      <w:pPr>
        <w:pStyle w:val="822"/>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8"/>
          <w:szCs w:val="28"/>
        </w:rPr>
      </w:r>
      <w:r/>
    </w:p>
    <w:p>
      <w:pPr>
        <w:pStyle w:val="822"/>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822"/>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w:t>
      </w:r>
      <w:r>
        <w:rPr>
          <w:rFonts w:hint="eastAsia" w:ascii="方正仿宋_GBK" w:hAnsi="方正仿宋_GBK" w:eastAsia="方正仿宋_GBK" w:cs="方正仿宋_GBK"/>
          <w:sz w:val="28"/>
          <w:szCs w:val="28"/>
        </w:rPr>
        <w:t xml:space="preserve">规定，严格履行合同的责任和义务,并保证在招标文件规定的时间内完成项目，交付买方验收、使用。</w:t>
      </w:r>
      <w:r>
        <w:rPr>
          <w:rFonts w:hint="eastAsia" w:ascii="方正仿宋_GBK" w:hAnsi="方正仿宋_GBK" w:eastAsia="方正仿宋_GBK" w:cs="方正仿宋_GBK"/>
          <w:sz w:val="28"/>
          <w:szCs w:val="28"/>
        </w:rPr>
      </w:r>
      <w:r/>
    </w:p>
    <w:p>
      <w:pPr>
        <w:pStyle w:val="822"/>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rPr>
          <w:rFonts w:hint="eastAsia" w:ascii="方正仿宋_GBK" w:hAnsi="方正仿宋_GBK" w:eastAsia="方正仿宋_GBK" w:cs="方正仿宋_GBK"/>
          <w:sz w:val="28"/>
          <w:szCs w:val="28"/>
        </w:rPr>
      </w:r>
      <w:r/>
    </w:p>
    <w:p>
      <w:pPr>
        <w:pStyle w:val="822"/>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822"/>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822"/>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822"/>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822"/>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rPr>
          <w:rFonts w:hint="eastAsia" w:ascii="方正仿宋_GBK" w:hAnsi="方正仿宋_GBK" w:eastAsia="方正仿宋_GBK" w:cs="方正仿宋_GBK"/>
          <w:sz w:val="28"/>
          <w:szCs w:val="28"/>
        </w:rPr>
      </w:r>
      <w:r/>
    </w:p>
    <w:p>
      <w:pPr>
        <w:pStyle w:val="822"/>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822"/>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822"/>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822"/>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822"/>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734"/>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822"/>
        <w:jc w:val="center"/>
        <w:spacing w:before="0" w:after="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                            日      期：___年____月____日</w:t>
      </w:r>
      <w:r>
        <w:rPr>
          <w:rFonts w:hint="eastAsia" w:ascii="方正仿宋_GBK" w:hAnsi="方正仿宋_GBK" w:eastAsia="方正仿宋_GBK" w:cs="方正仿宋_GBK"/>
          <w:bCs/>
          <w:sz w:val="28"/>
          <w:szCs w:val="28"/>
        </w:rPr>
      </w:r>
      <w:r/>
    </w:p>
    <w:p>
      <w:pPr>
        <w:pStyle w:val="734"/>
        <w:ind w:firstLine="560"/>
        <w:spacing w:line="400" w:lineRule="exact"/>
        <w:rPr>
          <w:rFonts w:ascii="宋体" w:hAnsi="宋体"/>
          <w:sz w:val="28"/>
          <w:szCs w:val="28"/>
        </w:rPr>
      </w:pPr>
      <w:r>
        <w:rPr>
          <w:rFonts w:ascii="宋体" w:hAnsi="宋体"/>
          <w:sz w:val="28"/>
          <w:szCs w:val="28"/>
        </w:rPr>
      </w:r>
      <w:r/>
    </w:p>
    <w:p>
      <w:pPr>
        <w:pStyle w:val="734"/>
        <w:ind w:firstLine="560"/>
        <w:spacing w:line="400" w:lineRule="exact"/>
        <w:rPr>
          <w:rFonts w:ascii="宋体" w:hAnsi="宋体"/>
          <w:sz w:val="28"/>
          <w:szCs w:val="28"/>
        </w:rPr>
      </w:pPr>
      <w:r>
        <w:rPr>
          <w:rFonts w:ascii="宋体" w:hAnsi="宋体"/>
          <w:sz w:val="28"/>
          <w:szCs w:val="28"/>
        </w:rPr>
      </w:r>
      <w:r/>
    </w:p>
    <w:p>
      <w:pPr>
        <w:pStyle w:val="734"/>
        <w:ind w:firstLine="560"/>
        <w:spacing w:line="400" w:lineRule="exact"/>
        <w:rPr>
          <w:rFonts w:ascii="宋体" w:hAnsi="宋体"/>
          <w:sz w:val="28"/>
          <w:szCs w:val="28"/>
        </w:rPr>
      </w:pPr>
      <w:r>
        <w:rPr>
          <w:rFonts w:ascii="宋体" w:hAnsi="宋体"/>
          <w:sz w:val="28"/>
          <w:szCs w:val="28"/>
        </w:rPr>
      </w:r>
      <w:r/>
    </w:p>
    <w:p>
      <w:pPr>
        <w:pStyle w:val="734"/>
        <w:ind w:firstLine="560"/>
        <w:spacing w:line="400" w:lineRule="exact"/>
        <w:rPr>
          <w:rFonts w:ascii="宋体" w:hAnsi="宋体"/>
          <w:sz w:val="28"/>
          <w:szCs w:val="28"/>
        </w:rPr>
      </w:pPr>
      <w:r>
        <w:rPr>
          <w:rFonts w:ascii="宋体" w:hAnsi="宋体"/>
          <w:sz w:val="28"/>
          <w:szCs w:val="28"/>
        </w:rPr>
      </w:r>
      <w:r/>
    </w:p>
    <w:p>
      <w:pPr>
        <w:pStyle w:val="734"/>
        <w:ind w:firstLine="560"/>
        <w:spacing w:line="400" w:lineRule="exact"/>
        <w:rPr>
          <w:rFonts w:ascii="宋体" w:hAnsi="宋体"/>
          <w:sz w:val="28"/>
          <w:szCs w:val="28"/>
        </w:rPr>
      </w:pPr>
      <w:r>
        <w:rPr>
          <w:rFonts w:ascii="宋体" w:hAnsi="宋体"/>
          <w:sz w:val="28"/>
          <w:szCs w:val="28"/>
        </w:rPr>
      </w:r>
      <w:r/>
    </w:p>
    <w:p>
      <w:pPr>
        <w:pStyle w:val="734"/>
        <w:jc w:val="center"/>
        <w:spacing w:line="400" w:lineRule="exact"/>
        <w:rPr>
          <w:rFonts w:hint="eastAsia" w:ascii="方正黑体_GBK" w:hAnsi="方正黑体_GBK" w:eastAsia="方正黑体_GBK" w:cs="方正黑体_GBK"/>
          <w:bCs/>
          <w:sz w:val="28"/>
          <w:szCs w:val="28"/>
        </w:rPr>
      </w:pPr>
      <w:r/>
      <w:bookmarkEnd w:id="190"/>
      <w:r/>
      <w:bookmarkEnd w:id="191"/>
      <w:r/>
      <w:bookmarkEnd w:id="192"/>
      <w:r/>
      <w:bookmarkStart w:id="193" w:name="_Toc120614284"/>
      <w:r>
        <w:rPr>
          <w:rFonts w:hint="eastAsia" w:ascii="方正黑体_GBK" w:hAnsi="方正黑体_GBK" w:eastAsia="方正黑体_GBK" w:cs="方正黑体_GBK"/>
          <w:bCs/>
          <w:sz w:val="28"/>
          <w:szCs w:val="28"/>
        </w:rPr>
        <w:t xml:space="preserve">附件9 中小微企业声明函（服务类项目）（采购包号：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（单位名称）采购编号为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项目（项目名称）（采购包号：XX）的采购活动，服务全部由符合政策的中小微企业承接。相关企业（含联合体中的中小微企业、签订采购包意向协议的中小微企业）的具体情况如下：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sz w:val="28"/>
          <w:szCs w:val="28"/>
          <w:u w:val="single"/>
        </w:rPr>
        <w:t xml:space="preserve">XX</w:t>
      </w:r>
      <w:r>
        <w:rPr>
          <w:rFonts w:hint="eastAsia" w:eastAsia="方正仿宋_GBK"/>
          <w:sz w:val="28"/>
          <w:szCs w:val="28"/>
        </w:rPr>
        <w:t xml:space="preserve">（</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734"/>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734"/>
        <w:ind w:right="72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4"/>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rPr>
          <w:rFonts w:hint="eastAsia" w:ascii="方正仿宋_GBK" w:hAnsi="方正仿宋_GBK" w:eastAsia="方正仿宋_GBK" w:cs="方正仿宋_GBK"/>
          <w:sz w:val="28"/>
          <w:szCs w:val="28"/>
        </w:rPr>
      </w:r>
      <w:r/>
    </w:p>
    <w:p>
      <w:pPr>
        <w:pStyle w:val="734"/>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     期：___年___月___日 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734"/>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w:t>
      </w:r>
      <w:r>
        <w:rPr>
          <w:rFonts w:hint="eastAsia" w:ascii="方正仿宋_GBK" w:hAnsi="方正仿宋_GBK" w:eastAsia="方正仿宋_GBK" w:cs="方正仿宋_GBK"/>
          <w:sz w:val="28"/>
          <w:szCs w:val="28"/>
        </w:rPr>
        <w:t xml:space="preserve">《国家统计局关于印发〈统计上大中小微型企业划分办法（2017）〉的通知》（国统字〔2017〕213号）的规定，自行勾选承接企业的企业规模类型。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Cs/>
          <w:sz w:val="28"/>
          <w:szCs w:val="28"/>
        </w:rPr>
        <w:t xml:space="preserve">附件10 残疾人福利性单位声明函（服务类项目）（采购包号：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宋体" w:hAnsi="宋体"/>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734"/>
        <w:ind w:firstLine="584"/>
        <w:spacing w:line="400" w:lineRule="exact"/>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734"/>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734"/>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     期：___</w:t>
      </w:r>
      <w:r>
        <w:rPr>
          <w:rFonts w:hint="eastAsia" w:ascii="方正仿宋_GBK" w:hAnsi="方正仿宋_GBK" w:eastAsia="方正仿宋_GBK" w:cs="方正仿宋_GBK"/>
          <w:sz w:val="28"/>
          <w:szCs w:val="28"/>
          <w:shd w:val="clear" w:color="auto" w:fill="ffffff"/>
        </w:rPr>
        <w:t xml:space="preserve">年____月____日   </w:t>
      </w:r>
      <w:r>
        <w:rPr>
          <w:rFonts w:hint="eastAsia" w:ascii="方正仿宋_GBK" w:hAnsi="方正仿宋_GBK" w:eastAsia="方正仿宋_GBK" w:cs="方正仿宋_GBK"/>
          <w:sz w:val="28"/>
          <w:szCs w:val="28"/>
        </w:rPr>
      </w:r>
      <w:r/>
    </w:p>
    <w:p>
      <w:pPr>
        <w:pStyle w:val="734"/>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734"/>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734"/>
        <w:spacing w:line="400" w:lineRule="exact"/>
        <w:rPr>
          <w:rFonts w:hint="eastAsia" w:ascii="黑体" w:hAnsi="黑体" w:eastAsia="黑体"/>
          <w:b/>
          <w:sz w:val="28"/>
          <w:szCs w:val="28"/>
        </w:rPr>
      </w:pPr>
      <w:r>
        <w:rPr>
          <w:rFonts w:hint="eastAsia" w:ascii="黑体" w:hAnsi="黑体" w:eastAsia="黑体"/>
          <w:b/>
          <w:sz w:val="28"/>
          <w:szCs w:val="28"/>
        </w:rPr>
      </w:r>
      <w:r/>
    </w:p>
    <w:p>
      <w:pPr>
        <w:pStyle w:val="734"/>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联合体协议（参考格式）（采购包号：XX）</w:t>
      </w:r>
      <w:r>
        <w:rPr>
          <w:rFonts w:hint="eastAsia" w:ascii="方正黑体_GBK" w:hAnsi="方正黑体_GBK" w:eastAsia="方正黑体_GBK" w:cs="方正黑体_GBK"/>
          <w:bCs/>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项目（项目名称）（采购包号：XX）的政府采购活动，我联合体指定</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（供应商全称）为牵头单位（牵头单位必须为联合体成员）。</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2.若我们联合中标、成交，</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（供应商单位1全称）实施项目中</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（供应商单位2全称）实施项目中</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34"/>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日期：___年____月____日     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734"/>
        <w:ind w:firstLine="645"/>
        <w:spacing w:line="400" w:lineRule="exact"/>
        <w:rPr>
          <w:rFonts w:hint="eastAsia" w:ascii="宋体" w:hAnsi="宋体"/>
          <w:sz w:val="28"/>
          <w:szCs w:val="28"/>
        </w:rPr>
      </w:pPr>
      <w:r>
        <w:rPr>
          <w:rFonts w:hint="eastAsia" w:ascii="宋体" w:hAnsi="宋体"/>
          <w:sz w:val="28"/>
          <w:szCs w:val="28"/>
        </w:rPr>
      </w:r>
      <w:r/>
    </w:p>
    <w:p>
      <w:pPr>
        <w:pStyle w:val="734"/>
        <w:spacing w:line="400" w:lineRule="exact"/>
        <w:rPr>
          <w:rFonts w:hint="eastAsia" w:ascii="宋体" w:hAnsi="宋体"/>
          <w:sz w:val="28"/>
          <w:szCs w:val="28"/>
        </w:rPr>
      </w:pPr>
      <w:r>
        <w:rPr>
          <w:rFonts w:hint="eastAsia" w:ascii="宋体" w:hAnsi="宋体"/>
          <w:sz w:val="28"/>
          <w:szCs w:val="28"/>
        </w:rPr>
      </w:r>
      <w:r/>
    </w:p>
    <w:p>
      <w:pPr>
        <w:pStyle w:val="734"/>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附件12 实质性要求响应及偏离表（采购包号：XX）</w:t>
      </w:r>
      <w:r>
        <w:rPr>
          <w:rFonts w:hint="eastAsia" w:ascii="方正黑体_GBK" w:hAnsi="方正黑体_GBK" w:eastAsia="方正黑体_GBK" w:cs="方正黑体_GBK"/>
          <w:bCs/>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0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152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73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sz w:val="28"/>
          <w:szCs w:val="28"/>
        </w:rPr>
        <w:t xml:space="preserve">逐条做出明确响应，否则作无效投标处理。</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sz w:val="28"/>
          <w:szCs w:val="28"/>
        </w:rPr>
      </w:r>
      <w:r/>
    </w:p>
    <w:p>
      <w:pPr>
        <w:pStyle w:val="734"/>
        <w:spacing w:line="400" w:lineRule="exact"/>
        <w:rPr>
          <w:rFonts w:hint="eastAsia" w:ascii="宋体" w:hAnsi="宋体"/>
          <w:sz w:val="28"/>
          <w:szCs w:val="28"/>
        </w:rPr>
      </w:pPr>
      <w:r>
        <w:rPr>
          <w:rFonts w:hint="eastAsia" w:ascii="宋体" w:hAnsi="宋体"/>
          <w:sz w:val="28"/>
          <w:szCs w:val="28"/>
        </w:rPr>
      </w:r>
      <w:r/>
    </w:p>
    <w:p>
      <w:pPr>
        <w:pStyle w:val="734"/>
        <w:jc w:val="center"/>
        <w:spacing w:line="400" w:lineRule="exact"/>
        <w:rPr>
          <w:rFonts w:hint="eastAsia" w:ascii="宋体" w:hAnsi="宋体" w:cs="宋体"/>
          <w:b/>
          <w:sz w:val="28"/>
          <w:szCs w:val="28"/>
        </w:rPr>
      </w:pPr>
      <w:r>
        <w:rPr>
          <w:rFonts w:hint="eastAsia" w:ascii="宋体" w:hAnsi="宋体" w:cs="宋体"/>
          <w:b/>
          <w:sz w:val="28"/>
          <w:szCs w:val="28"/>
        </w:rPr>
      </w:r>
      <w:r/>
    </w:p>
    <w:p>
      <w:pPr>
        <w:pStyle w:val="734"/>
        <w:jc w:val="center"/>
        <w:spacing w:line="400" w:lineRule="exact"/>
        <w:rPr>
          <w:rFonts w:hint="eastAsia" w:ascii="宋体" w:hAnsi="宋体" w:cs="宋体"/>
          <w:b/>
          <w:sz w:val="28"/>
          <w:szCs w:val="28"/>
        </w:rPr>
      </w:pPr>
      <w:r>
        <w:rPr>
          <w:rFonts w:hint="eastAsia" w:ascii="宋体" w:hAnsi="宋体" w:cs="宋体"/>
          <w:b/>
          <w:sz w:val="28"/>
          <w:szCs w:val="28"/>
        </w:rPr>
      </w:r>
      <w:r/>
    </w:p>
    <w:p>
      <w:pPr>
        <w:pStyle w:val="734"/>
        <w:jc w:val="center"/>
        <w:spacing w:line="400" w:lineRule="exact"/>
        <w:rPr>
          <w:rFonts w:hint="eastAsia" w:ascii="宋体" w:hAnsi="宋体" w:cs="宋体"/>
          <w:b/>
          <w:sz w:val="28"/>
          <w:szCs w:val="28"/>
        </w:rPr>
      </w:pPr>
      <w:r>
        <w:rPr>
          <w:rFonts w:hint="eastAsia" w:ascii="宋体" w:hAnsi="宋体" w:cs="宋体"/>
          <w:b/>
          <w:sz w:val="28"/>
          <w:szCs w:val="28"/>
        </w:rPr>
      </w:r>
      <w:r/>
    </w:p>
    <w:p>
      <w:pPr>
        <w:pStyle w:val="734"/>
        <w:jc w:val="center"/>
        <w:spacing w:line="400" w:lineRule="exact"/>
        <w:rPr>
          <w:rFonts w:hint="eastAsia" w:ascii="宋体" w:hAnsi="宋体" w:cs="宋体"/>
          <w:b/>
          <w:sz w:val="28"/>
          <w:szCs w:val="28"/>
        </w:rPr>
      </w:pPr>
      <w:r>
        <w:rPr>
          <w:rFonts w:hint="eastAsia" w:ascii="宋体" w:hAnsi="宋体" w:cs="宋体"/>
          <w:b/>
          <w:sz w:val="28"/>
          <w:szCs w:val="28"/>
        </w:rPr>
      </w:r>
      <w:r/>
    </w:p>
    <w:p>
      <w:pPr>
        <w:pStyle w:val="734"/>
        <w:jc w:val="center"/>
        <w:spacing w:line="400" w:lineRule="exact"/>
        <w:rPr>
          <w:rFonts w:hint="eastAsia" w:ascii="宋体" w:hAnsi="宋体" w:cs="宋体"/>
          <w:b/>
          <w:sz w:val="28"/>
          <w:szCs w:val="28"/>
        </w:rPr>
      </w:pPr>
      <w:r>
        <w:rPr>
          <w:rFonts w:hint="eastAsia" w:ascii="宋体" w:hAnsi="宋体" w:cs="宋体"/>
          <w:b/>
          <w:sz w:val="28"/>
          <w:szCs w:val="28"/>
        </w:rPr>
      </w:r>
      <w:r/>
    </w:p>
    <w:p>
      <w:pPr>
        <w:pStyle w:val="734"/>
        <w:jc w:val="center"/>
        <w:spacing w:line="400" w:lineRule="exact"/>
        <w:rPr>
          <w:rFonts w:hint="eastAsia" w:ascii="宋体" w:hAnsi="宋体" w:cs="宋体"/>
          <w:b/>
          <w:sz w:val="28"/>
          <w:szCs w:val="28"/>
        </w:rPr>
      </w:pPr>
      <w:r>
        <w:rPr>
          <w:rFonts w:hint="eastAsia" w:ascii="宋体" w:hAnsi="宋体" w:cs="宋体"/>
          <w:b/>
          <w:sz w:val="28"/>
          <w:szCs w:val="28"/>
        </w:rPr>
      </w:r>
      <w:r/>
    </w:p>
    <w:p>
      <w:pPr>
        <w:pStyle w:val="734"/>
        <w:jc w:val="center"/>
        <w:spacing w:line="400" w:lineRule="exact"/>
        <w:rPr>
          <w:rFonts w:hint="eastAsia" w:ascii="宋体" w:hAnsi="宋体" w:cs="宋体"/>
          <w:b/>
          <w:sz w:val="28"/>
          <w:szCs w:val="28"/>
        </w:rPr>
      </w:pPr>
      <w:r>
        <w:rPr>
          <w:rFonts w:hint="eastAsia" w:ascii="宋体" w:hAnsi="宋体" w:cs="宋体"/>
          <w:b/>
          <w:sz w:val="28"/>
          <w:szCs w:val="28"/>
        </w:rPr>
      </w:r>
      <w:r/>
    </w:p>
    <w:p>
      <w:pPr>
        <w:pStyle w:val="734"/>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附件13  关于符合本国产品标准的声明函（采购包号：XX）</w:t>
      </w:r>
      <w:r>
        <w:rPr>
          <w:rFonts w:hint="eastAsia" w:ascii="方正黑体_GBK" w:hAnsi="方正黑体_GBK" w:eastAsia="方正黑体_GBK" w:cs="方正黑体_GBK"/>
          <w:bCs/>
          <w:sz w:val="28"/>
          <w:szCs w:val="28"/>
        </w:rPr>
      </w:r>
      <w:r/>
    </w:p>
    <w:p>
      <w:pPr>
        <w:pStyle w:val="797"/>
        <w:ind w:firstLine="5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rPr>
      </w:r>
      <w:r/>
    </w:p>
    <w:p>
      <w:pPr>
        <w:pStyle w:val="79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809"/>
          <w:rFonts w:hint="eastAsia" w:ascii="方正仿宋_GBK" w:hAnsi="方正仿宋_GBK" w:eastAsia="方正仿宋_GBK" w:cs="方正仿宋_GBK"/>
          <w:i w:val="0"/>
          <w:sz w:val="28"/>
          <w:szCs w:val="28"/>
          <w:u w:val="single"/>
          <w:shd w:val="clear" w:color="auto" w:fill="ffffff"/>
        </w:rPr>
        <w:t xml:space="preserve">（产品名称1</w:t>
      </w:r>
      <w:r>
        <w:rPr>
          <w:rStyle w:val="809"/>
          <w:rFonts w:hint="eastAsia" w:ascii="方正仿宋_GBK" w:hAnsi="方正仿宋_GBK" w:eastAsia="方正仿宋_GBK" w:cs="方正仿宋_GBK"/>
          <w:i w:val="0"/>
          <w:sz w:val="28"/>
          <w:szCs w:val="28"/>
          <w:u w:val="single"/>
          <w:shd w:val="clear" w:color="auto" w:fill="ffffff"/>
        </w:rPr>
        <w:t xml:space="preserve">）</w:t>
      </w:r>
      <w:r>
        <w:rPr>
          <w:rStyle w:val="809"/>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809"/>
          <w:rFonts w:hint="eastAsia" w:ascii="方正仿宋_GBK" w:hAnsi="方正仿宋_GBK" w:eastAsia="方正仿宋_GBK" w:cs="方正仿宋_GBK"/>
          <w:i w:val="0"/>
          <w:sz w:val="28"/>
          <w:szCs w:val="28"/>
          <w:u w:val="single"/>
          <w:shd w:val="clear" w:color="auto" w:fill="ffffff"/>
        </w:rPr>
        <w:t xml:space="preserve">（厂名）</w:t>
      </w:r>
      <w:r>
        <w:rPr>
          <w:rStyle w:val="809"/>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809"/>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0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809"/>
          <w:rFonts w:hint="eastAsia" w:ascii="方正仿宋_GBK" w:hAnsi="方正仿宋_GBK" w:eastAsia="方正仿宋_GBK" w:cs="方正仿宋_GBK"/>
          <w:i w:val="0"/>
          <w:sz w:val="28"/>
          <w:szCs w:val="28"/>
          <w:u w:val="single"/>
          <w:shd w:val="clear" w:color="auto" w:fill="ffffff"/>
        </w:rPr>
        <w:t xml:space="preserve">/  </w:t>
      </w:r>
      <w:r>
        <w:rPr>
          <w:rStyle w:val="809"/>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0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09"/>
          <w:rFonts w:hint="eastAsia" w:ascii="方正仿宋_GBK" w:hAnsi="方正仿宋_GBK" w:eastAsia="方正仿宋_GBK" w:cs="方正仿宋_GBK"/>
          <w:i w:val="0"/>
          <w:sz w:val="28"/>
          <w:szCs w:val="28"/>
          <w:u w:val="single"/>
          <w:shd w:val="clear" w:color="auto" w:fill="ffffff"/>
        </w:rPr>
        <w:t xml:space="preserve">/  </w:t>
      </w:r>
      <w:r>
        <w:rPr>
          <w:rStyle w:val="809"/>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80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09"/>
          <w:rFonts w:hint="eastAsia" w:ascii="方正仿宋_GBK" w:hAnsi="方正仿宋_GBK" w:eastAsia="方正仿宋_GBK" w:cs="方正仿宋_GBK"/>
          <w:i w:val="0"/>
          <w:sz w:val="28"/>
          <w:szCs w:val="28"/>
          <w:u w:val="single"/>
          <w:shd w:val="clear" w:color="auto" w:fill="ffffff"/>
        </w:rPr>
        <w:t xml:space="preserve">/  </w:t>
      </w:r>
      <w:r>
        <w:rPr>
          <w:rStyle w:val="809"/>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79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809"/>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809"/>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809"/>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0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80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0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0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80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0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79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79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79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97"/>
        <w:ind w:firstLine="560"/>
        <w:jc w:val="right"/>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w:t>
      </w:r>
      <w:r>
        <w:rPr>
          <w:rFonts w:hint="eastAsia" w:ascii="方正仿宋_GBK" w:hAnsi="方正仿宋_GBK" w:eastAsia="方正仿宋_GBK" w:cs="方正仿宋_GBK"/>
          <w:sz w:val="28"/>
          <w:szCs w:val="28"/>
        </w:rPr>
      </w:r>
      <w:r/>
    </w:p>
    <w:p>
      <w:pPr>
        <w:pStyle w:val="797"/>
        <w:ind w:firstLine="560"/>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日期：</w:t>
      </w:r>
      <w:r>
        <w:rPr>
          <w:rFonts w:hint="eastAsia" w:ascii="方正仿宋_GBK" w:hAnsi="方正仿宋_GBK" w:eastAsia="方正仿宋_GBK" w:cs="方正仿宋_GBK"/>
          <w:sz w:val="28"/>
          <w:szCs w:val="28"/>
        </w:rPr>
        <w:t xml:space="preserve">___年____月____日</w:t>
      </w: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79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79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79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79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79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797"/>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shd w:val="clear" w:color="auto" w:fill="ffffff"/>
        </w:rPr>
      </w:r>
      <w:r/>
    </w:p>
    <w:p>
      <w:pPr>
        <w:pStyle w:val="797"/>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80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r>
        <w:rPr>
          <w:rFonts w:hint="eastAsia" w:ascii="方正仿宋_GBK" w:hAnsi="方正仿宋_GBK" w:eastAsia="方正仿宋_GBK" w:cs="方正仿宋_GBK"/>
          <w:sz w:val="28"/>
          <w:szCs w:val="28"/>
          <w:shd w:val="clear" w:color="auto" w:fill="ffffff"/>
        </w:rPr>
      </w:r>
      <w:r/>
    </w:p>
    <w:p>
      <w:pPr>
        <w:pStyle w:val="734"/>
        <w:spacing w:line="400" w:lineRule="exact"/>
        <w:rPr>
          <w:rFonts w:hint="eastAsia" w:ascii="方正魏碑_GBK" w:hAnsi="方正魏碑_GBK" w:eastAsia="方正魏碑_GBK" w:cs="方正魏碑_GBK"/>
          <w:bCs/>
          <w:sz w:val="28"/>
          <w:szCs w:val="28"/>
        </w:rPr>
      </w:pPr>
      <w:r>
        <w:rPr>
          <w:rFonts w:hint="eastAsia" w:ascii="方正魏碑_GBK" w:hAnsi="方正魏碑_GBK" w:eastAsia="方正魏碑_GBK" w:cs="方正魏碑_GBK"/>
          <w:bCs/>
          <w:sz w:val="28"/>
          <w:szCs w:val="28"/>
        </w:rPr>
      </w:r>
      <w:r/>
    </w:p>
    <w:p>
      <w:pPr>
        <w:pStyle w:val="734"/>
        <w:spacing w:line="400" w:lineRule="exact"/>
        <w:rPr>
          <w:rFonts w:hint="eastAsia" w:ascii="宋体" w:hAnsi="宋体"/>
          <w:bCs/>
          <w:sz w:val="28"/>
          <w:szCs w:val="28"/>
        </w:rPr>
      </w:pPr>
      <w:r>
        <w:rPr>
          <w:rFonts w:hint="eastAsia" w:ascii="宋体" w:hAnsi="宋体"/>
          <w:bCs/>
          <w:sz w:val="28"/>
          <w:szCs w:val="28"/>
        </w:rPr>
      </w:r>
      <w:r/>
    </w:p>
    <w:p>
      <w:pPr>
        <w:pStyle w:val="734"/>
        <w:spacing w:line="400" w:lineRule="exact"/>
        <w:rPr>
          <w:rFonts w:hint="eastAsia" w:ascii="宋体" w:hAnsi="宋体"/>
          <w:bCs/>
          <w:sz w:val="28"/>
          <w:szCs w:val="28"/>
        </w:rPr>
      </w:pPr>
      <w:r>
        <w:rPr>
          <w:rFonts w:hint="eastAsia" w:ascii="宋体" w:hAnsi="宋体"/>
          <w:bCs/>
          <w:sz w:val="28"/>
          <w:szCs w:val="28"/>
        </w:rPr>
      </w:r>
      <w:r/>
    </w:p>
    <w:p>
      <w:pPr>
        <w:pStyle w:val="734"/>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br w:type="page" w:clear="all"/>
      </w:r>
      <w:r>
        <w:rPr>
          <w:rFonts w:hint="eastAsia" w:ascii="方正黑体_GBK" w:hAnsi="方正黑体_GBK" w:eastAsia="方正黑体_GBK" w:cs="方正黑体_GBK"/>
          <w:bCs/>
          <w:sz w:val="28"/>
          <w:szCs w:val="28"/>
        </w:rPr>
        <w:t xml:space="preserve">附件14  提供服务的人</w:t>
      </w:r>
      <w:r>
        <w:rPr>
          <w:rFonts w:hint="eastAsia" w:ascii="方正黑体_GBK" w:hAnsi="方正黑体_GBK" w:eastAsia="方正黑体_GBK" w:cs="方正黑体_GBK"/>
          <w:bCs/>
          <w:sz w:val="28"/>
          <w:szCs w:val="28"/>
        </w:rPr>
        <w:t xml:space="preserve">员均为订立劳动合同的从业人员的书面声明</w:t>
      </w:r>
      <w:r>
        <w:rPr>
          <w:rFonts w:hint="eastAsia" w:ascii="方正黑体_GBK" w:hAnsi="方正黑体_GBK" w:eastAsia="方正黑体_GBK" w:cs="方正黑体_GBK"/>
          <w:bCs/>
          <w:sz w:val="28"/>
          <w:szCs w:val="28"/>
        </w:rPr>
      </w:r>
      <w:r/>
    </w:p>
    <w:p>
      <w:pPr>
        <w:pStyle w:val="734"/>
        <w:ind w:firstLine="420"/>
        <w:jc w:val="center"/>
        <w:spacing w:line="560" w:lineRule="atLeast"/>
        <w:rPr>
          <w:rFonts w:hint="eastAsia" w:ascii="方正仿宋_GBK" w:hAnsi="方正仿宋_GBK" w:eastAsia="方正仿宋_GBK" w:cs="方正仿宋_GBK"/>
        </w:rPr>
      </w:pPr>
      <w:r>
        <w:rPr>
          <w:rFonts w:hint="eastAsia" w:ascii="方正仿宋_GBK" w:hAnsi="方正仿宋_GBK" w:eastAsia="方正仿宋_GBK" w:cs="方正仿宋_GBK"/>
        </w:rPr>
        <w:t xml:space="preserve">（采购包号：XX）</w:t>
      </w:r>
      <w:r/>
    </w:p>
    <w:p>
      <w:pPr>
        <w:pStyle w:val="797"/>
        <w:ind w:firstLine="420"/>
        <w:spacing w:before="0" w:beforeAutospacing="0" w:after="0" w:afterAutospacing="0" w:line="400" w:lineRule="exact"/>
        <w:rPr>
          <w:rFonts w:ascii="方正仿宋_GBK" w:hAnsi="方正仿宋_GBK" w:eastAsia="方正仿宋_GBK" w:cs="方正仿宋_GBK"/>
        </w:rPr>
      </w:pPr>
      <w:r>
        <w:rPr>
          <w:rFonts w:hint="eastAsia" w:ascii="方正仿宋_GBK" w:hAnsi="方正仿宋_GBK" w:eastAsia="方正仿宋_GBK" w:cs="方正仿宋_GBK"/>
        </w:rPr>
        <w:t xml:space="preserve">本企业（本联合体，如项目采购包接受联合体参加的）</w:t>
      </w:r>
      <w:r>
        <w:rPr>
          <w:rFonts w:ascii="方正仿宋_GBK" w:hAnsi="方正仿宋_GBK" w:eastAsia="方正仿宋_GBK" w:cs="方正仿宋_GBK"/>
        </w:rPr>
        <w:t xml:space="preserve">参加江苏省政府采购中心组织的项目编号为JSZC-320000-SCZX-</w:t>
      </w:r>
      <w:r>
        <w:rPr>
          <w:rFonts w:hint="eastAsia" w:ascii="方正仿宋_GBK" w:hAnsi="方正仿宋_GBK" w:eastAsia="方正仿宋_GBK" w:cs="方正仿宋_GBK"/>
        </w:rPr>
        <w:t xml:space="preserve">G</w:t>
      </w:r>
      <w:r>
        <w:rPr>
          <w:rFonts w:ascii="方正仿宋_GBK" w:hAnsi="方正仿宋_GBK" w:eastAsia="方正仿宋_GBK" w:cs="方正仿宋_GBK"/>
        </w:rPr>
        <w:t xml:space="preserve">20XX-XXXX，XXXX（项目名称）（采购包号：XX）项目采购活动</w:t>
      </w:r>
      <w:r>
        <w:rPr>
          <w:rFonts w:hint="eastAsia" w:ascii="方正仿宋_GBK" w:hAnsi="方正仿宋_GBK" w:eastAsia="方正仿宋_GBK" w:cs="方正仿宋_GBK"/>
        </w:rPr>
        <w:t xml:space="preserve">，根据</w:t>
      </w:r>
      <w:r>
        <w:rPr>
          <w:rFonts w:ascii="方正仿宋_GBK" w:hAnsi="方正仿宋_GBK" w:eastAsia="方正仿宋_GBK" w:cs="方正仿宋_GBK"/>
        </w:rPr>
        <w:t xml:space="preserve">《政府采购促进中小企业发展管理办法》</w:t>
      </w:r>
      <w:r>
        <w:rPr>
          <w:rFonts w:hint="eastAsia" w:ascii="方正仿宋_GBK" w:hAnsi="方正仿宋_GBK" w:eastAsia="方正仿宋_GBK" w:cs="方正仿宋_GBK"/>
        </w:rPr>
        <w:t xml:space="preserve">第四条规定</w:t>
      </w:r>
      <w:r>
        <w:rPr>
          <w:rFonts w:ascii="方正仿宋_GBK" w:hAnsi="方正仿宋_GBK" w:eastAsia="方正仿宋_GBK" w:cs="方正仿宋_GBK"/>
        </w:rPr>
        <w:t xml:space="preserve">，</w:t>
      </w:r>
      <w:r>
        <w:rPr>
          <w:rFonts w:hint="eastAsia" w:ascii="方正仿宋_GBK" w:hAnsi="方正仿宋_GBK" w:eastAsia="方正仿宋_GBK" w:cs="方正仿宋_GBK"/>
        </w:rPr>
        <w:t xml:space="preserve">本企业（本联合体，如项目采购包接受联合体参加的）</w:t>
      </w:r>
      <w:r>
        <w:rPr>
          <w:rFonts w:ascii="方正仿宋_GBK" w:hAnsi="方正仿宋_GBK" w:eastAsia="方正仿宋_GBK" w:cs="方正仿宋_GBK"/>
        </w:rPr>
        <w:t xml:space="preserve">郑重声明</w:t>
      </w:r>
      <w:r>
        <w:rPr>
          <w:rFonts w:hint="eastAsia" w:ascii="方正仿宋_GBK" w:hAnsi="方正仿宋_GBK" w:eastAsia="方正仿宋_GBK" w:cs="方正仿宋_GBK"/>
        </w:rPr>
        <w:t xml:space="preserve">：如服务由本企业（本联合体，如项目采购包接受联合体参加的）承接，为本项目采购包提供服务的人员均为依照《中华人民共和国劳动合同法》订立劳动合同的从业人员。</w:t>
      </w:r>
      <w:r>
        <w:rPr>
          <w:rFonts w:ascii="方正仿宋_GBK" w:hAnsi="方正仿宋_GBK" w:eastAsia="方正仿宋_GBK" w:cs="方正仿宋_GBK"/>
        </w:rPr>
      </w:r>
      <w:r/>
    </w:p>
    <w:p>
      <w:pPr>
        <w:pStyle w:val="797"/>
        <w:ind w:firstLine="420"/>
        <w:spacing w:before="0" w:beforeAutospacing="0" w:after="0" w:afterAutospacing="0" w:line="400" w:lineRule="exact"/>
        <w:rPr>
          <w:rFonts w:ascii="方正仿宋_GBK" w:hAnsi="方正仿宋_GBK" w:eastAsia="方正仿宋_GBK" w:cs="方正仿宋_GBK"/>
        </w:rPr>
      </w:pPr>
      <w:r>
        <w:rPr>
          <w:rFonts w:ascii="方正仿宋_GBK" w:hAnsi="方正仿宋_GBK" w:eastAsia="方正仿宋_GBK" w:cs="方正仿宋_GBK"/>
        </w:rPr>
        <w:t xml:space="preserve">本</w:t>
      </w:r>
      <w:r>
        <w:rPr>
          <w:rFonts w:hint="eastAsia" w:ascii="方正仿宋_GBK" w:hAnsi="方正仿宋_GBK" w:eastAsia="方正仿宋_GBK" w:cs="方正仿宋_GBK"/>
        </w:rPr>
        <w:t xml:space="preserve">企业（联合体）</w:t>
      </w:r>
      <w:r>
        <w:rPr>
          <w:rFonts w:ascii="方正仿宋_GBK" w:hAnsi="方正仿宋_GBK" w:eastAsia="方正仿宋_GBK" w:cs="方正仿宋_GBK"/>
        </w:rPr>
        <w:t xml:space="preserve">对上述声明的真实性负责。如有虚假，将依法承担相应责任。</w:t>
      </w:r>
      <w:r/>
    </w:p>
    <w:p>
      <w:pPr>
        <w:pStyle w:val="734"/>
        <w:spacing w:line="400" w:lineRule="exact"/>
        <w:rPr>
          <w:rFonts w:hint="eastAsia" w:ascii="宋体" w:hAnsi="宋体"/>
          <w:bCs/>
          <w:sz w:val="28"/>
          <w:szCs w:val="28"/>
        </w:rPr>
      </w:pPr>
      <w:r>
        <w:rPr>
          <w:rFonts w:hint="eastAsia" w:ascii="宋体" w:hAnsi="宋体"/>
          <w:bCs/>
          <w:sz w:val="28"/>
          <w:szCs w:val="28"/>
        </w:rPr>
      </w:r>
      <w:r/>
    </w:p>
    <w:p>
      <w:pPr>
        <w:pStyle w:val="734"/>
        <w:spacing w:line="400" w:lineRule="exact"/>
        <w:rPr>
          <w:rFonts w:hint="eastAsia" w:ascii="宋体" w:hAnsi="宋体"/>
          <w:bCs/>
          <w:sz w:val="28"/>
          <w:szCs w:val="28"/>
        </w:rPr>
      </w:pPr>
      <w:r>
        <w:rPr>
          <w:rFonts w:hint="eastAsia" w:ascii="宋体" w:hAnsi="宋体"/>
          <w:bCs/>
          <w:sz w:val="28"/>
          <w:szCs w:val="28"/>
        </w:rPr>
      </w:r>
      <w:r/>
    </w:p>
    <w:p>
      <w:pPr>
        <w:pStyle w:val="734"/>
        <w:spacing w:line="400" w:lineRule="exact"/>
        <w:rPr>
          <w:rFonts w:hint="eastAsia"/>
          <w:sz w:val="28"/>
          <w:szCs w:val="28"/>
        </w:rPr>
      </w:pPr>
      <w:r>
        <w:rPr>
          <w:rFonts w:hint="eastAsia"/>
          <w:sz w:val="28"/>
          <w:szCs w:val="28"/>
        </w:rPr>
      </w:r>
      <w:r/>
    </w:p>
    <w:p>
      <w:pPr>
        <w:pStyle w:val="734"/>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734"/>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734"/>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734"/>
        <w:jc w:val="center"/>
        <w:spacing w:line="400" w:lineRule="exact"/>
        <w:rPr>
          <w:rFonts w:hint="eastAsia" w:ascii="方正黑体_GBK" w:hAnsi="方正黑体_GBK" w:eastAsia="方正黑体_GBK" w:cs="方正黑体_GBK"/>
          <w:bCs/>
          <w:sz w:val="28"/>
          <w:szCs w:val="28"/>
        </w:rPr>
      </w:pPr>
      <w:r/>
      <w:bookmarkEnd w:id="176"/>
      <w:r/>
      <w:bookmarkEnd w:id="177"/>
      <w:r/>
      <w:bookmarkEnd w:id="193"/>
      <w:r>
        <w:rPr>
          <w:rFonts w:hint="eastAsia" w:ascii="方正黑体_GBK" w:hAnsi="方正黑体_GBK" w:eastAsia="方正黑体_GBK" w:cs="方正黑体_GBK"/>
          <w:bCs/>
          <w:sz w:val="28"/>
          <w:szCs w:val="28"/>
        </w:rPr>
        <w:br w:type="page" w:clear="all"/>
      </w:r>
      <w:r>
        <w:rPr>
          <w:rFonts w:hint="eastAsia" w:ascii="方正黑体_GBK" w:hAnsi="方正黑体_GBK" w:eastAsia="方正黑体_GBK" w:cs="方正黑体_GBK"/>
          <w:bCs/>
          <w:sz w:val="28"/>
          <w:szCs w:val="28"/>
        </w:rPr>
        <w:t xml:space="preserve">质疑函范本</w:t>
      </w:r>
      <w:r>
        <w:rPr>
          <w:rFonts w:hint="eastAsia" w:ascii="方正黑体_GBK" w:hAnsi="方正黑体_GBK" w:eastAsia="方正黑体_GBK" w:cs="方正黑体_GBK"/>
          <w:bCs/>
          <w:sz w:val="28"/>
          <w:szCs w:val="28"/>
        </w:rPr>
      </w:r>
      <w:r/>
    </w:p>
    <w:p>
      <w:pPr>
        <w:pStyle w:val="734"/>
        <w:ind w:firstLine="56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734"/>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734"/>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734"/>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734"/>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w:t>
      </w:r>
      <w:r>
        <w:rPr>
          <w:rFonts w:hint="eastAsia" w:ascii="方正仿宋_GBK" w:hAnsi="方正仿宋_GBK" w:eastAsia="方正仿宋_GBK" w:cs="方正仿宋_GBK"/>
          <w:sz w:val="28"/>
          <w:szCs w:val="28"/>
        </w:rPr>
        <w:t xml:space="preserve">项目的某一采购包进行质疑，质疑函中应列明具体采购包号。</w:t>
      </w:r>
      <w:r>
        <w:rPr>
          <w:rFonts w:hint="eastAsia" w:ascii="方正仿宋_GBK" w:hAnsi="方正仿宋_GBK" w:eastAsia="方正仿宋_GBK" w:cs="方正仿宋_GBK"/>
          <w:sz w:val="28"/>
          <w:szCs w:val="28"/>
        </w:rPr>
      </w:r>
      <w:r/>
    </w:p>
    <w:p>
      <w:pPr>
        <w:pStyle w:val="734"/>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734"/>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734"/>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p>
      <w:pPr>
        <w:pStyle w:val="758"/>
        <w:spacing w:line="400" w:lineRule="exact"/>
        <w:rPr>
          <w:rFonts w:hint="eastAsia"/>
          <w:sz w:val="28"/>
          <w:szCs w:val="28"/>
        </w:rPr>
      </w:pPr>
      <w:r>
        <w:rPr>
          <w:rFonts w:hint="eastAsia"/>
          <w:sz w:val="28"/>
          <w:szCs w:val="28"/>
        </w:rPr>
      </w:r>
      <w:r/>
    </w:p>
    <w:p>
      <w:pPr>
        <w:pStyle w:val="758"/>
        <w:rPr>
          <w:sz w:val="24"/>
          <w:szCs w:val="24"/>
        </w:rPr>
      </w:pPr>
      <w:r>
        <w:rPr>
          <w:sz w:val="24"/>
          <w:szCs w:val="24"/>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方正仿宋_GB2312">
    <w:panose1 w:val="020B0503020202020204"/>
  </w:font>
  <w:font w:name="Verdana">
    <w:panose1 w:val="020B0604030504040204"/>
  </w:font>
  <w:font w:name="幼圆">
    <w:panose1 w:val="02010509060101010101"/>
  </w:font>
  <w:font w:name="黑体">
    <w:panose1 w:val="02010609060101010101"/>
  </w:font>
  <w:font w:name="等线">
    <w:panose1 w:val="02010600030101010101"/>
  </w:font>
  <w:font w:name="方正楷体_GB2312">
    <w:panose1 w:val="020B0503020202020204"/>
  </w:font>
  <w:font w:name="___WRD_EMBED_SUB_51">
    <w:panose1 w:val="020B050302020202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2"/>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73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2"/>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734"/>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rPr>
        <w:rStyle w:val="807"/>
      </w:rPr>
      <w:framePr w:wrap="around" w:vAnchor="text" w:hAnchor="margin" w:xAlign="center" w:y="1"/>
    </w:pPr>
    <w:r>
      <w:fldChar w:fldCharType="begin"/>
    </w:r>
    <w:r>
      <w:rPr>
        <w:rStyle w:val="807"/>
      </w:rPr>
      <w:instrText xml:space="preserve">PAGE  </w:instrText>
    </w:r>
    <w:r>
      <w:fldChar w:fldCharType="separate"/>
    </w:r>
    <w:r>
      <w:rPr>
        <w:rStyle w:val="807"/>
      </w:rPr>
      <w:t xml:space="preserve">1</w:t>
    </w:r>
    <w:r>
      <w:fldChar w:fldCharType="end"/>
    </w:r>
    <w:r>
      <w:rPr>
        <w:rStyle w:val="807"/>
      </w:rPr>
    </w:r>
    <w:r/>
  </w:p>
  <w:p>
    <w:pPr>
      <w:pStyle w:val="78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2"/>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73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2"/>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734"/>
                    </w:pPr>
                    <w:r/>
                    <w:r/>
                  </w:p>
                </w:txbxContent>
              </v:textbox>
            </v:shape>
          </w:pict>
        </mc:Fallback>
      </mc:AlternateContent>
    </w:r>
    <w:r/>
  </w:p>
  <w:p>
    <w:pPr>
      <w:pStyle w:val="7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73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814"/>
      <w:isLgl w:val="false"/>
      <w:suff w:val="tab"/>
      <w:lvlText w:val="附录%1."/>
      <w:lvlJc w:val="left"/>
      <w:pPr>
        <w:pStyle w:val="73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31"/>
      <w:isLgl w:val="false"/>
      <w:suff w:val="tab"/>
      <w:lvlText w:val="%1."/>
      <w:lvlJc w:val="left"/>
      <w:pPr>
        <w:pStyle w:val="734"/>
        <w:ind w:left="709" w:hanging="709"/>
        <w:tabs>
          <w:tab w:val="num" w:pos="709" w:leader="none"/>
        </w:tabs>
      </w:pPr>
      <w:rPr>
        <w:rFonts w:hint="eastAsia"/>
      </w:rPr>
    </w:lvl>
    <w:lvl w:ilvl="1">
      <w:start w:val="1"/>
      <w:numFmt w:val="decimal"/>
      <w:isLgl w:val="false"/>
      <w:suff w:val="tab"/>
      <w:lvlText w:val="%1.%2"/>
      <w:lvlJc w:val="left"/>
      <w:pPr>
        <w:pStyle w:val="734"/>
        <w:ind w:left="709" w:hanging="709"/>
        <w:tabs>
          <w:tab w:val="num" w:pos="709" w:leader="none"/>
        </w:tabs>
      </w:pPr>
      <w:rPr>
        <w:rFonts w:hint="eastAsia"/>
      </w:rPr>
    </w:lvl>
    <w:lvl w:ilvl="2">
      <w:start w:val="1"/>
      <w:numFmt w:val="decimal"/>
      <w:isLgl w:val="false"/>
      <w:suff w:val="tab"/>
      <w:lvlText w:val="%1.%2.%3."/>
      <w:lvlJc w:val="left"/>
      <w:pPr>
        <w:pStyle w:val="734"/>
        <w:ind w:left="425" w:hanging="425"/>
        <w:tabs>
          <w:tab w:val="num" w:pos="425" w:leader="none"/>
        </w:tabs>
      </w:pPr>
      <w:rPr>
        <w:rFonts w:hint="eastAsia"/>
      </w:rPr>
    </w:lvl>
    <w:lvl w:ilvl="3">
      <w:start w:val="1"/>
      <w:numFmt w:val="decimal"/>
      <w:isLgl w:val="false"/>
      <w:suff w:val="tab"/>
      <w:lvlText w:val="%1.%2.%3.%4."/>
      <w:lvlJc w:val="left"/>
      <w:pPr>
        <w:pStyle w:val="734"/>
        <w:ind w:left="851" w:hanging="851"/>
        <w:tabs>
          <w:tab w:val="num" w:pos="851" w:leader="none"/>
        </w:tabs>
      </w:pPr>
      <w:rPr>
        <w:rFonts w:hint="eastAsia"/>
      </w:rPr>
    </w:lvl>
    <w:lvl w:ilvl="4">
      <w:start w:val="1"/>
      <w:numFmt w:val="decimal"/>
      <w:isLgl w:val="false"/>
      <w:suff w:val="tab"/>
      <w:lvlText w:val="%1.%2.%3.%4.%5."/>
      <w:lvlJc w:val="left"/>
      <w:pPr>
        <w:pStyle w:val="734"/>
        <w:ind w:left="992" w:hanging="992"/>
        <w:tabs>
          <w:tab w:val="num" w:pos="992" w:leader="none"/>
        </w:tabs>
      </w:pPr>
      <w:rPr>
        <w:rFonts w:hint="eastAsia"/>
      </w:rPr>
    </w:lvl>
    <w:lvl w:ilvl="5">
      <w:start w:val="1"/>
      <w:numFmt w:val="decimal"/>
      <w:isLgl w:val="false"/>
      <w:suff w:val="tab"/>
      <w:lvlText w:val="%1.%2.%3.%4.%5.%6."/>
      <w:lvlJc w:val="left"/>
      <w:pPr>
        <w:pStyle w:val="734"/>
        <w:ind w:left="1134" w:hanging="1134"/>
        <w:tabs>
          <w:tab w:val="num" w:pos="1134" w:leader="none"/>
        </w:tabs>
      </w:pPr>
      <w:rPr>
        <w:rFonts w:hint="eastAsia"/>
      </w:rPr>
    </w:lvl>
    <w:lvl w:ilvl="6">
      <w:start w:val="1"/>
      <w:numFmt w:val="decimal"/>
      <w:isLgl w:val="false"/>
      <w:suff w:val="tab"/>
      <w:lvlText w:val="%1.%2.%3.%4.%5.%6.%7."/>
      <w:lvlJc w:val="left"/>
      <w:pPr>
        <w:pStyle w:val="734"/>
        <w:ind w:left="1276" w:hanging="1276"/>
        <w:tabs>
          <w:tab w:val="num" w:pos="1276" w:leader="none"/>
        </w:tabs>
      </w:pPr>
      <w:rPr>
        <w:rFonts w:hint="eastAsia"/>
      </w:rPr>
    </w:lvl>
    <w:lvl w:ilvl="7">
      <w:start w:val="1"/>
      <w:numFmt w:val="decimal"/>
      <w:isLgl w:val="false"/>
      <w:suff w:val="tab"/>
      <w:lvlText w:val="%1.%2.%3.%4.%5.%6.%7.%8."/>
      <w:lvlJc w:val="left"/>
      <w:pPr>
        <w:pStyle w:val="734"/>
        <w:ind w:left="1418" w:hanging="1418"/>
        <w:tabs>
          <w:tab w:val="num" w:pos="1418" w:leader="none"/>
        </w:tabs>
      </w:pPr>
      <w:rPr>
        <w:rFonts w:hint="eastAsia"/>
      </w:rPr>
    </w:lvl>
    <w:lvl w:ilvl="8">
      <w:start w:val="1"/>
      <w:numFmt w:val="decimal"/>
      <w:isLgl w:val="false"/>
      <w:suff w:val="tab"/>
      <w:lvlText w:val="%1.%2.%3.%4.%5.%6.%7.%8.%9."/>
      <w:lvlJc w:val="left"/>
      <w:pPr>
        <w:pStyle w:val="734"/>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734"/>
        <w:ind w:left="0" w:firstLine="0"/>
      </w:pPr>
      <w:rPr>
        <w:rFonts w:hint="eastAsia"/>
      </w:rPr>
    </w:lvl>
    <w:lvl w:ilvl="1">
      <w:start w:val="1"/>
      <w:numFmt w:val="decimal"/>
      <w:isLgl w:val="false"/>
      <w:suff w:val="nothing"/>
      <w:lvlText w:val="%2、"/>
      <w:lvlJc w:val="left"/>
      <w:pPr>
        <w:pStyle w:val="734"/>
        <w:ind w:left="0" w:firstLine="0"/>
      </w:pPr>
      <w:rPr>
        <w:rFonts w:hint="eastAsia"/>
      </w:rPr>
    </w:lvl>
    <w:lvl w:ilvl="2">
      <w:start w:val="1"/>
      <w:numFmt w:val="decimal"/>
      <w:isLgl w:val="false"/>
      <w:suff w:val="nothing"/>
      <w:lvlText w:val="%2.%3 "/>
      <w:lvlJc w:val="left"/>
      <w:pPr>
        <w:pStyle w:val="734"/>
        <w:ind w:left="0" w:firstLine="0"/>
      </w:pPr>
      <w:rPr>
        <w:rFonts w:hint="eastAsia"/>
      </w:rPr>
    </w:lvl>
    <w:lvl w:ilvl="3">
      <w:start w:val="1"/>
      <w:numFmt w:val="decimal"/>
      <w:isLgl w:val="false"/>
      <w:suff w:val="nothing"/>
      <w:lvlText w:val="%2.%3.%4 "/>
      <w:lvlJc w:val="left"/>
      <w:pPr>
        <w:pStyle w:val="734"/>
        <w:ind w:left="0" w:firstLine="0"/>
      </w:pPr>
      <w:rPr>
        <w:rFonts w:hint="eastAsia"/>
      </w:rPr>
    </w:lvl>
    <w:lvl w:ilvl="4">
      <w:start w:val="1"/>
      <w:numFmt w:val="decimal"/>
      <w:isLgl w:val="false"/>
      <w:suff w:val="nothing"/>
      <w:lvlText w:val="%2.%3.%4.%5 "/>
      <w:lvlJc w:val="left"/>
      <w:pPr>
        <w:pStyle w:val="734"/>
        <w:ind w:left="0" w:firstLine="0"/>
      </w:pPr>
      <w:rPr>
        <w:rFonts w:hint="eastAsia"/>
      </w:rPr>
    </w:lvl>
    <w:lvl w:ilvl="5">
      <w:start w:val="1"/>
      <w:numFmt w:val="decimal"/>
      <w:pStyle w:val="740"/>
      <w:isLgl w:val="false"/>
      <w:suff w:val="nothing"/>
      <w:lvlText w:val=""/>
      <w:lvlJc w:val="left"/>
      <w:pPr>
        <w:pStyle w:val="734"/>
        <w:ind w:left="0" w:firstLine="0"/>
      </w:pPr>
      <w:rPr>
        <w:rFonts w:hint="eastAsia"/>
      </w:rPr>
    </w:lvl>
    <w:lvl w:ilvl="6">
      <w:start w:val="1"/>
      <w:numFmt w:val="decimal"/>
      <w:pStyle w:val="741"/>
      <w:isLgl w:val="false"/>
      <w:suff w:val="nothing"/>
      <w:lvlText w:val=""/>
      <w:lvlJc w:val="left"/>
      <w:pPr>
        <w:pStyle w:val="734"/>
        <w:ind w:left="0" w:firstLine="0"/>
      </w:pPr>
      <w:rPr>
        <w:rFonts w:hint="eastAsia"/>
      </w:rPr>
    </w:lvl>
    <w:lvl w:ilvl="7">
      <w:start w:val="1"/>
      <w:numFmt w:val="decimal"/>
      <w:pStyle w:val="742"/>
      <w:isLgl w:val="false"/>
      <w:suff w:val="nothing"/>
      <w:lvlText w:val=""/>
      <w:lvlJc w:val="left"/>
      <w:pPr>
        <w:pStyle w:val="734"/>
        <w:ind w:left="0" w:firstLine="0"/>
      </w:pPr>
      <w:rPr>
        <w:rFonts w:hint="eastAsia"/>
      </w:rPr>
    </w:lvl>
    <w:lvl w:ilvl="8">
      <w:start w:val="1"/>
      <w:numFmt w:val="decimal"/>
      <w:pStyle w:val="743"/>
      <w:isLgl w:val="false"/>
      <w:suff w:val="nothing"/>
      <w:lvlText w:val=""/>
      <w:lvlJc w:val="left"/>
      <w:pPr>
        <w:pStyle w:val="734"/>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4"/>
    <w:next w:val="73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4"/>
    <w:next w:val="73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4"/>
    <w:next w:val="73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4"/>
    <w:next w:val="73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4"/>
    <w:next w:val="73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4"/>
    <w:next w:val="73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4"/>
    <w:next w:val="73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4"/>
    <w:next w:val="73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4"/>
    <w:next w:val="73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4"/>
    <w:next w:val="73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4"/>
    <w:next w:val="73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4"/>
    <w:next w:val="734"/>
    <w:link w:val="38"/>
    <w:uiPriority w:val="29"/>
    <w:qFormat/>
    <w:pPr>
      <w:ind w:left="720" w:right="720"/>
    </w:pPr>
    <w:rPr>
      <w:i/>
    </w:rPr>
  </w:style>
  <w:style w:type="character" w:styleId="38">
    <w:name w:val="Quote Char"/>
    <w:link w:val="37"/>
    <w:uiPriority w:val="29"/>
    <w:rPr>
      <w:i/>
    </w:rPr>
  </w:style>
  <w:style w:type="paragraph" w:styleId="39">
    <w:name w:val="Intense Quote"/>
    <w:basedOn w:val="734"/>
    <w:next w:val="73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4"/>
    <w:next w:val="73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34"/>
    <w:next w:val="734"/>
    <w:uiPriority w:val="99"/>
    <w:unhideWhenUsed/>
    <w:pPr>
      <w:spacing w:after="0" w:afterAutospacing="0"/>
    </w:pPr>
  </w:style>
  <w:style w:type="paragraph" w:styleId="734" w:default="1">
    <w:name w:val="Normal"/>
    <w:next w:val="734"/>
    <w:link w:val="734"/>
    <w:qFormat/>
    <w:pPr>
      <w:jc w:val="both"/>
      <w:widowControl w:val="off"/>
    </w:pPr>
    <w:rPr>
      <w:sz w:val="21"/>
      <w:szCs w:val="21"/>
      <w:lang w:val="en-US" w:eastAsia="zh-CN" w:bidi="ar-SA"/>
    </w:rPr>
  </w:style>
  <w:style w:type="paragraph" w:styleId="735">
    <w:name w:val="标题 1"/>
    <w:basedOn w:val="734"/>
    <w:next w:val="734"/>
    <w:link w:val="747"/>
    <w:qFormat/>
    <w:pPr>
      <w:jc w:val="center"/>
      <w:keepNext/>
      <w:outlineLvl w:val="0"/>
    </w:pPr>
    <w:rPr>
      <w:rFonts w:ascii="方正楷体_GB2312" w:eastAsia="方正楷体_GB2312"/>
      <w:sz w:val="28"/>
      <w:szCs w:val="28"/>
    </w:rPr>
  </w:style>
  <w:style w:type="paragraph" w:styleId="736">
    <w:name w:val="标题 2"/>
    <w:basedOn w:val="734"/>
    <w:next w:val="734"/>
    <w:link w:val="748"/>
    <w:qFormat/>
    <w:pPr>
      <w:jc w:val="center"/>
      <w:keepLines/>
      <w:keepNext/>
      <w:spacing w:before="260" w:after="260" w:line="416" w:lineRule="auto"/>
      <w:outlineLvl w:val="1"/>
    </w:pPr>
    <w:rPr>
      <w:rFonts w:ascii="Arial" w:hAnsi="Arial" w:eastAsia="幼圆" w:cs="Arial"/>
      <w:b/>
      <w:bCs/>
      <w:sz w:val="44"/>
      <w:szCs w:val="44"/>
    </w:rPr>
  </w:style>
  <w:style w:type="paragraph" w:styleId="737">
    <w:name w:val="标题 3"/>
    <w:basedOn w:val="734"/>
    <w:next w:val="734"/>
    <w:link w:val="749"/>
    <w:qFormat/>
    <w:pPr>
      <w:keepLines/>
      <w:keepNext/>
      <w:spacing w:before="260" w:after="260" w:line="416" w:lineRule="auto"/>
      <w:outlineLvl w:val="2"/>
    </w:pPr>
    <w:rPr>
      <w:b/>
      <w:bCs/>
      <w:sz w:val="32"/>
      <w:szCs w:val="32"/>
    </w:rPr>
  </w:style>
  <w:style w:type="paragraph" w:styleId="738">
    <w:name w:val="标题 4"/>
    <w:basedOn w:val="734"/>
    <w:next w:val="734"/>
    <w:link w:val="750"/>
    <w:qFormat/>
    <w:pPr>
      <w:keepLines/>
      <w:keepNext/>
      <w:spacing w:before="280" w:after="290" w:line="376" w:lineRule="auto"/>
      <w:outlineLvl w:val="3"/>
    </w:pPr>
    <w:rPr>
      <w:rFonts w:ascii="Arial" w:hAnsi="Arial" w:eastAsia="黑体" w:cs="Arial"/>
      <w:b/>
      <w:bCs/>
      <w:sz w:val="28"/>
      <w:szCs w:val="28"/>
    </w:rPr>
  </w:style>
  <w:style w:type="paragraph" w:styleId="739">
    <w:name w:val="标题 5"/>
    <w:basedOn w:val="734"/>
    <w:next w:val="734"/>
    <w:link w:val="751"/>
    <w:qFormat/>
    <w:pPr>
      <w:keepNext/>
      <w:outlineLvl w:val="4"/>
    </w:pPr>
    <w:rPr>
      <w:rFonts w:ascii="宋体"/>
      <w:color w:val="000000"/>
      <w:sz w:val="28"/>
      <w:szCs w:val="28"/>
    </w:rPr>
  </w:style>
  <w:style w:type="paragraph" w:styleId="740">
    <w:name w:val="标题 6"/>
    <w:basedOn w:val="734"/>
    <w:next w:val="734"/>
    <w:link w:val="752"/>
    <w:qFormat/>
    <w:pPr>
      <w:numPr>
        <w:ilvl w:val="5"/>
        <w:numId w:val="1"/>
      </w:numPr>
      <w:keepLines/>
      <w:keepNext/>
      <w:spacing w:before="240" w:after="64" w:line="320" w:lineRule="auto"/>
      <w:outlineLvl w:val="5"/>
    </w:pPr>
    <w:rPr>
      <w:rFonts w:ascii="Arial" w:hAnsi="Arial" w:eastAsia="黑体"/>
      <w:b/>
      <w:bCs/>
      <w:sz w:val="24"/>
      <w:szCs w:val="24"/>
    </w:rPr>
  </w:style>
  <w:style w:type="paragraph" w:styleId="741">
    <w:name w:val="标题 7"/>
    <w:basedOn w:val="734"/>
    <w:next w:val="734"/>
    <w:link w:val="753"/>
    <w:qFormat/>
    <w:pPr>
      <w:numPr>
        <w:ilvl w:val="6"/>
        <w:numId w:val="1"/>
      </w:numPr>
      <w:keepLines/>
      <w:keepNext/>
      <w:spacing w:before="240" w:after="64" w:line="320" w:lineRule="auto"/>
      <w:outlineLvl w:val="6"/>
    </w:pPr>
    <w:rPr>
      <w:b/>
      <w:bCs/>
      <w:sz w:val="24"/>
      <w:szCs w:val="24"/>
    </w:rPr>
  </w:style>
  <w:style w:type="paragraph" w:styleId="742">
    <w:name w:val="标题 8"/>
    <w:basedOn w:val="734"/>
    <w:next w:val="734"/>
    <w:link w:val="754"/>
    <w:qFormat/>
    <w:pPr>
      <w:numPr>
        <w:ilvl w:val="7"/>
        <w:numId w:val="1"/>
      </w:numPr>
      <w:keepLines/>
      <w:keepNext/>
      <w:spacing w:before="240" w:after="64" w:line="320" w:lineRule="auto"/>
      <w:outlineLvl w:val="7"/>
    </w:pPr>
    <w:rPr>
      <w:rFonts w:ascii="Arial" w:hAnsi="Arial" w:eastAsia="黑体"/>
      <w:sz w:val="24"/>
      <w:szCs w:val="24"/>
    </w:rPr>
  </w:style>
  <w:style w:type="paragraph" w:styleId="743">
    <w:name w:val="标题 9"/>
    <w:basedOn w:val="734"/>
    <w:next w:val="734"/>
    <w:link w:val="755"/>
    <w:qFormat/>
    <w:pPr>
      <w:numPr>
        <w:ilvl w:val="8"/>
        <w:numId w:val="1"/>
      </w:numPr>
      <w:keepLines/>
      <w:keepNext/>
      <w:spacing w:before="240" w:after="64" w:line="320" w:lineRule="auto"/>
      <w:outlineLvl w:val="8"/>
    </w:pPr>
    <w:rPr>
      <w:rFonts w:ascii="Arial" w:hAnsi="Arial" w:eastAsia="黑体"/>
    </w:rPr>
  </w:style>
  <w:style w:type="character" w:styleId="744">
    <w:name w:val="默认段落字体"/>
    <w:next w:val="744"/>
    <w:link w:val="734"/>
    <w:uiPriority w:val="1"/>
    <w:unhideWhenUsed/>
  </w:style>
  <w:style w:type="table" w:styleId="745">
    <w:name w:val="普通表格"/>
    <w:next w:val="745"/>
    <w:link w:val="734"/>
    <w:uiPriority w:val="99"/>
    <w:unhideWhenUsed/>
    <w:tblPr/>
  </w:style>
  <w:style w:type="numbering" w:styleId="746">
    <w:name w:val="无列表"/>
    <w:next w:val="746"/>
    <w:link w:val="734"/>
    <w:uiPriority w:val="99"/>
    <w:semiHidden/>
    <w:unhideWhenUsed/>
  </w:style>
  <w:style w:type="character" w:styleId="747">
    <w:name w:val="标题 1 字符"/>
    <w:next w:val="747"/>
    <w:link w:val="735"/>
    <w:rPr>
      <w:rFonts w:ascii="方正楷体_GB2312" w:hAnsi="Times New Roman" w:eastAsia="方正楷体_GB2312" w:cs="Times New Roman"/>
      <w:sz w:val="28"/>
      <w:szCs w:val="28"/>
    </w:rPr>
  </w:style>
  <w:style w:type="character" w:styleId="748">
    <w:name w:val="标题 2 字符"/>
    <w:next w:val="748"/>
    <w:link w:val="736"/>
    <w:rPr>
      <w:rFonts w:ascii="Arial" w:hAnsi="Arial" w:eastAsia="幼圆" w:cs="Arial"/>
      <w:b/>
      <w:bCs/>
      <w:sz w:val="44"/>
      <w:szCs w:val="44"/>
    </w:rPr>
  </w:style>
  <w:style w:type="character" w:styleId="749">
    <w:name w:val="标题 3 字符"/>
    <w:next w:val="749"/>
    <w:link w:val="737"/>
    <w:rPr>
      <w:rFonts w:ascii="Times New Roman" w:hAnsi="Times New Roman" w:eastAsia="宋体" w:cs="Times New Roman"/>
      <w:b/>
      <w:bCs/>
      <w:sz w:val="32"/>
      <w:szCs w:val="32"/>
    </w:rPr>
  </w:style>
  <w:style w:type="character" w:styleId="750">
    <w:name w:val="标题 4 字符"/>
    <w:next w:val="750"/>
    <w:link w:val="738"/>
    <w:rPr>
      <w:rFonts w:ascii="Arial" w:hAnsi="Arial" w:eastAsia="黑体" w:cs="Arial"/>
      <w:b/>
      <w:bCs/>
      <w:sz w:val="28"/>
      <w:szCs w:val="28"/>
    </w:rPr>
  </w:style>
  <w:style w:type="character" w:styleId="751">
    <w:name w:val="标题 5 字符"/>
    <w:next w:val="751"/>
    <w:link w:val="739"/>
    <w:rPr>
      <w:rFonts w:ascii="宋体" w:hAnsi="Times New Roman" w:eastAsia="宋体" w:cs="Times New Roman"/>
      <w:color w:val="000000"/>
      <w:sz w:val="28"/>
      <w:szCs w:val="28"/>
    </w:rPr>
  </w:style>
  <w:style w:type="character" w:styleId="752">
    <w:name w:val="标题 6 字符"/>
    <w:next w:val="752"/>
    <w:link w:val="740"/>
    <w:rPr>
      <w:rFonts w:ascii="Arial" w:hAnsi="Arial" w:eastAsia="黑体" w:cs="Times New Roman"/>
      <w:b/>
      <w:bCs/>
      <w:sz w:val="24"/>
      <w:szCs w:val="24"/>
    </w:rPr>
  </w:style>
  <w:style w:type="character" w:styleId="753">
    <w:name w:val="标题 7 字符"/>
    <w:next w:val="753"/>
    <w:link w:val="741"/>
    <w:rPr>
      <w:rFonts w:ascii="Times New Roman" w:hAnsi="Times New Roman" w:eastAsia="宋体" w:cs="Times New Roman"/>
      <w:b/>
      <w:bCs/>
      <w:sz w:val="24"/>
      <w:szCs w:val="24"/>
    </w:rPr>
  </w:style>
  <w:style w:type="character" w:styleId="754">
    <w:name w:val="标题 8 字符"/>
    <w:next w:val="754"/>
    <w:link w:val="742"/>
    <w:rPr>
      <w:rFonts w:ascii="Arial" w:hAnsi="Arial" w:eastAsia="黑体" w:cs="Times New Roman"/>
      <w:sz w:val="24"/>
      <w:szCs w:val="24"/>
    </w:rPr>
  </w:style>
  <w:style w:type="character" w:styleId="755">
    <w:name w:val="标题 9 字符"/>
    <w:next w:val="755"/>
    <w:link w:val="743"/>
    <w:rPr>
      <w:rFonts w:ascii="Arial" w:hAnsi="Arial" w:eastAsia="黑体" w:cs="Times New Roman"/>
      <w:szCs w:val="21"/>
    </w:rPr>
  </w:style>
  <w:style w:type="paragraph" w:styleId="756">
    <w:name w:val="列表 3"/>
    <w:basedOn w:val="734"/>
    <w:next w:val="756"/>
    <w:link w:val="734"/>
    <w:pPr>
      <w:ind w:left="100" w:hanging="200"/>
    </w:pPr>
  </w:style>
  <w:style w:type="paragraph" w:styleId="757">
    <w:name w:val="toc 7"/>
    <w:basedOn w:val="734"/>
    <w:next w:val="734"/>
    <w:link w:val="734"/>
    <w:semiHidden/>
    <w:pPr>
      <w:ind w:left="1260"/>
      <w:jc w:val="left"/>
    </w:pPr>
  </w:style>
  <w:style w:type="paragraph" w:styleId="758">
    <w:name w:val="正文缩进"/>
    <w:basedOn w:val="734"/>
    <w:next w:val="758"/>
    <w:link w:val="759"/>
    <w:pPr>
      <w:ind w:firstLine="420"/>
    </w:pPr>
  </w:style>
  <w:style w:type="character" w:styleId="759">
    <w:name w:val="正文缩进 字符"/>
    <w:next w:val="759"/>
    <w:link w:val="758"/>
    <w:rPr>
      <w:rFonts w:ascii="Times New Roman" w:hAnsi="Times New Roman" w:eastAsia="宋体" w:cs="Times New Roman"/>
      <w:szCs w:val="21"/>
    </w:rPr>
  </w:style>
  <w:style w:type="paragraph" w:styleId="760">
    <w:name w:val="文档结构图"/>
    <w:basedOn w:val="734"/>
    <w:next w:val="760"/>
    <w:link w:val="761"/>
    <w:semiHidden/>
    <w:pPr>
      <w:shd w:val="clear" w:color="auto" w:fill="000080"/>
    </w:pPr>
  </w:style>
  <w:style w:type="character" w:styleId="761">
    <w:name w:val="文档结构图 字符"/>
    <w:next w:val="761"/>
    <w:link w:val="760"/>
    <w:semiHidden/>
    <w:rPr>
      <w:rFonts w:ascii="Times New Roman" w:hAnsi="Times New Roman" w:eastAsia="宋体" w:cs="Times New Roman"/>
      <w:szCs w:val="21"/>
      <w:shd w:val="clear" w:color="auto" w:fill="000080"/>
    </w:rPr>
  </w:style>
  <w:style w:type="paragraph" w:styleId="762">
    <w:name w:val="批注文字"/>
    <w:basedOn w:val="734"/>
    <w:next w:val="762"/>
    <w:link w:val="763"/>
    <w:semiHidden/>
    <w:pPr>
      <w:jc w:val="left"/>
    </w:pPr>
  </w:style>
  <w:style w:type="character" w:styleId="763">
    <w:name w:val="批注文字 字符"/>
    <w:next w:val="763"/>
    <w:link w:val="762"/>
    <w:semiHidden/>
    <w:rPr>
      <w:rFonts w:ascii="Times New Roman" w:hAnsi="Times New Roman" w:eastAsia="宋体" w:cs="Times New Roman"/>
      <w:szCs w:val="21"/>
    </w:rPr>
  </w:style>
  <w:style w:type="paragraph" w:styleId="764">
    <w:name w:val="正文文本 3"/>
    <w:basedOn w:val="734"/>
    <w:next w:val="764"/>
    <w:link w:val="765"/>
    <w:rPr>
      <w:rFonts w:ascii="方正仿宋_GB2312" w:hAnsi="Arial" w:eastAsia="方正仿宋_GB2312"/>
      <w:sz w:val="32"/>
      <w:szCs w:val="32"/>
    </w:rPr>
  </w:style>
  <w:style w:type="character" w:styleId="765">
    <w:name w:val="正文文本 3 字符"/>
    <w:next w:val="765"/>
    <w:link w:val="764"/>
    <w:rPr>
      <w:rFonts w:ascii="方正仿宋_GB2312" w:hAnsi="Arial" w:eastAsia="方正仿宋_GB2312" w:cs="Times New Roman"/>
      <w:sz w:val="32"/>
      <w:szCs w:val="32"/>
    </w:rPr>
  </w:style>
  <w:style w:type="paragraph" w:styleId="766">
    <w:name w:val="正文文本"/>
    <w:basedOn w:val="734"/>
    <w:next w:val="734"/>
    <w:link w:val="767"/>
    <w:rPr>
      <w:rFonts w:ascii="方正楷体_GB2312" w:hAnsi="Arial" w:eastAsia="方正楷体_GB2312"/>
      <w:sz w:val="28"/>
      <w:szCs w:val="28"/>
    </w:rPr>
  </w:style>
  <w:style w:type="character" w:styleId="767">
    <w:name w:val="正文文本 字符"/>
    <w:next w:val="767"/>
    <w:link w:val="766"/>
    <w:rPr>
      <w:rFonts w:ascii="方正楷体_GB2312" w:hAnsi="Arial" w:eastAsia="方正楷体_GB2312" w:cs="Times New Roman"/>
      <w:sz w:val="28"/>
      <w:szCs w:val="28"/>
    </w:rPr>
  </w:style>
  <w:style w:type="paragraph" w:styleId="768">
    <w:name w:val="正文文本缩进"/>
    <w:basedOn w:val="734"/>
    <w:next w:val="768"/>
    <w:link w:val="769"/>
    <w:pPr>
      <w:ind w:firstLine="645"/>
    </w:pPr>
    <w:rPr>
      <w:rFonts w:ascii="方正楷体_GB2312" w:eastAsia="方正楷体_GB2312"/>
      <w:sz w:val="32"/>
      <w:szCs w:val="32"/>
    </w:rPr>
  </w:style>
  <w:style w:type="character" w:styleId="769">
    <w:name w:val="正文文本缩进 字符"/>
    <w:next w:val="769"/>
    <w:link w:val="768"/>
    <w:rPr>
      <w:rFonts w:ascii="方正楷体_GB2312" w:hAnsi="Times New Roman" w:eastAsia="方正楷体_GB2312" w:cs="Times New Roman"/>
      <w:sz w:val="32"/>
      <w:szCs w:val="32"/>
    </w:rPr>
  </w:style>
  <w:style w:type="paragraph" w:styleId="770">
    <w:name w:val="列表 2"/>
    <w:basedOn w:val="734"/>
    <w:next w:val="770"/>
    <w:link w:val="734"/>
    <w:pPr>
      <w:ind w:left="100" w:hanging="200"/>
    </w:pPr>
  </w:style>
  <w:style w:type="paragraph" w:styleId="771">
    <w:name w:val="toc 5"/>
    <w:basedOn w:val="734"/>
    <w:next w:val="734"/>
    <w:link w:val="734"/>
    <w:semiHidden/>
    <w:pPr>
      <w:ind w:left="840"/>
      <w:jc w:val="left"/>
    </w:pPr>
  </w:style>
  <w:style w:type="paragraph" w:styleId="772">
    <w:name w:val="toc 3"/>
    <w:basedOn w:val="734"/>
    <w:next w:val="734"/>
    <w:link w:val="734"/>
    <w:semiHidden/>
    <w:pPr>
      <w:ind w:left="420"/>
      <w:jc w:val="left"/>
    </w:pPr>
    <w:rPr>
      <w:i/>
      <w:iCs/>
      <w:szCs w:val="24"/>
    </w:rPr>
  </w:style>
  <w:style w:type="paragraph" w:styleId="773">
    <w:name w:val="纯文本"/>
    <w:basedOn w:val="734"/>
    <w:next w:val="773"/>
    <w:link w:val="774"/>
    <w:rPr>
      <w:rFonts w:ascii="宋体" w:hAnsi="Courier New" w:cs="Courier New"/>
    </w:rPr>
  </w:style>
  <w:style w:type="character" w:styleId="774">
    <w:name w:val="纯文本 字符"/>
    <w:next w:val="774"/>
    <w:link w:val="773"/>
    <w:rPr>
      <w:rFonts w:ascii="宋体" w:hAnsi="Courier New" w:eastAsia="宋体" w:cs="Courier New"/>
      <w:szCs w:val="21"/>
    </w:rPr>
  </w:style>
  <w:style w:type="paragraph" w:styleId="775">
    <w:name w:val="toc 8"/>
    <w:basedOn w:val="734"/>
    <w:next w:val="734"/>
    <w:link w:val="734"/>
    <w:semiHidden/>
    <w:pPr>
      <w:ind w:left="1470"/>
      <w:jc w:val="left"/>
    </w:pPr>
  </w:style>
  <w:style w:type="paragraph" w:styleId="776">
    <w:name w:val="日期"/>
    <w:basedOn w:val="734"/>
    <w:next w:val="734"/>
    <w:link w:val="777"/>
    <w:rPr>
      <w:sz w:val="24"/>
      <w:szCs w:val="24"/>
    </w:rPr>
  </w:style>
  <w:style w:type="character" w:styleId="777">
    <w:name w:val="日期 字符"/>
    <w:next w:val="777"/>
    <w:link w:val="776"/>
    <w:rPr>
      <w:rFonts w:ascii="Times New Roman" w:hAnsi="Times New Roman" w:eastAsia="宋体" w:cs="Times New Roman"/>
      <w:sz w:val="24"/>
      <w:szCs w:val="24"/>
    </w:rPr>
  </w:style>
  <w:style w:type="paragraph" w:styleId="778">
    <w:name w:val="正文文本缩进 2"/>
    <w:basedOn w:val="734"/>
    <w:next w:val="778"/>
    <w:link w:val="779"/>
    <w:pPr>
      <w:ind w:left="630" w:firstLine="645"/>
    </w:pPr>
    <w:rPr>
      <w:rFonts w:ascii="Arial" w:hAnsi="Arial" w:eastAsia="方正仿宋_GB2312" w:cs="Arial"/>
      <w:sz w:val="32"/>
      <w:szCs w:val="32"/>
    </w:rPr>
  </w:style>
  <w:style w:type="character" w:styleId="779">
    <w:name w:val="正文文本缩进 2 字符"/>
    <w:next w:val="779"/>
    <w:link w:val="778"/>
    <w:rPr>
      <w:rFonts w:ascii="Arial" w:hAnsi="Arial" w:eastAsia="方正仿宋_GB2312" w:cs="Arial"/>
      <w:sz w:val="32"/>
      <w:szCs w:val="32"/>
    </w:rPr>
  </w:style>
  <w:style w:type="paragraph" w:styleId="780">
    <w:name w:val="批注框文本"/>
    <w:basedOn w:val="734"/>
    <w:next w:val="780"/>
    <w:link w:val="781"/>
    <w:semiHidden/>
    <w:rPr>
      <w:sz w:val="18"/>
      <w:szCs w:val="18"/>
    </w:rPr>
  </w:style>
  <w:style w:type="character" w:styleId="781">
    <w:name w:val="批注框文本 字符"/>
    <w:next w:val="781"/>
    <w:link w:val="780"/>
    <w:semiHidden/>
    <w:rPr>
      <w:rFonts w:ascii="Times New Roman" w:hAnsi="Times New Roman" w:eastAsia="宋体" w:cs="Times New Roman"/>
      <w:sz w:val="18"/>
      <w:szCs w:val="18"/>
    </w:rPr>
  </w:style>
  <w:style w:type="paragraph" w:styleId="782">
    <w:name w:val="页脚"/>
    <w:basedOn w:val="734"/>
    <w:next w:val="782"/>
    <w:link w:val="783"/>
    <w:uiPriority w:val="99"/>
    <w:pPr>
      <w:jc w:val="left"/>
      <w:tabs>
        <w:tab w:val="center" w:pos="4153" w:leader="none"/>
        <w:tab w:val="right" w:pos="8306" w:leader="none"/>
      </w:tabs>
    </w:pPr>
    <w:rPr>
      <w:sz w:val="18"/>
      <w:szCs w:val="18"/>
    </w:rPr>
  </w:style>
  <w:style w:type="character" w:styleId="783">
    <w:name w:val="页脚 字符"/>
    <w:next w:val="783"/>
    <w:link w:val="782"/>
    <w:uiPriority w:val="99"/>
    <w:rPr>
      <w:rFonts w:ascii="Times New Roman" w:hAnsi="Times New Roman" w:eastAsia="宋体" w:cs="Times New Roman"/>
      <w:sz w:val="18"/>
      <w:szCs w:val="18"/>
    </w:rPr>
  </w:style>
  <w:style w:type="paragraph" w:styleId="784">
    <w:name w:val="页眉"/>
    <w:basedOn w:val="734"/>
    <w:next w:val="784"/>
    <w:link w:val="785"/>
    <w:pPr>
      <w:jc w:val="center"/>
      <w:tabs>
        <w:tab w:val="center" w:pos="4153" w:leader="none"/>
        <w:tab w:val="right" w:pos="8306" w:leader="none"/>
      </w:tabs>
      <w:pBdr>
        <w:bottom w:val="single" w:color="000000" w:sz="6" w:space="1"/>
      </w:pBdr>
    </w:pPr>
    <w:rPr>
      <w:sz w:val="18"/>
      <w:szCs w:val="18"/>
    </w:rPr>
  </w:style>
  <w:style w:type="character" w:styleId="785">
    <w:name w:val="页眉 字符"/>
    <w:next w:val="785"/>
    <w:link w:val="784"/>
    <w:rPr>
      <w:rFonts w:ascii="Times New Roman" w:hAnsi="Times New Roman" w:eastAsia="宋体" w:cs="Times New Roman"/>
      <w:sz w:val="18"/>
      <w:szCs w:val="18"/>
    </w:rPr>
  </w:style>
  <w:style w:type="paragraph" w:styleId="786">
    <w:name w:val="toc 1"/>
    <w:basedOn w:val="734"/>
    <w:next w:val="734"/>
    <w:link w:val="734"/>
    <w:uiPriority w:val="39"/>
    <w:pPr>
      <w:jc w:val="left"/>
      <w:spacing w:before="120" w:after="120" w:line="400" w:lineRule="exact"/>
      <w:tabs>
        <w:tab w:val="right" w:pos="8720" w:leader="dot"/>
      </w:tabs>
    </w:pPr>
    <w:rPr>
      <w:rFonts w:ascii="宋体" w:hAnsi="宋体"/>
      <w:caps/>
      <w:sz w:val="24"/>
      <w:szCs w:val="24"/>
    </w:rPr>
  </w:style>
  <w:style w:type="paragraph" w:styleId="787">
    <w:name w:val="toc 4"/>
    <w:basedOn w:val="734"/>
    <w:next w:val="734"/>
    <w:link w:val="734"/>
    <w:semiHidden/>
    <w:pPr>
      <w:ind w:left="630"/>
      <w:jc w:val="left"/>
    </w:pPr>
  </w:style>
  <w:style w:type="paragraph" w:styleId="788">
    <w:name w:val="列表"/>
    <w:basedOn w:val="734"/>
    <w:next w:val="788"/>
    <w:link w:val="734"/>
    <w:pPr>
      <w:ind w:left="200" w:hanging="200"/>
    </w:pPr>
  </w:style>
  <w:style w:type="paragraph" w:styleId="789">
    <w:name w:val="toc 6"/>
    <w:basedOn w:val="734"/>
    <w:next w:val="734"/>
    <w:link w:val="734"/>
    <w:semiHidden/>
    <w:pPr>
      <w:ind w:left="1050"/>
      <w:jc w:val="left"/>
    </w:pPr>
  </w:style>
  <w:style w:type="paragraph" w:styleId="790">
    <w:name w:val="正文文本缩进 3"/>
    <w:basedOn w:val="734"/>
    <w:next w:val="790"/>
    <w:link w:val="791"/>
    <w:pPr>
      <w:ind w:left="645" w:firstLine="645"/>
    </w:pPr>
    <w:rPr>
      <w:rFonts w:ascii="Arial" w:hAnsi="Arial" w:eastAsia="方正仿宋_GB2312" w:cs="Arial"/>
      <w:color w:val="ffff00"/>
      <w:sz w:val="32"/>
      <w:szCs w:val="32"/>
    </w:rPr>
  </w:style>
  <w:style w:type="character" w:styleId="791">
    <w:name w:val="正文文本缩进 3 字符"/>
    <w:next w:val="791"/>
    <w:link w:val="790"/>
    <w:rPr>
      <w:rFonts w:ascii="Arial" w:hAnsi="Arial" w:eastAsia="方正仿宋_GB2312" w:cs="Arial"/>
      <w:color w:val="ffff00"/>
      <w:sz w:val="32"/>
      <w:szCs w:val="32"/>
    </w:rPr>
  </w:style>
  <w:style w:type="paragraph" w:styleId="792">
    <w:name w:val="图表目录"/>
    <w:basedOn w:val="734"/>
    <w:next w:val="734"/>
    <w:link w:val="734"/>
    <w:semiHidden/>
    <w:pPr>
      <w:ind w:left="840" w:hanging="420"/>
    </w:pPr>
  </w:style>
  <w:style w:type="paragraph" w:styleId="793">
    <w:name w:val="toc 2"/>
    <w:basedOn w:val="734"/>
    <w:next w:val="734"/>
    <w:link w:val="734"/>
    <w:semiHidden/>
    <w:pPr>
      <w:ind w:left="210"/>
      <w:jc w:val="left"/>
    </w:pPr>
    <w:rPr>
      <w:smallCaps/>
      <w:szCs w:val="24"/>
    </w:rPr>
  </w:style>
  <w:style w:type="paragraph" w:styleId="794">
    <w:name w:val="toc 9"/>
    <w:basedOn w:val="734"/>
    <w:next w:val="734"/>
    <w:link w:val="734"/>
    <w:semiHidden/>
    <w:pPr>
      <w:ind w:left="1680"/>
      <w:jc w:val="left"/>
    </w:pPr>
  </w:style>
  <w:style w:type="paragraph" w:styleId="795">
    <w:name w:val="正文文本 2"/>
    <w:basedOn w:val="734"/>
    <w:next w:val="795"/>
    <w:link w:val="796"/>
    <w:pPr>
      <w:jc w:val="center"/>
      <w:widowControl/>
    </w:pPr>
    <w:rPr>
      <w:rFonts w:ascii="方正楷体_GB2312" w:eastAsia="方正楷体_GB2312"/>
      <w:sz w:val="28"/>
      <w:szCs w:val="28"/>
    </w:rPr>
  </w:style>
  <w:style w:type="character" w:styleId="796">
    <w:name w:val="正文文本 2 字符"/>
    <w:next w:val="796"/>
    <w:link w:val="795"/>
    <w:rPr>
      <w:rFonts w:ascii="方正楷体_GB2312" w:hAnsi="Times New Roman" w:eastAsia="方正楷体_GB2312" w:cs="Times New Roman"/>
      <w:sz w:val="28"/>
      <w:szCs w:val="28"/>
    </w:rPr>
  </w:style>
  <w:style w:type="paragraph" w:styleId="797">
    <w:name w:val="普通(网站)"/>
    <w:basedOn w:val="734"/>
    <w:next w:val="797"/>
    <w:link w:val="734"/>
    <w:uiPriority w:val="99"/>
    <w:pPr>
      <w:jc w:val="left"/>
      <w:spacing w:before="100" w:beforeAutospacing="1" w:after="100" w:afterAutospacing="1"/>
      <w:widowControl/>
    </w:pPr>
    <w:rPr>
      <w:rFonts w:ascii="宋体" w:hAnsi="宋体" w:cs="宋体"/>
      <w:sz w:val="24"/>
      <w:szCs w:val="24"/>
    </w:rPr>
  </w:style>
  <w:style w:type="paragraph" w:styleId="798">
    <w:name w:val="索引 1"/>
    <w:basedOn w:val="734"/>
    <w:next w:val="734"/>
    <w:link w:val="734"/>
    <w:semiHidden/>
    <w:pPr>
      <w:spacing w:line="240" w:lineRule="atLeast"/>
    </w:pPr>
    <w:rPr>
      <w:b/>
      <w:bCs/>
    </w:rPr>
  </w:style>
  <w:style w:type="paragraph" w:styleId="799">
    <w:name w:val="批注主题"/>
    <w:basedOn w:val="762"/>
    <w:next w:val="762"/>
    <w:link w:val="800"/>
    <w:semiHidden/>
    <w:rPr>
      <w:b/>
      <w:bCs/>
    </w:rPr>
  </w:style>
  <w:style w:type="character" w:styleId="800">
    <w:name w:val="批注主题 字符"/>
    <w:next w:val="800"/>
    <w:link w:val="799"/>
    <w:semiHidden/>
    <w:rPr>
      <w:rFonts w:ascii="Times New Roman" w:hAnsi="Times New Roman" w:eastAsia="宋体" w:cs="Times New Roman"/>
      <w:b/>
      <w:bCs/>
      <w:szCs w:val="21"/>
    </w:rPr>
  </w:style>
  <w:style w:type="paragraph" w:styleId="801">
    <w:name w:val="正文文本首行缩进"/>
    <w:basedOn w:val="734"/>
    <w:next w:val="801"/>
    <w:link w:val="802"/>
    <w:pPr>
      <w:ind w:firstLine="200"/>
      <w:spacing w:line="360" w:lineRule="auto"/>
    </w:pPr>
    <w:rPr>
      <w:rFonts w:ascii="方正仿宋_GB2312" w:eastAsia="方正仿宋_GB2312"/>
      <w:sz w:val="30"/>
      <w:szCs w:val="30"/>
    </w:rPr>
  </w:style>
  <w:style w:type="character" w:styleId="802">
    <w:name w:val="正文文本首行缩进 字符"/>
    <w:next w:val="802"/>
    <w:link w:val="801"/>
    <w:rPr>
      <w:rFonts w:ascii="方正仿宋_GB2312" w:hAnsi="Times New Roman" w:eastAsia="方正仿宋_GB2312" w:cs="Times New Roman"/>
      <w:sz w:val="30"/>
      <w:szCs w:val="30"/>
    </w:rPr>
  </w:style>
  <w:style w:type="paragraph" w:styleId="803">
    <w:name w:val="正文文本首行缩进 2"/>
    <w:basedOn w:val="768"/>
    <w:next w:val="803"/>
    <w:link w:val="804"/>
    <w:pPr>
      <w:ind w:firstLine="420"/>
      <w:spacing w:line="360" w:lineRule="auto"/>
    </w:pPr>
    <w:rPr>
      <w:rFonts w:ascii="宋体" w:hAnsi="宋体" w:eastAsia="宋体"/>
      <w:sz w:val="21"/>
      <w:szCs w:val="20"/>
    </w:rPr>
  </w:style>
  <w:style w:type="character" w:styleId="804">
    <w:name w:val="正文文本首行缩进 2 字符"/>
    <w:next w:val="804"/>
    <w:link w:val="803"/>
    <w:rPr>
      <w:rFonts w:ascii="宋体" w:hAnsi="宋体" w:eastAsia="宋体" w:cs="Times New Roman"/>
      <w:sz w:val="32"/>
      <w:szCs w:val="20"/>
    </w:rPr>
  </w:style>
  <w:style w:type="table" w:styleId="805">
    <w:name w:val="网格型"/>
    <w:basedOn w:val="745"/>
    <w:next w:val="805"/>
    <w:link w:val="734"/>
    <w:pPr>
      <w:jc w:val="both"/>
      <w:widowControl w:val="off"/>
    </w:pPr>
    <w:rPr>
      <w:rFonts w:ascii="Times New Roman" w:hAnsi="Times New Roman" w:eastAsia="宋体" w:cs="Times New Roman"/>
      <w:sz w:val="20"/>
      <w:szCs w:val="20"/>
    </w:rPr>
    <w:tblPr/>
  </w:style>
  <w:style w:type="character" w:styleId="806">
    <w:name w:val="要点"/>
    <w:next w:val="806"/>
    <w:link w:val="734"/>
    <w:qFormat/>
    <w:rPr>
      <w:b/>
      <w:bCs/>
    </w:rPr>
  </w:style>
  <w:style w:type="character" w:styleId="807">
    <w:name w:val="页码"/>
    <w:next w:val="807"/>
    <w:link w:val="734"/>
  </w:style>
  <w:style w:type="character" w:styleId="808">
    <w:name w:val="访问过的超链接"/>
    <w:next w:val="808"/>
    <w:link w:val="734"/>
    <w:rPr>
      <w:color w:val="800080"/>
      <w:u w:val="single"/>
    </w:rPr>
  </w:style>
  <w:style w:type="character" w:styleId="809">
    <w:name w:val="强调"/>
    <w:next w:val="809"/>
    <w:link w:val="734"/>
    <w:qFormat/>
    <w:rPr>
      <w:i/>
    </w:rPr>
  </w:style>
  <w:style w:type="character" w:styleId="810">
    <w:name w:val="超链接"/>
    <w:next w:val="810"/>
    <w:link w:val="734"/>
    <w:rPr>
      <w:color w:val="0000ff"/>
      <w:u w:val="single"/>
    </w:rPr>
  </w:style>
  <w:style w:type="character" w:styleId="811">
    <w:name w:val="批注引用"/>
    <w:next w:val="811"/>
    <w:link w:val="734"/>
    <w:semiHidden/>
    <w:rPr>
      <w:sz w:val="21"/>
      <w:szCs w:val="21"/>
    </w:rPr>
  </w:style>
  <w:style w:type="character" w:styleId="812">
    <w:name w:val="font5 Char"/>
    <w:next w:val="812"/>
    <w:link w:val="734"/>
    <w:rPr>
      <w:rFonts w:ascii="宋体" w:hAnsi="宋体" w:eastAsia="宋体"/>
      <w:sz w:val="28"/>
      <w:szCs w:val="28"/>
      <w:lang w:val="en-US" w:eastAsia="zh-CN" w:bidi="ar-SA"/>
    </w:rPr>
  </w:style>
  <w:style w:type="character" w:styleId="813">
    <w:name w:val="二级目录 Char"/>
    <w:next w:val="813"/>
    <w:link w:val="814"/>
    <w:rPr>
      <w:b/>
      <w:sz w:val="30"/>
      <w:szCs w:val="28"/>
    </w:rPr>
  </w:style>
  <w:style w:type="paragraph" w:styleId="814">
    <w:name w:val="二级目录"/>
    <w:next w:val="734"/>
    <w:link w:val="813"/>
    <w:pPr>
      <w:numPr>
        <w:ilvl w:val="0"/>
        <w:numId w:val="2"/>
      </w:numPr>
      <w:tabs>
        <w:tab w:val="left" w:pos="907" w:leader="none"/>
        <w:tab w:val="left" w:pos="1145" w:leader="none"/>
      </w:tabs>
      <w:outlineLvl w:val="1"/>
    </w:pPr>
    <w:rPr>
      <w:b/>
      <w:sz w:val="30"/>
      <w:szCs w:val="28"/>
      <w:lang w:val="en-US" w:eastAsia="zh-CN" w:bidi="ar-SA"/>
    </w:rPr>
  </w:style>
  <w:style w:type="character" w:styleId="815">
    <w:name w:val="列出段落 Char,Bullet List Char,numbered Char,FooterText Char,List Paragraph1 Char,Paragraphe de liste1 Char"/>
    <w:next w:val="815"/>
    <w:link w:val="816"/>
    <w:rPr>
      <w:rFonts w:ascii="Calibri" w:hAnsi="Calibri"/>
      <w:sz w:val="24"/>
      <w:szCs w:val="24"/>
      <w:lang w:eastAsia="en-US" w:bidi="en-US"/>
    </w:rPr>
  </w:style>
  <w:style w:type="paragraph" w:styleId="816">
    <w:name w:val="列出段落1"/>
    <w:basedOn w:val="734"/>
    <w:next w:val="816"/>
    <w:link w:val="815"/>
    <w:qFormat/>
    <w:pPr>
      <w:contextualSpacing/>
      <w:ind w:left="720"/>
      <w:jc w:val="left"/>
      <w:widowControl/>
    </w:pPr>
    <w:rPr>
      <w:rFonts w:ascii="Calibri" w:hAnsi="Calibri" w:eastAsia="宋体" w:cs="Times New Roman"/>
      <w:sz w:val="24"/>
      <w:szCs w:val="24"/>
      <w:lang w:eastAsia="en-US" w:bidi="en-US"/>
    </w:rPr>
  </w:style>
  <w:style w:type="paragraph" w:styleId="817">
    <w:name w:val="Body Text(ch)"/>
    <w:basedOn w:val="734"/>
    <w:next w:val="766"/>
    <w:link w:val="734"/>
    <w:pPr>
      <w:spacing w:after="120"/>
    </w:pPr>
    <w:rPr>
      <w:rFonts w:ascii="宋体" w:hAnsi="Arial"/>
      <w:bCs/>
      <w:iCs/>
      <w:szCs w:val="24"/>
    </w:rPr>
  </w:style>
  <w:style w:type="paragraph" w:styleId="818">
    <w:name w:val="xl27"/>
    <w:basedOn w:val="734"/>
    <w:next w:val="818"/>
    <w:link w:val="73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19">
    <w:name w:val="xl26"/>
    <w:basedOn w:val="734"/>
    <w:next w:val="819"/>
    <w:link w:val="7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20">
    <w:name w:val="Char"/>
    <w:basedOn w:val="734"/>
    <w:next w:val="820"/>
    <w:link w:val="734"/>
    <w:pPr>
      <w:ind w:firstLine="200"/>
      <w:tabs>
        <w:tab w:val="left" w:pos="360" w:leader="none"/>
      </w:tabs>
    </w:pPr>
    <w:rPr>
      <w:sz w:val="28"/>
      <w:szCs w:val="30"/>
    </w:rPr>
  </w:style>
  <w:style w:type="paragraph" w:styleId="821">
    <w:name w:val=" Char"/>
    <w:basedOn w:val="760"/>
    <w:next w:val="821"/>
    <w:link w:val="734"/>
    <w:rPr>
      <w:rFonts w:ascii="Tahoma" w:hAnsi="Tahoma"/>
      <w:sz w:val="24"/>
      <w:szCs w:val="24"/>
    </w:rPr>
  </w:style>
  <w:style w:type="paragraph" w:styleId="822">
    <w:name w:val="普通正文"/>
    <w:basedOn w:val="734"/>
    <w:next w:val="822"/>
    <w:link w:val="734"/>
    <w:pPr>
      <w:ind w:firstLine="480"/>
      <w:jc w:val="left"/>
      <w:spacing w:before="120" w:after="120" w:line="360" w:lineRule="auto"/>
    </w:pPr>
    <w:rPr>
      <w:rFonts w:ascii="Arial" w:hAnsi="Arial"/>
      <w:sz w:val="24"/>
      <w:szCs w:val="24"/>
    </w:rPr>
  </w:style>
  <w:style w:type="paragraph" w:styleId="823">
    <w:name w:val="table_lines"/>
    <w:basedOn w:val="734"/>
    <w:next w:val="823"/>
    <w:link w:val="734"/>
    <w:pPr>
      <w:jc w:val="left"/>
      <w:widowControl/>
    </w:pPr>
    <w:rPr>
      <w:sz w:val="20"/>
      <w:szCs w:val="20"/>
      <w:lang w:val="de-DE" w:eastAsia="de-DE"/>
    </w:rPr>
  </w:style>
  <w:style w:type="paragraph" w:styleId="824">
    <w:name w:val="附录1"/>
    <w:next w:val="824"/>
    <w:link w:val="734"/>
    <w:pPr>
      <w:numPr>
        <w:ilvl w:val="0"/>
        <w:numId w:val="2"/>
      </w:numPr>
      <w:spacing w:before="240" w:line="600" w:lineRule="atLeast"/>
      <w:tabs>
        <w:tab w:val="left" w:pos="907" w:leader="none"/>
      </w:tabs>
    </w:pPr>
    <w:rPr>
      <w:b/>
      <w:i/>
      <w:sz w:val="28"/>
      <w:lang w:val="en-US" w:eastAsia="zh-CN" w:bidi="ar-SA"/>
    </w:rPr>
  </w:style>
  <w:style w:type="paragraph" w:styleId="825">
    <w:name w:val="font7"/>
    <w:basedOn w:val="734"/>
    <w:next w:val="825"/>
    <w:link w:val="734"/>
    <w:pPr>
      <w:jc w:val="left"/>
      <w:spacing w:before="100" w:beforeAutospacing="1" w:after="100" w:afterAutospacing="1"/>
      <w:widowControl/>
    </w:pPr>
    <w:rPr>
      <w:rFonts w:hint="eastAsia" w:ascii="宋体" w:hAnsi="宋体"/>
      <w:sz w:val="18"/>
      <w:szCs w:val="18"/>
    </w:rPr>
  </w:style>
  <w:style w:type="paragraph" w:styleId="826">
    <w:name w:val=" Char Char Char Char"/>
    <w:basedOn w:val="760"/>
    <w:next w:val="826"/>
    <w:link w:val="734"/>
    <w:pPr>
      <w:spacing w:line="360" w:lineRule="auto"/>
    </w:pPr>
    <w:rPr>
      <w:rFonts w:ascii="Tahoma" w:hAnsi="Tahoma"/>
      <w:sz w:val="24"/>
      <w:szCs w:val="24"/>
    </w:rPr>
  </w:style>
  <w:style w:type="paragraph" w:styleId="827">
    <w:name w:val="列表段落"/>
    <w:basedOn w:val="734"/>
    <w:next w:val="827"/>
    <w:link w:val="734"/>
    <w:qFormat/>
    <w:pPr>
      <w:contextualSpacing/>
      <w:ind w:left="720"/>
      <w:jc w:val="left"/>
      <w:widowControl/>
    </w:pPr>
    <w:rPr>
      <w:rFonts w:ascii="Calibri" w:hAnsi="Calibri"/>
      <w:sz w:val="24"/>
      <w:szCs w:val="24"/>
      <w:lang w:eastAsia="en-US" w:bidi="en-US"/>
    </w:rPr>
  </w:style>
  <w:style w:type="paragraph" w:styleId="828">
    <w:name w:val="4"/>
    <w:basedOn w:val="734"/>
    <w:next w:val="790"/>
    <w:link w:val="734"/>
    <w:pPr>
      <w:ind w:firstLine="420"/>
      <w:spacing w:line="360" w:lineRule="auto"/>
    </w:pPr>
    <w:rPr>
      <w:color w:val="ff0000"/>
      <w:sz w:val="24"/>
      <w:szCs w:val="24"/>
    </w:rPr>
  </w:style>
  <w:style w:type="paragraph" w:styleId="829">
    <w:name w:val="普通 (Web)"/>
    <w:basedOn w:val="734"/>
    <w:next w:val="829"/>
    <w:link w:val="734"/>
    <w:pPr>
      <w:jc w:val="left"/>
      <w:spacing w:before="100" w:beforeAutospacing="1" w:after="100" w:afterAutospacing="1"/>
      <w:widowControl/>
    </w:pPr>
    <w:rPr>
      <w:rFonts w:ascii="宋体" w:hAnsi="宋体"/>
      <w:sz w:val="24"/>
      <w:szCs w:val="24"/>
    </w:rPr>
  </w:style>
  <w:style w:type="paragraph" w:styleId="830">
    <w:name w:val=" Char Char Char Char Char Char Char Char Char Char"/>
    <w:basedOn w:val="734"/>
    <w:next w:val="830"/>
    <w:link w:val="734"/>
    <w:pPr>
      <w:spacing w:line="360" w:lineRule="auto"/>
    </w:pPr>
    <w:rPr>
      <w:sz w:val="24"/>
      <w:szCs w:val="20"/>
    </w:rPr>
  </w:style>
  <w:style w:type="paragraph" w:styleId="831">
    <w:name w:val="样式1"/>
    <w:basedOn w:val="734"/>
    <w:next w:val="831"/>
    <w:link w:val="734"/>
    <w:pPr>
      <w:numPr>
        <w:ilvl w:val="0"/>
        <w:numId w:val="3"/>
      </w:numPr>
      <w:tabs>
        <w:tab w:val="left" w:pos="709" w:leader="none"/>
      </w:tabs>
    </w:pPr>
    <w:rPr>
      <w:rFonts w:ascii="宋体" w:hAnsi="宋体"/>
    </w:rPr>
  </w:style>
  <w:style w:type="paragraph" w:styleId="832">
    <w:name w:val="font6"/>
    <w:basedOn w:val="734"/>
    <w:next w:val="832"/>
    <w:link w:val="734"/>
    <w:pPr>
      <w:jc w:val="left"/>
      <w:spacing w:before="100" w:beforeAutospacing="1" w:after="100" w:afterAutospacing="1"/>
      <w:widowControl/>
    </w:pPr>
    <w:rPr>
      <w:rFonts w:hint="eastAsia" w:ascii="宋体" w:hAnsi="宋体"/>
      <w:sz w:val="28"/>
      <w:szCs w:val="28"/>
      <w:u w:val="single"/>
    </w:rPr>
  </w:style>
  <w:style w:type="paragraph" w:styleId="833">
    <w:name w:val="xl25"/>
    <w:basedOn w:val="734"/>
    <w:next w:val="833"/>
    <w:link w:val="73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34">
    <w:name w:val="图标"/>
    <w:basedOn w:val="734"/>
    <w:next w:val="734"/>
    <w:link w:val="734"/>
    <w:pPr>
      <w:ind w:left="840" w:hanging="420"/>
      <w:jc w:val="center"/>
      <w:spacing w:before="120" w:after="120" w:line="320" w:lineRule="atLeast"/>
      <w:tabs>
        <w:tab w:val="left" w:pos="567" w:leader="none"/>
        <w:tab w:val="left" w:pos="840" w:leader="none"/>
      </w:tabs>
    </w:pPr>
    <w:rPr>
      <w:rFonts w:eastAsia="方正仿宋_GB2312"/>
      <w:sz w:val="24"/>
      <w:szCs w:val="20"/>
    </w:rPr>
  </w:style>
  <w:style w:type="paragraph" w:styleId="835">
    <w:name w:val="标题3"/>
    <w:basedOn w:val="734"/>
    <w:next w:val="734"/>
    <w:link w:val="734"/>
    <w:pPr>
      <w:ind w:firstLine="624"/>
      <w:spacing w:line="590" w:lineRule="atLeast"/>
    </w:pPr>
    <w:rPr>
      <w:rFonts w:ascii="方正黑体_GBK" w:eastAsia="方正黑体_GBK"/>
      <w:sz w:val="32"/>
      <w:szCs w:val="32"/>
    </w:rPr>
  </w:style>
  <w:style w:type="paragraph" w:styleId="836">
    <w:name w:val="xl24"/>
    <w:basedOn w:val="734"/>
    <w:next w:val="836"/>
    <w:link w:val="73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37">
    <w:name w:val="xl29"/>
    <w:basedOn w:val="734"/>
    <w:next w:val="837"/>
    <w:link w:val="73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38">
    <w:name w:val="Char Char Char Char Char Char Char Char"/>
    <w:basedOn w:val="734"/>
    <w:next w:val="838"/>
    <w:link w:val="734"/>
    <w:pPr>
      <w:jc w:val="left"/>
      <w:spacing w:after="160" w:line="240" w:lineRule="exact"/>
      <w:widowControl/>
    </w:pPr>
    <w:rPr>
      <w:rFonts w:ascii="Verdana" w:hAnsi="Verdana"/>
      <w:sz w:val="20"/>
      <w:szCs w:val="20"/>
      <w:lang w:eastAsia="en-US"/>
    </w:rPr>
  </w:style>
  <w:style w:type="paragraph" w:styleId="839">
    <w:name w:val="xl28"/>
    <w:basedOn w:val="734"/>
    <w:next w:val="839"/>
    <w:link w:val="73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40">
    <w:name w:val=" Char Char Char Char Char Char Char Char"/>
    <w:basedOn w:val="734"/>
    <w:next w:val="840"/>
    <w:link w:val="734"/>
    <w:pPr>
      <w:jc w:val="left"/>
      <w:spacing w:after="160" w:line="240" w:lineRule="exact"/>
      <w:widowControl/>
    </w:pPr>
    <w:rPr>
      <w:rFonts w:ascii="Verdana" w:hAnsi="Verdana"/>
      <w:sz w:val="20"/>
      <w:szCs w:val="20"/>
      <w:lang w:eastAsia="en-US"/>
    </w:rPr>
  </w:style>
  <w:style w:type="paragraph" w:styleId="841">
    <w:name w:val="xl30"/>
    <w:basedOn w:val="734"/>
    <w:next w:val="841"/>
    <w:link w:val="734"/>
    <w:pPr>
      <w:jc w:val="center"/>
      <w:spacing w:before="100" w:beforeAutospacing="1" w:after="100" w:afterAutospacing="1"/>
      <w:widowControl/>
    </w:pPr>
    <w:rPr>
      <w:rFonts w:ascii="宋体" w:hAnsi="宋体"/>
      <w:b/>
      <w:bCs/>
      <w:sz w:val="36"/>
      <w:szCs w:val="36"/>
    </w:rPr>
  </w:style>
  <w:style w:type="paragraph" w:styleId="842">
    <w:name w:val="Char Char Char Char"/>
    <w:basedOn w:val="760"/>
    <w:next w:val="842"/>
    <w:link w:val="734"/>
    <w:pPr>
      <w:spacing w:line="360" w:lineRule="auto"/>
    </w:pPr>
    <w:rPr>
      <w:rFonts w:ascii="Tahoma" w:hAnsi="Tahoma"/>
      <w:sz w:val="24"/>
      <w:szCs w:val="24"/>
    </w:rPr>
  </w:style>
  <w:style w:type="paragraph" w:styleId="843">
    <w:name w:val="table_1stline"/>
    <w:basedOn w:val="734"/>
    <w:next w:val="843"/>
    <w:link w:val="734"/>
    <w:pPr>
      <w:jc w:val="left"/>
      <w:spacing w:before="120"/>
      <w:widowControl/>
    </w:pPr>
    <w:rPr>
      <w:bCs/>
      <w:sz w:val="20"/>
      <w:szCs w:val="20"/>
      <w:lang w:val="de-DE" w:eastAsia="de-DE"/>
    </w:rPr>
  </w:style>
  <w:style w:type="paragraph" w:styleId="844">
    <w:name w:val="font5"/>
    <w:basedOn w:val="734"/>
    <w:next w:val="844"/>
    <w:link w:val="734"/>
    <w:pPr>
      <w:jc w:val="left"/>
      <w:spacing w:before="100" w:beforeAutospacing="1" w:after="100" w:afterAutospacing="1"/>
      <w:widowControl/>
    </w:pPr>
    <w:rPr>
      <w:rFonts w:hint="eastAsia" w:ascii="宋体" w:hAnsi="宋体"/>
      <w:sz w:val="28"/>
      <w:szCs w:val="28"/>
    </w:rPr>
  </w:style>
  <w:style w:type="paragraph" w:styleId="845">
    <w:name w:val="标题1"/>
    <w:basedOn w:val="734"/>
    <w:next w:val="734"/>
    <w:link w:val="734"/>
    <w:pPr>
      <w:jc w:val="center"/>
      <w:spacing w:line="700" w:lineRule="atLeast"/>
      <w:tabs>
        <w:tab w:val="left" w:pos="9193" w:leader="none"/>
        <w:tab w:val="left" w:pos="9827" w:leader="none"/>
      </w:tabs>
    </w:pPr>
    <w:rPr>
      <w:rFonts w:ascii="方正小标宋_GBK" w:eastAsia="方正小标宋_GBK"/>
      <w:sz w:val="44"/>
      <w:szCs w:val="20"/>
    </w:rPr>
  </w:style>
  <w:style w:type="paragraph" w:styleId="846">
    <w:name w:val="修订"/>
    <w:next w:val="846"/>
    <w:link w:val="734"/>
    <w:uiPriority w:val="99"/>
    <w:semiHidden/>
    <w:rPr>
      <w:sz w:val="21"/>
      <w:szCs w:val="21"/>
      <w:lang w:val="en-US" w:eastAsia="zh-CN" w:bidi="ar-SA"/>
    </w:rPr>
  </w:style>
  <w:style w:type="paragraph" w:styleId="847">
    <w:name w:val="无间隔"/>
    <w:next w:val="847"/>
    <w:link w:val="734"/>
    <w:uiPriority w:val="99"/>
    <w:qFormat/>
    <w:pPr>
      <w:jc w:val="both"/>
      <w:widowControl w:val="off"/>
    </w:pPr>
    <w:rPr>
      <w:sz w:val="21"/>
      <w:szCs w:val="21"/>
      <w:lang w:val="en-US" w:eastAsia="zh-CN" w:bidi="ar-SA"/>
    </w:rPr>
  </w:style>
  <w:style w:type="character" w:styleId="9288" w:default="1">
    <w:name w:val="Default Paragraph Font"/>
    <w:uiPriority w:val="1"/>
    <w:semiHidden/>
    <w:unhideWhenUsed/>
  </w:style>
  <w:style w:type="numbering" w:styleId="9289" w:default="1">
    <w:name w:val="No List"/>
    <w:uiPriority w:val="99"/>
    <w:semiHidden/>
    <w:unhideWhenUsed/>
  </w:style>
  <w:style w:type="table" w:styleId="92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付钢</cp:lastModifiedBy>
  <cp:revision>9</cp:revision>
  <dcterms:created xsi:type="dcterms:W3CDTF">2023-03-16T02:16:00Z</dcterms:created>
  <dcterms:modified xsi:type="dcterms:W3CDTF">2026-09-24T04:47:45Z</dcterms:modified>
  <cp:version>1048576</cp:version>
</cp:coreProperties>
</file>