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hd w:val="clear" w:color="auto"/>
        <w:rPr>
          <w:rFonts w:hint="eastAsia" w:ascii="宋体" w:hAnsi="宋体" w:eastAsia="宋体" w:cs="宋体"/>
          <w:b/>
          <w:bCs/>
          <w:color w:val="000000" w:themeColor="text1"/>
          <w:spacing w:val="0"/>
          <w:sz w:val="72"/>
          <w:szCs w:val="72"/>
          <w:highlight w:val="none"/>
          <w14:textFill>
            <w14:solidFill>
              <w14:schemeClr w14:val="tx1"/>
            </w14:solidFill>
          </w14:textFill>
        </w:rPr>
      </w:pP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招</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标</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文</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 xml:space="preserve">件</w:t>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pPr>
      <w: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pPr>
      <w: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r>
      <w:r/>
    </w:p>
    <w:p>
      <w:pPr>
        <w:pStyle w:val="1418"/>
        <w:ind w:firstLine="0"/>
        <w:jc w:val="center"/>
        <w:spacing w:before="0" w:after="0"/>
        <w:shd w:val="clear" w:color="auto"/>
        <w:rPr>
          <w:rFonts w:hint="eastAsia" w:ascii="宋体" w:hAnsi="宋体" w:eastAsia="宋体" w:cs="宋体"/>
          <w:b/>
          <w:color w:val="000000" w:themeColor="text1"/>
          <w:spacing w:val="0"/>
          <w:sz w:val="32"/>
          <w:szCs w:val="32"/>
          <w:highlight w:val="none"/>
          <w:lang w:eastAsia="zh-CN"/>
          <w14:textFill>
            <w14:solidFill>
              <w14:schemeClr w14:val="tx1"/>
            </w14:solidFill>
          </w14:textFill>
        </w:rPr>
      </w:pPr>
      <w:r/>
      <w:bookmarkStart w:id="0" w:name="_Toc15175"/>
      <w:r/>
      <w:bookmarkStart w:id="1" w:name="_Toc6394"/>
      <w:r/>
      <w:bookmarkStart w:id="2" w:name="_Toc32037"/>
      <w:r>
        <w:rPr>
          <w:rFonts w:hint="eastAsia" w:ascii="宋体" w:hAnsi="宋体" w:eastAsia="宋体" w:cs="宋体"/>
          <w:b/>
          <w:color w:val="000000" w:themeColor="text1"/>
          <w:spacing w:val="0"/>
          <w:sz w:val="32"/>
          <w:szCs w:val="32"/>
          <w:highlight w:val="none"/>
          <w14:textFill>
            <w14:solidFill>
              <w14:schemeClr w14:val="tx1"/>
            </w14:solidFill>
          </w14:textFill>
        </w:rPr>
        <w:t xml:space="preserve">项目名称：</w:t>
      </w:r>
      <w:bookmarkEnd w:id="0"/>
      <w:r/>
      <w:bookmarkEnd w:id="1"/>
      <w:r>
        <w:rPr>
          <w:rFonts w:hint="eastAsia" w:ascii="宋体" w:hAnsi="宋体" w:cs="宋体"/>
          <w:b/>
          <w:color w:val="000000" w:themeColor="text1"/>
          <w:spacing w:val="0"/>
          <w:sz w:val="32"/>
          <w:szCs w:val="32"/>
          <w:highlight w:val="none"/>
          <w:lang w:eastAsia="zh-CN"/>
          <w14:textFill>
            <w14:solidFill>
              <w14:schemeClr w14:val="tx1"/>
            </w14:solidFill>
          </w14:textFill>
        </w:rPr>
        <w:t xml:space="preserve">乘航片区（乘航社区、江南社区）开放区域保洁及片区城市管理服务项目</w:t>
      </w:r>
      <w:r/>
    </w:p>
    <w:p>
      <w:pPr>
        <w:pStyle w:val="1418"/>
        <w:ind w:firstLine="0"/>
        <w:jc w:val="center"/>
        <w:spacing w:before="0" w:after="0"/>
        <w:shd w:val="clear" w:color="auto"/>
        <w:rPr>
          <w:rFonts w:hint="eastAsia" w:ascii="宋体" w:hAnsi="宋体" w:eastAsia="宋体" w:cs="宋体"/>
          <w:b/>
          <w:color w:val="000000" w:themeColor="text1"/>
          <w:spacing w:val="0"/>
          <w:sz w:val="32"/>
          <w:szCs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 xml:space="preserve">标书编号：</w:t>
      </w:r>
      <w:r>
        <w:rPr>
          <w:rFonts w:hint="eastAsia" w:ascii="宋体" w:hAnsi="宋体" w:cs="宋体"/>
          <w:b/>
          <w:color w:val="000000" w:themeColor="text1"/>
          <w:spacing w:val="0"/>
          <w:sz w:val="32"/>
          <w:szCs w:val="32"/>
          <w:highlight w:val="none"/>
          <w:lang w:val="en-US" w:eastAsia="zh-CN"/>
          <w14:textFill>
            <w14:solidFill>
              <w14:schemeClr w14:val="tx1"/>
            </w14:solidFill>
          </w14:textFill>
        </w:rPr>
        <w:t xml:space="preserve">JSZC-320582-ZZHX-G2026-0014</w:t>
      </w:r>
      <w:r/>
    </w:p>
    <w:p>
      <w:pPr>
        <w:pStyle w:val="1418"/>
        <w:ind w:firstLine="0"/>
        <w:jc w:val="center"/>
        <w:spacing w:before="0" w:after="0"/>
        <w:shd w:val="clear" w:color="auto"/>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 xml:space="preserve">项目属性：服务类</w:t>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color w:val="000000" w:themeColor="text1"/>
          <w:spacing w:val="0"/>
          <w:sz w:val="32"/>
          <w:szCs w:val="32"/>
          <w:highlight w:val="none"/>
          <w14:textFill>
            <w14:solidFill>
              <w14:schemeClr w14:val="tx1"/>
            </w14:solidFill>
          </w14:textFill>
        </w:rPr>
      </w:pPr>
      <w:r>
        <w:rPr>
          <w:rFonts w:hint="eastAsia" w:ascii="宋体" w:hAnsi="宋体" w:eastAsia="宋体" w:cs="宋体"/>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r>
      <w:r/>
    </w:p>
    <w:p>
      <w:pPr>
        <w:pStyle w:val="1418"/>
        <w:ind w:firstLine="0"/>
        <w:jc w:val="center"/>
        <w:spacing w:before="0" w:after="0"/>
        <w:shd w:val="clear" w:color="auto"/>
        <w:rPr>
          <w:rFonts w:hint="eastAsia" w:ascii="宋体" w:hAnsi="宋体" w:eastAsia="宋体" w:cs="宋体"/>
          <w:b/>
          <w:color w:val="000000" w:themeColor="text1"/>
          <w:spacing w:val="0"/>
          <w:sz w:val="32"/>
          <w:szCs w:val="32"/>
          <w:highlight w:val="none"/>
          <w14:textFill>
            <w14:solidFill>
              <w14:schemeClr w14:val="tx1"/>
            </w14:solidFill>
          </w14:textFill>
        </w:rPr>
      </w:pPr>
      <w:r/>
      <w:bookmarkStart w:id="3" w:name="_Toc31894"/>
      <w:r/>
      <w:bookmarkStart w:id="4" w:name="_Toc479"/>
      <w:r/>
      <w:bookmarkStart w:id="5" w:name="EB8ecef8d8d20b42199abb5fc67b67d8bb"/>
      <w:r/>
      <w:bookmarkStart w:id="6" w:name="_Toc8885"/>
      <w:r>
        <w:rPr>
          <w:rFonts w:hint="eastAsia" w:ascii="宋体" w:hAnsi="宋体" w:eastAsia="宋体" w:cs="宋体"/>
          <w:b/>
          <w:color w:val="000000" w:themeColor="text1"/>
          <w:spacing w:val="0"/>
          <w:sz w:val="32"/>
          <w:szCs w:val="32"/>
          <w:highlight w:val="none"/>
          <w14:textFill>
            <w14:solidFill>
              <w14:schemeClr w14:val="tx1"/>
            </w14:solidFill>
          </w14:textFill>
        </w:rPr>
        <w:t xml:space="preserve">苏州政合信咨询管理服务有限公司</w:t>
      </w:r>
      <w:bookmarkEnd w:id="3"/>
      <w:r/>
      <w:bookmarkEnd w:id="4"/>
      <w:r/>
      <w:bookmarkEnd w:id="5"/>
      <w:r/>
      <w:bookmarkEnd w:id="6"/>
      <w:r/>
      <w:r/>
    </w:p>
    <w:p>
      <w:pPr>
        <w:pStyle w:val="1418"/>
        <w:ind w:firstLine="0"/>
        <w:jc w:val="center"/>
        <w:shd w:val="clear" w:color="auto"/>
        <w:rPr>
          <w:rFonts w:hint="eastAsia" w:ascii="宋体" w:hAnsi="宋体" w:eastAsia="宋体" w:cs="宋体"/>
          <w:b/>
          <w:color w:val="000000" w:themeColor="text1"/>
          <w:spacing w:val="0"/>
          <w:sz w:val="32"/>
          <w:szCs w:val="32"/>
          <w:highlight w:val="none"/>
          <w14:textFill>
            <w14:solidFill>
              <w14:schemeClr w14:val="tx1"/>
            </w14:solidFill>
          </w14:textFill>
        </w:rPr>
      </w:pPr>
      <w:r/>
      <w:bookmarkStart w:id="7" w:name="EB52307051e0d04806912e5842f73c8551"/>
      <w:r>
        <w:rPr>
          <w:rFonts w:hint="eastAsia" w:ascii="宋体" w:hAnsi="宋体" w:eastAsia="宋体" w:cs="宋体"/>
          <w:b/>
          <w:bCs/>
          <w:color w:val="000000" w:themeColor="text1"/>
          <w:spacing w:val="0"/>
          <w:sz w:val="32"/>
          <w:highlight w:val="none"/>
          <w14:textFill>
            <w14:solidFill>
              <w14:schemeClr w14:val="tx1"/>
            </w14:solidFill>
          </w14:textFill>
        </w:rPr>
        <w:t xml:space="preserve">202</w:t>
      </w:r>
      <w:r>
        <w:rPr>
          <w:rFonts w:hint="eastAsia" w:ascii="宋体" w:hAnsi="宋体" w:cs="宋体"/>
          <w:b/>
          <w:bCs/>
          <w:color w:val="000000" w:themeColor="text1"/>
          <w:spacing w:val="0"/>
          <w:sz w:val="32"/>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pacing w:val="0"/>
          <w:sz w:val="32"/>
          <w:highlight w:val="none"/>
          <w14:textFill>
            <w14:solidFill>
              <w14:schemeClr w14:val="tx1"/>
            </w14:solidFill>
          </w14:textFill>
        </w:rPr>
        <w:t xml:space="preserve">年</w:t>
      </w:r>
      <w:r>
        <w:rPr>
          <w:rFonts w:hint="eastAsia" w:ascii="宋体" w:hAnsi="宋体" w:cs="宋体"/>
          <w:b/>
          <w:bCs/>
          <w:color w:val="000000" w:themeColor="text1"/>
          <w:spacing w:val="0"/>
          <w:sz w:val="32"/>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pacing w:val="0"/>
          <w:sz w:val="32"/>
          <w:highlight w:val="none"/>
          <w14:textFill>
            <w14:solidFill>
              <w14:schemeClr w14:val="tx1"/>
            </w14:solidFill>
          </w14:textFill>
        </w:rPr>
        <w:t xml:space="preserve">月</w:t>
      </w:r>
      <w:r>
        <w:rPr>
          <w:rFonts w:hint="eastAsia" w:ascii="宋体" w:hAnsi="宋体" w:cs="宋体"/>
          <w:b/>
          <w:bCs/>
          <w:color w:val="000000" w:themeColor="text1"/>
          <w:spacing w:val="0"/>
          <w:sz w:val="32"/>
          <w:highlight w:val="none"/>
          <w:lang w:val="en-US" w:eastAsia="zh-CN"/>
          <w14:textFill>
            <w14:solidFill>
              <w14:schemeClr w14:val="tx1"/>
            </w14:solidFill>
          </w14:textFill>
        </w:rPr>
        <w:t xml:space="preserve">28</w:t>
      </w:r>
      <w:r>
        <w:rPr>
          <w:rFonts w:hint="eastAsia" w:ascii="宋体" w:hAnsi="宋体" w:eastAsia="宋体" w:cs="宋体"/>
          <w:b/>
          <w:color w:val="000000" w:themeColor="text1"/>
          <w:spacing w:val="0"/>
          <w:sz w:val="32"/>
          <w:szCs w:val="32"/>
          <w:highlight w:val="none"/>
          <w14:textFill>
            <w14:solidFill>
              <w14:schemeClr w14:val="tx1"/>
            </w14:solidFill>
          </w14:textFill>
        </w:rPr>
        <w:t xml:space="preserve">日</w:t>
      </w:r>
      <w:bookmarkEnd w:id="7"/>
      <w:r/>
      <w:r/>
    </w:p>
    <w:p>
      <w:pPr>
        <w:pStyle w:val="1418"/>
        <w:ind w:firstLine="0"/>
        <w:jc w:val="both"/>
        <w:shd w:val="clear" w:color="auto"/>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r>
      <w:r/>
    </w:p>
    <w:p>
      <w:pPr>
        <w:pStyle w:val="1419"/>
        <w:shd w:val="clear" w:color="auto"/>
        <w:rPr>
          <w:rFonts w:hint="eastAsia" w:ascii="宋体" w:hAnsi="宋体" w:eastAsia="宋体" w:cs="宋体"/>
          <w:color w:val="000000" w:themeColor="text1"/>
          <w:spacing w:val="0"/>
          <w:highlight w:val="none"/>
          <w14:textFill>
            <w14:solidFill>
              <w14:schemeClr w14:val="tx1"/>
            </w14:solidFill>
          </w14:textFill>
        </w:rPr>
        <w:sectPr>
          <w:headerReference w:type="default" r:id="rId9"/>
          <w:headerReference w:type="first" r:id="rId10"/>
          <w:footerReference w:type="even" r:id="rId24"/>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000000" w:themeColor="text1"/>
          <w:spacing w:val="0"/>
          <w:highlight w:val="none"/>
          <w14:textFill>
            <w14:solidFill>
              <w14:schemeClr w14:val="tx1"/>
            </w14:solidFill>
          </w14:textFill>
        </w:rPr>
      </w:r>
      <w:r/>
    </w:p>
    <w:p>
      <w:pPr>
        <w:jc w:val="center"/>
        <w:keepLines w:val="0"/>
        <w:keepNext w:val="0"/>
        <w:pageBreakBefore w:val="0"/>
        <w:spacing w:before="181" w:after="181"/>
        <w:shd w:val="clear" w:color="auto"/>
        <w:widowControl w:val="off"/>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t xml:space="preserve">总  目  录</w:t>
      </w:r>
      <w:r/>
    </w:p>
    <w:p>
      <w:pPr>
        <w:pStyle w:val="1239"/>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color w:val="000000" w:themeColor="text1"/>
          <w:spacing w:val="0"/>
          <w:sz w:val="28"/>
          <w:szCs w:val="28"/>
          <w:highlight w:val="none"/>
          <w14:textFill>
            <w14:solidFill>
              <w14:schemeClr w14:val="tx1"/>
            </w14:solidFill>
          </w14:textFill>
        </w:rPr>
        <w:instrText xml:space="preserve"> TOC \o "1-2" \h \z \u </w:instrText>
      </w:r>
      <w:r>
        <w:rPr>
          <w:rFonts w:hint="eastAsia" w:ascii="宋体" w:hAnsi="宋体" w:eastAsia="宋体" w:cs="宋体"/>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pacing w:val="0"/>
          <w:sz w:val="28"/>
          <w:szCs w:val="28"/>
          <w:highlight w:val="none"/>
          <w14:textFill>
            <w14:solidFill>
              <w14:schemeClr w14:val="tx1"/>
            </w14:solidFill>
          </w14:textFill>
        </w:rPr>
        <w:instrText xml:space="preserve"> HYPERLINK \l _Toc14922 </w:instrText>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第一章  投标邀请</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_Toc14922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xml:space="preserve">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_Toc1386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一、项目基本情况</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_Toc1386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_Toc13160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二、申请人的资格要求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_Toc13160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_Toc8131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三、获取招标文件</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_Toc8131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_Toc19042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四、提交投标文件截止时间、开标时间和地点</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_Toc19042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_Toc17249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lang w:eastAsia="zh-CN"/>
          <w14:textFill>
            <w14:solidFill>
              <w14:schemeClr w14:val="tx1"/>
            </w14:solidFill>
          </w14:textFill>
        </w:rPr>
        <w:t xml:space="preserve">五</w:t>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w:t>
      </w:r>
      <w:r>
        <w:rPr>
          <w:rFonts w:hint="eastAsia" w:ascii="宋体" w:hAnsi="宋体" w:eastAsia="宋体" w:cs="宋体"/>
          <w:bCs/>
          <w:color w:val="000000" w:themeColor="text1"/>
          <w:spacing w:val="0"/>
          <w:sz w:val="28"/>
          <w:szCs w:val="28"/>
          <w:highlight w:val="none"/>
          <w:lang w:eastAsia="zh-CN"/>
          <w14:textFill>
            <w14:solidFill>
              <w14:schemeClr w14:val="tx1"/>
            </w14:solidFill>
          </w14:textFill>
        </w:rPr>
        <w:t xml:space="preserve">公告期限</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_Toc17249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_Toc22015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六、其他补充事宜</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_Toc22015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_Toc11460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七、对本次招标提出询问，请按以下方式联系</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_Toc11460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4</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39"/>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pacing w:val="0"/>
          <w:sz w:val="28"/>
          <w:szCs w:val="28"/>
          <w:highlight w:val="none"/>
          <w14:textFill>
            <w14:solidFill>
              <w14:schemeClr w14:val="tx1"/>
            </w14:solidFill>
          </w14:textFill>
        </w:rPr>
        <w:instrText xml:space="preserve"> HYPERLINK \l _Toc9801 </w:instrText>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_Toc9801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xml:space="preserve">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_Toc814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一、总则</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_Toc814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_Toc1874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二、招标文件</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_Toc1874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_Toc1244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三、投标文件的编制</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_Toc1244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_Toc7951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四、投标文件的制作、上传、递交</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_Toc7951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8</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_Toc17903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五、开标与评标</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_Toc17903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_Toc10007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六、定标</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_Toc10007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14</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_Toc8118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pacing w:val="0"/>
          <w:sz w:val="28"/>
          <w:szCs w:val="28"/>
          <w:highlight w:val="none"/>
          <w14:textFill>
            <w14:solidFill>
              <w14:schemeClr w14:val="tx1"/>
            </w14:solidFill>
          </w14:textFill>
        </w:rPr>
        <w:t xml:space="preserve">七、授予合同</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_Toc8118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16</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39"/>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pacing w:val="0"/>
          <w:sz w:val="28"/>
          <w:szCs w:val="28"/>
          <w:highlight w:val="none"/>
          <w14:textFill>
            <w14:solidFill>
              <w14:schemeClr w14:val="tx1"/>
            </w14:solidFill>
          </w14:textFill>
        </w:rPr>
        <w:instrText xml:space="preserve"> HYPERLINK \l _Toc18759 </w:instrText>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第三章 合同条款及格式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_Toc18759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xml:space="preserve">18</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_Toc6970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一、服务内容</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_Toc6970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18</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_Toc14653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二、合同金额</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_Toc14653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18</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_Toc2491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三、技术资料</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_Toc2491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18</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_Toc19203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四</w:t>
      </w:r>
      <w:r>
        <w:rPr>
          <w:rFonts w:hint="eastAsia" w:ascii="宋体" w:hAnsi="宋体" w:eastAsia="宋体" w:cs="宋体"/>
          <w:color w:val="000000" w:themeColor="text1"/>
          <w:spacing w:val="0"/>
          <w:sz w:val="28"/>
          <w:szCs w:val="28"/>
          <w:highlight w:val="none"/>
          <w14:textFill>
            <w14:solidFill>
              <w14:schemeClr w14:val="tx1"/>
            </w14:solidFill>
          </w14:textFill>
        </w:rPr>
        <w:t xml:space="preserve">、履约保证金</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_Toc19203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_Toc13073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pacing w:val="0"/>
          <w:sz w:val="28"/>
          <w:szCs w:val="28"/>
          <w:highlight w:val="none"/>
          <w14:textFill>
            <w14:solidFill>
              <w14:schemeClr w14:val="tx1"/>
            </w14:solidFill>
          </w14:textFill>
        </w:rPr>
        <w:t xml:space="preserve">、转包或分包</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_Toc13073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_Toc27302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六</w:t>
      </w:r>
      <w:r>
        <w:rPr>
          <w:rFonts w:hint="eastAsia" w:ascii="宋体" w:hAnsi="宋体" w:eastAsia="宋体" w:cs="宋体"/>
          <w:color w:val="000000" w:themeColor="text1"/>
          <w:spacing w:val="0"/>
          <w:sz w:val="28"/>
          <w:szCs w:val="28"/>
          <w:highlight w:val="none"/>
          <w14:textFill>
            <w14:solidFill>
              <w14:schemeClr w14:val="tx1"/>
            </w14:solidFill>
          </w14:textFill>
        </w:rPr>
        <w:t xml:space="preserve">、服务期限</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及服务地点</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_Toc27302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_Toc23134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七</w:t>
      </w:r>
      <w:r>
        <w:rPr>
          <w:rFonts w:hint="eastAsia" w:ascii="宋体" w:hAnsi="宋体" w:eastAsia="宋体" w:cs="宋体"/>
          <w:color w:val="000000" w:themeColor="text1"/>
          <w:spacing w:val="0"/>
          <w:sz w:val="28"/>
          <w:szCs w:val="28"/>
          <w:highlight w:val="none"/>
          <w14:textFill>
            <w14:solidFill>
              <w14:schemeClr w14:val="tx1"/>
            </w14:solidFill>
          </w14:textFill>
        </w:rPr>
        <w:t xml:space="preserve">、</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支付方式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_Toc23134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_Toc22208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八</w:t>
      </w:r>
      <w:r>
        <w:rPr>
          <w:rFonts w:hint="eastAsia" w:ascii="宋体" w:hAnsi="宋体" w:eastAsia="宋体" w:cs="宋体"/>
          <w:color w:val="000000" w:themeColor="text1"/>
          <w:spacing w:val="0"/>
          <w:sz w:val="28"/>
          <w:szCs w:val="28"/>
          <w:highlight w:val="none"/>
          <w14:textFill>
            <w14:solidFill>
              <w14:schemeClr w14:val="tx1"/>
            </w14:solidFill>
          </w14:textFill>
        </w:rPr>
        <w:t xml:space="preserve">、税</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_Toc22208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_Toc4649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九</w:t>
      </w:r>
      <w:r>
        <w:rPr>
          <w:rFonts w:hint="eastAsia" w:ascii="宋体" w:hAnsi="宋体" w:eastAsia="宋体" w:cs="宋体"/>
          <w:color w:val="000000" w:themeColor="text1"/>
          <w:spacing w:val="0"/>
          <w:sz w:val="28"/>
          <w:szCs w:val="28"/>
          <w:highlight w:val="none"/>
          <w14:textFill>
            <w14:solidFill>
              <w14:schemeClr w14:val="tx1"/>
            </w14:solidFill>
          </w14:textFill>
        </w:rPr>
        <w:t xml:space="preserve">、管理事项</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_Toc4649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_Toc21680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14:textFill>
            <w14:solidFill>
              <w14:schemeClr w14:val="tx1"/>
            </w14:solidFill>
          </w14:textFill>
        </w:rPr>
        <w:t xml:space="preserve">、双方权利义务</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_Toc21680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20</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_Toc23426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一</w:t>
      </w:r>
      <w:r>
        <w:rPr>
          <w:rFonts w:hint="eastAsia" w:ascii="宋体" w:hAnsi="宋体" w:eastAsia="宋体" w:cs="宋体"/>
          <w:color w:val="000000" w:themeColor="text1"/>
          <w:spacing w:val="0"/>
          <w:sz w:val="28"/>
          <w:szCs w:val="28"/>
          <w:highlight w:val="none"/>
          <w14:textFill>
            <w14:solidFill>
              <w14:schemeClr w14:val="tx1"/>
            </w14:solidFill>
          </w14:textFill>
        </w:rPr>
        <w:t xml:space="preserve">、服务质量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_Toc23426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20</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_Toc5578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二</w:t>
      </w:r>
      <w:r>
        <w:rPr>
          <w:rFonts w:hint="eastAsia" w:ascii="宋体" w:hAnsi="宋体" w:eastAsia="宋体" w:cs="宋体"/>
          <w:color w:val="000000" w:themeColor="text1"/>
          <w:spacing w:val="0"/>
          <w:sz w:val="28"/>
          <w:szCs w:val="28"/>
          <w:highlight w:val="none"/>
          <w14:textFill>
            <w14:solidFill>
              <w14:schemeClr w14:val="tx1"/>
            </w14:solidFill>
          </w14:textFill>
        </w:rPr>
        <w:t xml:space="preserve">、</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验收</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_Toc5578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_Toc3301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三</w:t>
      </w:r>
      <w:r>
        <w:rPr>
          <w:rFonts w:hint="eastAsia" w:ascii="宋体" w:hAnsi="宋体" w:eastAsia="宋体" w:cs="宋体"/>
          <w:color w:val="000000" w:themeColor="text1"/>
          <w:spacing w:val="0"/>
          <w:sz w:val="28"/>
          <w:szCs w:val="28"/>
          <w:highlight w:val="none"/>
          <w14:textFill>
            <w14:solidFill>
              <w14:schemeClr w14:val="tx1"/>
            </w14:solidFill>
          </w14:textFill>
        </w:rPr>
        <w:t xml:space="preserve">、违约责任</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_Toc3301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_Toc16170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四</w:t>
      </w:r>
      <w:r>
        <w:rPr>
          <w:rFonts w:hint="eastAsia" w:ascii="宋体" w:hAnsi="宋体" w:eastAsia="宋体" w:cs="宋体"/>
          <w:color w:val="000000" w:themeColor="text1"/>
          <w:spacing w:val="0"/>
          <w:sz w:val="28"/>
          <w:szCs w:val="28"/>
          <w:highlight w:val="none"/>
          <w14:textFill>
            <w14:solidFill>
              <w14:schemeClr w14:val="tx1"/>
            </w14:solidFill>
          </w14:textFill>
        </w:rPr>
        <w:t xml:space="preserve">、不可抗力事件处理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_Toc16170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_Toc1355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pacing w:val="0"/>
          <w:sz w:val="28"/>
          <w:szCs w:val="28"/>
          <w:highlight w:val="none"/>
          <w14:textFill>
            <w14:solidFill>
              <w14:schemeClr w14:val="tx1"/>
            </w14:solidFill>
          </w14:textFill>
        </w:rPr>
        <w:t xml:space="preserve">、诉讼</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_Toc1355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_Toc28935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六</w:t>
      </w:r>
      <w:r>
        <w:rPr>
          <w:rFonts w:hint="eastAsia" w:ascii="宋体" w:hAnsi="宋体" w:eastAsia="宋体" w:cs="宋体"/>
          <w:color w:val="000000" w:themeColor="text1"/>
          <w:spacing w:val="0"/>
          <w:sz w:val="28"/>
          <w:szCs w:val="28"/>
          <w:highlight w:val="none"/>
          <w14:textFill>
            <w14:solidFill>
              <w14:schemeClr w14:val="tx1"/>
            </w14:solidFill>
          </w14:textFill>
        </w:rPr>
        <w:t xml:space="preserve">、合同其他文件</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_Toc28935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_Toc13481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七</w:t>
      </w:r>
      <w:r>
        <w:rPr>
          <w:rFonts w:hint="eastAsia" w:ascii="宋体" w:hAnsi="宋体" w:eastAsia="宋体" w:cs="宋体"/>
          <w:color w:val="000000" w:themeColor="text1"/>
          <w:spacing w:val="0"/>
          <w:sz w:val="28"/>
          <w:szCs w:val="28"/>
          <w:highlight w:val="none"/>
          <w14:textFill>
            <w14:solidFill>
              <w14:schemeClr w14:val="tx1"/>
            </w14:solidFill>
          </w14:textFill>
        </w:rPr>
        <w:t xml:space="preserve">、合同生效及其它</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_Toc13481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39"/>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pacing w:val="0"/>
          <w:sz w:val="28"/>
          <w:szCs w:val="28"/>
          <w:highlight w:val="none"/>
          <w14:textFill>
            <w14:solidFill>
              <w14:schemeClr w14:val="tx1"/>
            </w14:solidFill>
          </w14:textFill>
        </w:rPr>
        <w:instrText xml:space="preserve"> HYPERLINK \l _Toc20918 </w:instrText>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第四章 项目需求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_Toc20918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xml:space="preserve">24</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_Toc3428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一、清单</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_Toc3428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24</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_Toc454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pacing w:val="0"/>
          <w:sz w:val="28"/>
          <w:szCs w:val="28"/>
          <w:highlight w:val="none"/>
          <w14:textFill>
            <w14:solidFill>
              <w14:schemeClr w14:val="tx1"/>
            </w14:solidFill>
          </w14:textFill>
        </w:rPr>
        <w:t xml:space="preserve">技术要求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_Toc454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26</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_Toc20113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三、商务条款</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_Toc20113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45</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39"/>
        <w:keepLines w:val="0"/>
        <w:keepNext w:val="0"/>
        <w:pageBreakBefore w:val="0"/>
        <w:spacing w:line="400" w:lineRule="exact"/>
        <w:widowControl w:val="off"/>
        <w:tabs>
          <w:tab w:val="right" w:pos="9746" w:leader="dot"/>
        </w:tabs>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pacing w:val="0"/>
          <w:sz w:val="28"/>
          <w:szCs w:val="28"/>
          <w:highlight w:val="none"/>
          <w14:textFill>
            <w14:solidFill>
              <w14:schemeClr w14:val="tx1"/>
            </w14:solidFill>
          </w14:textFill>
        </w:rPr>
        <w:instrText xml:space="preserve"> HYPERLINK \l _Toc18894 </w:instrText>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第五章 评标方法与评标标准</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_Toc18894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xml:space="preserve">46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_Toc21744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一、评标方法与定标原则</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_Toc21744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46</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_Toc6122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0"/>
          <w:sz w:val="28"/>
          <w:szCs w:val="28"/>
          <w:highlight w:val="none"/>
          <w14:textFill>
            <w14:solidFill>
              <w14:schemeClr w14:val="tx1"/>
            </w14:solidFill>
          </w14:textFill>
        </w:rPr>
        <w:t xml:space="preserve">二、评标标准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_Toc6122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46</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39"/>
        <w:keepLines w:val="0"/>
        <w:keepNext w:val="0"/>
        <w:pageBreakBefore w:val="0"/>
        <w:spacing w:line="400" w:lineRule="exact"/>
        <w:widowControl w:val="off"/>
        <w:tabs>
          <w:tab w:val="right" w:pos="9746" w:leader="dot"/>
        </w:tabs>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pacing w:val="0"/>
          <w:sz w:val="28"/>
          <w:szCs w:val="28"/>
          <w:highlight w:val="none"/>
          <w14:textFill>
            <w14:solidFill>
              <w14:schemeClr w14:val="tx1"/>
            </w14:solidFill>
          </w14:textFill>
        </w:rPr>
        <w:instrText xml:space="preserve"> HYPERLINK \l _Toc20742 </w:instrText>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第六章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_Toc20742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xml:space="preserve">48</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_Toc20996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一、封面</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_Toc20996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49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_Toc29380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二、投标函格式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_Toc29380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50</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_Toc27467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三、开标一览表</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_Toc27467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51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_Toc24468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四、资格证明文件</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_Toc24468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52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_Toc24206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五</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w:t>
      </w:r>
      <w:r>
        <w:rPr>
          <w:rFonts w:hint="eastAsia" w:ascii="宋体" w:hAnsi="宋体" w:eastAsia="宋体" w:cs="宋体"/>
          <w:caps w:val="0"/>
          <w:smallCaps w:val="0"/>
          <w:color w:val="000000" w:themeColor="text1"/>
          <w:spacing w:val="0"/>
          <w:sz w:val="28"/>
          <w:szCs w:val="28"/>
          <w:highlight w:val="none"/>
          <w:shd w:val="clear" w:color="auto" w:fill="auto"/>
          <w:lang w:val="en-US"/>
          <w14:textFill>
            <w14:solidFill>
              <w14:schemeClr w14:val="tx1"/>
            </w14:solidFill>
          </w14:textFill>
        </w:rPr>
        <w:t xml:space="preserve">经费测算明细表</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_Toc24206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66</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_Toc11731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六</w:t>
      </w:r>
      <w:r>
        <w:rPr>
          <w:rFonts w:hint="eastAsia" w:ascii="宋体" w:hAnsi="宋体" w:eastAsia="宋体" w:cs="宋体"/>
          <w:caps w:val="0"/>
          <w:smallCaps w:val="0"/>
          <w:color w:val="000000" w:themeColor="text1"/>
          <w:spacing w:val="0"/>
          <w:sz w:val="28"/>
          <w:szCs w:val="28"/>
          <w:highlight w:val="none"/>
          <w:shd w:val="clear" w:color="auto" w:fill="auto"/>
          <w:lang w:val="en-US"/>
          <w14:textFill>
            <w14:solidFill>
              <w14:schemeClr w14:val="tx1"/>
            </w14:solidFill>
          </w14:textFill>
        </w:rPr>
        <w:t xml:space="preserve">、第四章项目需求中实质性要求响应对照表</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_Toc11731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69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_Toc31833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七</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、服务方案</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_Toc31833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76</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_Toc14582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八</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、投标人情况介绍</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_Toc14582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77</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_Toc13057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九</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、技术</w:t>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要求</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响应及偏离表</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_Toc13057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81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_Toc31721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十、商务条款响应及偏离表</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_Toc31721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82</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_Toc26627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一</w:t>
      </w:r>
      <w:r>
        <w:rPr>
          <w:rFonts w:hint="eastAsia" w:ascii="宋体" w:hAnsi="宋体" w:eastAsia="宋体" w:cs="宋体"/>
          <w:color w:val="000000" w:themeColor="text1"/>
          <w:sz w:val="28"/>
          <w:szCs w:val="28"/>
          <w:highlight w:val="none"/>
          <w14:textFill>
            <w14:solidFill>
              <w14:schemeClr w14:val="tx1"/>
            </w14:solidFill>
          </w14:textFill>
        </w:rPr>
        <w:t xml:space="preserve">、关于符合本国产品标准的声明函</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_Toc26627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83</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pStyle w:val="1245"/>
        <w:keepLines w:val="0"/>
        <w:keepNext w:val="0"/>
        <w:pageBreakBefore w:val="0"/>
        <w:spacing w:line="400" w:lineRule="exact"/>
        <w:widowControl w:val="off"/>
        <w:tabs>
          <w:tab w:val="right" w:pos="9746" w:leader="dot"/>
        </w:tabs>
        <w:rPr>
          <w:color w:val="000000" w:themeColor="text1"/>
          <w14:textFill>
            <w14:solidFill>
              <w14:schemeClr w14:val="tx1"/>
            </w14:solidFill>
          </w14:textFill>
        </w:rPr>
      </w:pP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bCs/>
          <w:color w:val="000000" w:themeColor="text1"/>
          <w:spacing w:val="0"/>
          <w:sz w:val="28"/>
          <w:szCs w:val="28"/>
          <w:highlight w:val="none"/>
          <w14:textFill>
            <w14:solidFill>
              <w14:schemeClr w14:val="tx1"/>
            </w14:solidFill>
          </w14:textFill>
        </w:rPr>
        <w:instrText xml:space="preserve"> HYPERLINK \l _Toc19315 </w:instrText>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十</w:t>
      </w:r>
      <w:r>
        <w:rPr>
          <w:rFonts w:hint="eastAsia" w:ascii="宋体" w:hAnsi="宋体" w:eastAsia="宋体" w:cs="宋体"/>
          <w:caps w:val="0"/>
          <w:smallCaps w:val="0"/>
          <w:color w:val="000000" w:themeColor="text1"/>
          <w:spacing w:val="0"/>
          <w:sz w:val="28"/>
          <w:szCs w:val="28"/>
          <w:highlight w:val="none"/>
          <w:shd w:val="clear" w:color="auto" w:fill="auto"/>
          <w:lang w:val="en-US"/>
          <w14:textFill>
            <w14:solidFill>
              <w14:schemeClr w14:val="tx1"/>
            </w14:solidFill>
          </w14:textFill>
        </w:rPr>
        <w:t xml:space="preserve">二</w:t>
      </w: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t xml:space="preserve">、其他材料</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_Toc19315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84</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pacing w:val="0"/>
          <w:sz w:val="28"/>
          <w:szCs w:val="28"/>
          <w:highlight w:val="none"/>
          <w14:textFill>
            <w14:solidFill>
              <w14:schemeClr w14:val="tx1"/>
            </w14:solidFill>
          </w14:textFill>
        </w:rPr>
        <w:fldChar w:fldCharType="end"/>
      </w:r>
      <w:r/>
    </w:p>
    <w:p>
      <w:pPr>
        <w:keepLines w:val="0"/>
        <w:keepNext w:val="0"/>
        <w:pageBreakBefore w:val="0"/>
        <w:spacing w:line="440" w:lineRule="exact"/>
        <w:shd w:val="clear" w:color="auto"/>
        <w:widowControl w:val="off"/>
        <w:tabs>
          <w:tab w:val="left" w:pos="1440" w:leader="none"/>
        </w:tabs>
        <w:rPr>
          <w:rFonts w:hint="eastAsia" w:ascii="宋体" w:hAnsi="宋体" w:eastAsia="宋体" w:cs="宋体"/>
          <w:b/>
          <w:bCs/>
          <w:color w:val="000000" w:themeColor="text1"/>
          <w:spacing w:val="0"/>
          <w:sz w:val="28"/>
          <w:szCs w:val="28"/>
          <w:highlight w:val="none"/>
          <w14:textFill>
            <w14:solidFill>
              <w14:schemeClr w14:val="tx1"/>
            </w14:solidFill>
          </w14:textFill>
        </w:rPr>
        <w:sectPr>
          <w:headerReference w:type="first" r:id="rId11"/>
          <w:footnotePr/>
          <w:endnotePr/>
          <w:type w:val="nextPage"/>
          <w:pgSz w:w="11906" w:h="16838" w:orient="portrait"/>
          <w:pgMar w:top="1440" w:right="1080" w:bottom="1440" w:left="1080" w:header="851" w:footer="992" w:gutter="0"/>
          <w:pgNumType w:start="0"/>
          <w:cols w:num="1" w:sep="0" w:space="1701" w:equalWidth="1"/>
          <w:docGrid w:linePitch="360"/>
        </w:sectPr>
      </w:pPr>
      <w:r>
        <w:rPr>
          <w:rFonts w:hint="eastAsia" w:ascii="宋体" w:hAnsi="宋体" w:eastAsia="宋体" w:cs="宋体"/>
          <w:bCs/>
          <w:color w:val="000000" w:themeColor="text1"/>
          <w:spacing w:val="0"/>
          <w:szCs w:val="28"/>
          <w:highlight w:val="none"/>
          <w14:textFill>
            <w14:solidFill>
              <w14:schemeClr w14:val="tx1"/>
            </w14:solidFill>
          </w14:textFill>
        </w:rPr>
        <w:fldChar w:fldCharType="end"/>
      </w:r>
      <w:r/>
    </w:p>
    <w:p>
      <w:pPr>
        <w:pStyle w:val="1420"/>
        <w:spacing w:before="313" w:after="313"/>
        <w:shd w:val="clear" w:color="auto"/>
        <w:rPr>
          <w:rFonts w:hint="eastAsia" w:ascii="宋体" w:hAnsi="宋体" w:eastAsia="宋体" w:cs="宋体"/>
          <w:color w:val="000000" w:themeColor="text1"/>
          <w:spacing w:val="0"/>
          <w:highlight w:val="none"/>
          <w14:textFill>
            <w14:solidFill>
              <w14:schemeClr w14:val="tx1"/>
            </w14:solidFill>
          </w14:textFill>
        </w:rPr>
      </w:pPr>
      <w:r/>
      <w:bookmarkStart w:id="8" w:name="_Toc14922"/>
      <w:r/>
      <w:bookmarkStart w:id="9" w:name="_Toc11775"/>
      <w:r/>
      <w:bookmarkStart w:id="10" w:name="_Toc30062"/>
      <w:r/>
      <w:bookmarkStart w:id="11" w:name="_Toc10560"/>
      <w:r/>
      <w:bookmarkStart w:id="12" w:name="_Toc54615237"/>
      <w:r/>
      <w:bookmarkStart w:id="13" w:name="_Toc38368118"/>
      <w:r/>
      <w:bookmarkStart w:id="14" w:name="_Toc35266018"/>
      <w:r>
        <w:rPr>
          <w:rFonts w:hint="eastAsia" w:ascii="宋体" w:hAnsi="宋体" w:eastAsia="宋体" w:cs="宋体"/>
          <w:color w:val="000000" w:themeColor="text1"/>
          <w:spacing w:val="0"/>
          <w:highlight w:val="none"/>
          <w14:textFill>
            <w14:solidFill>
              <w14:schemeClr w14:val="tx1"/>
            </w14:solidFill>
          </w14:textFill>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421"/>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9962" w:type="dxa"/>
            <w:vAlign w:val="top"/>
            <w:textDirection w:val="lrTb"/>
            <w:noWrap/>
          </w:tcPr>
          <w:p>
            <w:pPr>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项目概况</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lang w:eastAsia="zh-CN"/>
                <w14:textFill>
                  <w14:solidFill>
                    <w14:schemeClr w14:val="tx1"/>
                  </w14:solidFill>
                </w14:textFill>
              </w:rPr>
              <w:t xml:space="preserve">乘航片区（乘航社区、江南社区）开放区域保洁及片区城市管理服务项目</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JSZC-320582-ZZHX-G2026-0014</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招标项目的潜在投标人应在苏采云政府采购一体化平台（网址：http://jszfcg.jsczt.cn/）获取招标文件，并于</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18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（北京时间）前递交投标文件。</w:t>
            </w:r>
            <w:r/>
          </w:p>
        </w:tc>
      </w:tr>
    </w:tbl>
    <w:p>
      <w:pPr>
        <w:keepLines w:val="0"/>
        <w:keepNext w:val="0"/>
        <w:pageBreakBefore w:val="0"/>
        <w:spacing w:line="490" w:lineRule="exact"/>
        <w:shd w:val="clear" w:color="auto"/>
        <w:widowControl w:val="off"/>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6" w:name="_Toc27994"/>
      <w:r/>
      <w:bookmarkStart w:id="17" w:name="_Toc570"/>
      <w:r/>
      <w:bookmarkStart w:id="18" w:name="_Toc10612"/>
      <w:r/>
      <w:bookmarkStart w:id="19" w:name="_Toc1386"/>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一、项目基本情况</w:t>
      </w:r>
      <w:bookmarkEnd w:id="16"/>
      <w:r/>
      <w:bookmarkEnd w:id="17"/>
      <w:r/>
      <w:bookmarkEnd w:id="18"/>
      <w:r/>
      <w:bookmarkEnd w:id="19"/>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项目编号：</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JSZC-320582-ZZHX-G2026-0014</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项目名称：</w:t>
      </w:r>
      <w:r>
        <w:rPr>
          <w:rFonts w:hint="eastAsia" w:ascii="宋体" w:hAnsi="宋体" w:cs="宋体"/>
          <w:color w:val="000000" w:themeColor="text1"/>
          <w:spacing w:val="0"/>
          <w:sz w:val="24"/>
          <w:szCs w:val="24"/>
          <w:highlight w:val="none"/>
          <w:lang w:eastAsia="zh-CN"/>
          <w14:textFill>
            <w14:solidFill>
              <w14:schemeClr w14:val="tx1"/>
            </w14:solidFill>
          </w14:textFill>
        </w:rPr>
        <w:t xml:space="preserve">乘航片区（乘航社区、江南社区）开放区域保洁及片区城市管理服务项目</w:t>
      </w:r>
      <w:r/>
    </w:p>
    <w:p>
      <w:pPr>
        <w:ind w:firstLine="480"/>
        <w:keepLines w:val="0"/>
        <w:keepNext w:val="0"/>
        <w:pageBreakBefore w:val="0"/>
        <w:spacing w:line="490" w:lineRule="exact"/>
        <w:shd w:val="clear" w:color="auto"/>
        <w:widowControl w:val="off"/>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采购方式：公开招标</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预算金额：</w:t>
      </w:r>
      <w:bookmarkStart w:id="20" w:name="EB1a0e1eba70434d918dcf5b8e03079bcd"/>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150</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元</w:t>
      </w:r>
      <w:bookmarkEnd w:id="20"/>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（乘航社区内开放区域43.27912万元、江南社区内开放区域26.72088万元、乘航区域城市管理服务80万元）</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最高限价</w:t>
      </w:r>
      <w:bookmarkStart w:id="21" w:name="EB974fe10e1b834f1ab596364ccab62ca9"/>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150</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元</w:t>
      </w:r>
      <w:bookmarkEnd w:id="21"/>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（乘航社区内开放区域43.27912万元、江南社区内开放区域26.72088万元、</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乘航区域城市管理服务</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80万元）</w:t>
      </w:r>
      <w:r/>
    </w:p>
    <w:p>
      <w:pPr>
        <w:pStyle w:val="1220"/>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采购需求：本项目采购乘航社区、江南社区内开放区域保洁及</w:t>
      </w:r>
      <w:r>
        <w:rPr>
          <w:rFonts w:hint="eastAsia" w:cs="宋体"/>
          <w:color w:val="000000" w:themeColor="text1"/>
          <w:spacing w:val="0"/>
          <w:sz w:val="24"/>
          <w:szCs w:val="24"/>
          <w:highlight w:val="none"/>
          <w:lang w:val="en-US" w:eastAsia="zh-CN"/>
          <w14:textFill>
            <w14:solidFill>
              <w14:schemeClr w14:val="tx1"/>
            </w14:solidFill>
          </w14:textFill>
        </w:rPr>
        <w:t xml:space="preserve">乘航区域城市管理服务</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，服务范围为乘航社区、江南社区辖区开放公共区域，主要开展公共区域环境卫生保洁、</w:t>
      </w:r>
      <w:r>
        <w:rPr>
          <w:rFonts w:hint="eastAsia" w:cs="宋体"/>
          <w:color w:val="000000" w:themeColor="text1"/>
          <w:spacing w:val="0"/>
          <w:sz w:val="24"/>
          <w:szCs w:val="24"/>
          <w:highlight w:val="none"/>
          <w:lang w:val="en-US" w:eastAsia="zh-CN"/>
          <w14:textFill>
            <w14:solidFill>
              <w14:schemeClr w14:val="tx1"/>
            </w14:solidFill>
          </w14:textFill>
        </w:rPr>
        <w:t xml:space="preserve">乘航区域城市管理服务</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工作，服务商须按环境卫生相关标准及采购人要求开展作业，配齐人员、工具物料，落实安全责任，接受采购人监督考核及应急调度。</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合同履行期限</w:t>
      </w:r>
      <w:bookmarkStart w:id="22" w:name="EBc1f6639250fe4c2294880160fa37a7de"/>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bookmarkEnd w:id="22"/>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自合同签订之日起12个月</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本项目（是/否）接受联合体投标：否。</w:t>
      </w:r>
      <w:r/>
    </w:p>
    <w:p>
      <w:pPr>
        <w:keepLines w:val="0"/>
        <w:keepNext w:val="0"/>
        <w:pageBreakBefore w:val="0"/>
        <w:spacing w:line="490" w:lineRule="exact"/>
        <w:shd w:val="clear" w:color="auto"/>
        <w:widowControl w:val="off"/>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23" w:name="_Toc5268"/>
      <w:r/>
      <w:bookmarkStart w:id="24" w:name="_Toc25988"/>
      <w:r/>
      <w:bookmarkStart w:id="25" w:name="_Toc2479"/>
      <w:r/>
      <w:bookmarkStart w:id="26" w:name="_Toc13160"/>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二、申请人的资格要求</w:t>
      </w:r>
      <w:bookmarkEnd w:id="23"/>
      <w:r/>
      <w:bookmarkEnd w:id="24"/>
      <w:r/>
      <w:bookmarkEnd w:id="25"/>
      <w:r/>
      <w:bookmarkEnd w:id="26"/>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满足《中华人民共和国政府采购法》第二十二条规定</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财务状况报告（成立不满一年不需提供）。</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依法缴纳税收和社会保障资金的相关材料（如依法享受缓缴、免缴税收、社会保障资金的，应提供相关证明材料）。</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具备履行合同所必需的设备和专业技术能力的书面声明。</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参加政府采购活动前3年内在经营活动中没有重大违法记录的书面声明。</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授权委托书（被授权人非法定代表人的，应提供授权委托书；被授权人是法定代表人的，应提供授权委托书或法定代表人身份证明书）。</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关于资格证明文件的书面承诺。</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落实政府采购政策需满足的资格要求：</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本项目专门面向中小企业采购</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注：</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本项目的特定资格要求：</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无</w:t>
      </w:r>
      <w:bookmarkStart w:id="27" w:name="_Toc5911"/>
      <w:r/>
      <w:bookmarkStart w:id="28" w:name="_Toc21214"/>
      <w:r/>
      <w:bookmarkStart w:id="29" w:name="_Toc29872"/>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p>
    <w:p>
      <w:pPr>
        <w:keepLines w:val="0"/>
        <w:keepNext w:val="0"/>
        <w:pageBreakBefore w:val="0"/>
        <w:spacing w:line="490" w:lineRule="exact"/>
        <w:shd w:val="clear" w:color="auto"/>
        <w:widowControl w:val="off"/>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30" w:name="_Toc8131"/>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三、获取招标文件</w:t>
      </w:r>
      <w:bookmarkEnd w:id="27"/>
      <w:r/>
      <w:bookmarkEnd w:id="28"/>
      <w:r/>
      <w:bookmarkEnd w:id="29"/>
      <w:r/>
      <w:bookmarkEnd w:id="30"/>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时间：自招标公告发布之日起5个工作日</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地点：苏采云政府采购一体化平台（网址：http://jszfcg.jsczt.cn/）</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苏采云政府采购一体化平台（网址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http://jszfcg.jsczt.cn/）</w:t>
      </w:r>
      <w:r/>
    </w:p>
    <w:p>
      <w:pPr>
        <w:ind w:firstLine="480"/>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售价：0.00元</w:t>
      </w:r>
      <w:r/>
    </w:p>
    <w:p>
      <w:pPr>
        <w:keepLines w:val="0"/>
        <w:keepNext w:val="0"/>
        <w:pageBreakBefore w:val="0"/>
        <w:spacing w:line="490" w:lineRule="exact"/>
        <w:shd w:val="clear" w:color="auto"/>
        <w:widowControl w:val="off"/>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31" w:name="_Toc19042"/>
      <w:r/>
      <w:bookmarkStart w:id="32" w:name="_Toc26721"/>
      <w:r/>
      <w:bookmarkStart w:id="33" w:name="_Toc32285"/>
      <w:r/>
      <w:bookmarkStart w:id="34" w:name="_Toc28359"/>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四、提交投标文件截止时间、开标时间和地点</w:t>
      </w:r>
      <w:bookmarkEnd w:id="31"/>
      <w:r/>
      <w:bookmarkEnd w:id="32"/>
      <w:r/>
      <w:bookmarkEnd w:id="33"/>
      <w:r/>
      <w:bookmarkEnd w:id="34"/>
      <w:r/>
      <w:r/>
    </w:p>
    <w:p>
      <w:pPr>
        <w:pStyle w:val="1415"/>
        <w:ind w:left="0" w:right="0" w:firstLine="508"/>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t xml:space="preserve">时间：</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2026</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年</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月</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18</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日1</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0（北京时间）</w:t>
      </w:r>
      <w:r/>
    </w:p>
    <w:p>
      <w:pPr>
        <w:pStyle w:val="1415"/>
        <w:ind w:left="0" w:right="0" w:firstLine="508"/>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t xml:space="preserve">地点：苏采云系统</w:t>
      </w:r>
      <w:bookmarkStart w:id="35" w:name="_Toc26171"/>
      <w:r/>
      <w:bookmarkStart w:id="36" w:name="_Toc2201"/>
      <w:r/>
      <w:bookmarkStart w:id="37" w:name="_Toc9013"/>
      <w:r/>
      <w:bookmarkEnd w:id="35"/>
      <w:r/>
      <w:bookmarkEnd w:id="36"/>
      <w:r/>
      <w:bookmarkEnd w:id="37"/>
      <w:r/>
      <w:r/>
    </w:p>
    <w:p>
      <w:pPr>
        <w:keepLines w:val="0"/>
        <w:keepNext w:val="0"/>
        <w:pageBreakBefore w:val="0"/>
        <w:spacing w:line="490" w:lineRule="exact"/>
        <w:shd w:val="clear" w:color="auto"/>
        <w:widowControl w:val="off"/>
        <w:rPr>
          <w:rFonts w:hint="eastAsia" w:ascii="宋体" w:hAnsi="宋体" w:eastAsia="宋体" w:cs="宋体"/>
          <w:b/>
          <w:bCs/>
          <w:color w:val="000000" w:themeColor="text1"/>
          <w:spacing w:val="0"/>
          <w:sz w:val="28"/>
          <w:szCs w:val="28"/>
          <w:highlight w:val="none"/>
          <w:lang w:eastAsia="zh-CN"/>
          <w14:textFill>
            <w14:solidFill>
              <w14:schemeClr w14:val="tx1"/>
            </w14:solidFill>
          </w14:textFill>
        </w:rPr>
        <w:outlineLvl w:val="1"/>
      </w:pPr>
      <w:r/>
      <w:bookmarkStart w:id="38" w:name="_Toc17249"/>
      <w:r>
        <w:rPr>
          <w:rFonts w:hint="eastAsia" w:ascii="宋体" w:hAnsi="宋体" w:eastAsia="宋体" w:cs="宋体"/>
          <w:b/>
          <w:bCs/>
          <w:color w:val="000000" w:themeColor="text1"/>
          <w:spacing w:val="0"/>
          <w:sz w:val="28"/>
          <w:szCs w:val="28"/>
          <w:highlight w:val="none"/>
          <w:lang w:eastAsia="zh-CN"/>
          <w14:textFill>
            <w14:solidFill>
              <w14:schemeClr w14:val="tx1"/>
            </w14:solidFill>
          </w14:textFill>
        </w:rPr>
        <w:t xml:space="preserve">五</w:t>
      </w:r>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w:t>
      </w:r>
      <w:r>
        <w:rPr>
          <w:rFonts w:hint="eastAsia" w:ascii="宋体" w:hAnsi="宋体" w:eastAsia="宋体" w:cs="宋体"/>
          <w:b/>
          <w:bCs/>
          <w:color w:val="000000" w:themeColor="text1"/>
          <w:spacing w:val="0"/>
          <w:sz w:val="28"/>
          <w:szCs w:val="28"/>
          <w:highlight w:val="none"/>
          <w:lang w:eastAsia="zh-CN"/>
          <w14:textFill>
            <w14:solidFill>
              <w14:schemeClr w14:val="tx1"/>
            </w14:solidFill>
          </w14:textFill>
        </w:rPr>
        <w:t xml:space="preserve">公告期限</w:t>
      </w:r>
      <w:bookmarkEnd w:id="38"/>
      <w:r/>
      <w:r/>
    </w:p>
    <w:p>
      <w:pPr>
        <w:ind w:firstLine="555"/>
        <w:keepLines w:val="0"/>
        <w:keepNext w:val="0"/>
        <w:pageBreakBefore w:val="0"/>
        <w:spacing w:line="49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sectPr>
          <w:headerReference w:type="default" r:id="rId12"/>
          <w:footerReference w:type="default" r:id="rId2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自本公告发布之日起5个工作日。</w:t>
      </w:r>
      <w:r/>
    </w:p>
    <w:p>
      <w:pPr>
        <w:keepLines w:val="0"/>
        <w:keepNext w:val="0"/>
        <w:pageBreakBefore w:val="0"/>
        <w:spacing w:line="49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39" w:name="_Toc28612"/>
      <w:r/>
      <w:bookmarkStart w:id="40" w:name="_Toc22015"/>
      <w:r/>
      <w:bookmarkStart w:id="41" w:name="_Toc22877"/>
      <w:r/>
      <w:bookmarkStart w:id="42" w:name="_Toc19905"/>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六、其他补充事宜</w:t>
      </w:r>
      <w:bookmarkEnd w:id="39"/>
      <w:r/>
      <w:bookmarkEnd w:id="40"/>
      <w:r/>
      <w:bookmarkEnd w:id="41"/>
      <w:r/>
      <w:bookmarkEnd w:id="42"/>
      <w:r/>
      <w:r/>
    </w:p>
    <w:p>
      <w:pPr>
        <w:pStyle w:val="1415"/>
        <w:ind w:left="0" w:right="0" w:firstLine="480"/>
        <w:jc w:val="left"/>
        <w:keepLines w:val="0"/>
        <w:keepNext w:val="0"/>
        <w:pageBreakBefore w:val="0"/>
        <w:spacing w:before="0" w:beforeAutospacing="0" w:after="0" w:afterAutospacing="0" w:line="490" w:lineRule="exact"/>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1.CA证书办理</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2.参与采购活动</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3.电子投标准备</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在系统操作过程中如有疑问，请按以下方式联系：</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注册咨询：18261002950；</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CA技术咨询电话：400-608-6099；</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签章使用问题：025-83633811、025-83633812、15380932027、15371015030；</w:t>
      </w:r>
      <w:r/>
    </w:p>
    <w:p>
      <w:pPr>
        <w:pStyle w:val="1415"/>
        <w:ind w:left="0" w:right="0" w:firstLine="482"/>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系统使用指导与咨询：13914088964、18261002950；QQ：3048755361、1315179389、895706745。</w:t>
      </w:r>
      <w:r/>
    </w:p>
    <w:p>
      <w:pPr>
        <w:pStyle w:val="1415"/>
        <w:ind w:left="0" w:right="0" w:firstLine="482"/>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请供应商确保电脑、系统及其他设备（视频输入输出设备等）无误，且开标直至项目结束始终保持系统在线状态。</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6.招标文件澄清或者修改内容的告知方式：招标文件的实质性变动或修改将在政府采购公告媒体网通知，投标人可自行下载。</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7.本次招标不收取投标保证金。</w:t>
      </w:r>
      <w:r/>
    </w:p>
    <w:p>
      <w:pPr>
        <w:pStyle w:val="1415"/>
        <w:ind w:left="0" w:right="0" w:firstLine="480"/>
        <w:jc w:val="left"/>
        <w:keepLines w:val="0"/>
        <w:keepNext w:val="0"/>
        <w:pageBreakBefore w:val="0"/>
        <w:spacing w:before="0" w:beforeAutospacing="0" w:after="0" w:afterAutospacing="0" w:line="490" w:lineRule="exact"/>
        <w:shd w:val="clear" w:color="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8.本项目不允许进口产品投标。</w:t>
      </w:r>
      <w:r/>
    </w:p>
    <w:p>
      <w:pPr>
        <w:keepLines w:val="0"/>
        <w:keepNext w:val="0"/>
        <w:pageBreakBefore w:val="0"/>
        <w:spacing w:line="490" w:lineRule="exact"/>
        <w:shd w:val="clear" w:color="auto"/>
        <w:widowControl w:val="off"/>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43" w:name="_Toc9938"/>
      <w:r/>
      <w:bookmarkStart w:id="44" w:name="_Toc301"/>
      <w:r/>
      <w:bookmarkStart w:id="45" w:name="_Toc6075"/>
      <w:r/>
      <w:bookmarkStart w:id="46" w:name="_Toc11460"/>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七、对本次招标提出询问，请按以下方式联系</w:t>
      </w:r>
      <w:bookmarkEnd w:id="43"/>
      <w:r/>
      <w:bookmarkEnd w:id="44"/>
      <w:r/>
      <w:bookmarkEnd w:id="45"/>
      <w:r/>
      <w:bookmarkEnd w:id="46"/>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1．采购人信息</w:t>
      </w:r>
      <w:r/>
    </w:p>
    <w:p>
      <w:pPr>
        <w:pStyle w:val="1415"/>
        <w:ind w:left="0" w:right="0" w:firstLine="482"/>
        <w:keepLines w:val="0"/>
        <w:keepNext w:val="0"/>
        <w:pageBreakBefore w:val="0"/>
        <w:spacing w:before="0" w:beforeAutospacing="0" w:after="0" w:afterAutospacing="0" w:line="490" w:lineRule="exact"/>
        <w:shd w:val="clear" w:color="auto"/>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单位名称：</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张家港市杨舍镇人民政府</w:t>
      </w:r>
      <w:r/>
    </w:p>
    <w:p>
      <w:pPr>
        <w:pStyle w:val="1415"/>
        <w:ind w:left="0" w:right="0" w:firstLine="482"/>
        <w:keepLines w:val="0"/>
        <w:keepNext w:val="0"/>
        <w:pageBreakBefore w:val="0"/>
        <w:spacing w:before="0" w:beforeAutospacing="0" w:after="0" w:afterAutospacing="0" w:line="490" w:lineRule="exact"/>
        <w:shd w:val="clear" w:color="auto"/>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单位地址：张家港市杨舍镇国泰南路9号</w:t>
      </w:r>
      <w:r/>
    </w:p>
    <w:p>
      <w:pPr>
        <w:pStyle w:val="1415"/>
        <w:ind w:left="0" w:right="0" w:firstLine="482"/>
        <w:keepLines w:val="0"/>
        <w:keepNext w:val="0"/>
        <w:pageBreakBefore w:val="0"/>
        <w:spacing w:before="0" w:beforeAutospacing="0" w:after="0" w:afterAutospacing="0" w:line="490" w:lineRule="exact"/>
        <w:shd w:val="clear" w:color="auto"/>
        <w:widowControl w:val="off"/>
        <w:rPr>
          <w:rFonts w:hint="default" w:ascii="宋体" w:hAnsi="宋体" w:eastAsia="宋体" w:cs="宋体"/>
          <w:color w:val="000000" w:themeColor="text1"/>
          <w:spacing w:val="0"/>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联系人：</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陈泉</w:t>
      </w:r>
      <w:r/>
    </w:p>
    <w:p>
      <w:pPr>
        <w:pStyle w:val="1415"/>
        <w:ind w:left="0" w:right="0" w:firstLine="482"/>
        <w:keepLines w:val="0"/>
        <w:keepNext w:val="0"/>
        <w:pageBreakBefore w:val="0"/>
        <w:spacing w:before="0" w:beforeAutospacing="0" w:after="0" w:afterAutospacing="0" w:line="490" w:lineRule="exact"/>
        <w:shd w:val="clear" w:color="auto"/>
        <w:widowControl w:val="off"/>
        <w:rPr>
          <w:rFonts w:hint="default" w:ascii="宋体" w:hAnsi="宋体" w:eastAsia="宋体" w:cs="宋体"/>
          <w:color w:val="000000" w:themeColor="text1"/>
          <w:spacing w:val="0"/>
          <w:sz w:val="24"/>
          <w:szCs w:val="24"/>
          <w:highlight w:val="yellow"/>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联系电话：</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 xml:space="preserve">0512-58292027</w:t>
      </w:r>
      <w:r/>
    </w:p>
    <w:p>
      <w:pPr>
        <w:ind w:firstLine="482"/>
        <w:jc w:val="left"/>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2．采购代理机构信息</w:t>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名称：</w:t>
      </w:r>
      <w:bookmarkStart w:id="47" w:name="EB87bd51c9d802413bae3fcd0e825858ca"/>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47"/>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地址：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张家港市长兴路13号1号楼2楼</w:t>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联系</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周子颖</w:t>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联系电话：</w:t>
      </w:r>
      <w:r>
        <w:rPr>
          <w:rFonts w:hint="eastAsia" w:ascii="宋体" w:hAnsi="宋体" w:eastAsia="宋体" w:cs="宋体"/>
          <w:color w:val="000000" w:themeColor="text1"/>
          <w:spacing w:val="0"/>
          <w:sz w:val="24"/>
          <w:szCs w:val="24"/>
          <w:highlight w:val="none"/>
          <w14:textFill>
            <w14:solidFill>
              <w14:schemeClr w14:val="tx1"/>
            </w14:solidFill>
          </w14:textFill>
        </w:rPr>
        <w:t xml:space="preserve">0512-58918185、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18260250207</w:t>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3．项目联系方式</w:t>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周子颖</w:t>
      </w:r>
      <w:r/>
    </w:p>
    <w:p>
      <w:pPr>
        <w:ind w:firstLine="482"/>
        <w:keepLines w:val="0"/>
        <w:keepNext w:val="0"/>
        <w:pageBreakBefore w:val="0"/>
        <w:spacing w:line="490" w:lineRule="exact"/>
        <w:shd w:val="clear" w:color="auto"/>
        <w:widowControl w:val="off"/>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电话：0512-58918185、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18260250207</w:t>
      </w:r>
      <w:r/>
    </w:p>
    <w:p>
      <w:pPr>
        <w:pStyle w:val="1234"/>
        <w:keepLines w:val="0"/>
        <w:keepNext w:val="0"/>
        <w:pageBreakBefore w:val="0"/>
        <w:spacing w:line="520" w:lineRule="exact"/>
        <w:shd w:val="clear" w:color="auto"/>
        <w:rPr>
          <w:rFonts w:hint="eastAsia" w:ascii="宋体" w:hAnsi="宋体" w:eastAsia="宋体" w:cs="宋体"/>
          <w:color w:val="000000" w:themeColor="text1"/>
          <w:spacing w:val="0"/>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pacing w:val="0"/>
          <w:highlight w:val="none"/>
          <w14:textFill>
            <w14:solidFill>
              <w14:schemeClr w14:val="tx1"/>
            </w14:solidFill>
          </w14:textFill>
        </w:rPr>
      </w:r>
      <w:r/>
    </w:p>
    <w:p>
      <w:pPr>
        <w:pStyle w:val="1420"/>
        <w:keepLines w:val="0"/>
        <w:keepNext w:val="0"/>
        <w:pageBreakBefore w:val="0"/>
        <w:spacing w:before="313" w:after="313" w:line="520" w:lineRule="exact"/>
        <w:shd w:val="clear" w:color="auto"/>
        <w:rPr>
          <w:rFonts w:hint="eastAsia" w:ascii="宋体" w:hAnsi="宋体" w:eastAsia="宋体" w:cs="宋体"/>
          <w:color w:val="000000" w:themeColor="text1"/>
          <w:spacing w:val="0"/>
          <w:highlight w:val="none"/>
          <w14:textFill>
            <w14:solidFill>
              <w14:schemeClr w14:val="tx1"/>
            </w14:solidFill>
          </w14:textFill>
        </w:rPr>
      </w:pPr>
      <w:r/>
      <w:bookmarkStart w:id="48" w:name="_Toc15313"/>
      <w:r/>
      <w:bookmarkStart w:id="49" w:name="_Toc35266019"/>
      <w:r/>
      <w:bookmarkStart w:id="50" w:name="_Toc54615238"/>
      <w:r/>
      <w:bookmarkStart w:id="51" w:name="_Toc38368119"/>
      <w:r/>
      <w:bookmarkStart w:id="52" w:name="_Toc2516"/>
      <w:r/>
      <w:bookmarkStart w:id="53" w:name="_Toc20167"/>
      <w:r/>
      <w:bookmarkStart w:id="54" w:name="_Toc9801"/>
      <w:r>
        <w:rPr>
          <w:rFonts w:hint="eastAsia" w:ascii="宋体" w:hAnsi="宋体" w:eastAsia="宋体" w:cs="宋体"/>
          <w:color w:val="000000" w:themeColor="text1"/>
          <w:spacing w:val="0"/>
          <w:highlight w:val="none"/>
          <w14:textFill>
            <w14:solidFill>
              <w14:schemeClr w14:val="tx1"/>
            </w14:solidFill>
          </w14:textFill>
        </w:rPr>
        <w:t xml:space="preserve">第二章  </w:t>
      </w:r>
      <w:bookmarkEnd w:id="15"/>
      <w:r/>
      <w:bookmarkStart w:id="55" w:name="_Toc120614213"/>
      <w:r/>
      <w:bookmarkStart w:id="56" w:name="_Toc20823274"/>
      <w:r/>
      <w:bookmarkStart w:id="57" w:name="_Toc16938518"/>
      <w:r/>
      <w:bookmarkStart w:id="58" w:name="_Toc513029202"/>
      <w:r>
        <w:rPr>
          <w:rFonts w:hint="eastAsia" w:ascii="宋体" w:hAnsi="宋体" w:eastAsia="宋体" w:cs="宋体"/>
          <w:color w:val="000000" w:themeColor="text1"/>
          <w:spacing w:val="0"/>
          <w:highlight w:val="none"/>
          <w14:textFill>
            <w14:solidFill>
              <w14:schemeClr w14:val="tx1"/>
            </w14:solidFill>
          </w14:textFill>
        </w:rPr>
        <w:t xml:space="preserve">投标人须知</w:t>
      </w:r>
      <w:bookmarkEnd w:id="48"/>
      <w:r/>
      <w:bookmarkEnd w:id="49"/>
      <w:r/>
      <w:bookmarkEnd w:id="50"/>
      <w:r/>
      <w:bookmarkEnd w:id="51"/>
      <w:r/>
      <w:bookmarkEnd w:id="52"/>
      <w:r/>
      <w:bookmarkEnd w:id="53"/>
      <w:r/>
      <w:bookmarkEnd w:id="54"/>
      <w:r/>
      <w:bookmarkEnd w:id="55"/>
      <w:r/>
      <w:bookmarkEnd w:id="56"/>
      <w:r/>
      <w:bookmarkEnd w:id="57"/>
      <w:r/>
      <w:bookmarkEnd w:id="58"/>
      <w:r/>
      <w:r/>
    </w:p>
    <w:p>
      <w:pPr>
        <w:keepLines w:val="0"/>
        <w:keepNext w:val="0"/>
        <w:pageBreakBefore w:val="0"/>
        <w:spacing w:line="52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59" w:name="_Toc38368120"/>
      <w:r/>
      <w:bookmarkStart w:id="60" w:name="_Toc513029203"/>
      <w:r/>
      <w:bookmarkStart w:id="61" w:name="_Toc814"/>
      <w:r/>
      <w:bookmarkStart w:id="62" w:name="_Toc7789"/>
      <w:r/>
      <w:bookmarkStart w:id="63" w:name="_Toc3250"/>
      <w:r/>
      <w:bookmarkStart w:id="64" w:name="_Toc120614214"/>
      <w:r/>
      <w:bookmarkStart w:id="65" w:name="_Toc9325"/>
      <w:r/>
      <w:bookmarkStart w:id="66" w:name="_Toc16938519"/>
      <w:r/>
      <w:bookmarkStart w:id="67" w:name="_Toc35266020"/>
      <w:r/>
      <w:bookmarkStart w:id="68" w:name="_Toc54615239"/>
      <w:r/>
      <w:bookmarkStart w:id="69" w:name="_Toc20823275"/>
      <w:r/>
      <w:bookmarkStart w:id="70" w:name="_Toc120614221"/>
      <w:r/>
      <w:bookmarkStart w:id="71" w:name="_Toc20823314"/>
      <w:r/>
      <w:bookmarkStart w:id="72" w:name="_Toc16938558"/>
      <w:r/>
      <w:bookmarkStart w:id="73" w:name="_Toc513029242"/>
      <w:r/>
      <w:bookmarkStart w:id="74" w:name="_Toc479757207"/>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一、总则</w:t>
      </w:r>
      <w:bookmarkEnd w:id="59"/>
      <w:r/>
      <w:bookmarkEnd w:id="60"/>
      <w:r/>
      <w:bookmarkEnd w:id="61"/>
      <w:r/>
      <w:bookmarkEnd w:id="62"/>
      <w:r/>
      <w:bookmarkEnd w:id="63"/>
      <w:r/>
      <w:bookmarkEnd w:id="64"/>
      <w:r/>
      <w:bookmarkEnd w:id="65"/>
      <w:r/>
      <w:bookmarkEnd w:id="66"/>
      <w:r/>
      <w:bookmarkEnd w:id="67"/>
      <w:r/>
      <w:bookmarkEnd w:id="68"/>
      <w:r/>
      <w:bookmarkEnd w:id="69"/>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bookmarkStart w:id="75" w:name="_Hlt16619475"/>
      <w:r/>
      <w:bookmarkEnd w:id="75"/>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1．招标方式</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1.1 本次招标采取公开招标方式，本招标文件仅适用于招标公告中所述项目。</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2．合格的投标人</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2.1 满足招标公告中投标人的资格要求的规定。</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2.2 满足本文件实质性要求的规定（本招标文件中斜体且有下划线部分为实质性要求）。</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3．适用法律</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3.1 本次招标及由此产生的合同受中华人民共和国有关的法律法规制约和保护。</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4．投标费用</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4.1 投标人应自行承担所有与参加投标有关的费用，无论投标过程中的做法和结果如何，苏州政合信咨询管理服务有限公司在任何情况下均无义务和责任承担这些费用。</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 本次招标采购代理机构收取代理服务费。</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4.2.1 本项目采购代理服务费由中标人支付。</w:t>
      </w:r>
      <w:r/>
    </w:p>
    <w:p>
      <w:pPr>
        <w:pStyle w:val="1424"/>
        <w:ind w:firstLine="480"/>
        <w:keepLines w:val="0"/>
        <w:keepNext w:val="0"/>
        <w:pageBreakBefore w:val="0"/>
        <w:spacing w:line="520" w:lineRule="exact"/>
        <w:shd w:val="clear" w:color="auto"/>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4.2.2 代理费用收取方式：公对公转账。</w:t>
      </w:r>
      <w:r/>
    </w:p>
    <w:p>
      <w:pPr>
        <w:pStyle w:val="1424"/>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4.2.3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收代理服务收费标准及金额：为了乘航片区（乘航社区、江南社区）开放区域保洁及片区城市管理服务项目更高效的开展，代理服务费由投标单位自行考虑在投标报价内。以预算金额的0.77%收取，也即11550元，该费用由中标人在签订合同前向采购代理机构一次性付清。中标人如果未按规定缴纳代理服务费，采购代理机构将保留诉讼的权利。</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5．招标文件的约束力</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5.1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投标人一旦在</w:t>
      </w:r>
      <w:r>
        <w:rPr>
          <w:rFonts w:hint="eastAsia" w:ascii="宋体" w:hAnsi="宋体" w:eastAsia="宋体" w:cs="宋体"/>
          <w:color w:val="000000" w:themeColor="text1"/>
          <w:spacing w:val="0"/>
          <w:sz w:val="24"/>
          <w:highlight w:val="none"/>
          <w14:textFill>
            <w14:solidFill>
              <w14:schemeClr w14:val="tx1"/>
            </w14:solidFill>
          </w14:textFill>
        </w:rPr>
        <w:t xml:space="preserve">“苏采云”系统</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下载本招标文件决定参加投标，即被认为接受了本招标文件的规定和约束，并且视为已经知道或应当知道自身权益是否受到了损害。</w:t>
      </w:r>
      <w:r/>
    </w:p>
    <w:p>
      <w:pPr>
        <w:keepLines w:val="0"/>
        <w:keepNext w:val="0"/>
        <w:pageBreakBefore w:val="0"/>
        <w:spacing w:line="52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76" w:name="_Toc13675"/>
      <w:r/>
      <w:bookmarkStart w:id="77" w:name="_Toc2910"/>
      <w:r/>
      <w:bookmarkStart w:id="78" w:name="_Toc1874"/>
      <w:r/>
      <w:bookmarkStart w:id="79" w:name="_Toc20823281"/>
      <w:r/>
      <w:bookmarkStart w:id="80" w:name="_Toc1197"/>
      <w:r/>
      <w:bookmarkStart w:id="81" w:name="_Toc16938525"/>
      <w:r/>
      <w:bookmarkStart w:id="82" w:name="_Toc120614215"/>
      <w:r/>
      <w:bookmarkStart w:id="83" w:name="_Toc35266021"/>
      <w:r/>
      <w:bookmarkStart w:id="84" w:name="_Toc38368121"/>
      <w:r/>
      <w:bookmarkStart w:id="85" w:name="_Toc54615240"/>
      <w:r/>
      <w:bookmarkStart w:id="86" w:name="_Toc513029209"/>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二、招标文件</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87" w:name="_Toc513029210"/>
      <w:r/>
      <w:bookmarkStart w:id="88" w:name="_Toc16938526"/>
      <w:r/>
      <w:bookmarkStart w:id="89" w:name="_Toc20823282"/>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6．招标文件构成</w:t>
      </w:r>
      <w:bookmarkEnd w:id="87"/>
      <w:r/>
      <w:bookmarkEnd w:id="88"/>
      <w:r/>
      <w:bookmarkEnd w:id="89"/>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6.1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招标文件</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由</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以下部分组成：</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（1）投标邀请</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（2）投标人须知</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（3）合同条款及格式</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（4）项目需求</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（5）评标方法与评标标准</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（6）投标文件格式</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请仔细检查招标文件是否齐全，如有缺漏请立即与</w:t>
      </w:r>
      <w:bookmarkStart w:id="90" w:name="EBbdde166065d14b62851231a61e89e609"/>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90"/>
      <w:r>
        <w:rPr>
          <w:rFonts w:hint="eastAsia" w:ascii="宋体" w:hAnsi="宋体" w:eastAsia="宋体" w:cs="宋体"/>
          <w:color w:val="000000" w:themeColor="text1"/>
          <w:spacing w:val="0"/>
          <w:sz w:val="24"/>
          <w:szCs w:val="24"/>
          <w:highlight w:val="none"/>
          <w14:textFill>
            <w14:solidFill>
              <w14:schemeClr w14:val="tx1"/>
            </w14:solidFill>
          </w14:textFill>
        </w:rPr>
        <w:t xml:space="preserve">联系解决。</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6.2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91" w:name="_Toc20823284"/>
      <w:r/>
      <w:bookmarkStart w:id="92" w:name="_Toc16938528"/>
      <w:r/>
      <w:bookmarkStart w:id="93" w:name="_Toc462564071"/>
      <w:r/>
      <w:bookmarkStart w:id="94" w:name="_Toc513029212"/>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7．招标文件的澄清或修改</w:t>
      </w:r>
      <w:bookmarkEnd w:id="91"/>
      <w:r/>
      <w:bookmarkEnd w:id="92"/>
      <w:r/>
      <w:bookmarkEnd w:id="93"/>
      <w:r/>
      <w:bookmarkEnd w:id="94"/>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7.1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在投标截止时间前。</w:t>
      </w:r>
      <w:bookmarkStart w:id="95" w:name="EBeec936f32a574d52a4992a8b94773f89"/>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95"/>
      <w:r>
        <w:rPr>
          <w:rFonts w:hint="eastAsia" w:ascii="宋体" w:hAnsi="宋体" w:eastAsia="宋体" w:cs="宋体"/>
          <w:color w:val="000000" w:themeColor="text1"/>
          <w:spacing w:val="0"/>
          <w:sz w:val="24"/>
          <w:szCs w:val="24"/>
          <w:highlight w:val="none"/>
          <w14:textFill>
            <w14:solidFill>
              <w14:schemeClr w14:val="tx1"/>
            </w14:solidFill>
          </w14:textFill>
        </w:rPr>
        <w:t xml:space="preserve">可以对招标文件进行澄清或修改。</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7.2</w:t>
      </w:r>
      <w:bookmarkStart w:id="96" w:name="EB14f04c7329d342c2b5d53bfcbbeaa167"/>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96"/>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有权按照法定的要求推迟投标截止日期和开标日期。</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7.3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97" w:name="_Toc23101"/>
      <w:r/>
      <w:bookmarkStart w:id="98" w:name="_Toc54615241"/>
      <w:r/>
      <w:bookmarkStart w:id="99" w:name="_Toc1244"/>
      <w:r/>
      <w:bookmarkStart w:id="100" w:name="_Toc30626"/>
      <w:r/>
      <w:bookmarkStart w:id="101" w:name="_Toc20823285"/>
      <w:r/>
      <w:bookmarkStart w:id="102" w:name="_Toc38368122"/>
      <w:r/>
      <w:bookmarkStart w:id="103" w:name="_Toc513029213"/>
      <w:r/>
      <w:bookmarkStart w:id="104" w:name="_Toc462564072"/>
      <w:r/>
      <w:bookmarkStart w:id="105" w:name="_Toc35266022"/>
      <w:r/>
      <w:bookmarkStart w:id="106" w:name="_Toc16938529"/>
      <w:r/>
      <w:bookmarkStart w:id="107" w:name="_Toc9411"/>
      <w:r/>
      <w:bookmarkStart w:id="108" w:name="_Toc120614216"/>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三、投标文件的编制</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09" w:name="_Toc462564073"/>
      <w:r/>
      <w:bookmarkStart w:id="110" w:name="_Toc16938530"/>
      <w:r/>
      <w:bookmarkStart w:id="111" w:name="_Toc513029214"/>
      <w:r/>
      <w:bookmarkStart w:id="112" w:name="_Toc20823286"/>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8．投标文件的语言及度量衡单位</w:t>
      </w:r>
      <w:bookmarkEnd w:id="109"/>
      <w:r/>
      <w:bookmarkEnd w:id="110"/>
      <w:r/>
      <w:bookmarkEnd w:id="111"/>
      <w:r/>
      <w:bookmarkEnd w:id="112"/>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8.1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投标人提交的投标文件以及投标人与</w:t>
      </w:r>
      <w:bookmarkStart w:id="113" w:name="EB93850d2cac274df984aa2f93878c3cfe"/>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113"/>
      <w:r>
        <w:rPr>
          <w:rFonts w:hint="eastAsia" w:ascii="宋体" w:hAnsi="宋体" w:eastAsia="宋体" w:cs="宋体"/>
          <w:color w:val="000000" w:themeColor="text1"/>
          <w:spacing w:val="0"/>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简体中文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8.2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除技术性能另有规定外，投标文件所使用的度量衡单位，均须采用国家法定计量单位。</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14" w:name="_Toc16938531"/>
      <w:r/>
      <w:bookmarkStart w:id="115" w:name="_Toc513029215"/>
      <w:r/>
      <w:bookmarkStart w:id="116" w:name="_Toc20823287"/>
      <w:r/>
      <w:bookmarkStart w:id="117" w:name="_Toc462564074"/>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9．投标文件构成</w:t>
      </w:r>
      <w:bookmarkEnd w:id="114"/>
      <w:r/>
      <w:bookmarkEnd w:id="115"/>
      <w:r/>
      <w:bookmarkEnd w:id="116"/>
      <w:r/>
      <w:bookmarkEnd w:id="117"/>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9.1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投标人编写的投标文件应包括投标函、开标一览表、资格证明文件、技术人员介绍、第四章项目需求中实质性要求响应对照表、技术及服务方案、技术要求响应及偏离表、商务</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条款</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响应及偏离表投标人情况介绍等部分。</w:t>
      </w:r>
      <w:r/>
    </w:p>
    <w:p>
      <w:pPr>
        <w:ind w:firstLine="480"/>
        <w:keepLines w:val="0"/>
        <w:keepNext w:val="0"/>
        <w:pageBreakBefore w:val="0"/>
        <w:spacing w:line="520" w:lineRule="exact"/>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9.2</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18" w:name="_Hlt26670360"/>
      <w:r/>
      <w:bookmarkEnd w:id="118"/>
      <w:r/>
      <w:bookmarkStart w:id="119" w:name="_Hlt26954838"/>
      <w:r/>
      <w:bookmarkEnd w:id="119"/>
      <w:r/>
      <w:bookmarkStart w:id="120" w:name="_Hlt26668975"/>
      <w:r/>
      <w:bookmarkEnd w:id="120"/>
      <w:r/>
      <w:bookmarkStart w:id="121" w:name="_Toc513029219"/>
      <w:r/>
      <w:bookmarkStart w:id="122" w:name="_Toc49090509"/>
      <w:r/>
      <w:bookmarkStart w:id="123" w:name="_Toc14577357"/>
      <w:r/>
      <w:bookmarkStart w:id="124" w:name="_Toc513029216"/>
      <w:r/>
      <w:bookmarkStart w:id="125" w:name="_Toc49090507"/>
      <w:r/>
      <w:bookmarkStart w:id="126" w:name="_Toc14577354"/>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10．投标函和开标一览表</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10.1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投标人应按照招标文件中提供的格式完整、正确填写投标函、开标一览表。</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10.2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11．投标人资格证明文件</w:t>
      </w:r>
      <w:bookmarkEnd w:id="121"/>
      <w:r/>
      <w:bookmarkEnd w:id="122"/>
      <w:r/>
      <w:bookmarkEnd w:id="123"/>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11.1</w:t>
      </w:r>
      <w:bookmarkStart w:id="127" w:name="_Hlt26668999"/>
      <w:r/>
      <w:bookmarkEnd w:id="127"/>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投标人应按招标文件的要求提交资格证明文件。</w:t>
      </w:r>
      <w:bookmarkEnd w:id="124"/>
      <w:r/>
      <w:bookmarkEnd w:id="125"/>
      <w:r/>
      <w:bookmarkEnd w:id="126"/>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28" w:name="_Toc49090508"/>
      <w:r/>
      <w:bookmarkStart w:id="129" w:name="_Toc14577355"/>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12</w:t>
      </w:r>
      <w:bookmarkEnd w:id="128"/>
      <w:r/>
      <w:bookmarkEnd w:id="129"/>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．投标配置与分项报价表（或经费测算表）</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12.1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pacing w:val="0"/>
          <w:sz w:val="24"/>
          <w:szCs w:val="24"/>
          <w:highlight w:val="none"/>
          <w14:textFill>
            <w14:solidFill>
              <w14:schemeClr w14:val="tx1"/>
            </w14:solidFill>
          </w14:textFill>
        </w:rPr>
        <w:t xml:space="preserve">投标人应按照招标文件规定格式填报。每项货物和服务等只允许有一个报价。</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12.2 标的物</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12.2.1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采购人需求的有关服务等。</w:t>
      </w:r>
      <w:r/>
    </w:p>
    <w:p>
      <w:pPr>
        <w:pStyle w:val="1419"/>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12.2.2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12.3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投标货币</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投标文件中的货物</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服务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单价和总价无特殊规定的采用人民币报价，以元为</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单位标注。招标文件中另有规定的按规定执行。</w:t>
      </w:r>
      <w:r/>
    </w:p>
    <w:p>
      <w:pPr>
        <w:pStyle w:val="1426"/>
        <w:ind w:firstLine="508"/>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bookmarkStart w:id="130" w:name="EB8486dd9157984dc9aa62437fb6aa6f0f"/>
      <w:r/>
      <w:bookmarkEnd w:id="130"/>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12.5 本报价必须充分考虑所有可能影响到报价的价格因素，一旦投标结束最终成交，如发生漏、缺、少项，都将被认为是中标人的报价让利行为。</w:t>
      </w:r>
      <w:bookmarkStart w:id="131" w:name="_Hlt26670486"/>
      <w:r/>
      <w:bookmarkEnd w:id="131"/>
      <w:r/>
      <w:bookmarkStart w:id="132" w:name="_Hlt26954731"/>
      <w:r/>
      <w:bookmarkEnd w:id="132"/>
      <w:r/>
      <w:bookmarkStart w:id="133" w:name="_Hlt26954848"/>
      <w:r/>
      <w:bookmarkEnd w:id="133"/>
      <w:r/>
      <w:bookmarkStart w:id="134" w:name="_Hlt26670482"/>
      <w:r/>
      <w:bookmarkEnd w:id="134"/>
      <w:r/>
      <w:bookmarkStart w:id="135" w:name="_Hlt26954846"/>
      <w:r/>
      <w:bookmarkEnd w:id="135"/>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36" w:name="_Toc14577359"/>
      <w:r/>
      <w:bookmarkStart w:id="137" w:name="_Toc49090510"/>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13．技术及服务方案</w:t>
      </w:r>
      <w:r/>
    </w:p>
    <w:p>
      <w:pPr>
        <w:pStyle w:val="1427"/>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13.1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根据自己对需求的理解撰写需求分析和服务方案。</w:t>
      </w:r>
      <w:r/>
    </w:p>
    <w:p>
      <w:pPr>
        <w:pStyle w:val="1427"/>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13.2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14．技术要求响应及偏离表、商务条款响应及偏离表</w:t>
      </w:r>
      <w:r/>
    </w:p>
    <w:p>
      <w:pPr>
        <w:pStyle w:val="1428"/>
        <w:ind w:firstLine="480"/>
        <w:keepLines w:val="0"/>
        <w:keepNext w:val="0"/>
        <w:pageBreakBefore w:val="0"/>
        <w:spacing w:line="520" w:lineRule="exact"/>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14.1 投标人需对招标文件中的技术要求与商务条款逐项作出响应或偏离，并说明原因。</w:t>
      </w:r>
      <w:r/>
    </w:p>
    <w:p>
      <w:pPr>
        <w:pStyle w:val="1428"/>
        <w:ind w:firstLine="480"/>
        <w:keepLines w:val="0"/>
        <w:keepNext w:val="0"/>
        <w:pageBreakBefore w:val="0"/>
        <w:spacing w:line="520" w:lineRule="exact"/>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14.2 投标人可在电子投标文件中提供认为需要的其他技术文件或说明。</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15．投标人情况介绍</w:t>
      </w:r>
      <w:r/>
    </w:p>
    <w:p>
      <w:pPr>
        <w:pStyle w:val="1428"/>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15.1 投标人的总体情况应在电子投标文件中作出说明。</w:t>
      </w:r>
      <w:bookmarkEnd w:id="136"/>
      <w:r/>
      <w:bookmarkEnd w:id="137"/>
      <w:r/>
      <w:bookmarkStart w:id="138" w:name="EBf6e5e332cb7245ab8f3a9801503c122b"/>
      <w:r/>
      <w:bookmarkEnd w:id="138"/>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39" w:name="_Hlt26954850"/>
      <w:r/>
      <w:bookmarkEnd w:id="139"/>
      <w:r/>
      <w:bookmarkStart w:id="140" w:name="_Hlt26954734"/>
      <w:r/>
      <w:bookmarkEnd w:id="140"/>
      <w:r/>
      <w:bookmarkStart w:id="141" w:name="_Hlt26670489"/>
      <w:r/>
      <w:bookmarkEnd w:id="141"/>
      <w:r/>
      <w:bookmarkStart w:id="142" w:name="_Toc14577360"/>
      <w:r/>
      <w:bookmarkStart w:id="143" w:name="_Toc49090511"/>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16．投标保证金</w:t>
      </w:r>
      <w:r/>
    </w:p>
    <w:p>
      <w:pPr>
        <w:pStyle w:val="1427"/>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本次招标不收取投标保证金。</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17．投标有效期</w:t>
      </w:r>
      <w:bookmarkEnd w:id="142"/>
      <w:r/>
      <w:bookmarkEnd w:id="143"/>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17.1</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 投标有效期为</w:t>
      </w:r>
      <w:bookmarkStart w:id="144" w:name="EB42bffacbc3774d8f9be92be41fabfc13"/>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144"/>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规定的开标之日后</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九十（90）天</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。投标有效期比规定短的将被视为非响应性投标而予以拒绝。</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17.2</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 在特殊情况下，</w:t>
      </w:r>
      <w:bookmarkStart w:id="145" w:name="EB1a73f2f6d8ff43b6a705c8d1929594b0"/>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145"/>
      <w:r>
        <w:rPr>
          <w:rFonts w:hint="eastAsia" w:ascii="宋体" w:hAnsi="宋体" w:eastAsia="宋体" w:cs="宋体"/>
          <w:bCs/>
          <w:color w:val="000000" w:themeColor="text1"/>
          <w:spacing w:val="0"/>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bookmarkStart w:id="146" w:name="EBcd0282bdfe9441e3bba982eac64d1aaa"/>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146"/>
      <w:r>
        <w:rPr>
          <w:rFonts w:hint="eastAsia" w:ascii="宋体" w:hAnsi="宋体" w:eastAsia="宋体" w:cs="宋体"/>
          <w:bCs/>
          <w:color w:val="000000" w:themeColor="text1"/>
          <w:spacing w:val="0"/>
          <w:sz w:val="24"/>
          <w:szCs w:val="24"/>
          <w:highlight w:val="none"/>
          <w14:textFill>
            <w14:solidFill>
              <w14:schemeClr w14:val="tx1"/>
            </w14:solidFill>
          </w14:textFill>
        </w:rPr>
        <w:t xml:space="preserve">的这一要求而放弃投标</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同意延长投标有效期的投标人既不能要求也不允许修改其投标文件。</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18．投标文件的签署</w:t>
      </w:r>
      <w:r/>
    </w:p>
    <w:p>
      <w:pPr>
        <w:pStyle w:val="1429"/>
        <w:ind w:firstLine="508"/>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18.1 本招标文件所表述（指定）的公章是指法定名称章，不包括合同专用章、业务专用章等印章。</w:t>
      </w:r>
      <w:bookmarkStart w:id="147" w:name="_Hlt26954739"/>
      <w:r/>
      <w:bookmarkEnd w:id="147"/>
      <w:r/>
      <w:bookmarkStart w:id="148" w:name="_Hlt26954852"/>
      <w:r/>
      <w:bookmarkEnd w:id="148"/>
      <w:r/>
      <w:bookmarkStart w:id="149" w:name="EBfdb2e00cf1ee477a9cdb47d13b603829"/>
      <w:r/>
      <w:bookmarkEnd w:id="149"/>
      <w:r/>
      <w:r/>
    </w:p>
    <w:p>
      <w:pPr>
        <w:keepLines w:val="0"/>
        <w:keepNext w:val="0"/>
        <w:pageBreakBefore w:val="0"/>
        <w:spacing w:line="52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50" w:name="_Toc28778"/>
      <w:r/>
      <w:bookmarkStart w:id="151" w:name="_Toc7951"/>
      <w:r/>
      <w:bookmarkStart w:id="152" w:name="_Toc32209"/>
      <w:r/>
      <w:bookmarkStart w:id="153" w:name="_Toc25009"/>
      <w:r/>
      <w:bookmarkStart w:id="154" w:name="_Toc35266023"/>
      <w:r/>
      <w:bookmarkStart w:id="155" w:name="_Toc6389296"/>
      <w:r/>
      <w:bookmarkStart w:id="156" w:name="_Toc54615242"/>
      <w:r/>
      <w:bookmarkStart w:id="157" w:name="_Toc38368123"/>
      <w:r/>
      <w:bookmarkStart w:id="158" w:name="_Toc6388848"/>
      <w:r/>
      <w:bookmarkStart w:id="159" w:name="_Toc120614217"/>
      <w:r/>
      <w:bookmarkStart w:id="160" w:name="_Toc513029224"/>
      <w:r/>
      <w:bookmarkStart w:id="161" w:name="_Toc20823296"/>
      <w:r/>
      <w:bookmarkStart w:id="162" w:name="_Toc16938540"/>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四、投标文件的制作、上传、递交</w:t>
      </w:r>
      <w:bookmarkEnd w:id="150"/>
      <w:r/>
      <w:bookmarkEnd w:id="151"/>
      <w:r/>
      <w:bookmarkEnd w:id="152"/>
      <w:r/>
      <w:bookmarkEnd w:id="153"/>
      <w:r/>
      <w:bookmarkEnd w:id="154"/>
      <w:r/>
      <w:bookmarkEnd w:id="155"/>
      <w:r/>
      <w:bookmarkEnd w:id="156"/>
      <w:r/>
      <w:bookmarkEnd w:id="157"/>
      <w:r/>
      <w:bookmarkEnd w:id="158"/>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19．投标文件的递交</w:t>
      </w:r>
      <w:r/>
    </w:p>
    <w:p>
      <w:pPr>
        <w:pStyle w:val="1430"/>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19.1 电子投标文件的递交</w:t>
      </w:r>
      <w:r/>
    </w:p>
    <w:p>
      <w:pPr>
        <w:pStyle w:val="1430"/>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投标人应当按照《操作手册》规定，在投标截止时间前制作并上传电子投标文件。</w:t>
      </w:r>
      <w:bookmarkStart w:id="163" w:name="EB5e78b12e89984a20ab881c475623475b"/>
      <w:r/>
      <w:bookmarkEnd w:id="163"/>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64" w:name="_Toc6388850"/>
      <w:r/>
      <w:bookmarkStart w:id="165" w:name="_Toc6389298"/>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20．投标截止</w:t>
      </w:r>
      <w:bookmarkEnd w:id="164"/>
      <w:r/>
      <w:bookmarkEnd w:id="165"/>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时间</w:t>
      </w:r>
      <w:r/>
    </w:p>
    <w:p>
      <w:pPr>
        <w:pStyle w:val="1431"/>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20.1 投标人上传电子投标文件的时间不得迟于招标公告中规定的投标截止时间。</w:t>
      </w:r>
      <w:r/>
    </w:p>
    <w:p>
      <w:pPr>
        <w:pStyle w:val="1431"/>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bookmarkStart w:id="166" w:name="EB4c6421107b4c4e38bf2769d0237905a7"/>
      <w:r/>
      <w:bookmarkEnd w:id="166"/>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67" w:name="_Toc6389299"/>
      <w:r/>
      <w:bookmarkStart w:id="168" w:name="_Toc6388851"/>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21</w:t>
      </w:r>
      <w:bookmarkEnd w:id="167"/>
      <w:r/>
      <w:bookmarkEnd w:id="168"/>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．投标文件的拒收</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21.1</w:t>
      </w:r>
      <w:bookmarkStart w:id="169" w:name="EBfffe463a2deb4e7cad93cb8e37ffda5e"/>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169"/>
      <w:r>
        <w:rPr>
          <w:rFonts w:hint="eastAsia" w:ascii="宋体" w:hAnsi="宋体" w:eastAsia="宋体" w:cs="宋体"/>
          <w:color w:val="000000" w:themeColor="text1"/>
          <w:spacing w:val="0"/>
          <w:sz w:val="24"/>
          <w:szCs w:val="24"/>
          <w:highlight w:val="none"/>
          <w14:textFill>
            <w14:solidFill>
              <w14:schemeClr w14:val="tx1"/>
            </w14:solidFill>
          </w14:textFill>
        </w:rPr>
        <w:t xml:space="preserve">拒绝接收在其规定的投标截止时间后递交的任何投标文件。</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70" w:name="_Toc6389300"/>
      <w:r/>
      <w:bookmarkStart w:id="171" w:name="_Toc6388852"/>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22．投标文件的修改和撤回</w:t>
      </w:r>
      <w:bookmarkEnd w:id="170"/>
      <w:r/>
      <w:bookmarkEnd w:id="171"/>
      <w:r/>
      <w:r/>
    </w:p>
    <w:p>
      <w:pPr>
        <w:pStyle w:val="1432"/>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22.1 投标人在递交投标文件后，可以修改或撤回其投标文件，但这种修改和撤回，必须在规定的投标截止时间前，具体操作方法见《操作手册》。</w:t>
      </w:r>
      <w:r/>
    </w:p>
    <w:p>
      <w:pPr>
        <w:pStyle w:val="1432"/>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22.2 投标人撤回电子投标文件，则认为其不再参与本项目投标活动。</w:t>
      </w:r>
      <w:r/>
    </w:p>
    <w:p>
      <w:pPr>
        <w:pStyle w:val="1432"/>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22.3 在投标截止时间之后，投标人不得对其电子投标文件作任何修改。</w:t>
      </w:r>
      <w:r/>
    </w:p>
    <w:p>
      <w:pPr>
        <w:pStyle w:val="1432"/>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22.4 在投标截止时间至招标文件中规定的投标有效期满之间的这段时间内，投标人不得撤销其投标。</w:t>
      </w:r>
      <w:r/>
    </w:p>
    <w:p>
      <w:pPr>
        <w:pStyle w:val="1432"/>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22.5 不论投标人中标与否，投标文件均不退回。</w:t>
      </w:r>
      <w:bookmarkEnd w:id="159"/>
      <w:r/>
      <w:bookmarkEnd w:id="160"/>
      <w:r/>
      <w:bookmarkEnd w:id="161"/>
      <w:r/>
      <w:bookmarkEnd w:id="162"/>
      <w:r/>
      <w:bookmarkStart w:id="172" w:name="EB7c302f080cf342679641097daf23b42b"/>
      <w:r/>
      <w:bookmarkEnd w:id="172"/>
      <w:r/>
      <w:r/>
    </w:p>
    <w:p>
      <w:pPr>
        <w:keepLines w:val="0"/>
        <w:keepNext w:val="0"/>
        <w:pageBreakBefore w:val="0"/>
        <w:spacing w:line="52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173" w:name="_Toc15158"/>
      <w:r/>
      <w:bookmarkStart w:id="174" w:name="_Toc20823301"/>
      <w:r/>
      <w:bookmarkStart w:id="175" w:name="_Toc17903"/>
      <w:r/>
      <w:bookmarkStart w:id="176" w:name="_Toc35266024"/>
      <w:r/>
      <w:bookmarkStart w:id="177" w:name="_Toc513029229"/>
      <w:r/>
      <w:bookmarkStart w:id="178" w:name="_Toc54615243"/>
      <w:r/>
      <w:bookmarkStart w:id="179" w:name="_Toc120614218"/>
      <w:r/>
      <w:bookmarkStart w:id="180" w:name="_Toc16938545"/>
      <w:r/>
      <w:bookmarkStart w:id="181" w:name="_Toc29753"/>
      <w:r/>
      <w:bookmarkStart w:id="182" w:name="_Toc38368124"/>
      <w:r/>
      <w:bookmarkStart w:id="183" w:name="_Toc7565"/>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五、开标与评标</w:t>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84" w:name="_Toc16938546"/>
      <w:r/>
      <w:bookmarkStart w:id="185" w:name="_Toc20823302"/>
      <w:r/>
      <w:bookmarkStart w:id="186" w:name="_Toc513029230"/>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23．开标</w:t>
      </w:r>
      <w:bookmarkEnd w:id="184"/>
      <w:r/>
      <w:bookmarkEnd w:id="185"/>
      <w:r/>
      <w:bookmarkEnd w:id="186"/>
      <w:r/>
      <w:r/>
    </w:p>
    <w:p>
      <w:pPr>
        <w:pStyle w:val="1433"/>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433"/>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23.2 </w:t>
      </w:r>
      <w:bookmarkStart w:id="187" w:name="_Toc20823303"/>
      <w:r/>
      <w:bookmarkStart w:id="188" w:name="_Toc16938547"/>
      <w:r/>
      <w:bookmarkStart w:id="189" w:name="_Toc513029231"/>
      <w:r>
        <w:rPr>
          <w:rStyle w:val="1417"/>
          <w:rFonts w:hint="eastAsia" w:ascii="宋体" w:hAnsi="宋体" w:eastAsia="宋体" w:cs="宋体"/>
          <w:b w:val="0"/>
          <w:color w:val="000000" w:themeColor="text1"/>
          <w:spacing w:val="0"/>
          <w:sz w:val="24"/>
          <w:highlight w:val="none"/>
          <w14:textFill>
            <w14:solidFill>
              <w14:schemeClr w14:val="tx1"/>
            </w14:solidFill>
          </w14:textFill>
        </w:rPr>
        <w:t xml:space="preserve">开标时，由</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r>
        <w:rPr>
          <w:rStyle w:val="1417"/>
          <w:rFonts w:hint="eastAsia" w:ascii="宋体" w:hAnsi="宋体" w:eastAsia="宋体" w:cs="宋体"/>
          <w:b w:val="0"/>
          <w:color w:val="000000" w:themeColor="text1"/>
          <w:spacing w:val="0"/>
          <w:sz w:val="24"/>
          <w:highlight w:val="none"/>
          <w14:textFill>
            <w14:solidFill>
              <w14:schemeClr w14:val="tx1"/>
            </w14:solidFill>
          </w14:textFill>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24．评标委员会</w:t>
      </w:r>
      <w:r/>
    </w:p>
    <w:p>
      <w:pPr>
        <w:ind w:firstLine="480"/>
        <w:keepLines w:val="0"/>
        <w:keepNext w:val="0"/>
        <w:pageBreakBefore w:val="0"/>
        <w:spacing w:line="520" w:lineRule="exact"/>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开标后，</w:t>
      </w:r>
      <w:bookmarkStart w:id="190" w:name="EBd93f728e80de47e5afd77299c0ffdfa6"/>
      <w:r>
        <w:rPr>
          <w:rFonts w:hint="eastAsia" w:ascii="宋体" w:hAnsi="宋体" w:eastAsia="宋体" w:cs="宋体"/>
          <w:color w:val="000000" w:themeColor="text1"/>
          <w:spacing w:val="0"/>
          <w:sz w:val="24"/>
          <w:szCs w:val="24"/>
          <w:highlight w:val="none"/>
          <w14:textFill>
            <w14:solidFill>
              <w14:schemeClr w14:val="tx1"/>
            </w14:solidFill>
          </w14:textFill>
        </w:rPr>
        <w:t xml:space="preserve">苏州政合信咨询管理服务有限公司</w:t>
      </w:r>
      <w:bookmarkEnd w:id="190"/>
      <w:r>
        <w:rPr>
          <w:rFonts w:hint="eastAsia" w:ascii="宋体" w:hAnsi="宋体" w:eastAsia="宋体" w:cs="宋体"/>
          <w:color w:val="000000" w:themeColor="text1"/>
          <w:spacing w:val="0"/>
          <w:sz w:val="24"/>
          <w:szCs w:val="24"/>
          <w:highlight w:val="none"/>
          <w14:textFill>
            <w14:solidFill>
              <w14:schemeClr w14:val="tx1"/>
            </w14:solidFill>
          </w14:textFill>
        </w:rPr>
        <w:t xml:space="preserve">将立即组织评标委员会（以下简称评委会）进行评标。</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24.2 评委会由评审专家、采购人代表组成，且人员构成符合政府采购有关规定。</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24.4</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评委会将对投标人的商业、技术秘密予以保密。</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25．评标过程的保密</w:t>
      </w:r>
      <w:bookmarkEnd w:id="187"/>
      <w:r/>
      <w:bookmarkEnd w:id="188"/>
      <w:r/>
      <w:bookmarkEnd w:id="189"/>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与公正</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25.1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25.2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在评标过程中，如果投标人试图向</w:t>
      </w:r>
      <w:bookmarkStart w:id="191" w:name="EB8495c46e8cb146ec80ae8c0f7928221c"/>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苏州政合信咨询管理服务有限公司</w:t>
      </w:r>
      <w:bookmarkEnd w:id="191"/>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和参与评标的人员施加任何影响，都将会导致其投标被拒绝。</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bookmarkStart w:id="192" w:name="_Toc16938548"/>
      <w:r/>
      <w:bookmarkStart w:id="193" w:name="_Toc513029232"/>
      <w:r/>
      <w:bookmarkStart w:id="194" w:name="_Toc20823304"/>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26．投标的澄清</w:t>
      </w:r>
      <w:bookmarkEnd w:id="192"/>
      <w:r/>
      <w:bookmarkEnd w:id="193"/>
      <w:r/>
      <w:bookmarkEnd w:id="194"/>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.1评标期间，为有助于对投标文件的审查、评价和比较，评委会有权要求投标人对其投标文件进行澄清，但并非对每个投标人都作澄清要求。</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pPr>
      <w:r>
        <w:rPr>
          <w:rFonts w:hint="eastAsia" w:ascii="宋体" w:hAnsi="宋体" w:eastAsia="宋体" w:cs="宋体"/>
          <w:b/>
          <w:bCs w:val="0"/>
          <w:color w:val="000000" w:themeColor="text1"/>
          <w:spacing w:val="0"/>
          <w:sz w:val="24"/>
          <w:szCs w:val="24"/>
          <w:highlight w:val="none"/>
          <w:lang w:val="zh-CN" w:eastAsia="zh-CN"/>
          <w14:textFill>
            <w14:solidFill>
              <w14:schemeClr w14:val="tx1"/>
            </w14:solidFill>
          </w14:textFill>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26.3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接到评委会澄清要求的投标人如未按规定作出澄清，其风险由投标人自行承担。</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bookmarkStart w:id="195" w:name="_Toc513029233"/>
      <w:r/>
      <w:bookmarkStart w:id="196" w:name="_Toc16938549"/>
      <w:r/>
      <w:bookmarkStart w:id="197" w:name="_Toc20823305"/>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27</w:t>
      </w:r>
      <w:bookmarkEnd w:id="195"/>
      <w:r/>
      <w:bookmarkEnd w:id="196"/>
      <w:r/>
      <w:bookmarkEnd w:id="197"/>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．对投标文件的初审</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27.1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投标文件初审分为资格审查和符合性审查。</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资格性审查</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采购人或者采购代理机构依法对投标人的资格进行审查。</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关于信用查询：</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.1.1.1.1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1.1.2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查询时间：投标文件递交截止时间。</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7</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.1.1.1.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查询渠道：通过“信用中国”网站等渠道查询相关主体信用记录。</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27.1.2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符合性审查：</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评委会决定投标文件的响应性只根据投标文件本身的内容，而不寻求外部的证据。</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27.3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27.4 投标文件报价出现前后不一致的，按下列规定修正：</w:t>
      </w:r>
      <w:r/>
    </w:p>
    <w:p>
      <w:pPr>
        <w:ind w:firstLine="480"/>
        <w:jc w:val="left"/>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（2）大写金额和小写金额不一致的，以大写金额为准；</w:t>
      </w:r>
      <w:r/>
    </w:p>
    <w:p>
      <w:pPr>
        <w:ind w:firstLine="480"/>
        <w:jc w:val="left"/>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（4）总价金额与按单价汇总金额不一致的，以单价金额计算结果为准。</w:t>
      </w:r>
      <w:r/>
    </w:p>
    <w:p>
      <w:pPr>
        <w:ind w:firstLine="480"/>
        <w:jc w:val="left"/>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8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27.5 评委会将允许修正投标文件中不构成重大偏离的、微小的、非正规的、不一致的或不规则的地方，但这些修改不能影响任何投标人相应的名次排列。</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 异常低价投标审查</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 评审过程中出现下列情形之一的，评审委员会应当启动异常低价投标（响应）审查程序：</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27.6.1.1 投标（响应）报价低于全部通过符合性审查供应商投标（响应）报价平均50%的，即投标（响应）报价＜全部通过符合性审查供应商投标（响应）报价平均值×50%；</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27.6.1.2 投标（响应）报价低于通过符合性审查的次低报价供应商投标（响应）报价50%的，即投标（响应）报价＜通过符合性审查的次低报价供应商投标（响应）报价×50%；</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27.6.1.3 投标（响应）报价低于采购项目最高限价45%的，即投标（响应）报价＜采购项目最高限价×45%；</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27.6.1.4 评审委员会基于专业判断，认为供应商报价过低，有可能影响产品质量或者不能诚信履约的其他情形。</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27.6.2 评审委员会启动异常低价投标（响应）审查后，属于前述第27.6.1.1项至第27.6.1.4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27.6.1.3项情形，供应商已随投标（响应）文件一并提交相关书面说明及必要的证明材料的，在评审现场可不再重复提交。</w:t>
      </w:r>
      <w:r/>
    </w:p>
    <w:p>
      <w:pPr>
        <w:ind w:firstLine="480"/>
        <w:spacing w:line="520" w:lineRule="exact"/>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520" w:lineRule="exact"/>
        <w:shd w:val="clear" w:color="auto"/>
        <w:widowControl w:val="off"/>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198" w:name="_Toc513029234"/>
      <w:r/>
      <w:bookmarkStart w:id="199" w:name="_Toc16938550"/>
      <w:r/>
      <w:bookmarkStart w:id="200" w:name="_Toc20823306"/>
      <w:r/>
      <w:bookmarkStart w:id="201" w:name="_Toc200451960"/>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28</w:t>
      </w:r>
      <w:bookmarkEnd w:id="198"/>
      <w:r/>
      <w:bookmarkEnd w:id="199"/>
      <w:r/>
      <w:bookmarkEnd w:id="200"/>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．无效投标条款和废标条款</w:t>
      </w:r>
      <w:r/>
    </w:p>
    <w:p>
      <w:pPr>
        <w:pStyle w:val="1434"/>
        <w:ind w:firstLine="482"/>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 无效投标条款</w:t>
      </w:r>
      <w:r/>
    </w:p>
    <w:p>
      <w:pPr>
        <w:pStyle w:val="1434"/>
        <w:ind w:firstLine="482"/>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 投标人未按照招标文件要求上传电子投标文件的；</w:t>
      </w:r>
      <w:r/>
    </w:p>
    <w:p>
      <w:pPr>
        <w:pStyle w:val="1434"/>
        <w:ind w:firstLine="482"/>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28.1.2 投标人在规定时间内不解密投标文件或未成功解密投标文件的（因系统原因导致的除外)；</w:t>
      </w:r>
      <w:r/>
    </w:p>
    <w:p>
      <w:pPr>
        <w:pStyle w:val="1434"/>
        <w:ind w:firstLine="482"/>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28.1.3 投标文件中没有《开标一览表》或《开标一览表》未加盖投标人公章的；</w:t>
      </w:r>
      <w:r/>
    </w:p>
    <w:p>
      <w:pPr>
        <w:pStyle w:val="1434"/>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28.1.4 投标文件中任何有选择的报价；</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28.1.5 投标文件报价出现前后不一致的，按招标文件规定修正后投标人不确认的；</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28.1.6 不同投标人的投标文件由同一单位或者个人编制；</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28.1.7 不同投标人委托同一单位或者个人办理投标事宜；</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28.1.8 不同投标人的投标文件载明的项目管理成员或者联系人员为同一人；</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28.1.9 不同投标人的投标文件异常一致或者投标报价呈规律性差异；</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28.1.10 不同投标人的投标文件制作机器码一致的；</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434"/>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28.1.14 不同供应商的单位负责人为同一人或者存在直接控股、管理关系的；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28.1.15 为采购项目提供整体设计、规范编制或者项目管理、监理、检测等服务的；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28.1.16 资格证明文件中要求加盖公章而未加盖公章的；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28.1.17 投标文件未按招标文件要求签署、盖章的；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28.1.18 不具备招标文件中规定的资格要求或未按招标文件规定的要求提供资格证明文件的；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28.1.19 报价超过招标文件中规定的预算金额或者最高限价的；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28.1.20 投标文件含有采购人不能接受的附加条件的；</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28.1.21 不响应招标文件中规定的实质性要求的（本招标文件中斜体且有下划线部分为实质性要求）；</w:t>
      </w:r>
      <w:r/>
    </w:p>
    <w:p>
      <w:pPr>
        <w:pStyle w:val="1435"/>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28.1.22 法律、法规和采购文件规定的其他无效情形；</w:t>
      </w:r>
      <w:r/>
    </w:p>
    <w:p>
      <w:pPr>
        <w:pStyle w:val="1436"/>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28.2 废标条款：</w:t>
      </w:r>
      <w:r/>
    </w:p>
    <w:p>
      <w:pPr>
        <w:pStyle w:val="1436"/>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(1)符合专业条件的供应商或者对招标文件作实质响应的供应商不足三家的；</w:t>
      </w:r>
      <w:r/>
    </w:p>
    <w:p>
      <w:pPr>
        <w:pStyle w:val="1436"/>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(2)出现影响采购公正的违法、违规行为的；</w:t>
      </w:r>
      <w:r/>
    </w:p>
    <w:p>
      <w:pPr>
        <w:pStyle w:val="1436"/>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(3)投标人的报价均超过了采购预算，采购人不能支付的；</w:t>
      </w:r>
      <w:r/>
    </w:p>
    <w:p>
      <w:pPr>
        <w:pStyle w:val="1436"/>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(4)因重大变故，采购任务取消的。</w:t>
      </w:r>
      <w:r/>
    </w:p>
    <w:p>
      <w:pPr>
        <w:pStyle w:val="1436"/>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Style w:val="1425"/>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5</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)因苏采云系统系统故障原因造成开标不成功的。</w:t>
      </w:r>
      <w:r/>
    </w:p>
    <w:p>
      <w:pPr>
        <w:pStyle w:val="1436"/>
        <w:ind w:firstLine="480"/>
        <w:keepLines w:val="0"/>
        <w:keepNext w:val="0"/>
        <w:pageBreakBefore w:val="0"/>
        <w:spacing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28.3 投标截止时间结束后参加投标的供应商不足三家的处理：</w:t>
      </w:r>
      <w:r/>
    </w:p>
    <w:p>
      <w:pPr>
        <w:pStyle w:val="1436"/>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28.3.1 如出现投标截止时间结束后参加投标的供应商或者在评标期间对招标文件做出实质响应的供应商不足三家情况，按财政部第87号令第四十三条的规定执行。</w:t>
      </w:r>
      <w:bookmarkStart w:id="202" w:name="EB369a3ca3706348fd9a6451dab4968a5b"/>
      <w:r/>
      <w:bookmarkEnd w:id="202"/>
      <w:r/>
      <w:r/>
    </w:p>
    <w:p>
      <w:pPr>
        <w:keepLines w:val="0"/>
        <w:keepNext w:val="0"/>
        <w:pageBreakBefore w:val="0"/>
        <w:spacing w:line="52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203" w:name="_Toc513029235"/>
      <w:r/>
      <w:bookmarkStart w:id="204" w:name="_Toc20823307"/>
      <w:r/>
      <w:bookmarkStart w:id="205" w:name="_Toc16938551"/>
      <w:r/>
      <w:bookmarkStart w:id="206" w:name="_Toc38368125"/>
      <w:r/>
      <w:bookmarkStart w:id="207" w:name="_Toc12744"/>
      <w:r/>
      <w:bookmarkStart w:id="208" w:name="_Toc54615244"/>
      <w:r/>
      <w:bookmarkStart w:id="209" w:name="_Toc35266025"/>
      <w:r/>
      <w:bookmarkStart w:id="210" w:name="_Toc25114"/>
      <w:r/>
      <w:bookmarkStart w:id="211" w:name="_Toc31022"/>
      <w:r/>
      <w:bookmarkStart w:id="212" w:name="_Toc10007"/>
      <w:r/>
      <w:bookmarkStart w:id="213" w:name="_Toc120614219"/>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六、</w:t>
      </w:r>
      <w:bookmarkEnd w:id="203"/>
      <w:r/>
      <w:bookmarkEnd w:id="204"/>
      <w:r/>
      <w:bookmarkEnd w:id="205"/>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定标</w:t>
      </w:r>
      <w:bookmarkEnd w:id="206"/>
      <w:r/>
      <w:bookmarkEnd w:id="207"/>
      <w:r/>
      <w:bookmarkEnd w:id="208"/>
      <w:r/>
      <w:bookmarkEnd w:id="209"/>
      <w:r/>
      <w:bookmarkEnd w:id="210"/>
      <w:r/>
      <w:bookmarkEnd w:id="211"/>
      <w:r/>
      <w:bookmarkEnd w:id="212"/>
      <w:r/>
      <w:bookmarkEnd w:id="213"/>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bookmarkStart w:id="214" w:name="_Toc513029238"/>
      <w:r/>
      <w:bookmarkStart w:id="215" w:name="_Toc16938554"/>
      <w:r/>
      <w:bookmarkStart w:id="216" w:name="_Toc20823310"/>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29</w:t>
      </w:r>
      <w:bookmarkEnd w:id="214"/>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．确定</w:t>
      </w:r>
      <w:bookmarkEnd w:id="215"/>
      <w:r/>
      <w:bookmarkEnd w:id="216"/>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中标人</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29.1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评委会根据本招标文件规定评标办法与评标标准向采购人推荐出 3 名中标候选人。</w:t>
      </w:r>
      <w:r/>
    </w:p>
    <w:p>
      <w:pPr>
        <w:pStyle w:val="1437"/>
        <w:ind w:firstLine="508"/>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29.2 </w:t>
      </w:r>
      <w:bookmarkEnd w:id="201"/>
      <w:r/>
      <w:bookmarkStart w:id="217" w:name="EBfa38c9fe4db84c47a946c1558a3ddb8f"/>
      <w:r/>
      <w:bookmarkEnd w:id="217"/>
      <w:r>
        <w:rPr>
          <w:rFonts w:hint="eastAsia" w:ascii="宋体" w:hAnsi="宋体" w:eastAsia="宋体" w:cs="宋体"/>
          <w:color w:val="000000" w:themeColor="text1"/>
          <w:spacing w:val="0"/>
          <w:sz w:val="24"/>
          <w:highlight w:val="none"/>
          <w14:textFill>
            <w14:solidFill>
              <w14:schemeClr w14:val="tx1"/>
            </w14:solidFill>
          </w14:textFill>
        </w:rPr>
        <w:t xml:space="preserve">中标候选人依据得分由高到低进行排名。评委会根据《委托代理协议书》中的授权，直接确定排名第一的中标候选人为中标人。依据财政部 94 号令第十六条第（二）项规定，如果中标人的中标资格因故被取消的，新的中标人按相关规定确定。</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29.3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29.4</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若有充分证据证明，中标人出现下列情况之一的，一经查实，中标无效：</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（1）提供虚假材料谋取中标的；</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（2）采取不正当手段诋毁、排挤其他供应商的；</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（3）与采购人、其他供应商或者采购代理机构恶意串通的；</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（5）在招标采购过程中与采购人进行协商谈判的；</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（6）向评标委员会行贿或者提供其他不正当利益。</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30．</w:t>
      </w:r>
      <w:r>
        <w:rPr>
          <w:rFonts w:hint="eastAsia" w:ascii="宋体" w:hAnsi="宋体" w:eastAsia="宋体" w:cs="宋体"/>
          <w:b w:val="0"/>
          <w:bCs w:val="0"/>
          <w:color w:val="000000" w:themeColor="text1"/>
          <w:spacing w:val="0"/>
          <w:sz w:val="24"/>
          <w:szCs w:val="24"/>
          <w:highlight w:val="none"/>
          <w:lang w:val="zh-CN"/>
          <w14:textFill>
            <w14:solidFill>
              <w14:schemeClr w14:val="tx1"/>
            </w14:solidFill>
          </w14:textFill>
        </w:rPr>
        <w:t xml:space="preserve">质疑</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30.1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质疑形式</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30.1.1 </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、采购需求、供应商资格条件、评标方法和评标标准、合同文本，向采购单位提出；涉及采购程序问题的，向</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lang w:val="zh-CN"/>
          <w14:textFill>
            <w14:solidFill>
              <w14:schemeClr w14:val="tx1"/>
            </w14:solidFill>
          </w14:textFill>
        </w:rPr>
        <w:t xml:space="preserve">提出）。非书面形式、七个工作日之外提交的质疑将不予受理。</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.2质疑必须按《政府采购法》、《政府采购法实施条例》及财政部94号令的相关规定提交，未按上述要求提交的质疑函</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有权不予受理</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.1.3质疑函应当包括下列内容：</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.1.3.1供应商的姓名或者名称、地址、邮编、联系人及联系电话；</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.1.3.2质疑项目的名称、编号；</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.1.3.3具体、明确的质疑事项和与质疑事项相关的请求；</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.1.3.4事实依据；</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.1.3.5必要的法律依据；</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.1.3.6提出质疑的日期。</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.1.4质疑函应当由法定代表人、主要负责人，或者其授权代表签字或者盖章，并加盖公章。匿名提交的质疑将不予受理。</w:t>
      </w:r>
      <w:r/>
    </w:p>
    <w:p>
      <w:pPr>
        <w:ind w:firstLine="482"/>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.1.5质疑的送达方式</w:t>
      </w:r>
      <w:r/>
    </w:p>
    <w:p>
      <w:pPr>
        <w:ind w:firstLine="482"/>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.1.5.1质疑函应采用邮寄送达或直接送达的方式递交，采用其他方式送达（含传真、电子邮件等）的，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有权不予受理。</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特别提示</w:t>
      </w:r>
      <w:r/>
    </w:p>
    <w:p>
      <w:pPr>
        <w:ind w:firstLine="480"/>
        <w:keepLines w:val="0"/>
        <w:keepNext w:val="0"/>
        <w:pageBreakBefore w:val="0"/>
        <w:spacing w:line="520" w:lineRule="exact"/>
        <w:shd w:val="clear" w:color="auto"/>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.1根据财政部94号令第十一条规定，提出质疑的供应商应当是参与所质疑项目采购活动的供应商。</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.2供应商在法定质疑期内应一次性提出针对同一采购程序环节的质疑。</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.3供应商提出质疑必须有理、有据，不得恶意质疑或提交虚假质疑。否则，一经查实，采购人或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有权依据政府采购的有关规定，报请政府采购监管部门对该投标人进行相应的行政处罚。</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其他</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14:textFill>
            <w14:solidFill>
              <w14:schemeClr w14:val="tx1"/>
            </w14:solidFill>
          </w14:textFill>
        </w:rPr>
        <w:t xml:space="preserve">.1采购人或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将在收到供应商的质疑后七个工作日内作出答复，答复的内容不涉及商业秘密。</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31．中标通知书</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31.l</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 xml:space="preserve">在中标结果确定后2个工作日内，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苏州政合信咨询管理服务有限公司</w:t>
      </w:r>
      <w:r>
        <w:rPr>
          <w:rFonts w:hint="eastAsia" w:ascii="宋体" w:hAnsi="宋体" w:eastAsia="宋体" w:cs="宋体"/>
          <w:color w:val="000000" w:themeColor="text1"/>
          <w:spacing w:val="0"/>
          <w:sz w:val="24"/>
          <w:highlight w:val="none"/>
          <w14:textFill>
            <w14:solidFill>
              <w14:schemeClr w14:val="tx1"/>
            </w14:solidFill>
          </w14:textFill>
        </w:rPr>
        <w:t xml:space="preserve">向中标</w:t>
      </w:r>
      <w:r>
        <w:rPr>
          <w:rFonts w:hint="eastAsia" w:ascii="宋体" w:hAnsi="宋体" w:eastAsia="宋体" w:cs="宋体"/>
          <w:color w:val="000000" w:themeColor="text1"/>
          <w:spacing w:val="0"/>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highlight w:val="none"/>
          <w14:textFill>
            <w14:solidFill>
              <w14:schemeClr w14:val="tx1"/>
            </w14:solidFill>
          </w14:textFill>
        </w:rPr>
        <w:t xml:space="preserve">发出中标通知书。请中标人在中标结果公告届满之日起30日内</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因未及时下载而造成的不利后果由中标人自行承担。</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bookmarkStart w:id="218" w:name="_Toc186"/>
      <w:r/>
      <w:bookmarkStart w:id="219" w:name="_Toc25527"/>
      <w:r/>
      <w:bookmarkStart w:id="220" w:name="_Toc3165"/>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.2 中标通知书将是合同的一个组成部分。对采购人和中标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放弃中标项目的，应当依法承担法律责任。</w:t>
      </w:r>
      <w:r/>
    </w:p>
    <w:p>
      <w:pPr>
        <w:keepLines w:val="0"/>
        <w:keepNext w:val="0"/>
        <w:pageBreakBefore w:val="0"/>
        <w:spacing w:line="520" w:lineRule="exact"/>
        <w:shd w:val="clear" w:color="auto"/>
        <w:widowControl/>
        <w:rPr>
          <w:rFonts w:hint="eastAsia" w:ascii="宋体" w:hAnsi="宋体" w:eastAsia="宋体" w:cs="宋体"/>
          <w:b/>
          <w:bCs/>
          <w:color w:val="000000" w:themeColor="text1"/>
          <w:spacing w:val="0"/>
          <w:sz w:val="28"/>
          <w:szCs w:val="28"/>
          <w:highlight w:val="none"/>
          <w14:textFill>
            <w14:solidFill>
              <w14:schemeClr w14:val="tx1"/>
            </w14:solidFill>
          </w14:textFill>
        </w:rPr>
        <w:outlineLvl w:val="1"/>
      </w:pPr>
      <w:r/>
      <w:bookmarkStart w:id="221" w:name="_Toc8118"/>
      <w:r>
        <w:rPr>
          <w:rFonts w:hint="eastAsia" w:ascii="宋体" w:hAnsi="宋体" w:eastAsia="宋体" w:cs="宋体"/>
          <w:b/>
          <w:bCs/>
          <w:color w:val="000000" w:themeColor="text1"/>
          <w:spacing w:val="0"/>
          <w:sz w:val="28"/>
          <w:szCs w:val="28"/>
          <w:highlight w:val="none"/>
          <w14:textFill>
            <w14:solidFill>
              <w14:schemeClr w14:val="tx1"/>
            </w14:solidFill>
          </w14:textFill>
        </w:rPr>
        <w:t xml:space="preserve">七、授予合同</w:t>
      </w:r>
      <w:bookmarkEnd w:id="218"/>
      <w:r/>
      <w:bookmarkEnd w:id="219"/>
      <w:r/>
      <w:bookmarkEnd w:id="220"/>
      <w:r/>
      <w:bookmarkEnd w:id="221"/>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32．签订合同</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32.l</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pacing w:val="0"/>
          <w:sz w:val="24"/>
          <w:highlight w:val="none"/>
          <w14:textFill>
            <w14:solidFill>
              <w14:schemeClr w14:val="tx1"/>
            </w14:solidFill>
          </w14:textFill>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32.2 招标文件、中标人的投标文件及招标过程中有关澄清、承诺文件均应作为合同附件。</w:t>
      </w:r>
      <w:r/>
    </w:p>
    <w:p>
      <w:pPr>
        <w:ind w:firstLine="480"/>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32.3 签订合同后，中标人不得将合同标的进行转包和分包</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480"/>
        <w:spacing w:line="520" w:lineRule="exact"/>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33．履约保证金</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33.1 中标人向采购人交付的履约保证金为合同总价款 2 ％。</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33.3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34．货物和服务的追加、添购</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34.1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10</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35．监督</w:t>
      </w:r>
      <w:r/>
    </w:p>
    <w:p>
      <w:pPr>
        <w:ind w:firstLine="480"/>
        <w:keepLines w:val="0"/>
        <w:keepNext w:val="0"/>
        <w:pageBreakBefore w:val="0"/>
        <w:spacing w:line="520" w:lineRule="exact"/>
        <w:shd w:val="clear" w:color="auto"/>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35.1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政府有关监督部门将对投标全过程进行监督。</w:t>
      </w:r>
      <w:r/>
    </w:p>
    <w:p>
      <w:pPr>
        <w:ind w:firstLine="544"/>
        <w:keepLines w:val="0"/>
        <w:keepNext w:val="0"/>
        <w:pageBreakBefore w:val="0"/>
        <w:spacing w:line="52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sectPr>
          <w:headerReference w:type="default" r:id="rId13"/>
          <w:headerReference w:type="first" r:id="rId14"/>
          <w:footnotePr/>
          <w:endnotePr/>
          <w:type w:val="nextPage"/>
          <w:pgSz w:w="11906" w:h="16838" w:orient="portrait"/>
          <w:pgMar w:top="1440" w:right="1080" w:bottom="1440" w:left="1080" w:header="851" w:footer="992" w:gutter="0"/>
          <w:cols w:num="1" w:sep="0" w:space="1701" w:equalWidth="1"/>
          <w:docGrid w:linePitch="360"/>
        </w:sectPr>
      </w:pPr>
      <w:r/>
      <w:bookmarkStart w:id="222" w:name="EB0f9f45dd5e234a13a81c333deb906690"/>
      <w:r/>
      <w:bookmarkEnd w:id="222"/>
      <w:r/>
      <w:r/>
    </w:p>
    <w:p>
      <w:pPr>
        <w:pStyle w:val="1420"/>
        <w:keepLines w:val="0"/>
        <w:keepNext w:val="0"/>
        <w:pageBreakBefore w:val="0"/>
        <w:spacing w:before="313" w:after="313" w:line="500" w:lineRule="exact"/>
        <w:shd w:val="clear" w:color="auto"/>
        <w:widowControl w:val="off"/>
        <w:rPr>
          <w:rFonts w:hint="eastAsia" w:ascii="宋体" w:hAnsi="宋体" w:eastAsia="宋体" w:cs="宋体"/>
          <w:color w:val="000000" w:themeColor="text1"/>
          <w:spacing w:val="0"/>
          <w:highlight w:val="none"/>
          <w14:textFill>
            <w14:solidFill>
              <w14:schemeClr w14:val="tx1"/>
            </w14:solidFill>
          </w14:textFill>
        </w:rPr>
      </w:pPr>
      <w:r/>
      <w:bookmarkStart w:id="223" w:name="_Toc18759"/>
      <w:r/>
      <w:bookmarkStart w:id="224" w:name="_Toc14382"/>
      <w:r/>
      <w:bookmarkStart w:id="225" w:name="_Toc2580"/>
      <w:r/>
      <w:bookmarkStart w:id="226" w:name="_Toc54615245"/>
      <w:r/>
      <w:bookmarkStart w:id="227" w:name="_Toc31229"/>
      <w:r/>
      <w:bookmarkStart w:id="228" w:name="_Toc38368127"/>
      <w:r/>
      <w:bookmarkStart w:id="229" w:name="_Toc35266027"/>
      <w:r>
        <w:rPr>
          <w:rFonts w:hint="eastAsia" w:ascii="宋体" w:hAnsi="宋体" w:eastAsia="宋体" w:cs="宋体"/>
          <w:color w:val="000000" w:themeColor="text1"/>
          <w:spacing w:val="0"/>
          <w:highlight w:val="none"/>
          <w14:textFill>
            <w14:solidFill>
              <w14:schemeClr w14:val="tx1"/>
            </w14:solidFill>
          </w14:textFill>
        </w:rPr>
        <w:t xml:space="preserve">第三章 合同条款及</w:t>
      </w:r>
      <w:bookmarkEnd w:id="70"/>
      <w:r/>
      <w:bookmarkEnd w:id="71"/>
      <w:r/>
      <w:bookmarkEnd w:id="72"/>
      <w:r/>
      <w:bookmarkEnd w:id="73"/>
      <w:r/>
      <w:bookmarkEnd w:id="74"/>
      <w:r>
        <w:rPr>
          <w:rFonts w:hint="eastAsia" w:ascii="宋体" w:hAnsi="宋体" w:eastAsia="宋体" w:cs="宋体"/>
          <w:color w:val="000000" w:themeColor="text1"/>
          <w:spacing w:val="0"/>
          <w:highlight w:val="none"/>
          <w14:textFill>
            <w14:solidFill>
              <w14:schemeClr w14:val="tx1"/>
            </w14:solidFill>
          </w14:textFill>
        </w:rPr>
        <w:t xml:space="preserve">格式</w:t>
      </w:r>
      <w:bookmarkEnd w:id="223"/>
      <w:r/>
      <w:bookmarkEnd w:id="224"/>
      <w:r/>
      <w:bookmarkEnd w:id="225"/>
      <w:r/>
      <w:bookmarkEnd w:id="226"/>
      <w:r/>
      <w:bookmarkEnd w:id="227"/>
      <w:r/>
      <w:bookmarkEnd w:id="228"/>
      <w:r/>
      <w:bookmarkEnd w:id="229"/>
      <w:r/>
      <w:r/>
    </w:p>
    <w:p>
      <w:pPr>
        <w:pStyle w:val="1438"/>
        <w:ind w:firstLine="0"/>
        <w:jc w:val="center"/>
        <w:keepLines w:val="0"/>
        <w:keepNext w:val="0"/>
        <w:pageBreakBefore w:val="0"/>
        <w:spacing w:line="500" w:lineRule="exact"/>
        <w:shd w:val="clear" w:color="auto"/>
        <w:widowControl w:val="off"/>
        <w:rPr>
          <w:rStyle w:val="1425"/>
          <w:rFonts w:hint="eastAsia" w:ascii="宋体" w:hAnsi="宋体" w:eastAsia="宋体" w:cs="宋体"/>
          <w:bCs/>
          <w:color w:val="000000" w:themeColor="text1"/>
          <w:spacing w:val="0"/>
          <w:sz w:val="24"/>
          <w:highlight w:val="none"/>
          <w14:textFill>
            <w14:solidFill>
              <w14:schemeClr w14:val="tx1"/>
            </w14:solidFill>
          </w14:textFill>
        </w:rPr>
      </w:pPr>
      <w:r/>
      <w:bookmarkStart w:id="230" w:name="EB445c3bd035294764b52dfc379b7b9568"/>
      <w:r>
        <w:rPr>
          <w:rStyle w:val="1425"/>
          <w:rFonts w:hint="eastAsia" w:ascii="宋体" w:hAnsi="宋体" w:eastAsia="宋体" w:cs="宋体"/>
          <w:bCs/>
          <w:color w:val="000000" w:themeColor="text1"/>
          <w:spacing w:val="0"/>
          <w:sz w:val="24"/>
          <w:highlight w:val="none"/>
          <w14:textFill>
            <w14:solidFill>
              <w14:schemeClr w14:val="tx1"/>
            </w14:solidFill>
          </w14:textFill>
        </w:rPr>
        <w:t xml:space="preserve">以下为中标(成交)后签定本项目合同的通用条款，中标(成交)供应商不得提出实质性的修改。</w:t>
      </w:r>
      <w:r/>
    </w:p>
    <w:p>
      <w:pPr>
        <w:pStyle w:val="1438"/>
        <w:ind w:firstLine="0"/>
        <w:jc w:val="center"/>
        <w:keepLines w:val="0"/>
        <w:keepNext w:val="0"/>
        <w:pageBreakBefore w:val="0"/>
        <w:spacing w:before="181" w:after="181" w:line="240" w:lineRule="auto"/>
        <w:shd w:val="clear" w:color="auto"/>
        <w:widowControl w:val="off"/>
        <w:rPr>
          <w:rStyle w:val="1425"/>
          <w:rFonts w:hint="eastAsia" w:ascii="宋体" w:hAnsi="宋体" w:eastAsia="宋体" w:cs="宋体"/>
          <w:b/>
          <w:bCs w:val="0"/>
          <w:color w:val="000000" w:themeColor="text1"/>
          <w:spacing w:val="0"/>
          <w:sz w:val="32"/>
          <w:szCs w:val="32"/>
          <w:highlight w:val="none"/>
          <w14:textFill>
            <w14:solidFill>
              <w14:schemeClr w14:val="tx1"/>
            </w14:solidFill>
          </w14:textFill>
        </w:rPr>
      </w:pPr>
      <w:r/>
      <w:bookmarkStart w:id="231" w:name="_Toc11967"/>
      <w:r/>
      <w:bookmarkStart w:id="232" w:name="_Toc242"/>
      <w:r/>
      <w:bookmarkStart w:id="233" w:name="_Toc11920"/>
      <w:r>
        <w:rPr>
          <w:rStyle w:val="1425"/>
          <w:rFonts w:hint="eastAsia" w:ascii="宋体" w:hAnsi="宋体" w:eastAsia="宋体" w:cs="宋体"/>
          <w:b/>
          <w:bCs w:val="0"/>
          <w:color w:val="000000" w:themeColor="text1"/>
          <w:spacing w:val="0"/>
          <w:sz w:val="32"/>
          <w:szCs w:val="32"/>
          <w:highlight w:val="none"/>
          <w14:textFill>
            <w14:solidFill>
              <w14:schemeClr w14:val="tx1"/>
            </w14:solidFill>
          </w14:textFill>
        </w:rPr>
        <w:t xml:space="preserve">张家港市政府采购合同</w:t>
      </w:r>
      <w:bookmarkEnd w:id="231"/>
      <w:r/>
      <w:bookmarkEnd w:id="232"/>
      <w:r/>
      <w:bookmarkEnd w:id="233"/>
      <w:r/>
      <w:r/>
    </w:p>
    <w:p>
      <w:pPr>
        <w:pStyle w:val="1438"/>
        <w:ind w:firstLine="480"/>
        <w:keepLines w:val="0"/>
        <w:keepNext w:val="0"/>
        <w:pageBreakBefore w:val="0"/>
        <w:spacing w:line="50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项目名称：</w:t>
      </w:r>
      <w:bookmarkStart w:id="234" w:name="biaoduanname_1"/>
      <w:r/>
      <w:bookmarkEnd w:id="234"/>
      <w:r>
        <w:rPr>
          <w:rStyle w:val="1425"/>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438"/>
        <w:ind w:firstLine="480"/>
        <w:keepLines w:val="0"/>
        <w:keepNext w:val="0"/>
        <w:pageBreakBefore w:val="0"/>
        <w:spacing w:line="500" w:lineRule="exact"/>
        <w:shd w:val="clear" w:color="auto"/>
        <w:widowControl w:val="off"/>
        <w:rPr>
          <w:rStyle w:val="1425"/>
          <w:rFonts w:hint="eastAsia" w:ascii="宋体" w:hAnsi="宋体" w:eastAsia="宋体" w:cs="宋体"/>
          <w:color w:val="000000" w:themeColor="text1"/>
          <w:spacing w:val="0"/>
          <w:sz w:val="24"/>
          <w:highlight w:val="none"/>
          <w:u w:val="singl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项目编号：</w:t>
      </w:r>
      <w:bookmarkStart w:id="235" w:name="projectno"/>
      <w:r/>
      <w:bookmarkEnd w:id="235"/>
      <w:r>
        <w:rPr>
          <w:rStyle w:val="1425"/>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438"/>
        <w:ind w:firstLine="480"/>
        <w:keepLines w:val="0"/>
        <w:keepNext w:val="0"/>
        <w:pageBreakBefore w:val="0"/>
        <w:spacing w:line="50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甲方：（买方）</w:t>
      </w:r>
      <w:bookmarkStart w:id="236" w:name="jianshedanwei_1"/>
      <w:r/>
      <w:bookmarkEnd w:id="236"/>
      <w:r>
        <w:rPr>
          <w:rStyle w:val="1425"/>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438"/>
        <w:ind w:firstLine="480"/>
        <w:keepLines w:val="0"/>
        <w:keepNext w:val="0"/>
        <w:pageBreakBefore w:val="0"/>
        <w:spacing w:line="50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乙方：（卖方）</w:t>
      </w:r>
      <w:bookmarkStart w:id="237" w:name="zhongbiaodanweiname_1"/>
      <w:r/>
      <w:bookmarkEnd w:id="237"/>
      <w:r>
        <w:rPr>
          <w:rStyle w:val="1425"/>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438"/>
        <w:ind w:firstLine="480"/>
        <w:keepLines w:val="0"/>
        <w:keepNext w:val="0"/>
        <w:pageBreakBefore w:val="0"/>
        <w:spacing w:line="500" w:lineRule="exact"/>
        <w:shd w:val="clear" w:color="auto"/>
        <w:widowControl w:val="off"/>
        <w:rPr>
          <w:rStyle w:val="1425"/>
          <w:rFonts w:hint="eastAsia" w:ascii="宋体" w:hAnsi="宋体" w:eastAsia="宋体" w:cs="宋体"/>
          <w:b/>
          <w:bCs/>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甲、乙双方根据</w:t>
      </w:r>
      <w:bookmarkStart w:id="238" w:name="EBdfedbe8ad66f4d4f87edd13341207451"/>
      <w:r>
        <w:rPr>
          <w:rStyle w:val="1425"/>
          <w:rFonts w:hint="eastAsia" w:ascii="宋体" w:hAnsi="宋体" w:eastAsia="宋体" w:cs="宋体"/>
          <w:color w:val="000000" w:themeColor="text1"/>
          <w:spacing w:val="0"/>
          <w:sz w:val="24"/>
          <w:highlight w:val="none"/>
          <w14:textFill>
            <w14:solidFill>
              <w14:schemeClr w14:val="tx1"/>
            </w14:solidFill>
          </w14:textFill>
        </w:rPr>
        <w:t xml:space="preserve">苏州政合信咨询管理服务有限公司</w:t>
      </w:r>
      <w:bookmarkEnd w:id="238"/>
      <w:r/>
      <w:bookmarkStart w:id="239" w:name="biaoduanname_2"/>
      <w:r/>
      <w:bookmarkEnd w:id="239"/>
      <w:r>
        <w:rPr>
          <w:rStyle w:val="1425"/>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项目公开招标的结果，签署本合同。</w:t>
      </w:r>
      <w:r/>
    </w:p>
    <w:p>
      <w:pPr>
        <w:keepLines w:val="0"/>
        <w:keepNext w:val="0"/>
        <w:pageBreakBefore w:val="0"/>
        <w:spacing w:line="50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40" w:name="_Toc6970"/>
      <w:r>
        <w:rPr>
          <w:rFonts w:hint="eastAsia" w:ascii="宋体" w:hAnsi="宋体" w:eastAsia="宋体" w:cs="宋体"/>
          <w:b/>
          <w:color w:val="000000" w:themeColor="text1"/>
          <w:spacing w:val="0"/>
          <w:sz w:val="28"/>
          <w:szCs w:val="28"/>
          <w:highlight w:val="none"/>
          <w14:textFill>
            <w14:solidFill>
              <w14:schemeClr w14:val="tx1"/>
            </w14:solidFill>
          </w14:textFill>
        </w:rPr>
        <w:t xml:space="preserve">一、服务内容</w:t>
      </w:r>
      <w:bookmarkEnd w:id="240"/>
      <w:r/>
      <w:r/>
    </w:p>
    <w:tbl>
      <w:tblPr>
        <w:tblStyle w:val="1219"/>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tcPr>
          <w:p>
            <w:pPr>
              <w:pStyle w:val="1438"/>
              <w:ind w:firstLine="0"/>
              <w:jc w:val="center"/>
              <w:keepLines w:val="0"/>
              <w:keepNext w:val="0"/>
              <w:pageBreakBefore w:val="0"/>
              <w:spacing w:line="240" w:lineRule="auto"/>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项目名称</w:t>
            </w:r>
            <w:r/>
          </w:p>
        </w:tc>
        <w:tc>
          <w:tcPr>
            <w:tcW w:w="3374" w:type="dxa"/>
            <w:vAlign w:val="center"/>
            <w:textDirection w:val="lrTb"/>
            <w:noWrap/>
          </w:tcPr>
          <w:p>
            <w:pPr>
              <w:pStyle w:val="1438"/>
              <w:ind w:firstLine="480"/>
              <w:jc w:val="center"/>
              <w:keepLines w:val="0"/>
              <w:keepNext w:val="0"/>
              <w:pageBreakBefore w:val="0"/>
              <w:spacing w:line="240" w:lineRule="auto"/>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总价（元）</w:t>
            </w:r>
            <w:r/>
          </w:p>
        </w:tc>
        <w:tc>
          <w:tcPr>
            <w:tcW w:w="3068" w:type="dxa"/>
            <w:vAlign w:val="center"/>
            <w:textDirection w:val="lrTb"/>
            <w:noWrap/>
          </w:tcPr>
          <w:p>
            <w:pPr>
              <w:pStyle w:val="1438"/>
              <w:ind w:firstLine="240"/>
              <w:jc w:val="center"/>
              <w:keepLines w:val="0"/>
              <w:keepNext w:val="0"/>
              <w:pageBreakBefore w:val="0"/>
              <w:spacing w:line="240" w:lineRule="auto"/>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服务内容</w:t>
            </w:r>
            <w:r/>
          </w:p>
        </w:tc>
      </w:tr>
      <w:tr>
        <w:trPr>
          <w:cantSplit/>
          <w:jc w:val="center"/>
          <w:trHeight w:val="850"/>
        </w:trPr>
        <w:tc>
          <w:tcPr>
            <w:tcW w:w="3376" w:type="dxa"/>
            <w:vAlign w:val="center"/>
            <w:textDirection w:val="lrTb"/>
            <w:noWrap/>
          </w:tcPr>
          <w:p>
            <w:pPr>
              <w:pStyle w:val="1438"/>
              <w:ind w:firstLine="0"/>
              <w:jc w:val="center"/>
              <w:keepLines w:val="0"/>
              <w:keepNext w:val="0"/>
              <w:pageBreakBefore w:val="0"/>
              <w:spacing w:line="240" w:lineRule="auto"/>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bookmarkStart w:id="241" w:name="biaoduanname_3"/>
            <w:r/>
            <w:bookmarkEnd w:id="241"/>
            <w:r/>
            <w:r/>
          </w:p>
        </w:tc>
        <w:tc>
          <w:tcPr>
            <w:tcW w:w="3374" w:type="dxa"/>
            <w:vAlign w:val="center"/>
            <w:textDirection w:val="lrTb"/>
            <w:noWrap/>
          </w:tcPr>
          <w:p>
            <w:pPr>
              <w:pStyle w:val="1438"/>
              <w:ind w:firstLine="0"/>
              <w:jc w:val="center"/>
              <w:keepLines w:val="0"/>
              <w:keepNext w:val="0"/>
              <w:pageBreakBefore w:val="0"/>
              <w:spacing w:line="240" w:lineRule="auto"/>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bookmarkStart w:id="242" w:name="zhongbiaopricelow_1"/>
            <w:r/>
            <w:bookmarkEnd w:id="242"/>
            <w:r/>
            <w:r/>
          </w:p>
        </w:tc>
        <w:tc>
          <w:tcPr>
            <w:tcW w:w="3068" w:type="dxa"/>
            <w:vAlign w:val="center"/>
            <w:textDirection w:val="lrTb"/>
            <w:noWrap/>
          </w:tcPr>
          <w:p>
            <w:pPr>
              <w:pStyle w:val="1438"/>
              <w:ind w:firstLine="0"/>
              <w:jc w:val="center"/>
              <w:keepLines w:val="0"/>
              <w:keepNext w:val="0"/>
              <w:pageBreakBefore w:val="0"/>
              <w:spacing w:line="240" w:lineRule="auto"/>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bookmarkStart w:id="243" w:name="fuwuneirong"/>
            <w:r/>
            <w:bookmarkEnd w:id="243"/>
            <w:r/>
            <w:r/>
          </w:p>
        </w:tc>
      </w:tr>
    </w:tbl>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44" w:name="_Toc14653"/>
      <w:r>
        <w:rPr>
          <w:rFonts w:hint="eastAsia" w:ascii="宋体" w:hAnsi="宋体" w:eastAsia="宋体" w:cs="宋体"/>
          <w:b/>
          <w:color w:val="000000" w:themeColor="text1"/>
          <w:spacing w:val="0"/>
          <w:sz w:val="28"/>
          <w:szCs w:val="28"/>
          <w:highlight w:val="none"/>
          <w14:textFill>
            <w14:solidFill>
              <w14:schemeClr w14:val="tx1"/>
            </w14:solidFill>
          </w14:textFill>
        </w:rPr>
        <w:t xml:space="preserve">二、合同金额</w:t>
      </w:r>
      <w:bookmarkEnd w:id="244"/>
      <w:r/>
      <w:r/>
    </w:p>
    <w:p>
      <w:pPr>
        <w:pStyle w:val="1438"/>
        <w:ind w:firstLine="480"/>
        <w:jc w:val="left"/>
        <w:keepLines w:val="0"/>
        <w:keepNext w:val="0"/>
        <w:pageBreakBefore w:val="0"/>
        <w:spacing w:line="520" w:lineRule="exact"/>
        <w:shd w:val="clear" w:color="auto"/>
        <w:widowControl w:val="off"/>
        <w:rPr>
          <w:rStyle w:val="1425"/>
          <w:rFonts w:hint="eastAsia" w:ascii="宋体" w:hAnsi="宋体" w:eastAsia="宋体" w:cs="宋体"/>
          <w:b/>
          <w:bCs/>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2.1 本合同金额为（大写）：</w:t>
      </w:r>
      <w:bookmarkStart w:id="245" w:name="zhongbiaopriceup"/>
      <w:r/>
      <w:bookmarkEnd w:id="245"/>
      <w:r>
        <w:rPr>
          <w:rStyle w:val="1425"/>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bookmarkStart w:id="246" w:name="zhongbiaopricelow_2"/>
      <w:r/>
      <w:bookmarkEnd w:id="246"/>
      <w:r>
        <w:rPr>
          <w:rStyle w:val="1425"/>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元）人民币。</w:t>
      </w:r>
      <w:r/>
    </w:p>
    <w:p>
      <w:pPr>
        <w:pStyle w:val="1438"/>
        <w:ind w:firstLine="480"/>
        <w:keepLines w:val="0"/>
        <w:keepNext w:val="0"/>
        <w:pageBreakBefore w:val="0"/>
        <w:spacing w:line="50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bookmarkStart w:id="247" w:name="_Toc28372"/>
      <w:r/>
      <w:bookmarkStart w:id="248" w:name="_Toc26003"/>
      <w:r/>
      <w:bookmarkStart w:id="249" w:name="_Toc27782"/>
      <w:r>
        <w:rPr>
          <w:rStyle w:val="1425"/>
          <w:rFonts w:hint="eastAsia" w:ascii="宋体" w:hAnsi="宋体" w:eastAsia="宋体" w:cs="宋体"/>
          <w:color w:val="000000" w:themeColor="text1"/>
          <w:spacing w:val="0"/>
          <w:sz w:val="24"/>
          <w:highlight w:val="none"/>
          <w14:textFill>
            <w14:solidFill>
              <w14:schemeClr w14:val="tx1"/>
            </w14:solidFill>
          </w14:textFill>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50" w:name="_Toc2491"/>
      <w:r>
        <w:rPr>
          <w:rFonts w:hint="eastAsia" w:ascii="宋体" w:hAnsi="宋体" w:eastAsia="宋体" w:cs="宋体"/>
          <w:b/>
          <w:color w:val="000000" w:themeColor="text1"/>
          <w:spacing w:val="0"/>
          <w:sz w:val="28"/>
          <w:szCs w:val="28"/>
          <w:highlight w:val="none"/>
          <w14:textFill>
            <w14:solidFill>
              <w14:schemeClr w14:val="tx1"/>
            </w14:solidFill>
          </w14:textFill>
        </w:rPr>
        <w:t xml:space="preserve">三、</w:t>
      </w:r>
      <w:bookmarkEnd w:id="247"/>
      <w:r/>
      <w:bookmarkEnd w:id="248"/>
      <w:r/>
      <w:bookmarkEnd w:id="249"/>
      <w:r>
        <w:rPr>
          <w:rFonts w:hint="eastAsia" w:ascii="宋体" w:hAnsi="宋体" w:eastAsia="宋体" w:cs="宋体"/>
          <w:b/>
          <w:color w:val="000000" w:themeColor="text1"/>
          <w:spacing w:val="0"/>
          <w:sz w:val="28"/>
          <w:szCs w:val="28"/>
          <w:highlight w:val="none"/>
          <w14:textFill>
            <w14:solidFill>
              <w14:schemeClr w14:val="tx1"/>
            </w14:solidFill>
          </w14:textFill>
        </w:rPr>
        <w:t xml:space="preserve">技术资料</w:t>
      </w:r>
      <w:bookmarkEnd w:id="250"/>
      <w:r/>
      <w:r/>
    </w:p>
    <w:p>
      <w:pPr>
        <w:pStyle w:val="1438"/>
        <w:ind w:firstLine="480"/>
        <w:jc w:val="left"/>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3.1 乙方应按招标文件规定的时间向甲方提供服务的有关技术资料。</w:t>
      </w:r>
      <w:r/>
    </w:p>
    <w:p>
      <w:pPr>
        <w:pStyle w:val="1438"/>
        <w:ind w:firstLine="480"/>
        <w:jc w:val="left"/>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51" w:name="_Toc19203"/>
      <w:r/>
      <w:bookmarkStart w:id="252" w:name="_Toc21968"/>
      <w:r/>
      <w:bookmarkStart w:id="253" w:name="_Toc1934"/>
      <w:r/>
      <w:bookmarkStart w:id="254" w:name="_Toc24157"/>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四</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、履约保证金</w:t>
      </w:r>
      <w:bookmarkEnd w:id="251"/>
      <w:r/>
      <w:r/>
    </w:p>
    <w:p>
      <w:pPr>
        <w:pStyle w:val="1438"/>
        <w:ind w:firstLine="480"/>
        <w:jc w:val="left"/>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合同签订前，乙方向</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甲方</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交纳人民币</w:t>
      </w:r>
      <w:r>
        <w:rPr>
          <w:rStyle w:val="1425"/>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Start w:id="255" w:name="lvbzj"/>
      <w:r>
        <w:rPr>
          <w:rStyle w:val="1425"/>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End w:id="255"/>
      <w:r>
        <w:rPr>
          <w:rStyle w:val="1425"/>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pStyle w:val="1438"/>
        <w:ind w:firstLine="480"/>
        <w:jc w:val="left"/>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.2</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甲方付清全部合同金额的同时返还履约保证金。逾期退还的，应当支付逾期利息，且逾期利息的利率不得低于合同订立时 1 年期贷款市场报价利率。</w:t>
      </w:r>
      <w:r/>
    </w:p>
    <w:p>
      <w:pPr>
        <w:pStyle w:val="1438"/>
        <w:ind w:firstLine="480"/>
        <w:jc w:val="left"/>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乙方不履行与甲方订立的合同的，履约保证金不予退还。</w:t>
      </w:r>
      <w:r/>
    </w:p>
    <w:p>
      <w:pPr>
        <w:pStyle w:val="1438"/>
        <w:ind w:firstLine="480"/>
        <w:jc w:val="left"/>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56" w:name="_Toc13073"/>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五</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、转包或分包</w:t>
      </w:r>
      <w:bookmarkEnd w:id="252"/>
      <w:r/>
      <w:bookmarkEnd w:id="253"/>
      <w:r/>
      <w:bookmarkEnd w:id="254"/>
      <w:r/>
      <w:bookmarkEnd w:id="256"/>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5</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 本合同范围的服务，应由乙方直接提供，不得转让他人提供。</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5</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.2 如有转包和分包行为，甲方有权给予终止合同。</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outlineLvl w:val="1"/>
      </w:pPr>
      <w:r/>
      <w:bookmarkStart w:id="257" w:name="_Toc2386"/>
      <w:r/>
      <w:bookmarkStart w:id="258" w:name="_Toc32090"/>
      <w:r/>
      <w:bookmarkStart w:id="259" w:name="_Toc18624"/>
      <w:r/>
      <w:bookmarkStart w:id="260" w:name="_Toc27302"/>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六</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、服务期限</w:t>
      </w:r>
      <w:bookmarkEnd w:id="257"/>
      <w:r/>
      <w:bookmarkEnd w:id="258"/>
      <w:r/>
      <w:bookmarkEnd w:id="259"/>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及服务地点</w:t>
      </w:r>
      <w:bookmarkEnd w:id="260"/>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bCs/>
          <w:color w:val="000000" w:themeColor="text1"/>
          <w:spacing w:val="0"/>
          <w:sz w:val="24"/>
          <w:highlight w:val="none"/>
          <w14:textFill>
            <w14:solidFill>
              <w14:schemeClr w14:val="tx1"/>
            </w14:solidFill>
          </w14:textFill>
        </w:rPr>
      </w:pPr>
      <w:r>
        <w:rPr>
          <w:rStyle w:val="1425"/>
          <w:rFonts w:hint="eastAsia" w:ascii="宋体" w:hAnsi="宋体" w:eastAsia="宋体" w:cs="宋体"/>
          <w:bCs/>
          <w:color w:val="000000" w:themeColor="text1"/>
          <w:spacing w:val="0"/>
          <w:sz w:val="24"/>
          <w:highlight w:val="none"/>
          <w:lang w:val="en-US"/>
          <w14:textFill>
            <w14:solidFill>
              <w14:schemeClr w14:val="tx1"/>
            </w14:solidFill>
          </w14:textFill>
        </w:rPr>
        <w:t xml:space="preserve">6</w:t>
      </w:r>
      <w:r>
        <w:rPr>
          <w:rStyle w:val="1425"/>
          <w:rFonts w:hint="eastAsia" w:ascii="宋体" w:hAnsi="宋体" w:eastAsia="宋体" w:cs="宋体"/>
          <w:bCs/>
          <w:color w:val="000000" w:themeColor="text1"/>
          <w:spacing w:val="0"/>
          <w:sz w:val="24"/>
          <w:highlight w:val="none"/>
          <w14:textFill>
            <w14:solidFill>
              <w14:schemeClr w14:val="tx1"/>
            </w14:solidFill>
          </w14:textFill>
        </w:rPr>
        <w:t xml:space="preserve">.1 服务期限：</w:t>
      </w:r>
      <w:bookmarkStart w:id="261" w:name="fuwuqixian"/>
      <w:r/>
      <w:bookmarkEnd w:id="261"/>
      <w:r>
        <w:rPr>
          <w:rStyle w:val="1425"/>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个月</w:t>
      </w:r>
      <w:r>
        <w:rPr>
          <w:rStyle w:val="1425"/>
          <w:rFonts w:hint="eastAsia" w:ascii="宋体" w:hAnsi="宋体" w:eastAsia="宋体" w:cs="宋体"/>
          <w:bCs/>
          <w:caps w:val="0"/>
          <w:smallCaps w:val="0"/>
          <w:color w:val="000000" w:themeColor="text1"/>
          <w:spacing w:val="0"/>
          <w:sz w:val="24"/>
          <w:highlight w:val="none"/>
          <w:u w:val="none"/>
          <w:shd w:val="clear" w:color="auto" w:fill="auto"/>
          <w:lang w:val="en-US" w:eastAsia="zh-CN"/>
          <w14:textFill>
            <w14:solidFill>
              <w14:schemeClr w14:val="tx1"/>
            </w14:solidFill>
          </w14:textFill>
        </w:rPr>
        <w:t xml:space="preserve">，自</w:t>
      </w:r>
      <w:r>
        <w:rPr>
          <w:rStyle w:val="1425"/>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年    月    日至    年    月    日止</w:t>
      </w:r>
      <w:r>
        <w:rPr>
          <w:rStyle w:val="1425"/>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bCs/>
          <w:color w:val="000000" w:themeColor="text1"/>
          <w:spacing w:val="0"/>
          <w:sz w:val="24"/>
          <w:highlight w:val="none"/>
          <w14:textFill>
            <w14:solidFill>
              <w14:schemeClr w14:val="tx1"/>
            </w14:solidFill>
          </w14:textFill>
        </w:rPr>
      </w:pPr>
      <w:r>
        <w:rPr>
          <w:rStyle w:val="1425"/>
          <w:rFonts w:hint="eastAsia" w:ascii="宋体" w:hAnsi="宋体" w:eastAsia="宋体" w:cs="宋体"/>
          <w:bCs/>
          <w:color w:val="000000" w:themeColor="text1"/>
          <w:spacing w:val="0"/>
          <w:sz w:val="24"/>
          <w:highlight w:val="none"/>
          <w:lang w:val="en-US"/>
          <w14:textFill>
            <w14:solidFill>
              <w14:schemeClr w14:val="tx1"/>
            </w14:solidFill>
          </w14:textFill>
        </w:rPr>
        <w:t xml:space="preserve">6</w:t>
      </w:r>
      <w:r>
        <w:rPr>
          <w:rStyle w:val="1425"/>
          <w:rFonts w:hint="eastAsia" w:ascii="宋体" w:hAnsi="宋体" w:eastAsia="宋体" w:cs="宋体"/>
          <w:bCs/>
          <w:color w:val="000000" w:themeColor="text1"/>
          <w:spacing w:val="0"/>
          <w:sz w:val="24"/>
          <w:highlight w:val="none"/>
          <w14:textFill>
            <w14:solidFill>
              <w14:schemeClr w14:val="tx1"/>
            </w14:solidFill>
          </w14:textFill>
        </w:rPr>
        <w:t xml:space="preserve">.2 服务</w:t>
      </w:r>
      <w:r>
        <w:rPr>
          <w:rStyle w:val="1425"/>
          <w:rFonts w:hint="eastAsia" w:ascii="宋体" w:hAnsi="宋体" w:eastAsia="宋体" w:cs="宋体"/>
          <w:bCs/>
          <w:color w:val="000000" w:themeColor="text1"/>
          <w:spacing w:val="0"/>
          <w:sz w:val="24"/>
          <w:highlight w:val="none"/>
          <w:lang w:val="en-US"/>
          <w14:textFill>
            <w14:solidFill>
              <w14:schemeClr w14:val="tx1"/>
            </w14:solidFill>
          </w14:textFill>
        </w:rPr>
        <w:t xml:space="preserve">地点</w:t>
      </w:r>
      <w:r>
        <w:rPr>
          <w:rStyle w:val="1425"/>
          <w:rFonts w:hint="eastAsia" w:ascii="宋体" w:hAnsi="宋体" w:eastAsia="宋体" w:cs="宋体"/>
          <w:bCs/>
          <w:color w:val="000000" w:themeColor="text1"/>
          <w:spacing w:val="0"/>
          <w:sz w:val="24"/>
          <w:highlight w:val="none"/>
          <w14:textFill>
            <w14:solidFill>
              <w14:schemeClr w14:val="tx1"/>
            </w14:solidFill>
          </w14:textFill>
        </w:rPr>
        <w:t xml:space="preserve">：</w:t>
      </w:r>
      <w:r>
        <w:rPr>
          <w:rStyle w:val="1425"/>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outlineLvl w:val="1"/>
      </w:pPr>
      <w:r/>
      <w:bookmarkStart w:id="262" w:name="_Toc27764"/>
      <w:r/>
      <w:bookmarkStart w:id="263" w:name="_Toc23352"/>
      <w:r/>
      <w:bookmarkStart w:id="264" w:name="_Toc15021"/>
      <w:r/>
      <w:bookmarkStart w:id="265" w:name="_Toc23134"/>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七</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w:t>
      </w:r>
      <w:bookmarkEnd w:id="262"/>
      <w:r/>
      <w:bookmarkEnd w:id="263"/>
      <w:r/>
      <w:bookmarkEnd w:id="264"/>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支付方式</w:t>
      </w:r>
      <w:bookmarkEnd w:id="265"/>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bCs/>
          <w:color w:val="000000" w:themeColor="text1"/>
          <w:spacing w:val="0"/>
          <w:sz w:val="24"/>
          <w:highlight w:val="none"/>
          <w:lang w:val="en-US"/>
          <w14:textFill>
            <w14:solidFill>
              <w14:schemeClr w14:val="tx1"/>
            </w14:solidFill>
          </w14:textFill>
        </w:rPr>
        <w:t xml:space="preserve">7</w:t>
      </w:r>
      <w:r>
        <w:rPr>
          <w:rStyle w:val="1425"/>
          <w:rFonts w:hint="eastAsia" w:ascii="宋体" w:hAnsi="宋体" w:eastAsia="宋体" w:cs="宋体"/>
          <w:bCs/>
          <w:color w:val="000000" w:themeColor="text1"/>
          <w:spacing w:val="0"/>
          <w:sz w:val="24"/>
          <w:highlight w:val="none"/>
          <w14:textFill>
            <w14:solidFill>
              <w14:schemeClr w14:val="tx1"/>
            </w14:solidFill>
          </w14:textFill>
        </w:rPr>
        <w:t xml:space="preserve">.1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结付程序：</w:t>
      </w:r>
      <w:bookmarkStart w:id="266" w:name="jiefuchengxu"/>
      <w:r/>
      <w:bookmarkEnd w:id="266"/>
      <w:r>
        <w:rPr>
          <w:rStyle w:val="1425"/>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bCs/>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7</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.2</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结付期限：</w:t>
      </w:r>
      <w:bookmarkStart w:id="267" w:name="jiefuqixian"/>
      <w:r/>
      <w:bookmarkEnd w:id="267"/>
      <w:r>
        <w:rPr>
          <w:rStyle w:val="1425"/>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7</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乙方收款账户：</w:t>
      </w:r>
      <w:bookmarkStart w:id="268" w:name="yifangzhanghao"/>
      <w:r/>
      <w:bookmarkEnd w:id="268"/>
      <w:r>
        <w:rPr>
          <w:rStyle w:val="1425"/>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r/>
    </w:p>
    <w:p>
      <w:pPr>
        <w:pStyle w:val="1439"/>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bCs/>
          <w:color w:val="000000" w:themeColor="text1"/>
          <w:spacing w:val="0"/>
          <w:sz w:val="24"/>
          <w:szCs w:val="24"/>
          <w:highlight w:val="none"/>
          <w:lang w:val="en-US"/>
          <w14:textFill>
            <w14:solidFill>
              <w14:schemeClr w14:val="tx1"/>
            </w14:solidFill>
          </w14:textFill>
        </w:rPr>
        <w:t xml:space="preserve">7</w:t>
      </w:r>
      <w:r>
        <w:rPr>
          <w:rStyle w:val="1425"/>
          <w:rFonts w:hint="eastAsia" w:ascii="宋体" w:hAnsi="宋体" w:eastAsia="宋体" w:cs="宋体"/>
          <w:bCs/>
          <w:color w:val="000000" w:themeColor="text1"/>
          <w:spacing w:val="0"/>
          <w:sz w:val="24"/>
          <w:szCs w:val="24"/>
          <w:highlight w:val="none"/>
          <w14:textFill>
            <w14:solidFill>
              <w14:schemeClr w14:val="tx1"/>
            </w14:solidFill>
          </w14:textFill>
        </w:rPr>
        <w:t xml:space="preserve">.4</w:t>
      </w:r>
      <w:r>
        <w:rPr>
          <w:rStyle w:val="1425"/>
          <w:rFonts w:hint="eastAsia" w:ascii="宋体" w:hAnsi="宋体" w:eastAsia="宋体" w:cs="宋体"/>
          <w:bCs/>
          <w:color w:val="000000" w:themeColor="text1"/>
          <w:spacing w:val="0"/>
          <w:sz w:val="24"/>
          <w:szCs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甲方合同款支付方式：</w:t>
      </w:r>
      <w:bookmarkStart w:id="269" w:name="hetongzhifutype"/>
      <w:r/>
      <w:bookmarkEnd w:id="269"/>
      <w:r>
        <w:rPr>
          <w:rStyle w:val="1425"/>
          <w:rFonts w:hint="eastAsia" w:ascii="宋体" w:hAnsi="宋体" w:eastAsia="宋体" w:cs="宋体"/>
          <w:bCs/>
          <w:caps w:val="0"/>
          <w:smallCaps w:val="0"/>
          <w:color w:val="000000" w:themeColor="text1"/>
          <w:spacing w:val="0"/>
          <w:sz w:val="24"/>
          <w:szCs w:val="24"/>
          <w:highlight w:val="none"/>
          <w:u w:val="single"/>
          <w:shd w:val="clear" w:color="auto" w:fill="auto"/>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bCs/>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（若乙方为中小企业，不得强制其接受非现金支付方式）。</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70" w:name="_Toc20688"/>
      <w:r/>
      <w:bookmarkStart w:id="271" w:name="_Toc30997"/>
      <w:r/>
      <w:bookmarkStart w:id="272" w:name="_Toc22208"/>
      <w:r/>
      <w:bookmarkStart w:id="273" w:name="_Toc9918"/>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八</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、税</w:t>
      </w:r>
      <w:bookmarkEnd w:id="270"/>
      <w:r/>
      <w:bookmarkEnd w:id="271"/>
      <w:r/>
      <w:bookmarkEnd w:id="272"/>
      <w:r/>
      <w:bookmarkEnd w:id="273"/>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8</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 本合同执行中相关的一切税费均由乙方负担。</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74" w:name="_Toc24001"/>
      <w:r/>
      <w:bookmarkStart w:id="275" w:name="_Toc22886"/>
      <w:r/>
      <w:bookmarkStart w:id="276" w:name="_Toc9796"/>
      <w:r/>
      <w:bookmarkStart w:id="277" w:name="_Toc4649"/>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九</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、管理事项</w:t>
      </w:r>
      <w:bookmarkEnd w:id="274"/>
      <w:r/>
      <w:bookmarkEnd w:id="275"/>
      <w:r/>
      <w:bookmarkEnd w:id="276"/>
      <w:r/>
      <w:bookmarkEnd w:id="277"/>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9</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 按招标内容要求以及响应单位的承诺项目阐述。</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78" w:name="_Toc5187"/>
      <w:r/>
      <w:bookmarkStart w:id="279" w:name="_Toc21680"/>
      <w:r/>
      <w:bookmarkStart w:id="280" w:name="_Toc6073"/>
      <w:r/>
      <w:bookmarkStart w:id="281" w:name="_Toc7595"/>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十</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、双方权利义务</w:t>
      </w:r>
      <w:bookmarkEnd w:id="278"/>
      <w:r/>
      <w:bookmarkEnd w:id="279"/>
      <w:r/>
      <w:bookmarkEnd w:id="280"/>
      <w:r/>
      <w:bookmarkEnd w:id="281"/>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bookmarkStart w:id="282" w:name="_Toc407"/>
      <w:r/>
      <w:bookmarkStart w:id="283" w:name="_Toc10339"/>
      <w:r/>
      <w:bookmarkStart w:id="284" w:name="_Toc30348"/>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10.1 甲方的权利和义务</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（1）</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甲方制定的委托乙方承担的项目管理内容。（详见项目需求）</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（2）</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检查监督乙方管理工作的实施及制度的执行情况，并进行考核。</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审定乙方提出的项目管理计划。</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协调处理本合同生效前发生的管理遗留问题。</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（5）</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协助乙方做好项目管理工作的宣传教育。</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（6）</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乙方有违约行为的，甲方有权解除合同并没收履约保证金及向乙方支付实际合同期内扣除考核扣款后的全部余款。</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（7）</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甲方有权对中标后再转包或分包的乙方终止承包合同。</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（8）</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甲方有权在服务期内根据实际情况提出修改考核细则，并经与乙方协商确认后，按新的考核细则执行考核。</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10.2 乙方的权利和义务</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（1）</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根据有关法律、法规及本合同的约定，制订项目管理制度。</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（2）</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按合同约定，履行项目管理职责。</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负责编制项目管理年度管理计划。</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工作人员统一着装，并作好相关劳动安全防护工作，严格遵守各项管理规定。</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（5）</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如遇张家港市的各项重要活动、参观接待时，乙方应及时组织人员到位，完成各项突击任务。</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（6）</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乙方必须规范用工，签订用工合同。</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（7）</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85" w:name="_Toc23426"/>
      <w:r>
        <w:rPr>
          <w:rFonts w:hint="eastAsia" w:ascii="宋体" w:hAnsi="宋体" w:eastAsia="宋体" w:cs="宋体"/>
          <w:b/>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一</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、服务质量</w:t>
      </w:r>
      <w:bookmarkEnd w:id="282"/>
      <w:r/>
      <w:bookmarkEnd w:id="283"/>
      <w:r/>
      <w:bookmarkEnd w:id="284"/>
      <w:r/>
      <w:bookmarkEnd w:id="285"/>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1</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 乙方提供的管理服务应达到投标文件所约定的目标。对达标的理解有异议的，由双方共同认可的第三方予以评定。</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outlineLvl w:val="1"/>
      </w:pPr>
      <w:r/>
      <w:bookmarkStart w:id="286" w:name="_Toc5578"/>
      <w:r/>
      <w:bookmarkStart w:id="287" w:name="_Toc11282"/>
      <w:r/>
      <w:bookmarkStart w:id="288" w:name="_Toc3641"/>
      <w:r/>
      <w:bookmarkStart w:id="289" w:name="_Toc13557"/>
      <w:r>
        <w:rPr>
          <w:rFonts w:hint="eastAsia" w:ascii="宋体" w:hAnsi="宋体" w:eastAsia="宋体" w:cs="宋体"/>
          <w:b/>
          <w:color w:val="000000" w:themeColor="text1"/>
          <w:spacing w:val="0"/>
          <w:sz w:val="28"/>
          <w:szCs w:val="28"/>
          <w:highlight w:val="none"/>
          <w14:textFill>
            <w14:solidFill>
              <w14:schemeClr w14:val="tx1"/>
            </w14:solidFill>
          </w14:textFill>
        </w:rPr>
        <w:t xml:space="preserve">十</w:t>
      </w:r>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二</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w:t>
      </w:r>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 xml:space="preserve">验收</w:t>
      </w:r>
      <w:bookmarkEnd w:id="286"/>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 甲方依法组织履约验收工作。</w:t>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.3 对于实际使用人和甲方分离的项目，甲方邀请实际使用人参与验收。</w:t>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.4 如有必要，甲方邀请参加本项目的其他供应商或第三方专业机构及专家参与验收，相关意见将作为验收书的参考资料。</w:t>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90" w:name="_Toc3301"/>
      <w:r>
        <w:rPr>
          <w:rFonts w:hint="eastAsia" w:ascii="宋体" w:hAnsi="宋体" w:eastAsia="宋体" w:cs="宋体"/>
          <w:b/>
          <w:color w:val="000000" w:themeColor="text1"/>
          <w:spacing w:val="0"/>
          <w:sz w:val="28"/>
          <w:szCs w:val="28"/>
          <w:highlight w:val="none"/>
          <w14:textFill>
            <w14:solidFill>
              <w14:schemeClr w14:val="tx1"/>
            </w14:solidFill>
          </w14:textFill>
        </w:rPr>
        <w:t xml:space="preserve">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 xml:space="preserve">三</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、违约责任</w:t>
      </w:r>
      <w:bookmarkEnd w:id="287"/>
      <w:r/>
      <w:bookmarkEnd w:id="288"/>
      <w:r/>
      <w:bookmarkEnd w:id="289"/>
      <w:r/>
      <w:bookmarkEnd w:id="290"/>
      <w:r/>
      <w:r/>
    </w:p>
    <w:p>
      <w:pPr>
        <w:pStyle w:val="1438"/>
        <w:ind w:firstLine="47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1</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 甲方违反合同的约定，使乙方未完成规定管理目标，乙方有权要求甲方在一定期限内解决，逾期未解决的，乙方有权终止合同，造成乙方经济损失的，甲方给予乙方经济赔偿。</w:t>
      </w:r>
      <w:r/>
    </w:p>
    <w:p>
      <w:pPr>
        <w:pStyle w:val="1438"/>
        <w:ind w:firstLine="47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2</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 甲方对乙方进行考核，按考核结果给付费用。甲方逾期办理合同款支付的,应当支付逾期利息，且逾期利息的利率不得低于合同订立时1年期贷款市场报价利率。</w:t>
      </w:r>
      <w:r/>
    </w:p>
    <w:p>
      <w:pPr>
        <w:pStyle w:val="1438"/>
        <w:ind w:firstLine="47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 乙方违反合同的约定，未能达到约定的管理目标，甲方有权要求乙方限期整改，逾期未整改的，甲方有权终止合同，造成甲方经济损失的，乙方给予甲方赔偿。</w:t>
      </w:r>
      <w:r/>
    </w:p>
    <w:p>
      <w:pPr>
        <w:pStyle w:val="1438"/>
        <w:ind w:firstLine="47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cs="宋体"/>
          <w:color w:val="000000" w:themeColor="text1"/>
          <w:spacing w:val="0"/>
          <w:sz w:val="24"/>
          <w:highlight w:val="none"/>
          <w:lang w:val="en-US"/>
          <w14:textFill>
            <w14:solidFill>
              <w14:schemeClr w14:val="tx1"/>
            </w14:solidFill>
          </w14:textFill>
        </w:rPr>
        <w:t xml:space="preserve">13</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.10 本合同生效后，甲乙双</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方任何一方无正当理由要求终止合同的，除双方签订补充协议外，责任方须按本合同及其补充协议的有关条款之规定承担违约责任，并应向对方支付合同金额10%的违约金并应向对方支付合同金额。</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91" w:name="_Toc16170"/>
      <w:r/>
      <w:bookmarkStart w:id="292" w:name="_Toc15058"/>
      <w:r/>
      <w:bookmarkStart w:id="293" w:name="_Toc24363"/>
      <w:r/>
      <w:bookmarkStart w:id="294" w:name="_Toc30251"/>
      <w:r/>
      <w:bookmarkStart w:id="295" w:name="_Toc9688"/>
      <w:r/>
      <w:bookmarkStart w:id="296" w:name="_Toc5724"/>
      <w:r/>
      <w:bookmarkStart w:id="297" w:name="_Toc27127"/>
      <w:r/>
      <w:bookmarkStart w:id="298" w:name="_Toc31496"/>
      <w:r>
        <w:rPr>
          <w:rFonts w:hint="eastAsia" w:ascii="宋体" w:hAnsi="宋体" w:eastAsia="宋体" w:cs="宋体"/>
          <w:b/>
          <w:color w:val="000000" w:themeColor="text1"/>
          <w:spacing w:val="0"/>
          <w:sz w:val="28"/>
          <w:szCs w:val="28"/>
          <w:highlight w:val="none"/>
          <w14:textFill>
            <w14:solidFill>
              <w14:schemeClr w14:val="tx1"/>
            </w14:solidFill>
          </w14:textFill>
        </w:rPr>
        <w:t xml:space="preserve">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 xml:space="preserve">四</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、不可抗力事件处理</w:t>
      </w:r>
      <w:bookmarkEnd w:id="291"/>
      <w:r/>
      <w:bookmarkEnd w:id="292"/>
      <w:r/>
      <w:bookmarkEnd w:id="293"/>
      <w:r/>
      <w:bookmarkEnd w:id="294"/>
      <w:r/>
      <w:bookmarkEnd w:id="295"/>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z w:val="24"/>
          <w:highlight w:val="none"/>
          <w14:textFill>
            <w14:solidFill>
              <w14:schemeClr w14:val="tx1"/>
            </w14:solidFill>
          </w14:textFill>
        </w:rPr>
      </w:pPr>
      <w:r>
        <w:rPr>
          <w:rStyle w:val="1425"/>
          <w:rFonts w:hint="eastAsia" w:ascii="宋体" w:hAnsi="宋体" w:eastAsia="宋体" w:cs="宋体"/>
          <w:color w:val="000000" w:themeColor="text1"/>
          <w:sz w:val="24"/>
          <w:highlight w:val="none"/>
          <w14:textFill>
            <w14:solidFill>
              <w14:schemeClr w14:val="tx1"/>
            </w14:solidFill>
          </w14:textFill>
        </w:rPr>
        <w:t xml:space="preserve">1</w:t>
      </w:r>
      <w:r>
        <w:rPr>
          <w:rStyle w:val="1425"/>
          <w:rFonts w:hint="eastAsia" w:ascii="宋体" w:hAnsi="宋体" w:cs="宋体"/>
          <w:color w:val="000000" w:themeColor="text1"/>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z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z w:val="24"/>
          <w:highlight w:val="none"/>
          <w14:textFill>
            <w14:solidFill>
              <w14:schemeClr w14:val="tx1"/>
            </w14:solidFill>
          </w14:textFill>
        </w:rPr>
      </w:pPr>
      <w:r>
        <w:rPr>
          <w:rStyle w:val="1425"/>
          <w:rFonts w:hint="eastAsia" w:ascii="宋体" w:hAnsi="宋体" w:eastAsia="宋体" w:cs="宋体"/>
          <w:color w:val="000000" w:themeColor="text1"/>
          <w:sz w:val="24"/>
          <w:highlight w:val="none"/>
          <w14:textFill>
            <w14:solidFill>
              <w14:schemeClr w14:val="tx1"/>
            </w14:solidFill>
          </w14:textFill>
        </w:rPr>
        <w:t xml:space="preserve">1</w:t>
      </w:r>
      <w:r>
        <w:rPr>
          <w:rStyle w:val="1425"/>
          <w:rFonts w:hint="eastAsia" w:ascii="宋体" w:hAnsi="宋体" w:cs="宋体"/>
          <w:color w:val="000000" w:themeColor="text1"/>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z w:val="24"/>
          <w:highlight w:val="none"/>
          <w14:textFill>
            <w14:solidFill>
              <w14:schemeClr w14:val="tx1"/>
            </w14:solidFill>
          </w14:textFill>
        </w:rPr>
        <w:t xml:space="preserve">.2 不可抗力事件发生后，应立即通知对方，并寄送有关权威机构出具的证明。</w:t>
      </w:r>
      <w:r/>
    </w:p>
    <w:p>
      <w:pPr>
        <w:pStyle w:val="1438"/>
        <w:ind w:firstLine="470"/>
        <w:keepLines w:val="0"/>
        <w:keepNext w:val="0"/>
        <w:pageBreakBefore w:val="0"/>
        <w:spacing w:line="520" w:lineRule="exact"/>
        <w:shd w:val="clear" w:color="auto"/>
        <w:widowControl w:val="off"/>
        <w:rPr>
          <w:rStyle w:val="1425"/>
          <w:rFonts w:hint="eastAsia" w:ascii="宋体" w:hAnsi="宋体" w:eastAsia="宋体" w:cs="宋体"/>
          <w:color w:val="000000" w:themeColor="text1"/>
          <w:sz w:val="24"/>
          <w:highlight w:val="none"/>
          <w14:textFill>
            <w14:solidFill>
              <w14:schemeClr w14:val="tx1"/>
            </w14:solidFill>
          </w14:textFill>
        </w:rPr>
      </w:pPr>
      <w:r>
        <w:rPr>
          <w:rStyle w:val="1425"/>
          <w:rFonts w:hint="eastAsia" w:ascii="宋体" w:hAnsi="宋体" w:eastAsia="宋体" w:cs="宋体"/>
          <w:color w:val="000000" w:themeColor="text1"/>
          <w:sz w:val="24"/>
          <w:highlight w:val="none"/>
          <w14:textFill>
            <w14:solidFill>
              <w14:schemeClr w14:val="tx1"/>
            </w14:solidFill>
          </w14:textFill>
        </w:rPr>
        <w:t xml:space="preserve">1</w:t>
      </w:r>
      <w:r>
        <w:rPr>
          <w:rStyle w:val="1425"/>
          <w:rFonts w:hint="eastAsia" w:ascii="宋体" w:hAnsi="宋体" w:cs="宋体"/>
          <w:color w:val="000000" w:themeColor="text1"/>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z w:val="24"/>
          <w:highlight w:val="none"/>
          <w14:textFill>
            <w14:solidFill>
              <w14:schemeClr w14:val="tx1"/>
            </w14:solidFill>
          </w14:textFill>
        </w:rPr>
        <w:t xml:space="preserve">.3 不可抗力事件延续120天以上，双方应通过友好协商，确定是否继续履行合同。</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299" w:name="_Toc1355"/>
      <w:r>
        <w:rPr>
          <w:rFonts w:hint="eastAsia" w:ascii="宋体" w:hAnsi="宋体" w:eastAsia="宋体" w:cs="宋体"/>
          <w:b/>
          <w:color w:val="000000" w:themeColor="text1"/>
          <w:spacing w:val="0"/>
          <w:sz w:val="28"/>
          <w:szCs w:val="28"/>
          <w:highlight w:val="none"/>
          <w14:textFill>
            <w14:solidFill>
              <w14:schemeClr w14:val="tx1"/>
            </w14:solidFill>
          </w14:textFill>
        </w:rPr>
        <w:t xml:space="preserve">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 xml:space="preserve">五</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、诉讼</w:t>
      </w:r>
      <w:bookmarkEnd w:id="296"/>
      <w:r/>
      <w:bookmarkEnd w:id="297"/>
      <w:r/>
      <w:bookmarkEnd w:id="298"/>
      <w:r/>
      <w:bookmarkEnd w:id="299"/>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5</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 双方在执行合同中所发生的一切争议，应通过协商解决。如协商不成，可向合同签订地法院起诉，合同签订地在此约定为张家港市。</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300" w:name="_Toc28935"/>
      <w:r/>
      <w:bookmarkStart w:id="301" w:name="_Toc30828"/>
      <w:r/>
      <w:bookmarkStart w:id="302" w:name="_Toc134"/>
      <w:r/>
      <w:bookmarkStart w:id="303" w:name="_Toc16222"/>
      <w:r>
        <w:rPr>
          <w:rFonts w:hint="eastAsia" w:ascii="宋体" w:hAnsi="宋体" w:eastAsia="宋体" w:cs="宋体"/>
          <w:b/>
          <w:color w:val="000000" w:themeColor="text1"/>
          <w:spacing w:val="0"/>
          <w:sz w:val="28"/>
          <w:szCs w:val="28"/>
          <w:highlight w:val="none"/>
          <w14:textFill>
            <w14:solidFill>
              <w14:schemeClr w14:val="tx1"/>
            </w14:solidFill>
          </w14:textFill>
        </w:rPr>
        <w:t xml:space="preserve">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 xml:space="preserve">六</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、合同其他文件</w:t>
      </w:r>
      <w:bookmarkEnd w:id="300"/>
      <w:r/>
      <w:bookmarkEnd w:id="301"/>
      <w:r/>
      <w:bookmarkEnd w:id="302"/>
      <w:r/>
      <w:bookmarkEnd w:id="303"/>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6</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.1下列文件为本合同不可分割部</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分</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，与本合同具有同等效力。</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1</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）中标通知书；</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2</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）乙方中标的投标文件；</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3</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）招标文件；</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）乙方在招投标过程中所作的其他承诺、声明、书面澄清等。</w:t>
      </w:r>
      <w:r/>
    </w:p>
    <w:p>
      <w:p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304" w:name="_Toc13398"/>
      <w:r/>
      <w:bookmarkStart w:id="305" w:name="_Toc2387"/>
      <w:r/>
      <w:bookmarkStart w:id="306" w:name="_Toc20291"/>
      <w:r/>
      <w:bookmarkStart w:id="307" w:name="_Toc13481"/>
      <w:r>
        <w:rPr>
          <w:rFonts w:hint="eastAsia" w:ascii="宋体" w:hAnsi="宋体" w:eastAsia="宋体" w:cs="宋体"/>
          <w:b/>
          <w:color w:val="000000" w:themeColor="text1"/>
          <w:spacing w:val="0"/>
          <w:sz w:val="28"/>
          <w:szCs w:val="28"/>
          <w:highlight w:val="none"/>
          <w14:textFill>
            <w14:solidFill>
              <w14:schemeClr w14:val="tx1"/>
            </w14:solidFill>
          </w14:textFill>
        </w:rPr>
        <w:t xml:space="preserve">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 xml:space="preserve">七</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、合同生效及其它</w:t>
      </w:r>
      <w:bookmarkEnd w:id="304"/>
      <w:r/>
      <w:bookmarkEnd w:id="305"/>
      <w:r/>
      <w:bookmarkEnd w:id="306"/>
      <w:r/>
      <w:bookmarkEnd w:id="307"/>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7</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.1合同经双方法定代表人</w:t>
      </w:r>
      <w:r>
        <w:rPr>
          <w:rStyle w:val="1425"/>
          <w:rFonts w:hint="eastAsia" w:ascii="宋体" w:hAnsi="宋体" w:eastAsia="宋体" w:cs="宋体"/>
          <w:bCs/>
          <w:color w:val="000000" w:themeColor="text1"/>
          <w:spacing w:val="0"/>
          <w:sz w:val="24"/>
          <w:highlight w:val="none"/>
          <w14:textFill>
            <w14:solidFill>
              <w14:schemeClr w14:val="tx1"/>
            </w14:solidFill>
          </w14:textFill>
        </w:rPr>
        <w:t xml:space="preserve">（或负责人）</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或授权委托代表人签字并加盖单位公章（</w:t>
      </w: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或合同章</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）后生效，生效后至张家港市政府采购管理中心备案。</w:t>
      </w:r>
      <w:r/>
    </w:p>
    <w:p>
      <w:pPr>
        <w:pStyle w:val="1438"/>
        <w:ind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highlight w:val="none"/>
          <w14:textFill>
            <w14:solidFill>
              <w14:schemeClr w14:val="tx1"/>
            </w14:solidFill>
          </w14:textFill>
        </w:rPr>
        <w:t xml:space="preserve">1</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7</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.2 本合同未尽事宜，遵照《</w:t>
      </w:r>
      <w:r>
        <w:rPr>
          <w:rStyle w:val="1425"/>
          <w:rFonts w:hint="eastAsia" w:ascii="宋体" w:hAnsi="宋体" w:cs="宋体"/>
          <w:color w:val="000000" w:themeColor="text1"/>
          <w:spacing w:val="0"/>
          <w:sz w:val="24"/>
          <w:highlight w:val="none"/>
          <w:lang w:val="en-US"/>
          <w14:textFill>
            <w14:solidFill>
              <w14:schemeClr w14:val="tx1"/>
            </w14:solidFill>
          </w14:textFill>
        </w:rPr>
        <w:t xml:space="preserve">中华人民共和国</w:t>
      </w:r>
      <w:r>
        <w:rPr>
          <w:rStyle w:val="1425"/>
          <w:rFonts w:hint="eastAsia" w:ascii="宋体" w:hAnsi="宋体" w:eastAsia="宋体" w:cs="宋体"/>
          <w:color w:val="000000" w:themeColor="text1"/>
          <w:spacing w:val="0"/>
          <w:sz w:val="24"/>
          <w:highlight w:val="none"/>
          <w14:textFill>
            <w14:solidFill>
              <w14:schemeClr w14:val="tx1"/>
            </w14:solidFill>
          </w14:textFill>
        </w:rPr>
        <w:t xml:space="preserve">民法典》合同编经甲乙双方协商一致可签订补充协议。</w:t>
      </w:r>
      <w:r/>
    </w:p>
    <w:p>
      <w:pPr>
        <w:ind w:firstLine="480"/>
        <w:keepLines w:val="0"/>
        <w:keepNext w:val="0"/>
        <w:pageBreakBefore w:val="0"/>
        <w:spacing w:line="520" w:lineRule="exact"/>
        <w:widowControl w:val="off"/>
        <w:rPr>
          <w:rFonts w:hint="eastAsia" w:asciiTheme="minorHAnsi" w:eastAsiaTheme="minorEastAsia"/>
          <w:b/>
          <w:bCs/>
          <w:color w:val="000000" w:themeColor="text1"/>
          <w:lang w:val="en-US" w:eastAsia="zh-CN"/>
          <w14:textFill>
            <w14:solidFill>
              <w14:schemeClr w14:val="tx1"/>
            </w14:solidFill>
          </w14:textFill>
        </w:rPr>
      </w:pPr>
      <w:r>
        <w:rPr>
          <w:rStyle w:val="1425"/>
          <w:rFonts w:hint="eastAsia" w:ascii="宋体" w:hAnsi="宋体" w:eastAsia="宋体" w:cs="宋体"/>
          <w:color w:val="000000" w:themeColor="text1"/>
          <w:spacing w:val="0"/>
          <w:sz w:val="24"/>
          <w:highlight w:val="none"/>
          <w:lang w:val="en-US"/>
          <w14:textFill>
            <w14:solidFill>
              <w14:schemeClr w14:val="tx1"/>
            </w14:solidFill>
          </w14:textFill>
        </w:rPr>
        <w:t xml:space="preserve">17.3 本合同正本一式六份，具有同等法律效力，甲方执三份，乙方、苏州政合信咨询管理服务有限公司、张家港市政府采购管理中心各执一份。</w:t>
      </w:r>
      <w:r>
        <w:rPr>
          <w:rFonts w:hint="eastAsia" w:asciiTheme="minorHAnsi" w:eastAsiaTheme="minorEastAsia"/>
          <w:b/>
          <w:bCs/>
          <w:color w:val="000000" w:themeColor="text1"/>
          <w:sz w:val="24"/>
          <w:szCs w:val="24"/>
          <w:lang w:val="en-US" w:eastAsia="zh-CN"/>
          <w14:textFill>
            <w14:solidFill>
              <w14:schemeClr w14:val="tx1"/>
            </w14:solidFill>
          </w14:textFill>
        </w:rPr>
        <w:t xml:space="preserve">（以下无正文）</w:t>
      </w:r>
      <w:r/>
    </w:p>
    <w:p>
      <w:pPr>
        <w:pStyle w:val="1439"/>
        <w:ind w:left="0"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pPr>
      <w:r>
        <w:rPr>
          <w:rFonts w:hint="eastAsia" w:ascii="宋体" w:hAnsi="宋体" w:eastAsia="宋体" w:cs="宋体"/>
          <w:color w:val="000000" w:themeColor="text1"/>
          <w:spacing w:val="0"/>
          <w:sz w:val="24"/>
          <w:highlight w:val="none"/>
          <w:lang w:val="en-US"/>
          <w14:textFill>
            <w14:solidFill>
              <w14:schemeClr w14:val="tx1"/>
            </w14:solidFill>
          </w14:textFill>
        </w:rPr>
      </w:r>
      <w:r/>
    </w:p>
    <w:p>
      <w:pPr>
        <w:pStyle w:val="1439"/>
        <w:ind w:left="0" w:firstLine="480"/>
        <w:keepLines w:val="0"/>
        <w:keepNext w:val="0"/>
        <w:pageBreakBefore w:val="0"/>
        <w:spacing w:line="520" w:lineRule="exact"/>
        <w:shd w:val="clear" w:color="auto"/>
        <w:widowControl w:val="off"/>
        <w:rPr>
          <w:rStyle w:val="1425"/>
          <w:rFonts w:hint="eastAsia" w:ascii="宋体" w:hAnsi="宋体" w:eastAsia="宋体" w:cs="宋体"/>
          <w:color w:val="000000" w:themeColor="text1"/>
          <w:spacing w:val="0"/>
          <w:sz w:val="24"/>
          <w:highlight w:val="none"/>
          <w:lang w:val="en-US"/>
          <w14:textFill>
            <w14:solidFill>
              <w14:schemeClr w14:val="tx1"/>
            </w14:solidFill>
          </w14:textFill>
        </w:rPr>
        <w:sectPr>
          <w:headerReference w:type="default" r:id="rId15"/>
          <w:headerReference w:type="first" r:id="rId16"/>
          <w:footerReference w:type="default" r:id="rId26"/>
          <w:footerReference w:type="first" r:id="rId2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pacing w:val="0"/>
          <w:sz w:val="24"/>
          <w:highlight w:val="none"/>
          <w:lang w:val="en-US"/>
          <w14:textFill>
            <w14:solidFill>
              <w14:schemeClr w14:val="tx1"/>
            </w14:solidFill>
          </w14:textFill>
        </w:rPr>
      </w:r>
      <w:r/>
    </w:p>
    <w:p>
      <w:pPr>
        <w:pStyle w:val="1220"/>
        <w:ind w:left="0" w:firstLine="0"/>
        <w:keepLines w:val="0"/>
        <w:keepNext w:val="0"/>
        <w:pageBreakBefore w:val="0"/>
        <w:spacing w:line="520" w:lineRule="exact"/>
        <w:widowControl w:val="off"/>
        <w:rPr>
          <w:rFonts w:hint="eastAsia" w:ascii="宋体" w:hAnsi="宋体" w:eastAsia="宋体" w:cs="宋体"/>
          <w:b/>
          <w:bCs/>
          <w:color w:val="000000" w:themeColor="text1"/>
          <w:szCs w:val="24"/>
          <w:lang w:val="en-US" w:eastAsia="zh-CN"/>
          <w14:textFill>
            <w14:solidFill>
              <w14:schemeClr w14:val="tx1"/>
            </w14:solidFill>
          </w14:textFill>
        </w:rPr>
      </w:pPr>
      <w:r>
        <w:rPr>
          <w:rFonts w:hint="eastAsia" w:ascii="宋体" w:hAnsi="宋体" w:eastAsia="宋体" w:cs="宋体"/>
          <w:b/>
          <w:bCs/>
          <w:color w:val="000000" w:themeColor="text1"/>
          <w:szCs w:val="24"/>
          <w:lang w:val="en-US" w:eastAsia="zh-CN"/>
          <w14:textFill>
            <w14:solidFill>
              <w14:schemeClr w14:val="tx1"/>
            </w14:solidFill>
          </w14:textFill>
        </w:rPr>
        <w:t xml:space="preserve">（本页无正文）</w:t>
      </w:r>
      <w:r/>
    </w:p>
    <w:tbl>
      <w:tblPr>
        <w:tblStyle w:val="125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46"/>
      </w:tblGrid>
      <w:tr>
        <w:trPr/>
        <w:tc>
          <w:tcPr>
            <w:tcW w:w="5000" w:type="pct"/>
            <w:textDirection w:val="lrTb"/>
            <w:noWrap w:val="false"/>
          </w:tcPr>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甲方：</w:t>
            </w:r>
            <w:bookmarkStart w:id="308" w:name="jianshedanwei_2"/>
            <w:r/>
            <w:bookmarkEnd w:id="308"/>
            <w:r/>
            <w:r/>
          </w:p>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地址：</w:t>
            </w:r>
            <w:bookmarkStart w:id="309" w:name="jianshedanweiaddress"/>
            <w:r/>
            <w:bookmarkEnd w:id="309"/>
            <w:r/>
            <w:r/>
          </w:p>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法定代表人</w:t>
            </w:r>
            <w:r>
              <w:rPr>
                <w:rStyle w:val="1425"/>
                <w:rFonts w:hint="eastAsia" w:ascii="宋体" w:hAnsi="宋体" w:eastAsia="宋体" w:cs="宋体"/>
                <w:bCs/>
                <w:color w:val="000000" w:themeColor="text1"/>
                <w:spacing w:val="0"/>
                <w:sz w:val="24"/>
                <w:szCs w:val="24"/>
                <w:highlight w:val="none"/>
                <w14:textFill>
                  <w14:solidFill>
                    <w14:schemeClr w14:val="tx1"/>
                  </w14:solidFill>
                </w14:textFill>
              </w:rPr>
              <w:t xml:space="preserve">（或负责人）</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或授权代表：</w:t>
            </w:r>
            <w:bookmarkStart w:id="310" w:name="jianshedanweifaren"/>
            <w:r/>
            <w:bookmarkEnd w:id="310"/>
            <w:r/>
            <w:r/>
          </w:p>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联系电话：</w:t>
            </w:r>
            <w:bookmarkStart w:id="311" w:name="jianshedanweifarentel"/>
            <w:r/>
            <w:bookmarkEnd w:id="311"/>
            <w:r/>
            <w:r/>
          </w:p>
          <w:p>
            <w:pPr>
              <w:pStyle w:val="1438"/>
              <w:ind w:left="0"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签订日期：</w:t>
            </w:r>
            <w:bookmarkStart w:id="312" w:name="jiafangqiandingdate"/>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      年    月  日</w:t>
            </w:r>
            <w:bookmarkEnd w:id="230"/>
            <w:r/>
            <w:bookmarkEnd w:id="312"/>
            <w:r/>
            <w:r/>
          </w:p>
        </w:tc>
      </w:tr>
      <w:tr>
        <w:trPr/>
        <w:tc>
          <w:tcPr>
            <w:tcW w:w="5000" w:type="pct"/>
            <w:textDirection w:val="lrTb"/>
            <w:noWrap w:val="false"/>
          </w:tcPr>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乙方：</w:t>
            </w:r>
            <w:bookmarkStart w:id="313" w:name="zhongbiaodanweiname_2"/>
            <w:r/>
            <w:bookmarkEnd w:id="313"/>
            <w:r/>
            <w:r/>
          </w:p>
          <w:p>
            <w:pPr>
              <w:pStyle w:val="1439"/>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地址：</w:t>
            </w:r>
            <w:bookmarkStart w:id="314" w:name="zhongbiaodanweiaddress"/>
            <w:r/>
            <w:bookmarkEnd w:id="314"/>
            <w:r/>
            <w:r/>
          </w:p>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法定代表人</w:t>
            </w:r>
            <w:r>
              <w:rPr>
                <w:rStyle w:val="1425"/>
                <w:rFonts w:hint="eastAsia" w:ascii="宋体" w:hAnsi="宋体" w:eastAsia="宋体" w:cs="宋体"/>
                <w:bCs/>
                <w:color w:val="000000" w:themeColor="text1"/>
                <w:spacing w:val="0"/>
                <w:sz w:val="24"/>
                <w:szCs w:val="24"/>
                <w:highlight w:val="none"/>
                <w14:textFill>
                  <w14:solidFill>
                    <w14:schemeClr w14:val="tx1"/>
                  </w14:solidFill>
                </w14:textFill>
              </w:rPr>
              <w:t xml:space="preserve">（或负责人）</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或授权代表：</w:t>
            </w:r>
            <w:bookmarkStart w:id="315" w:name="zhongbiaodanweifaren"/>
            <w:r/>
            <w:bookmarkEnd w:id="315"/>
            <w:r/>
            <w:r/>
          </w:p>
          <w:p>
            <w:pPr>
              <w:pStyle w:val="1438"/>
              <w:ind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联系电话：</w:t>
            </w:r>
            <w:bookmarkStart w:id="316" w:name="zhongbiaodanweifarentel"/>
            <w:r/>
            <w:bookmarkEnd w:id="316"/>
            <w:r/>
            <w:r/>
          </w:p>
          <w:p>
            <w:pPr>
              <w:pStyle w:val="1438"/>
              <w:ind w:left="0" w:firstLine="0"/>
              <w:keepLines w:val="0"/>
              <w:keepNext w:val="0"/>
              <w:pageBreakBefore w:val="0"/>
              <w:spacing w:after="0" w:line="520" w:lineRule="exact"/>
              <w:shd w:val="clear" w:color="auto"/>
              <w:widowControl w:val="off"/>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签订日期： </w:t>
            </w:r>
            <w:bookmarkStart w:id="317" w:name="yifangqiandingdate"/>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     年    月  日</w:t>
            </w:r>
            <w:bookmarkEnd w:id="317"/>
            <w:r/>
            <w:r/>
          </w:p>
        </w:tc>
      </w:tr>
      <w:tr>
        <w:trPr/>
        <w:tc>
          <w:tcPr>
            <w:tcW w:w="5000" w:type="pct"/>
            <w:textDirection w:val="lrTb"/>
            <w:noWrap w:val="false"/>
          </w:tcPr>
          <w:p>
            <w:pPr>
              <w:keepLines w:val="0"/>
              <w:keepNext w:val="0"/>
              <w:pageBreakBefore w:val="0"/>
              <w:spacing w:after="0" w:line="520" w:lineRule="exact"/>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keepLines w:val="0"/>
              <w:keepNext w:val="0"/>
              <w:pageBreakBefore w:val="0"/>
              <w:spacing w:after="0" w:line="520" w:lineRule="exact"/>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采购代理机构：苏州政合信咨询管理服务有限公司</w:t>
            </w:r>
            <w:r/>
          </w:p>
          <w:p>
            <w:pPr>
              <w:keepLines w:val="0"/>
              <w:keepNext w:val="0"/>
              <w:pageBreakBefore w:val="0"/>
              <w:spacing w:after="0" w:line="520" w:lineRule="exact"/>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地址：张家港市长兴路13号1号楼2楼</w:t>
            </w:r>
            <w:r/>
          </w:p>
          <w:p>
            <w:pPr>
              <w:keepLines w:val="0"/>
              <w:keepNext w:val="0"/>
              <w:pageBreakBefore w:val="0"/>
              <w:spacing w:after="0" w:line="520" w:lineRule="exact"/>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经办人：</w:t>
            </w:r>
            <w:r/>
          </w:p>
          <w:p>
            <w:pPr>
              <w:keepLines w:val="0"/>
              <w:keepNext w:val="0"/>
              <w:pageBreakBefore w:val="0"/>
              <w:spacing w:after="0" w:line="520" w:lineRule="exact"/>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联系电话：0512-58918185</w:t>
            </w:r>
            <w:r/>
          </w:p>
          <w:p>
            <w:pPr>
              <w:keepLines w:val="0"/>
              <w:keepNext w:val="0"/>
              <w:pageBreakBefore w:val="0"/>
              <w:spacing w:after="0" w:line="520" w:lineRule="exact"/>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签订日期：</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pStyle w:val="1439"/>
              <w:ind w:left="0" w:firstLine="0"/>
              <w:spacing w:after="0"/>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39"/>
              <w:ind w:left="0" w:firstLine="0"/>
              <w:spacing w:after="0"/>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39"/>
              <w:ind w:left="0" w:firstLine="0"/>
              <w:spacing w:after="0"/>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bl>
    <w:p>
      <w:pPr>
        <w:pStyle w:val="1438"/>
        <w:ind w:firstLine="0"/>
        <w:keepLines w:val="0"/>
        <w:keepNext w:val="0"/>
        <w:pageBreakBefore w:val="0"/>
        <w:spacing w:line="400" w:lineRule="exact"/>
        <w:shd w:val="clear" w:color="auto"/>
        <w:widowControl w:val="off"/>
        <w:rPr>
          <w:rFonts w:hint="eastAsia"/>
          <w:color w:val="000000" w:themeColor="text1"/>
          <w14:textFill>
            <w14:solidFill>
              <w14:schemeClr w14:val="tx1"/>
            </w14:solidFill>
          </w14:textFill>
        </w:rPr>
      </w:pPr>
      <w:r>
        <w:rPr>
          <w:rStyle w:val="1425"/>
          <w:rFonts w:hint="eastAsia" w:ascii="宋体" w:hAnsi="宋体" w:eastAsia="宋体" w:cs="宋体"/>
          <w:color w:val="000000" w:themeColor="text1"/>
          <w:sz w:val="24"/>
          <w:highlight w:val="none"/>
          <w14:textFill>
            <w14:solidFill>
              <w14:schemeClr w14:val="tx1"/>
            </w14:solidFill>
          </w14:textFill>
        </w:rPr>
        <w:t xml:space="preserve">备案方：张家港市政府采购管理中心</w:t>
      </w:r>
      <w:r/>
    </w:p>
    <w:p>
      <w:pPr>
        <w:keepLines w:val="0"/>
        <w:keepNext w:val="0"/>
        <w:pageBreakBefore w:val="0"/>
        <w:spacing w:line="500" w:lineRule="exact"/>
        <w:shd w:val="clear" w:color="auto"/>
        <w:widowControl w:val="off"/>
        <w:rPr>
          <w:rFonts w:hint="eastAsia" w:ascii="宋体" w:hAnsi="宋体" w:eastAsia="宋体" w:cs="宋体"/>
          <w:color w:val="000000" w:themeColor="text1"/>
          <w:spacing w:val="0"/>
          <w:sz w:val="20"/>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pacing w:val="0"/>
          <w:sz w:val="20"/>
          <w:highlight w:val="none"/>
          <w14:textFill>
            <w14:solidFill>
              <w14:schemeClr w14:val="tx1"/>
            </w14:solidFill>
          </w14:textFill>
        </w:rPr>
      </w:r>
      <w:r/>
    </w:p>
    <w:p>
      <w:pPr>
        <w:pStyle w:val="1420"/>
        <w:spacing w:before="313" w:after="313"/>
        <w:shd w:val="clear" w:color="auto"/>
        <w:rPr>
          <w:rFonts w:hint="eastAsia" w:ascii="宋体" w:hAnsi="宋体" w:eastAsia="宋体" w:cs="宋体"/>
          <w:color w:val="000000" w:themeColor="text1"/>
          <w:spacing w:val="0"/>
          <w:highlight w:val="none"/>
          <w14:textFill>
            <w14:solidFill>
              <w14:schemeClr w14:val="tx1"/>
            </w14:solidFill>
          </w14:textFill>
        </w:rPr>
      </w:pPr>
      <w:r/>
      <w:bookmarkStart w:id="318" w:name="_Hlt16619350"/>
      <w:r/>
      <w:bookmarkStart w:id="319" w:name="_Toc13070"/>
      <w:r/>
      <w:bookmarkStart w:id="320" w:name="_Toc16938590"/>
      <w:r/>
      <w:bookmarkStart w:id="321" w:name="_Toc20823346"/>
      <w:r/>
      <w:bookmarkStart w:id="322" w:name="_Toc120614244"/>
      <w:r/>
      <w:bookmarkStart w:id="323" w:name="_Toc38368128"/>
      <w:r/>
      <w:bookmarkStart w:id="324" w:name="_Toc20918"/>
      <w:r/>
      <w:bookmarkStart w:id="325" w:name="_Toc9844"/>
      <w:r/>
      <w:bookmarkStart w:id="326" w:name="_Toc35266028"/>
      <w:r/>
      <w:bookmarkStart w:id="327" w:name="_Toc54615246"/>
      <w:r/>
      <w:bookmarkStart w:id="328" w:name="_Toc24253"/>
      <w:r>
        <w:rPr>
          <w:rFonts w:hint="eastAsia" w:ascii="宋体" w:hAnsi="宋体" w:eastAsia="宋体" w:cs="宋体"/>
          <w:color w:val="000000" w:themeColor="text1"/>
          <w:spacing w:val="0"/>
          <w:highlight w:val="none"/>
          <w14:textFill>
            <w14:solidFill>
              <w14:schemeClr w14:val="tx1"/>
            </w14:solidFill>
          </w14:textFill>
        </w:rPr>
        <w:t xml:space="preserve">第</w:t>
      </w:r>
      <w:bookmarkEnd w:id="318"/>
      <w:r>
        <w:rPr>
          <w:rFonts w:hint="eastAsia" w:ascii="宋体" w:hAnsi="宋体" w:eastAsia="宋体" w:cs="宋体"/>
          <w:color w:val="000000" w:themeColor="text1"/>
          <w:spacing w:val="0"/>
          <w:highlight w:val="none"/>
          <w14:textFill>
            <w14:solidFill>
              <w14:schemeClr w14:val="tx1"/>
            </w14:solidFill>
          </w14:textFill>
        </w:rPr>
        <w:t xml:space="preserve">四章 项目需求</w:t>
      </w:r>
      <w:bookmarkEnd w:id="319"/>
      <w:r/>
      <w:bookmarkEnd w:id="320"/>
      <w:r/>
      <w:bookmarkEnd w:id="321"/>
      <w:r/>
      <w:bookmarkEnd w:id="322"/>
      <w:r/>
      <w:bookmarkEnd w:id="323"/>
      <w:r/>
      <w:bookmarkEnd w:id="324"/>
      <w:r/>
      <w:bookmarkEnd w:id="325"/>
      <w:r/>
      <w:bookmarkEnd w:id="326"/>
      <w:r/>
      <w:bookmarkEnd w:id="327"/>
      <w:r/>
      <w:bookmarkEnd w:id="328"/>
      <w:r/>
      <w:bookmarkStart w:id="329" w:name="_Toc274321794"/>
      <w:r/>
      <w:bookmarkEnd w:id="329"/>
      <w:r/>
      <w:bookmarkStart w:id="330" w:name="_Toc350255489"/>
      <w:r/>
      <w:bookmarkEnd w:id="330"/>
      <w:r/>
      <w:bookmarkStart w:id="331" w:name="_Toc483515625"/>
      <w:r/>
      <w:bookmarkEnd w:id="331"/>
      <w:r/>
      <w:bookmarkStart w:id="332" w:name="_Toc319429198"/>
      <w:r/>
      <w:bookmarkEnd w:id="332"/>
      <w:r/>
      <w:bookmarkStart w:id="333" w:name="_Toc49090575"/>
      <w:r/>
      <w:bookmarkStart w:id="334" w:name="_Toc26554093"/>
      <w:r/>
      <w:r/>
    </w:p>
    <w:p>
      <w:pPr>
        <w:keepLines w:val="0"/>
        <w:keepNext w:val="0"/>
        <w:pageBreakBefore w:val="0"/>
        <w:spacing w:line="520" w:lineRule="exact"/>
        <w:shd w:val="clear" w:color="auto"/>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335" w:name="_Toc28824"/>
      <w:r/>
      <w:bookmarkStart w:id="336" w:name="_Toc3428"/>
      <w:r/>
      <w:bookmarkStart w:id="337" w:name="_Toc13663"/>
      <w:r/>
      <w:bookmarkStart w:id="338" w:name="_Toc22586"/>
      <w:r/>
      <w:bookmarkStart w:id="339" w:name="_Toc120614281"/>
      <w:r>
        <w:rPr>
          <w:rFonts w:hint="eastAsia" w:ascii="宋体" w:hAnsi="宋体" w:eastAsia="宋体" w:cs="宋体"/>
          <w:b/>
          <w:color w:val="000000" w:themeColor="text1"/>
          <w:spacing w:val="0"/>
          <w:sz w:val="28"/>
          <w:szCs w:val="28"/>
          <w:highlight w:val="none"/>
          <w14:textFill>
            <w14:solidFill>
              <w14:schemeClr w14:val="tx1"/>
            </w14:solidFill>
          </w14:textFill>
        </w:rPr>
        <w:t xml:space="preserve">一、清单</w:t>
      </w:r>
      <w:bookmarkEnd w:id="335"/>
      <w:r/>
      <w:bookmarkEnd w:id="336"/>
      <w:r/>
      <w:bookmarkEnd w:id="337"/>
      <w:r/>
      <w:bookmarkEnd w:id="338"/>
      <w:r/>
      <w:r/>
    </w:p>
    <w:p>
      <w:pPr>
        <w:pStyle w:val="1442"/>
        <w:ind w:firstLine="482"/>
        <w:keepLines w:val="0"/>
        <w:keepNext w:val="0"/>
        <w:pageBreakBefore w:val="0"/>
        <w:spacing w:line="520" w:lineRule="exact"/>
        <w:shd w:val="clear" w:color="auto"/>
        <w:widowControl/>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一</w:t>
      </w:r>
      <w:r>
        <w:rPr>
          <w:rStyle w:val="1425"/>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清单</w:t>
      </w:r>
      <w:r/>
    </w:p>
    <w:tbl>
      <w:tblPr>
        <w:tblStyle w:val="1219"/>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60"/>
        <w:gridCol w:w="2013"/>
        <w:gridCol w:w="725"/>
        <w:gridCol w:w="712"/>
        <w:gridCol w:w="763"/>
        <w:gridCol w:w="2694"/>
        <w:gridCol w:w="888"/>
        <w:gridCol w:w="1227"/>
      </w:tblGrid>
      <w:tr>
        <w:trPr>
          <w:jc w:val="center"/>
          <w:trHeight w:val="567"/>
        </w:trPr>
        <w:tc>
          <w:tcPr>
            <w:shd w:val="clear" w:color="auto" w:fill="b5c7ea"/>
            <w:tcMar>
              <w:top w:w="100" w:type="dxa"/>
              <w:bottom w:w="100" w:type="dxa"/>
            </w:tcMar>
            <w:tcW w:w="760"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序号</w:t>
            </w:r>
            <w:r/>
          </w:p>
        </w:tc>
        <w:tc>
          <w:tcPr>
            <w:shd w:val="clear" w:color="auto" w:fill="b5c7ea"/>
            <w:tcMar>
              <w:top w:w="100" w:type="dxa"/>
              <w:bottom w:w="100" w:type="dxa"/>
            </w:tcMar>
            <w:tcW w:w="2013"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名称</w:t>
            </w:r>
            <w:r/>
          </w:p>
        </w:tc>
        <w:tc>
          <w:tcPr>
            <w:shd w:val="clear" w:color="auto" w:fill="b5c7ea"/>
            <w:tcMar>
              <w:top w:w="100" w:type="dxa"/>
              <w:bottom w:w="100" w:type="dxa"/>
            </w:tcMar>
            <w:tcW w:w="725"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数量</w:t>
            </w:r>
            <w:r/>
          </w:p>
        </w:tc>
        <w:tc>
          <w:tcPr>
            <w:shd w:val="clear" w:color="auto" w:fill="b5c7ea"/>
            <w:tcMar>
              <w:top w:w="100" w:type="dxa"/>
              <w:bottom w:w="100" w:type="dxa"/>
            </w:tcMar>
            <w:tcW w:w="712"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单位</w:t>
            </w:r>
            <w:r/>
          </w:p>
        </w:tc>
        <w:tc>
          <w:tcPr>
            <w:shd w:val="clear" w:color="auto" w:fill="b5c7ea"/>
            <w:tcMar>
              <w:top w:w="100" w:type="dxa"/>
              <w:bottom w:w="100" w:type="dxa"/>
            </w:tcMar>
            <w:tcW w:w="763"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图片</w:t>
            </w:r>
            <w:r/>
          </w:p>
        </w:tc>
        <w:tc>
          <w:tcPr>
            <w:shd w:val="clear" w:color="auto" w:fill="b5c7ea"/>
            <w:tcMar>
              <w:top w:w="100" w:type="dxa"/>
              <w:bottom w:w="100" w:type="dxa"/>
            </w:tcMar>
            <w:tcW w:w="2694"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所属行业</w:t>
            </w:r>
            <w:r/>
          </w:p>
        </w:tc>
        <w:tc>
          <w:tcPr>
            <w:shd w:val="clear" w:color="auto" w:fill="b5c7ea"/>
            <w:tcMar>
              <w:top w:w="100" w:type="dxa"/>
              <w:bottom w:w="100" w:type="dxa"/>
            </w:tcMar>
            <w:tcW w:w="888"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标的类型</w:t>
            </w:r>
            <w:r/>
          </w:p>
        </w:tc>
        <w:tc>
          <w:tcPr>
            <w:shd w:val="clear" w:color="auto" w:fill="b5c7ea"/>
            <w:tcMar>
              <w:top w:w="100" w:type="dxa"/>
              <w:bottom w:w="100" w:type="dxa"/>
            </w:tcMar>
            <w:tcW w:w="1227" w:type="dxa"/>
            <w:vAlign w:val="center"/>
            <w:textDirection w:val="lrTb"/>
            <w:noWrap/>
          </w:tcPr>
          <w:p>
            <w:pPr>
              <w:pStyle w:val="1441"/>
              <w:jc w:val="center"/>
              <w:spacing w:line="240" w:lineRule="auto"/>
              <w:shd w:val="clear" w:color="auto"/>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标的属性</w:t>
            </w:r>
            <w:r/>
          </w:p>
        </w:tc>
      </w:tr>
      <w:tr>
        <w:trPr>
          <w:jc w:val="center"/>
          <w:trHeight w:val="567"/>
        </w:trPr>
        <w:tc>
          <w:tcPr>
            <w:tcMar>
              <w:top w:w="100" w:type="dxa"/>
              <w:bottom w:w="100" w:type="dxa"/>
            </w:tcMar>
            <w:tcW w:w="760" w:type="dxa"/>
            <w:vAlign w:val="center"/>
            <w:textDirection w:val="lrTb"/>
            <w:noWrap/>
          </w:tcPr>
          <w:p>
            <w:pPr>
              <w:pStyle w:val="1441"/>
              <w:jc w:val="center"/>
              <w:keepLines w:val="0"/>
              <w:keepNext w:val="0"/>
              <w:pageBreakBefore w:val="0"/>
              <w:spacing w:line="240" w:lineRule="auto"/>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w:t>
            </w:r>
            <w:r/>
          </w:p>
        </w:tc>
        <w:tc>
          <w:tcPr>
            <w:tcMar>
              <w:top w:w="100" w:type="dxa"/>
              <w:bottom w:w="100" w:type="dxa"/>
            </w:tcMar>
            <w:tcW w:w="2013" w:type="dxa"/>
            <w:vAlign w:val="center"/>
            <w:textDirection w:val="lrTb"/>
            <w:noWrap/>
          </w:tcPr>
          <w:p>
            <w:pPr>
              <w:pStyle w:val="1441"/>
              <w:jc w:val="center"/>
              <w:keepLines w:val="0"/>
              <w:keepNext w:val="0"/>
              <w:pageBreakBefore w:val="0"/>
              <w:spacing w:line="240" w:lineRule="auto"/>
              <w:shd w:val="clear" w:color="auto"/>
              <w:widowControl/>
              <w:rPr>
                <w:rStyle w:val="1425"/>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乘航片区（乘航社区、江南社区）开放区域保洁及片区城市管理服务项目</w:t>
            </w:r>
            <w:r/>
          </w:p>
        </w:tc>
        <w:tc>
          <w:tcPr>
            <w:tcMar>
              <w:top w:w="100" w:type="dxa"/>
              <w:bottom w:w="100" w:type="dxa"/>
            </w:tcMar>
            <w:tcW w:w="725" w:type="dxa"/>
            <w:vAlign w:val="center"/>
            <w:textDirection w:val="lrTb"/>
            <w:noWrap/>
          </w:tcPr>
          <w:p>
            <w:pPr>
              <w:pStyle w:val="1448"/>
              <w:jc w:val="center"/>
              <w:keepLines w:val="0"/>
              <w:keepNext w:val="0"/>
              <w:pageBreakBefore w:val="0"/>
              <w:spacing w:line="516" w:lineRule="exact"/>
              <w:shd w:val="clear" w:color="auto"/>
              <w:widowControl/>
              <w:rPr>
                <w:rStyle w:val="1425"/>
                <w:rFonts w:hint="eastAsia" w:ascii="宋体" w:hAnsi="宋体" w:eastAsia="宋体" w:cs="宋体"/>
                <w:color w:val="000000" w:themeColor="text1"/>
                <w:spacing w:val="0"/>
                <w:sz w:val="24"/>
                <w:szCs w:val="24"/>
                <w:highlight w:val="none"/>
                <w:lang w:val="en-US" w:eastAsia="zh-CN"/>
                <w14:textFill>
                  <w14:solidFill>
                    <w14:schemeClr w14:val="tx1"/>
                  </w14:solidFill>
                </w14:textFill>
              </w:rPr>
              <w:outlineLvl w:val="9"/>
            </w:pPr>
            <w:r>
              <w:rPr>
                <w:rStyle w:val="1425"/>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p>
        </w:tc>
        <w:tc>
          <w:tcPr>
            <w:tcMar>
              <w:top w:w="100" w:type="dxa"/>
              <w:bottom w:w="100" w:type="dxa"/>
            </w:tcMar>
            <w:tcW w:w="712" w:type="dxa"/>
            <w:vAlign w:val="center"/>
            <w:textDirection w:val="lrTb"/>
            <w:noWrap/>
          </w:tcPr>
          <w:p>
            <w:pPr>
              <w:pStyle w:val="1448"/>
              <w:jc w:val="center"/>
              <w:keepLines w:val="0"/>
              <w:keepNext w:val="0"/>
              <w:pageBreakBefore w:val="0"/>
              <w:spacing w:line="516" w:lineRule="exact"/>
              <w:shd w:val="clear" w:color="auto"/>
              <w:widowControl/>
              <w:rPr>
                <w:rStyle w:val="1425"/>
                <w:rFonts w:hint="eastAsia" w:ascii="宋体" w:hAnsi="宋体" w:eastAsia="宋体" w:cs="宋体"/>
                <w:color w:val="000000" w:themeColor="text1"/>
                <w:spacing w:val="0"/>
                <w:sz w:val="24"/>
                <w:szCs w:val="24"/>
                <w:highlight w:val="none"/>
                <w:lang w:val="en-US" w:eastAsia="zh-CN"/>
                <w14:textFill>
                  <w14:solidFill>
                    <w14:schemeClr w14:val="tx1"/>
                  </w14:solidFill>
                </w14:textFill>
              </w:rPr>
              <w:outlineLvl w:val="9"/>
            </w:pPr>
            <w:r>
              <w:rPr>
                <w:rStyle w:val="1425"/>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项</w:t>
            </w:r>
            <w:r/>
          </w:p>
        </w:tc>
        <w:tc>
          <w:tcPr>
            <w:tcMar>
              <w:top w:w="100" w:type="dxa"/>
              <w:bottom w:w="100" w:type="dxa"/>
            </w:tcMar>
            <w:tcW w:w="763" w:type="dxa"/>
            <w:vAlign w:val="center"/>
            <w:textDirection w:val="lrTb"/>
            <w:noWrap/>
          </w:tcPr>
          <w:p>
            <w:pPr>
              <w:pStyle w:val="1448"/>
              <w:jc w:val="center"/>
              <w:keepLines w:val="0"/>
              <w:keepNext w:val="0"/>
              <w:pageBreakBefore w:val="0"/>
              <w:spacing w:line="516" w:lineRule="exact"/>
              <w:shd w:val="clear" w:color="auto"/>
              <w:widowControl/>
              <w:rPr>
                <w:rStyle w:val="1425"/>
                <w:rFonts w:hint="eastAsia" w:ascii="宋体" w:hAnsi="宋体" w:eastAsia="宋体" w:cs="宋体"/>
                <w:color w:val="000000" w:themeColor="text1"/>
                <w:spacing w:val="0"/>
                <w:sz w:val="24"/>
                <w:szCs w:val="24"/>
                <w:highlight w:val="none"/>
                <w:lang w:val="en-US" w:eastAsia="zh-CN"/>
                <w14:textFill>
                  <w14:solidFill>
                    <w14:schemeClr w14:val="tx1"/>
                  </w14:solidFill>
                </w14:textFill>
              </w:rPr>
              <w:outlineLvl w:val="9"/>
            </w:pPr>
            <w:r>
              <w:rPr>
                <w:rStyle w:val="1425"/>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无</w:t>
            </w:r>
            <w:r/>
          </w:p>
        </w:tc>
        <w:tc>
          <w:tcPr>
            <w:tcMar>
              <w:top w:w="100" w:type="dxa"/>
              <w:bottom w:w="100" w:type="dxa"/>
            </w:tcMar>
            <w:tcW w:w="2694" w:type="dxa"/>
            <w:vAlign w:val="center"/>
            <w:textDirection w:val="lrTb"/>
            <w:noWrap/>
          </w:tcPr>
          <w:p>
            <w:pPr>
              <w:pStyle w:val="1441"/>
              <w:jc w:val="center"/>
              <w:keepLines w:val="0"/>
              <w:keepNext w:val="0"/>
              <w:pageBreakBefore w:val="0"/>
              <w:spacing w:line="240" w:lineRule="auto"/>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88" w:type="dxa"/>
            <w:vAlign w:val="center"/>
            <w:textDirection w:val="lrTb"/>
            <w:noWrap/>
          </w:tcPr>
          <w:p>
            <w:pPr>
              <w:pStyle w:val="1441"/>
              <w:jc w:val="center"/>
              <w:keepLines w:val="0"/>
              <w:keepNext w:val="0"/>
              <w:pageBreakBefore w:val="0"/>
              <w:spacing w:line="240" w:lineRule="auto"/>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主要采购标的</w:t>
            </w:r>
            <w:r/>
          </w:p>
        </w:tc>
        <w:tc>
          <w:tcPr>
            <w:tcMar>
              <w:top w:w="100" w:type="dxa"/>
              <w:bottom w:w="100" w:type="dxa"/>
            </w:tcMar>
            <w:tcW w:w="1227" w:type="dxa"/>
            <w:vAlign w:val="center"/>
            <w:textDirection w:val="lrTb"/>
            <w:noWrap/>
          </w:tcPr>
          <w:p>
            <w:pPr>
              <w:pStyle w:val="1441"/>
              <w:jc w:val="center"/>
              <w:keepLines w:val="0"/>
              <w:keepNext w:val="0"/>
              <w:pageBreakBefore w:val="0"/>
              <w:spacing w:line="240" w:lineRule="auto"/>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服务类</w:t>
            </w:r>
            <w:r/>
          </w:p>
        </w:tc>
      </w:tr>
    </w:tbl>
    <w:p>
      <w:pPr>
        <w:pStyle w:val="1440"/>
        <w:ind w:firstLine="480"/>
        <w:keepLines w:val="0"/>
        <w:keepNext w:val="0"/>
        <w:pageBreakBefore w:val="0"/>
        <w:spacing w:line="520" w:lineRule="exact"/>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pStyle w:val="1442"/>
        <w:ind w:firstLine="482"/>
        <w:keepLines w:val="0"/>
        <w:keepNext w:val="0"/>
        <w:pageBreakBefore w:val="0"/>
        <w:spacing w:line="520" w:lineRule="exact"/>
        <w:shd w:val="clear" w:color="auto"/>
        <w:widowControl/>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二</w:t>
      </w:r>
      <w:r>
        <w:rPr>
          <w:rStyle w:val="1425"/>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核心产品清单</w:t>
      </w:r>
      <w:r/>
    </w:p>
    <w:p>
      <w:pPr>
        <w:pStyle w:val="1442"/>
        <w:ind w:firstLine="480"/>
        <w:keepLines w:val="0"/>
        <w:keepNext w:val="0"/>
        <w:pageBreakBefore w:val="0"/>
        <w:spacing w:line="520" w:lineRule="exact"/>
        <w:shd w:val="clear" w:color="auto"/>
        <w:widowControl/>
        <w:rPr>
          <w:rStyle w:val="1425"/>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无。</w:t>
      </w:r>
      <w:r/>
    </w:p>
    <w:p>
      <w:pPr>
        <w:pStyle w:val="1443"/>
        <w:ind w:firstLine="480"/>
        <w:keepLines w:val="0"/>
        <w:keepNext w:val="0"/>
        <w:pageBreakBefore w:val="0"/>
        <w:spacing w:line="520" w:lineRule="exact"/>
        <w:shd w:val="clear" w:color="auto"/>
        <w:widowControl/>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注：</w:t>
      </w:r>
      <w:r/>
    </w:p>
    <w:p>
      <w:pPr>
        <w:pStyle w:val="1443"/>
        <w:ind w:firstLine="480"/>
        <w:keepLines w:val="0"/>
        <w:keepNext w:val="0"/>
        <w:pageBreakBefore w:val="0"/>
        <w:spacing w:line="520" w:lineRule="exact"/>
        <w:shd w:val="clear" w:color="auto"/>
        <w:widowControl/>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1</w:t>
      </w:r>
      <w:r>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443"/>
        <w:ind w:firstLine="480"/>
        <w:keepLines w:val="0"/>
        <w:keepNext w:val="0"/>
        <w:pageBreakBefore w:val="0"/>
        <w:spacing w:line="520" w:lineRule="exact"/>
        <w:shd w:val="clear" w:color="auto"/>
        <w:widowControl/>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2</w:t>
      </w:r>
      <w:r>
        <w:rPr>
          <w:rStyle w:val="1425"/>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443"/>
        <w:ind w:firstLine="482"/>
        <w:keepLines w:val="0"/>
        <w:keepNext w:val="0"/>
        <w:pageBreakBefore w:val="0"/>
        <w:spacing w:line="460" w:lineRule="exact"/>
        <w:shd w:val="clear" w:color="auto"/>
        <w:widowControl/>
        <w:rPr>
          <w:rStyle w:val="1425"/>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三</w:t>
      </w:r>
      <w:r>
        <w:rPr>
          <w:rStyle w:val="1425"/>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节能、环境标志产品清单(请提供国家确定的认证机构出具的、处于有效期之内的节能产品、环境标志产品认证证书（若证书有附件（附录）的，附件（附录）须随证书一起提供）</w:t>
      </w:r>
      <w:r/>
    </w:p>
    <w:p>
      <w:pPr>
        <w:pStyle w:val="1443"/>
        <w:ind w:firstLine="480"/>
        <w:keepLines w:val="0"/>
        <w:keepNext w:val="0"/>
        <w:pageBreakBefore w:val="0"/>
        <w:spacing w:line="460" w:lineRule="exact"/>
        <w:shd w:val="clear" w:color="auto"/>
        <w:widowControl/>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节能产品政府采购品目清单：</w:t>
      </w:r>
      <w:r/>
    </w:p>
    <w:p>
      <w:pPr>
        <w:pStyle w:val="1443"/>
        <w:ind w:firstLine="480"/>
        <w:keepLines w:val="0"/>
        <w:keepNext w:val="0"/>
        <w:pageBreakBefore w:val="0"/>
        <w:spacing w:line="460" w:lineRule="exact"/>
        <w:shd w:val="clear" w:color="auto"/>
        <w:widowControl/>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无。</w:t>
      </w:r>
      <w:r/>
    </w:p>
    <w:p>
      <w:pPr>
        <w:pStyle w:val="1444"/>
        <w:ind w:firstLine="480"/>
        <w:keepLines w:val="0"/>
        <w:keepNext w:val="0"/>
        <w:pageBreakBefore w:val="0"/>
        <w:spacing w:line="460" w:lineRule="exact"/>
        <w:shd w:val="clear" w:color="auto"/>
        <w:widowControl/>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环境标志产品政府采购品目清单：</w:t>
      </w:r>
      <w:r/>
    </w:p>
    <w:p>
      <w:pPr>
        <w:pStyle w:val="1443"/>
        <w:ind w:firstLine="480"/>
        <w:keepLines w:val="0"/>
        <w:keepNext w:val="0"/>
        <w:pageBreakBefore w:val="0"/>
        <w:spacing w:line="460" w:lineRule="exact"/>
        <w:shd w:val="clear" w:color="auto"/>
        <w:widowControl/>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bookmarkStart w:id="340" w:name="EB408f2104b2e44804a6615a1921eee37c"/>
      <w:r/>
      <w:bookmarkEnd w:id="340"/>
      <w:r>
        <w:rPr>
          <w:rStyle w:val="1425"/>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无。</w:t>
      </w:r>
      <w:r/>
    </w:p>
    <w:p>
      <w:pPr>
        <w:pStyle w:val="1443"/>
        <w:ind w:firstLine="482"/>
        <w:keepLines w:val="0"/>
        <w:keepNext w:val="0"/>
        <w:pageBreakBefore w:val="0"/>
        <w:spacing w:line="460" w:lineRule="exact"/>
        <w:shd w:val="clear" w:color="auto"/>
        <w:widowControl/>
        <w:rPr>
          <w:rStyle w:val="1425"/>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Style w:val="1425"/>
          <w:rFonts w:hint="eastAsia" w:ascii="宋体" w:hAnsi="宋体" w:eastAsia="宋体" w:cs="宋体"/>
          <w:b/>
          <w:bCs/>
          <w:color w:val="000000" w:themeColor="text1"/>
          <w:spacing w:val="0"/>
          <w:sz w:val="24"/>
          <w:szCs w:val="24"/>
          <w:highlight w:val="none"/>
          <w:lang w:val="en-US"/>
          <w14:textFill>
            <w14:solidFill>
              <w14:schemeClr w14:val="tx1"/>
            </w14:solidFill>
          </w14:textFill>
        </w:rPr>
        <w:t xml:space="preserve">（四）绿色采购其他政策</w:t>
      </w:r>
      <w:r/>
    </w:p>
    <w:p>
      <w:pPr>
        <w:pStyle w:val="1444"/>
        <w:ind w:firstLine="480"/>
        <w:keepLines w:val="0"/>
        <w:keepNext w:val="0"/>
        <w:pageBreakBefore w:val="0"/>
        <w:spacing w:line="460" w:lineRule="exact"/>
        <w:shd w:val="clear" w:color="auto"/>
        <w:widowControl/>
        <w:rPr>
          <w:rStyle w:val="1425"/>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443"/>
        <w:ind w:firstLine="499"/>
        <w:keepLines w:val="0"/>
        <w:keepNext w:val="0"/>
        <w:pageBreakBefore w:val="0"/>
        <w:spacing w:line="460" w:lineRule="exact"/>
        <w:widowControl w:val="off"/>
        <w:rPr>
          <w:rStyle w:val="1425"/>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1425"/>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443"/>
        <w:ind w:firstLine="499"/>
        <w:keepLines w:val="0"/>
        <w:keepNext w:val="0"/>
        <w:pageBreakBefore w:val="0"/>
        <w:spacing w:line="460" w:lineRule="exact"/>
        <w:widowControl w:val="off"/>
        <w:rPr>
          <w:rStyle w:val="1425"/>
          <w:rFonts w:hint="eastAsia" w:ascii="宋体" w:hAnsi="宋体" w:eastAsia="宋体" w:cs="宋体"/>
          <w:b/>
          <w:bCs/>
          <w:color w:val="000000" w:themeColor="text1"/>
          <w:sz w:val="24"/>
          <w:szCs w:val="24"/>
          <w:highlight w:val="none"/>
          <w14:textFill>
            <w14:solidFill>
              <w14:schemeClr w14:val="tx1"/>
            </w14:solidFill>
          </w14:textFill>
        </w:rPr>
      </w:pPr>
      <w:r>
        <w:rPr>
          <w:rStyle w:val="1425"/>
          <w:rFonts w:hint="eastAsia" w:ascii="宋体" w:hAnsi="宋体" w:eastAsia="宋体" w:cs="宋体"/>
          <w:b/>
          <w:bCs/>
          <w:color w:val="000000" w:themeColor="text1"/>
          <w:sz w:val="24"/>
          <w:szCs w:val="24"/>
          <w:highlight w:val="none"/>
          <w14:textFill>
            <w14:solidFill>
              <w14:schemeClr w14:val="tx1"/>
            </w14:solidFill>
          </w14:textFill>
        </w:rPr>
        <w:t xml:space="preserve">（五）政府采购中实施本国产品标准及相关政策</w:t>
      </w:r>
      <w:r/>
    </w:p>
    <w:p>
      <w:pPr>
        <w:pStyle w:val="1443"/>
        <w:ind w:firstLine="480"/>
        <w:keepLines w:val="0"/>
        <w:keepNext w:val="0"/>
        <w:pageBreakBefore w:val="0"/>
        <w:spacing w:line="46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1．本项目对采购本国产品给予政策支持，具体内容见招标文件“第五章 评标方法与评标标准”。</w:t>
      </w:r>
      <w:r/>
    </w:p>
    <w:p>
      <w:pPr>
        <w:pStyle w:val="1443"/>
        <w:ind w:firstLine="480"/>
        <w:keepLines w:val="0"/>
        <w:keepNext w:val="0"/>
        <w:pageBreakBefore w:val="0"/>
        <w:spacing w:line="46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43"/>
        <w:ind w:firstLine="480"/>
        <w:keepLines w:val="0"/>
        <w:keepNext w:val="0"/>
        <w:pageBreakBefore w:val="0"/>
        <w:spacing w:line="46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443"/>
        <w:ind w:firstLine="480"/>
        <w:keepLines w:val="0"/>
        <w:keepNext w:val="0"/>
        <w:pageBreakBefore w:val="0"/>
        <w:spacing w:line="460" w:lineRule="exact"/>
        <w:widowControl w:val="off"/>
        <w:rPr>
          <w:rFonts w:hint="eastAsia" w:ascii="宋体" w:hAnsi="宋体" w:eastAsia="宋体" w:cs="宋体"/>
          <w:color w:val="000000" w:themeColor="text1"/>
          <w:spacing w:val="7"/>
          <w:szCs w:val="22"/>
          <w:highlight w:val="none"/>
          <w:lang w:val="en-US" w:eastAsia="zh-CN"/>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注：本服务项目不涉及货物，投标文件中无需提供《关于符合本国产品标准的声明函》</w:t>
      </w:r>
      <w:r>
        <w:rPr>
          <w:rFonts w:hint="eastAsia" w:ascii="宋体" w:hAnsi="宋体" w:eastAsia="宋体" w:cs="宋体"/>
          <w:color w:val="000000" w:themeColor="text1"/>
          <w:spacing w:val="7"/>
          <w:szCs w:val="22"/>
          <w:highlight w:val="none"/>
          <w:lang w:eastAsia="zh-CN"/>
          <w14:textFill>
            <w14:solidFill>
              <w14:schemeClr w14:val="tx1"/>
            </w14:solidFill>
          </w14:textFill>
        </w:rPr>
        <w:t xml:space="preserve">。</w:t>
      </w:r>
      <w:r/>
    </w:p>
    <w:p>
      <w:pPr>
        <w:numPr>
          <w:ilvl w:val="0"/>
          <w:numId w:val="0"/>
        </w:numPr>
        <w:keepLines w:val="0"/>
        <w:keepNext w:val="0"/>
        <w:pageBreakBefore w:val="0"/>
        <w:spacing w:line="460" w:lineRule="exact"/>
        <w:shd w:val="clear" w:color="auto"/>
        <w:widowControl w:val="off"/>
        <w:rPr>
          <w:rFonts w:hint="eastAsia" w:ascii="宋体" w:hAnsi="宋体" w:eastAsia="宋体" w:cs="宋体"/>
          <w:b/>
          <w:color w:val="000000" w:themeColor="text1"/>
          <w:spacing w:val="0"/>
          <w:sz w:val="28"/>
          <w:szCs w:val="28"/>
          <w:highlight w:val="none"/>
          <w:lang w:val="en-US" w:eastAsia="zh-CN" w:bidi="ar-SA"/>
          <w14:textFill>
            <w14:solidFill>
              <w14:schemeClr w14:val="tx1"/>
            </w14:solidFill>
          </w14:textFill>
        </w:rPr>
        <w:sectPr>
          <w:headerReference w:type="default" r:id="rId17"/>
          <w:headerReference w:type="first" r:id="rId18"/>
          <w:footerReference w:type="default" r:id="rId28"/>
          <w:footerReference w:type="first" r:id="rId29"/>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
          <w:color w:val="000000" w:themeColor="text1"/>
          <w:spacing w:val="0"/>
          <w:sz w:val="28"/>
          <w:szCs w:val="28"/>
          <w:highlight w:val="none"/>
          <w:lang w:val="en-US" w:eastAsia="zh-CN" w:bidi="ar-SA"/>
          <w14:textFill>
            <w14:solidFill>
              <w14:schemeClr w14:val="tx1"/>
            </w14:solidFill>
          </w14:textFill>
        </w:rPr>
      </w:r>
      <w:r/>
    </w:p>
    <w:p>
      <w:pPr>
        <w:numPr>
          <w:ilvl w:val="0"/>
          <w:numId w:val="0"/>
        </w:numPr>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341" w:name="_Toc454"/>
      <w:r>
        <w:rPr>
          <w:rFonts w:hint="eastAsia" w:ascii="宋体" w:hAnsi="宋体" w:eastAsia="宋体" w:cs="宋体"/>
          <w:b/>
          <w:color w:val="000000" w:themeColor="text1"/>
          <w:spacing w:val="0"/>
          <w:sz w:val="28"/>
          <w:szCs w:val="28"/>
          <w:highlight w:val="none"/>
          <w:lang w:val="en-US" w:eastAsia="zh-CN" w:bidi="ar-SA"/>
          <w14:textFill>
            <w14:solidFill>
              <w14:schemeClr w14:val="tx1"/>
            </w14:solidFill>
          </w14:textFill>
        </w:rPr>
        <w:t xml:space="preserve">二、</w:t>
      </w:r>
      <w:r>
        <w:rPr>
          <w:rFonts w:hint="eastAsia" w:ascii="宋体" w:hAnsi="宋体" w:eastAsia="宋体" w:cs="宋体"/>
          <w:b/>
          <w:color w:val="000000" w:themeColor="text1"/>
          <w:spacing w:val="0"/>
          <w:sz w:val="28"/>
          <w:szCs w:val="28"/>
          <w:highlight w:val="none"/>
          <w14:textFill>
            <w14:solidFill>
              <w14:schemeClr w14:val="tx1"/>
            </w14:solidFill>
          </w14:textFill>
        </w:rPr>
        <w:t xml:space="preserve">技术要求</w:t>
      </w:r>
      <w:bookmarkEnd w:id="341"/>
      <w:r/>
      <w:r/>
    </w:p>
    <w:p>
      <w:pPr>
        <w:pStyle w:val="1220"/>
        <w:ind w:firstLine="482"/>
        <w:jc w:val="center"/>
        <w:keepLines w:val="0"/>
        <w:keepNext w:val="0"/>
        <w:pageBreakBefore w:val="0"/>
        <w:spacing w:line="520" w:lineRule="exact"/>
        <w:shd w:val="clear" w:color="auto"/>
        <w:widowControl w:val="off"/>
        <w:rPr>
          <w:rFonts w:hint="eastAsia" w:ascii="宋体" w:hAnsi="宋体" w:eastAsia="宋体" w:cs="宋体"/>
          <w:b/>
          <w:bCs/>
          <w:color w:val="000000" w:themeColor="text1"/>
          <w:sz w:val="28"/>
          <w:szCs w:val="28"/>
          <w:highlight w:val="none"/>
          <w:lang w:eastAsia="zh-CN" w:bidi="ar"/>
          <w14:textFill>
            <w14:solidFill>
              <w14:schemeClr w14:val="tx1"/>
            </w14:solidFill>
          </w14:textFill>
        </w:rPr>
      </w:pPr>
      <w:r>
        <w:rPr>
          <w:rFonts w:hint="eastAsia" w:ascii="宋体" w:hAnsi="宋体" w:eastAsia="宋体" w:cs="宋体"/>
          <w:b/>
          <w:bCs/>
          <w:color w:val="000000" w:themeColor="text1"/>
          <w:sz w:val="28"/>
          <w:szCs w:val="28"/>
          <w:highlight w:val="none"/>
          <w:lang w:eastAsia="zh-CN" w:bidi="ar"/>
          <w14:textFill>
            <w14:solidFill>
              <w14:schemeClr w14:val="tx1"/>
            </w14:solidFill>
          </w14:textFill>
        </w:rPr>
        <w:t xml:space="preserve">乘航社区、江南社区开放区域保洁</w:t>
      </w:r>
      <w:r>
        <w:rPr>
          <w:rFonts w:hint="eastAsia" w:cs="宋体"/>
          <w:b/>
          <w:bCs/>
          <w:color w:val="000000" w:themeColor="text1"/>
          <w:sz w:val="28"/>
          <w:szCs w:val="28"/>
          <w:highlight w:val="none"/>
          <w:lang w:eastAsia="zh-CN" w:bidi="ar"/>
          <w14:textFill>
            <w14:solidFill>
              <w14:schemeClr w14:val="tx1"/>
            </w14:solidFill>
          </w14:textFill>
        </w:rPr>
        <w:t xml:space="preserve">技术要求</w:t>
      </w:r>
      <w:r/>
    </w:p>
    <w:p>
      <w:pPr>
        <w:pStyle w:val="1220"/>
        <w:ind w:firstLine="482"/>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cs="宋体"/>
          <w:b/>
          <w:bCs/>
          <w:color w:val="000000" w:themeColor="text1"/>
          <w:sz w:val="24"/>
          <w:szCs w:val="24"/>
          <w:highlight w:val="none"/>
          <w:lang w:eastAsia="zh-CN" w:bidi="ar"/>
          <w14:textFill>
            <w14:solidFill>
              <w14:schemeClr w14:val="tx1"/>
            </w14:solidFill>
          </w14:textFill>
        </w:rPr>
        <w:t xml:space="preserve">需求简介</w:t>
      </w:r>
      <w:r/>
    </w:p>
    <w:p>
      <w:pPr>
        <w:ind w:firstLine="480"/>
        <w:keepLines w:val="0"/>
        <w:keepNext w:val="0"/>
        <w:pageBreakBefore w:val="0"/>
        <w:spacing w:line="5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eastAsia="zh-CN" w:bidi="ar"/>
          <w14:textFill>
            <w14:solidFill>
              <w14:schemeClr w14:val="tx1"/>
            </w14:solidFill>
          </w14:textFill>
        </w:rPr>
        <w:t xml:space="preserve">为</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乘航社区、江南社区</w:t>
      </w:r>
      <w:r>
        <w:rPr>
          <w:rFonts w:hint="eastAsia" w:ascii="宋体" w:hAnsi="宋体" w:cs="宋体"/>
          <w:color w:val="000000" w:themeColor="text1"/>
          <w:sz w:val="24"/>
          <w:szCs w:val="24"/>
          <w:highlight w:val="none"/>
          <w:lang w:eastAsia="zh-CN" w:bidi="ar"/>
          <w14:textFill>
            <w14:solidFill>
              <w14:schemeClr w14:val="tx1"/>
            </w14:solidFill>
          </w14:textFill>
        </w:rPr>
        <w:t xml:space="preserve">内</w:t>
      </w:r>
      <w:r>
        <w:rPr>
          <w:rFonts w:hint="eastAsia" w:ascii="宋体" w:hAnsi="宋体" w:eastAsia="宋体" w:cs="宋体"/>
          <w:color w:val="000000" w:themeColor="text1"/>
          <w:sz w:val="24"/>
          <w:szCs w:val="24"/>
          <w:highlight w:val="none"/>
          <w:lang w:bidi="ar"/>
          <w14:textFill>
            <w14:solidFill>
              <w14:schemeClr w14:val="tx1"/>
            </w14:solidFill>
          </w14:textFill>
        </w:rPr>
        <w:t xml:space="preserve">开放区域</w:t>
      </w:r>
      <w:r>
        <w:rPr>
          <w:rFonts w:hint="eastAsia" w:ascii="宋体" w:hAnsi="宋体" w:cs="宋体"/>
          <w:color w:val="000000" w:themeColor="text1"/>
          <w:sz w:val="24"/>
          <w:szCs w:val="24"/>
          <w:highlight w:val="none"/>
          <w:lang w:eastAsia="zh-CN" w:bidi="ar"/>
          <w14:textFill>
            <w14:solidFill>
              <w14:schemeClr w14:val="tx1"/>
            </w14:solidFill>
          </w14:textFill>
        </w:rPr>
        <w:t xml:space="preserve">提供</w:t>
      </w:r>
      <w:r>
        <w:rPr>
          <w:rFonts w:hint="eastAsia" w:ascii="宋体" w:hAnsi="宋体" w:eastAsia="宋体" w:cs="宋体"/>
          <w:color w:val="000000" w:themeColor="text1"/>
          <w:sz w:val="24"/>
          <w:szCs w:val="24"/>
          <w:highlight w:val="none"/>
          <w:lang w:bidi="ar"/>
          <w14:textFill>
            <w14:solidFill>
              <w14:schemeClr w14:val="tx1"/>
            </w14:solidFill>
          </w14:textFill>
        </w:rPr>
        <w:t xml:space="preserve">保洁</w:t>
      </w:r>
      <w:r>
        <w:rPr>
          <w:rFonts w:hint="eastAsia" w:ascii="宋体" w:hAnsi="宋体" w:cs="宋体"/>
          <w:color w:val="000000" w:themeColor="text1"/>
          <w:sz w:val="24"/>
          <w:szCs w:val="24"/>
          <w:highlight w:val="none"/>
          <w:lang w:eastAsia="zh-CN" w:bidi="ar"/>
          <w14:textFill>
            <w14:solidFill>
              <w14:schemeClr w14:val="tx1"/>
            </w14:solidFill>
          </w14:textFill>
        </w:rPr>
        <w:t xml:space="preserve">服务，</w:t>
      </w:r>
      <w:r>
        <w:rPr>
          <w:rFonts w:hint="eastAsia" w:ascii="宋体" w:hAnsi="宋体" w:eastAsia="宋体" w:cs="宋体"/>
          <w:color w:val="000000" w:themeColor="text1"/>
          <w:sz w:val="24"/>
          <w:szCs w:val="24"/>
          <w:highlight w:val="none"/>
          <w:lang w:bidi="ar"/>
          <w14:textFill>
            <w14:solidFill>
              <w14:schemeClr w14:val="tx1"/>
            </w14:solidFill>
          </w14:textFill>
        </w:rPr>
        <w:t xml:space="preserve">详见下表。</w:t>
      </w:r>
      <w:r/>
    </w:p>
    <w:p>
      <w:pPr>
        <w:jc w:val="center"/>
        <w:keepLines w:val="0"/>
        <w:keepNext w:val="0"/>
        <w:pageBreakBefore w:val="0"/>
        <w:spacing w:before="157" w:after="157" w:line="240" w:lineRule="auto"/>
        <w:shd w:val="clear" w:color="auto" w:fill="auto"/>
        <w:widowControl w:val="off"/>
        <w:rPr>
          <w:rFonts w:hint="eastAsia" w:ascii="宋体" w:hAnsi="宋体" w:eastAsia="宋体" w:cs="宋体"/>
          <w:b/>
          <w:bCs/>
          <w:caps w:val="0"/>
          <w:color w:val="000000" w:themeColor="text1"/>
          <w:spacing w:val="0"/>
          <w:sz w:val="28"/>
          <w:szCs w:val="28"/>
          <w:highlight w:val="none"/>
          <w14:textFill>
            <w14:solidFill>
              <w14:schemeClr w14:val="tx1"/>
            </w14:solidFill>
          </w14:textFill>
        </w:rPr>
      </w:pPr>
      <w:r>
        <w:rPr>
          <w:rFonts w:hint="eastAsia" w:ascii="宋体" w:hAnsi="宋体" w:eastAsia="宋体" w:cs="宋体"/>
          <w:b/>
          <w:bCs/>
          <w:caps w:val="0"/>
          <w:color w:val="000000" w:themeColor="text1"/>
          <w:spacing w:val="0"/>
          <w:sz w:val="28"/>
          <w:szCs w:val="28"/>
          <w:highlight w:val="none"/>
          <w14:textFill>
            <w14:solidFill>
              <w14:schemeClr w14:val="tx1"/>
            </w14:solidFill>
          </w14:textFill>
        </w:rPr>
        <w:t xml:space="preserve">乘航社区开放式小区统计表</w:t>
      </w:r>
      <w:r/>
    </w:p>
    <w:tbl>
      <w:tblPr>
        <w:tblStyle w:val="1219"/>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3"/>
        <w:gridCol w:w="4189"/>
        <w:gridCol w:w="1433"/>
        <w:gridCol w:w="1477"/>
        <w:gridCol w:w="1250"/>
        <w:gridCol w:w="672"/>
      </w:tblGrid>
      <w:tr>
        <w:trPr>
          <w:jc w:val="center"/>
          <w:trHeight w:val="567"/>
          <w:tblHeader/>
        </w:trPr>
        <w:tc>
          <w:tcPr>
            <w:shd w:val="clear" w:color="auto" w:fill="b8cce4" w:themeFill="accent1" w:themeFillTint="66"/>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序号</w:t>
            </w:r>
            <w:r/>
          </w:p>
        </w:tc>
        <w:tc>
          <w:tcPr>
            <w:shd w:val="clear" w:color="auto" w:fill="b8cce4" w:themeFill="accent1" w:themeFillTint="66"/>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保洁项目</w:t>
            </w:r>
            <w:r/>
          </w:p>
        </w:tc>
        <w:tc>
          <w:tcPr>
            <w:shd w:val="clear" w:color="auto" w:fill="b8cce4" w:themeFill="accent1" w:themeFillTint="66"/>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公共面积</w:t>
            </w:r>
            <w:r/>
          </w:p>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(平方米)</w:t>
            </w:r>
            <w:r/>
          </w:p>
        </w:tc>
        <w:tc>
          <w:tcPr>
            <w:shd w:val="clear" w:color="auto" w:fill="b8cce4" w:themeFill="accent1" w:themeFillTint="66"/>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公共绿化</w:t>
            </w:r>
            <w:r/>
          </w:p>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(平方米)</w:t>
            </w:r>
            <w:r/>
          </w:p>
        </w:tc>
        <w:tc>
          <w:tcPr>
            <w:shd w:val="clear" w:color="auto" w:fill="b8cce4" w:themeFill="accent1" w:themeFillTint="66"/>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楼道</w:t>
            </w:r>
            <w:r/>
          </w:p>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(个)</w:t>
            </w:r>
            <w:r/>
          </w:p>
        </w:tc>
        <w:tc>
          <w:tcPr>
            <w:shd w:val="clear" w:color="auto" w:fill="b8cce4" w:themeFill="accent1" w:themeFillTint="66"/>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备注</w:t>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乘南小区</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28226</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12500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45</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乘南别墅</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1240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423</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南苑别墅</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8600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4500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骏马苑南侧、新民花苑北侧道</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2600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0</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商城新村</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20160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2740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28</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教育新村</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6050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1005</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9</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商城路西侧1、2幢</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400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8</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蒋乘南路1、2、3、4、6幢</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352</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9</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机关楼</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2600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10</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乘园路1幢</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467</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11</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土管所楼</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715</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12</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信用社楼</w:t>
            </w:r>
            <w:r/>
          </w:p>
        </w:tc>
        <w:tc>
          <w:tcPr>
            <w:tcBorders>
              <w:top w:val="single" w:color="000000" w:sz="2" w:space="0"/>
              <w:bottom w:val="none" w:color="000000" w:sz="4" w:space="0"/>
            </w:tcBorders>
            <w:tcW w:w="1433" w:type="dxa"/>
            <w:vAlign w:val="center"/>
            <w:vMerge w:val="restart"/>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954</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13</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文化站楼</w:t>
            </w:r>
            <w:r/>
          </w:p>
        </w:tc>
        <w:tc>
          <w:tcPr>
            <w:tcBorders>
              <w:top w:val="none" w:color="000000" w:sz="4" w:space="0"/>
              <w:bottom w:val="single" w:color="000000" w:sz="2" w:space="0"/>
            </w:tcBorders>
            <w:tcW w:w="1433" w:type="dxa"/>
            <w:vAlign w:val="center"/>
            <w:vMerge w:val="continue"/>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14</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兽医站楼</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850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15</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小学弄</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2034</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16</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乘航东路供销社、老农业银行、物资站、交管站、1、2、3、4幢</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25400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1000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8</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17</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中学楼</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2128</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10</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18</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骏马别墅</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11400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7096</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19</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供销别墅</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20720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4925</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20</w:t>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停车场（乘航菜场东面、祁家巷、老供电所）</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2000</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0</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70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c>
          <w:tcPr>
            <w:tcBorders>
              <w:top w:val="single" w:color="000000" w:sz="2" w:space="0"/>
              <w:bottom w:val="single" w:color="000000" w:sz="2" w:space="0"/>
            </w:tcBorders>
            <w:tcW w:w="4189"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乘航社区小计</w:t>
            </w:r>
            <w:r/>
          </w:p>
        </w:tc>
        <w:tc>
          <w:tcPr>
            <w:tcBorders>
              <w:top w:val="single" w:color="000000" w:sz="2" w:space="0"/>
              <w:bottom w:val="single" w:color="000000" w:sz="2" w:space="0"/>
            </w:tcBorders>
            <w:tcW w:w="1433"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136896</w:t>
            </w:r>
            <w:r/>
          </w:p>
        </w:tc>
        <w:tc>
          <w:tcPr>
            <w:tcBorders>
              <w:top w:val="single" w:color="000000" w:sz="2" w:space="0"/>
              <w:bottom w:val="single" w:color="000000" w:sz="2" w:space="0"/>
            </w:tcBorders>
            <w:tcW w:w="147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34189</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134</w:t>
            </w:r>
            <w:r/>
          </w:p>
        </w:tc>
        <w:tc>
          <w:tcPr>
            <w:tcBorders>
              <w:top w:val="single" w:color="000000" w:sz="2" w:space="0"/>
              <w:bottom w:val="single" w:color="000000" w:sz="2" w:space="0"/>
            </w:tcBorders>
            <w:tcW w:w="67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bl>
    <w:p>
      <w:pPr>
        <w:jc w:val="center"/>
        <w:keepLines w:val="0"/>
        <w:keepNext w:val="0"/>
        <w:pageBreakBefore w:val="0"/>
        <w:spacing w:before="157" w:after="157" w:line="240" w:lineRule="auto"/>
        <w:shd w:val="clear" w:color="auto" w:fill="auto"/>
        <w:widowControl w:val="off"/>
        <w:rPr>
          <w:rFonts w:hint="eastAsia" w:ascii="宋体" w:hAnsi="宋体" w:eastAsia="宋体" w:cs="宋体"/>
          <w:b/>
          <w:bCs/>
          <w:caps w:val="0"/>
          <w:color w:val="000000" w:themeColor="text1"/>
          <w:spacing w:val="0"/>
          <w:sz w:val="28"/>
          <w:szCs w:val="28"/>
          <w:highlight w:val="none"/>
          <w14:textFill>
            <w14:solidFill>
              <w14:schemeClr w14:val="tx1"/>
            </w14:solidFill>
          </w14:textFill>
        </w:rPr>
      </w:pPr>
      <w:r>
        <w:rPr>
          <w:rFonts w:hint="eastAsia" w:ascii="宋体" w:hAnsi="宋体" w:eastAsia="宋体" w:cs="宋体"/>
          <w:b/>
          <w:bCs/>
          <w:caps w:val="0"/>
          <w:color w:val="000000" w:themeColor="text1"/>
          <w:spacing w:val="0"/>
          <w:sz w:val="28"/>
          <w:szCs w:val="28"/>
          <w:highlight w:val="none"/>
          <w14:textFill>
            <w14:solidFill>
              <w14:schemeClr w14:val="tx1"/>
            </w14:solidFill>
          </w14:textFill>
        </w:rPr>
        <w:t xml:space="preserve">江南社区开放式小区统计表</w:t>
      </w:r>
      <w:r/>
    </w:p>
    <w:tbl>
      <w:tblPr>
        <w:tblStyle w:val="1219"/>
        <w:tblW w:w="97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7"/>
        <w:gridCol w:w="4205"/>
        <w:gridCol w:w="1422"/>
        <w:gridCol w:w="1500"/>
        <w:gridCol w:w="1250"/>
        <w:gridCol w:w="668"/>
      </w:tblGrid>
      <w:tr>
        <w:trPr>
          <w:jc w:val="center"/>
          <w:trHeight w:val="567"/>
        </w:trPr>
        <w:tc>
          <w:tcPr>
            <w:shd w:val="clear" w:color="auto" w:fill="b8cce4" w:themeFill="accent1" w:themeFillTint="66"/>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序号</w:t>
            </w:r>
            <w:r/>
          </w:p>
        </w:tc>
        <w:tc>
          <w:tcPr>
            <w:shd w:val="clear" w:color="auto" w:fill="b8cce4" w:themeFill="accent1" w:themeFillTint="66"/>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保洁项目</w:t>
            </w:r>
            <w:r/>
          </w:p>
        </w:tc>
        <w:tc>
          <w:tcPr>
            <w:shd w:val="clear" w:color="auto" w:fill="b8cce4" w:themeFill="accent1" w:themeFillTint="66"/>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公共面积</w:t>
            </w:r>
            <w:r/>
          </w:p>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（平方米）</w:t>
            </w:r>
            <w:r/>
          </w:p>
        </w:tc>
        <w:tc>
          <w:tcPr>
            <w:shd w:val="clear" w:color="auto" w:fill="b8cce4" w:themeFill="accent1" w:themeFillTint="66"/>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公共绿化</w:t>
            </w:r>
            <w:r/>
          </w:p>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（平方米）</w:t>
            </w:r>
            <w:r/>
          </w:p>
        </w:tc>
        <w:tc>
          <w:tcPr>
            <w:shd w:val="clear" w:color="auto" w:fill="b8cce4" w:themeFill="accent1" w:themeFillTint="66"/>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楼道</w:t>
            </w:r>
            <w:r/>
          </w:p>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（个）</w:t>
            </w:r>
            <w:r/>
          </w:p>
        </w:tc>
        <w:tc>
          <w:tcPr>
            <w:shd w:val="clear" w:color="auto" w:fill="b8cce4" w:themeFill="accent1" w:themeFillTint="66"/>
            <w:tcBorders>
              <w:top w:val="single" w:color="000000" w:sz="2" w:space="0"/>
              <w:bottom w:val="single" w:color="000000" w:sz="2" w:space="0"/>
            </w:tcBorders>
            <w:tcW w:w="668" w:type="dxa"/>
            <w:vAlign w:val="center"/>
            <w:textDirection w:val="lrTb"/>
            <w:noWrap w:val="false"/>
          </w:tcPr>
          <w:p>
            <w:pPr>
              <w:jc w:val="center"/>
              <w:spacing w:line="240" w:lineRule="auto"/>
              <w:shd w:val="clear" w:color="auto" w:fill="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备注</w:t>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镇中路南延伸宝月楼至苏虞张</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19600</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0</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农民新村</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29571</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3500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乘航新村1-2幢</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3245</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45</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乘航东南座6户</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951</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230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科技街1-11、13幢</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3500</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27</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新乘北路1、2、3、4幢</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5590</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10</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菜场综合楼</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319</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8</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乘航菜场回字形区域保洁及乱停车治用</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1580</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9</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菜场南面及西面停车场</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3800</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10</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广电站楼</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481</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11</w:t>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乘航西路1-10幢</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6800</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500</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23</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r>
        <w:trPr>
          <w:jc w:val="center"/>
          <w:trHeight w:val="567"/>
        </w:trPr>
        <w:tc>
          <w:tcPr>
            <w:tcBorders>
              <w:top w:val="single" w:color="000000" w:sz="2" w:space="0"/>
              <w:bottom w:val="single" w:color="000000" w:sz="2" w:space="0"/>
            </w:tcBorders>
            <w:tcW w:w="657"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c>
          <w:tcPr>
            <w:tcBorders>
              <w:top w:val="single" w:color="000000" w:sz="2" w:space="0"/>
              <w:bottom w:val="single" w:color="000000" w:sz="2" w:space="0"/>
            </w:tcBorders>
            <w:tcW w:w="4205"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江南社区小计</w:t>
            </w:r>
            <w:r/>
          </w:p>
        </w:tc>
        <w:tc>
          <w:tcPr>
            <w:tcBorders>
              <w:top w:val="single" w:color="000000" w:sz="2" w:space="0"/>
              <w:bottom w:val="single" w:color="000000" w:sz="2" w:space="0"/>
            </w:tcBorders>
            <w:tcW w:w="1422"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75437</w:t>
            </w:r>
            <w:r/>
          </w:p>
        </w:tc>
        <w:tc>
          <w:tcPr>
            <w:tcBorders>
              <w:top w:val="single" w:color="000000" w:sz="2" w:space="0"/>
              <w:bottom w:val="single" w:color="000000" w:sz="2" w:space="0"/>
            </w:tcBorders>
            <w:tcW w:w="150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4275</w:t>
            </w:r>
            <w:r/>
          </w:p>
        </w:tc>
        <w:tc>
          <w:tcPr>
            <w:tcBorders>
              <w:top w:val="single" w:color="000000" w:sz="2" w:space="0"/>
              <w:bottom w:val="single" w:color="000000" w:sz="2" w:space="0"/>
            </w:tcBorders>
            <w:tcW w:w="1250" w:type="dxa"/>
            <w:vAlign w:val="center"/>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75</w:t>
            </w:r>
            <w:r/>
          </w:p>
        </w:tc>
        <w:tc>
          <w:tcPr>
            <w:tcBorders>
              <w:top w:val="single" w:color="000000" w:sz="2" w:space="0"/>
              <w:bottom w:val="single" w:color="000000" w:sz="2" w:space="0"/>
            </w:tcBorders>
            <w:tcW w:w="668" w:type="dxa"/>
            <w:vAlign w:val="top"/>
            <w:textDirection w:val="lrTb"/>
            <w:noWrap w:val="false"/>
          </w:tcPr>
          <w:p>
            <w:pPr>
              <w:jc w:val="center"/>
              <w:spacing w:line="240" w:lineRule="auto"/>
              <w:shd w:val="clear" w:color="auto" w:fill="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r>
            <w:r/>
          </w:p>
        </w:tc>
      </w:tr>
    </w:tbl>
    <w:p>
      <w:pPr>
        <w:ind w:firstLine="482"/>
        <w:keepLines w:val="0"/>
        <w:keepNext w:val="0"/>
        <w:pageBreakBefore w:val="0"/>
        <w:spacing w:line="520" w:lineRule="exact"/>
        <w:shd w:val="clear" w:color="auto" w:fill="auto"/>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（二）</w:t>
      </w:r>
      <w:r>
        <w:rPr>
          <w:rFonts w:hint="eastAsia" w:ascii="宋体" w:hAnsi="宋体" w:cs="宋体"/>
          <w:b/>
          <w:bCs/>
          <w:caps w:val="0"/>
          <w:color w:val="000000" w:themeColor="text1"/>
          <w:spacing w:val="0"/>
          <w:sz w:val="24"/>
          <w:szCs w:val="24"/>
          <w:highlight w:val="none"/>
          <w:lang w:eastAsia="zh-CN"/>
          <w14:textFill>
            <w14:solidFill>
              <w14:schemeClr w14:val="tx1"/>
            </w14:solidFill>
          </w14:textFill>
        </w:rPr>
        <w:t xml:space="preserve">保洁</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服务范围</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公共场所的保洁服务，包括：房屋共用部位的清洁卫生（含地下车库及自行车库通道及设施设备等）、公共场所的清洁卫生、建筑、园林等垃圾的分类、收集及清运；社区用房外围保洁服务等。</w:t>
      </w:r>
      <w:r/>
    </w:p>
    <w:p>
      <w:pPr>
        <w:ind w:firstLine="482"/>
        <w:keepLines w:val="0"/>
        <w:keepNext w:val="0"/>
        <w:pageBreakBefore w:val="0"/>
        <w:spacing w:line="520" w:lineRule="exact"/>
        <w:shd w:val="clear" w:color="auto" w:fill="auto"/>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（三）</w:t>
      </w:r>
      <w:r>
        <w:rPr>
          <w:rFonts w:hint="eastAsia" w:ascii="宋体" w:hAnsi="宋体" w:cs="宋体"/>
          <w:b/>
          <w:bCs/>
          <w:caps w:val="0"/>
          <w:color w:val="000000" w:themeColor="text1"/>
          <w:spacing w:val="0"/>
          <w:sz w:val="24"/>
          <w:szCs w:val="24"/>
          <w:highlight w:val="none"/>
          <w:lang w:eastAsia="zh-CN"/>
          <w14:textFill>
            <w14:solidFill>
              <w14:schemeClr w14:val="tx1"/>
            </w14:solidFill>
          </w14:textFill>
        </w:rPr>
        <w:t xml:space="preserve">保洁</w:t>
      </w: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服务要求</w:t>
      </w:r>
      <w:r/>
    </w:p>
    <w:p>
      <w:pPr>
        <w:ind w:firstLine="482"/>
        <w:jc w:val="both"/>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1．</w:t>
      </w: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项目负责人1人，</w:t>
      </w:r>
      <w:r>
        <w:rPr>
          <w:rFonts w:hint="eastAsia" w:ascii="宋体" w:hAnsi="宋体" w:cs="宋体"/>
          <w:b/>
          <w:caps w:val="0"/>
          <w:color w:val="000000" w:themeColor="text1"/>
          <w:spacing w:val="0"/>
          <w:sz w:val="24"/>
          <w:szCs w:val="24"/>
          <w:highlight w:val="none"/>
          <w:lang w:val="en-US" w:eastAsia="zh-CN" w:bidi="ar-SA"/>
          <w14:textFill>
            <w14:solidFill>
              <w14:schemeClr w14:val="tx1"/>
            </w14:solidFill>
          </w14:textFill>
        </w:rPr>
        <w:t xml:space="preserve">年龄≤55周岁，</w:t>
      </w: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要求全面负责整个项目的运营、保障服务质量，协调内外部关系及工作范围涵盖的安全管理等。</w:t>
      </w:r>
      <w:r/>
    </w:p>
    <w:p>
      <w:pPr>
        <w:ind w:firstLine="482"/>
        <w:jc w:val="left"/>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2．保洁管理工作要求</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2.1 保洁工作要求</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乘航社区保洁人员不少于15人、江南社区保洁人员不少于5人</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工作时间为上午06:30至10:30，下午13:00至17:00，生活垃圾做到日产日清，一天清运至少2次，作业时间避开上下班高峰期。垃圾清运采用环卫专用密闭作业车辆，无抛洒滴漏现象，严禁使用非专业装备或者农用车辆清运。</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2.2 清洁管理</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bookmarkStart w:id="342" w:name="_Toc28079188"/>
      <w:r/>
      <w:bookmarkStart w:id="343" w:name="_Toc23085014"/>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（1）共用楼道保洁</w:t>
      </w:r>
      <w:bookmarkEnd w:id="342"/>
      <w:r/>
      <w:bookmarkEnd w:id="343"/>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，对于装潢用的黄沙等垃圾，做到日产日清；</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多层住宅保洁：每周打扫1次各楼层通道和楼梯台阶，每周清洁1次楼梯扶手；每周擦抹1次各层和通道的防火门、消防栓、玻璃箱内侧、灯具、墙面、地脚线、指示牌等公共设施；每季度楼梯间墙面除尘1次；每季度擦1次楼梯道共用门窗玻璃；确保保洁区域内无垃圾、杂物，无明显污迹，无乱堆乱放，无乱贴乱划，无擅自占用现象，目视基本干净；确保梯间顶面无明显蜘蛛网、灰尘；去标外墙窗玻璃无积灰</w:t>
      </w:r>
      <w:bookmarkStart w:id="344" w:name="_Toc28079189"/>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bookmarkEnd w:id="344"/>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停车场、共用车库或车棚保洁：每3日清扫1次车库的纸屑和垃圾；及时清除地下室进出口的垃圾；发现油迹、污迹、锈迹，应及时擦洗干净；每2个月打开1次地下室、车库的集水坑和排水沟盖板，彻底疏通冲刷1次；每2个月进行1次地下室消杀工作；每半年擦洗1次门窗、消防栓、指示牌、指示灯、车位档、防火门等公共设施；确保保洁区域内地面无明显垃圾、果皮、纸屑、无积水、无明显油迹；空气基本流通；确保标识、指示牌等公共设施目视无明显灰尘</w:t>
      </w:r>
      <w:bookmarkStart w:id="345" w:name="_Toc28079192"/>
      <w:r/>
      <w:bookmarkStart w:id="346" w:name="_Toc23085015"/>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（4）道路保洁</w:t>
      </w:r>
      <w:bookmarkEnd w:id="345"/>
      <w:r/>
      <w:bookmarkEnd w:id="346"/>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每日清扫2次，确保保洁区域内清扫结束后地面无垃圾、杂物，无卫生死角，目视基本干净，无垃圾、杂物、浮砂，无污迹，无积水、积雪，无明显痰迹、烟头；确保保洁区域内路灯杆每半年清洁1次，目视灯具、灯座、灯盖、灯罩无厚积灰</w:t>
      </w:r>
      <w:bookmarkStart w:id="347" w:name="_Toc23085020"/>
      <w:r/>
      <w:bookmarkStart w:id="348" w:name="_Toc28079193"/>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（5）标识、宣传牌、信报箱无污迹、无积灰。保持干净整洁</w:t>
      </w:r>
      <w:bookmarkEnd w:id="347"/>
      <w:r/>
      <w:bookmarkEnd w:id="348"/>
      <w:r/>
      <w:bookmarkStart w:id="349" w:name="_Toc23085017"/>
      <w:r/>
      <w:bookmarkStart w:id="350" w:name="_Toc28079194"/>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（6）绿化带保洁</w:t>
      </w:r>
      <w:bookmarkEnd w:id="349"/>
      <w:r/>
      <w:bookmarkEnd w:id="350"/>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：每日清扫2次绿化带、草地上垃圾；捡1次草地、绿化带上的烟头、棉签等小杂物，确保保洁区域内目视基本干净、无污渍、无垃圾，花坛表面基本洁净，地面垃圾滞留地面不超过2小时</w:t>
      </w:r>
      <w:bookmarkStart w:id="351" w:name="_Toc23085018"/>
      <w:r/>
      <w:bookmarkStart w:id="352" w:name="_Toc28079195"/>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（7）休闲、娱乐、健身设施保洁</w:t>
      </w:r>
      <w:bookmarkEnd w:id="351"/>
      <w:r/>
      <w:bookmarkEnd w:id="352"/>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每周清洁3次（擦拭表面灰尘、用清洁剂擦拭污渍用清水冲洗干净用抹布抹干、清扫垃圾、擦拭座椅）；确保保洁区域内设施表面基本干净，无灰尘污渍、锈迹，目视游乐场内及其周围无果皮、纸屑等垃圾；发现设施、设备脱焊、脱漆、断裂及其他安全隐患及时报告</w:t>
      </w:r>
      <w:r>
        <w:rPr>
          <w:rFonts w:hint="eastAsia" w:ascii="宋体" w:hAnsi="宋体" w:cs="宋体"/>
          <w:caps w:val="0"/>
          <w:color w:val="000000" w:themeColor="text1"/>
          <w:spacing w:val="0"/>
          <w:sz w:val="24"/>
          <w:szCs w:val="24"/>
          <w:highlight w:val="none"/>
          <w:lang w:eastAsia="zh-CN"/>
          <w14:textFill>
            <w14:solidFill>
              <w14:schemeClr w14:val="tx1"/>
            </w14:solidFill>
          </w14:textFill>
        </w:rPr>
        <w:t xml:space="preserve">采购人</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处理</w:t>
      </w:r>
      <w:bookmarkStart w:id="353" w:name="_Toc23085021"/>
      <w:r/>
      <w:bookmarkStart w:id="354" w:name="_Toc28079196"/>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bookmarkEnd w:id="353"/>
      <w:r/>
      <w:bookmarkEnd w:id="354"/>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（8）</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应规范开放式小区各类垃圾收集点的管理，督促相关责任单位及时定期清运。小区生活垃圾内部转运费用由</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承担（包括可回收物、有害垃圾、厨余垃圾和其他垃圾）[小区建设有可回收物、有害垃圾、厨余垃圾和其他垃圾投放点，建筑（装修）垃圾、大件垃圾和园林绿化垃圾堆放点]，建筑（装修）垃圾、小区生活垃圾转运至垃圾中转站产生的费用及生活垃圾处置费用、建筑（装修）垃圾处置费用由</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承担（有害垃圾除外）。大件垃圾及园林垃圾收运及运输费用由</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承担。</w:t>
      </w:r>
      <w:r/>
    </w:p>
    <w:p>
      <w:pPr>
        <w:ind w:left="480" w:firstLine="0"/>
        <w:jc w:val="left"/>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3．秩序维护员工作要求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highlight w:val="none"/>
          <w:u w:val="single"/>
          <w:lang w:val="en-US" w:eastAsia="zh-CN" w:bidi="ar-SA"/>
          <w14:textFill>
            <w14:solidFill>
              <w14:schemeClr w14:val="tx1"/>
            </w14:solidFill>
          </w14:textFill>
        </w:rPr>
        <w:t xml:space="preserve">乘航社区秩序维护人员不少于2人，江南社区秩序维护人员不少于2人。</w:t>
      </w:r>
      <w:bookmarkStart w:id="355" w:name="OLE_LINK10"/>
      <w:r/>
      <w:bookmarkStart w:id="356" w:name="OLE_LINK11"/>
      <w:r>
        <w:rPr>
          <w:rFonts w:hint="eastAsia" w:ascii="宋体" w:hAnsi="宋体" w:eastAsia="宋体" w:cs="宋体"/>
          <w:i/>
          <w:iCs/>
          <w:caps w:val="0"/>
          <w:color w:val="000000" w:themeColor="text1"/>
          <w:spacing w:val="0"/>
          <w:sz w:val="24"/>
          <w:szCs w:val="24"/>
          <w:highlight w:val="none"/>
          <w:u w:val="single"/>
          <w:lang w:val="en-US" w:eastAsia="zh-CN" w:bidi="ar-SA"/>
          <w14:textFill>
            <w14:solidFill>
              <w14:schemeClr w14:val="tx1"/>
            </w14:solidFill>
          </w14:textFill>
        </w:rPr>
        <w:t xml:space="preserve">负责整个服务区域的安全保卫等工作</w:t>
      </w:r>
      <w:bookmarkEnd w:id="355"/>
      <w:r/>
      <w:bookmarkEnd w:id="356"/>
      <w:r>
        <w:rPr>
          <w:rFonts w:hint="eastAsia" w:ascii="宋体" w:hAnsi="宋体" w:eastAsia="宋体" w:cs="宋体"/>
          <w:i/>
          <w:iCs/>
          <w:caps w:val="0"/>
          <w:color w:val="000000" w:themeColor="text1"/>
          <w:spacing w:val="0"/>
          <w:sz w:val="24"/>
          <w:szCs w:val="24"/>
          <w:highlight w:val="none"/>
          <w:u w:val="single"/>
          <w:lang w:val="en-US" w:eastAsia="zh-CN" w:bidi="ar-SA"/>
          <w14:textFill>
            <w14:solidFill>
              <w14:schemeClr w14:val="tx1"/>
            </w14:solidFill>
          </w14:textFill>
        </w:rPr>
        <w:t xml:space="preserve">。</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u w:val="none"/>
          <w:lang w:val="en-US" w:eastAsia="zh-CN" w:bidi="ar-SA"/>
          <w14:textFill>
            <w14:solidFill>
              <w14:schemeClr w14:val="tx1"/>
            </w14:solidFill>
          </w14:textFill>
        </w:rPr>
        <w:t xml:space="preserve">（2）秩序维护员工作时间为上午07:00至下午17:00，中午轮流值岗，轮流早上05:30清运大环境垃圾。秩</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序维护专人指挥引导进出车辆，安排进入的车辆停放在指定位置，提醒车主关好车窗、车门、贵重物品不留放车内。禁止车辆乱停放；禁止车辆停放在绿化带、休闲广场、通道口、消防通道、消防登高面上，车辆停放需入框入线。</w:t>
      </w:r>
      <w:r/>
    </w:p>
    <w:p>
      <w:pPr>
        <w:ind w:firstLine="482"/>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．垃圾清运车驾驶员工作要求</w:t>
      </w:r>
      <w:r/>
    </w:p>
    <w:p>
      <w:pPr>
        <w:ind w:firstLine="480"/>
        <w:keepLines w:val="0"/>
        <w:keepNext w:val="0"/>
        <w:pageBreakBefore w:val="0"/>
        <w:spacing w:line="520" w:lineRule="exact"/>
        <w:shd w:val="clear" w:color="auto" w:fill="auto"/>
        <w:widowControl w:val="off"/>
        <w:rPr>
          <w:rFonts w:hint="eastAsia" w:ascii="宋体" w:hAnsi="宋体" w:eastAsia="宋体" w:cs="宋体"/>
          <w:i/>
          <w:iCs/>
          <w:caps w:val="0"/>
          <w:color w:val="000000" w:themeColor="text1"/>
          <w:spacing w:val="0"/>
          <w:sz w:val="24"/>
          <w:szCs w:val="24"/>
          <w:highlight w:val="none"/>
          <w:u w:val="single"/>
          <w:lang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乘航社区垃圾清运车</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驾驶员不少于1</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人</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。负责整个服务区域的其他生活垃圾清运至环卫中转站</w:t>
      </w:r>
      <w:r>
        <w:rPr>
          <w:rFonts w:hint="eastAsia" w:ascii="宋体" w:hAnsi="宋体" w:eastAsia="宋体" w:cs="宋体"/>
          <w:i/>
          <w:iCs/>
          <w:caps w:val="0"/>
          <w:color w:val="000000" w:themeColor="text1"/>
          <w:spacing w:val="0"/>
          <w:sz w:val="24"/>
          <w:szCs w:val="24"/>
          <w:highlight w:val="none"/>
          <w:u w:val="single"/>
          <w:lang w:eastAsia="zh-CN"/>
          <w14:textFill>
            <w14:solidFill>
              <w14:schemeClr w14:val="tx1"/>
            </w14:solidFill>
          </w14:textFill>
        </w:rPr>
        <w:t xml:space="preserve">。</w:t>
      </w:r>
      <w:r/>
    </w:p>
    <w:p>
      <w:pPr>
        <w:ind w:firstLine="480"/>
        <w:keepLines w:val="0"/>
        <w:keepNext w:val="0"/>
        <w:pageBreakBefore w:val="0"/>
        <w:spacing w:line="520" w:lineRule="exact"/>
        <w:shd w:val="clear" w:color="auto" w:fill="auto"/>
        <w:widowControl w:val="off"/>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）垃圾清运车驾驶员工作时间为凌晨</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00至早上</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0</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8</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30。</w:t>
      </w:r>
      <w:r/>
    </w:p>
    <w:p>
      <w:pPr>
        <w:ind w:left="480" w:firstLine="0"/>
        <w:jc w:val="left"/>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5．车辆要求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（1）服务期内如车辆发生损坏，由</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负责维修或更换。</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（2）车辆驾驶人员应严格遵守《道路交通安全法》，如发生交通事故，由</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负责处理并承担相应的一切责任。</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（3）作业车辆保持容貌整洁、标志清晰、车况良好、停放遵章有序；车辆外表无垃圾乱挂放、污物、灰垢，车内工具摆放整齐。外表和垃圾箱体完好无损，有损坏的，应及时维修。</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（4）运输垃圾应密闭，确保完好、运行正常，在运输过程中无垃圾扬、洒、拖挂和污水滴漏。如有违反环保、交通等相关部门规定的，</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自行承担相关责任。</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（5）车辆充电场所及停靠场地由</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提供，充电费用及停车场地管理由</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承担和负责。</w:t>
      </w:r>
      <w:r/>
    </w:p>
    <w:p>
      <w:pPr>
        <w:ind w:firstLine="482"/>
        <w:jc w:val="left"/>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6．生活垃圾分类服务要求</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垃圾分类有市级考核：</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（1）按照生活垃圾分类标准对住户开展宣传、指导。</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（2）作业过程中，结合实际，提出合理化建议。</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（3）根据生活垃圾分类收集、转运的原则。对服务范围内按“四分法”（厨余垃圾、可回收物、有害垃圾和其他垃圾）进行分类的生活垃圾转运由</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转运至垃圾归集点。</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（4）保持分类工作点位环境干净整洁，符合考核要求。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（5）垃圾分类督导员监督管理由</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负责。</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（6）</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进驻以后，生活垃圾分类标配的垃圾桶的更换和添置由</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负责。待合同期满须以相同数量、相同品质移交给</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采购人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（7）</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需完善垃圾分类制度、收运记录等台账资料。</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（8）设施设备由于</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管理不当或人为损坏的，由</w:t>
      </w:r>
      <w:r>
        <w:rPr>
          <w:rFonts w:hint="eastAsia" w:ascii="宋体" w:hAnsi="宋体" w:cs="宋体"/>
          <w:bCs/>
          <w:caps w:val="0"/>
          <w:color w:val="000000" w:themeColor="text1"/>
          <w:spacing w:val="0"/>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Cs/>
          <w:caps w:val="0"/>
          <w:color w:val="000000" w:themeColor="text1"/>
          <w:spacing w:val="0"/>
          <w:sz w:val="24"/>
          <w:szCs w:val="24"/>
          <w:highlight w:val="none"/>
          <w:lang w:val="en-US" w:eastAsia="zh-CN" w:bidi="ar-SA"/>
          <w14:textFill>
            <w14:solidFill>
              <w14:schemeClr w14:val="tx1"/>
            </w14:solidFill>
          </w14:textFill>
        </w:rPr>
        <w:t xml:space="preserve">负责维修并承担相关费用；区镇投资建设的垃圾分类亭房质保期满后的维修、维护参照小区公共设备配套设施相关要求执行。</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sectPr>
          <w:footerReference w:type="default" r:id="rId30"/>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（9）考核以上级督查通报为依据，如</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管理的区域每次在市级及以上考核为后三名或在市级及以上考核中属“一般小区”的扣3000元（同一地点第二次通报扣4000元，第三次通报扣5000元)，第四次在市级及以上考核属后三名或属“一般小区”的将终止合同并扣除履约保证金，</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的项目负责人必须每天在现场办公（如遇迎检及线路保障，项目负责人必须全程参与，少一次扣200元）</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w:t>
      </w:r>
      <w:r/>
    </w:p>
    <w:p>
      <w:pPr>
        <w:ind w:firstLine="482"/>
        <w:jc w:val="left"/>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7．大环境卫生整治</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（1）病媒生活防治工作达标：</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①规范设置、管理、维护捕蝇笼、灭蚊灯、毒饵站等防治设施；</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②每年4-10月外环境（绿化、下水道、公厕、垃圾收集房周边等）定时喷洒消杀药物；</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③每年冬、春两季灭鼠药物按照规定投放等。垃圾收集房、敞开式收集亭及垃圾桶每周清洗1次，并由</w:t>
      </w:r>
      <w:r>
        <w:rPr>
          <w:rFonts w:hint="eastAsia" w:ascii="宋体" w:hAnsi="宋体" w:cs="宋体"/>
          <w:caps w:val="0"/>
          <w:color w:val="000000" w:themeColor="text1"/>
          <w:spacing w:val="0"/>
          <w:sz w:val="24"/>
          <w:szCs w:val="24"/>
          <w:highlight w:val="none"/>
          <w:lang w:eastAsia="zh-CN"/>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提供清洗照片。</w:t>
      </w:r>
      <w:r/>
    </w:p>
    <w:p>
      <w:pPr>
        <w:ind w:firstLine="480"/>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相关设施、药物等都由</w:t>
      </w:r>
      <w:r>
        <w:rPr>
          <w:rFonts w:hint="eastAsia" w:ascii="宋体" w:hAnsi="宋体" w:cs="宋体"/>
          <w:caps w:val="0"/>
          <w:color w:val="000000" w:themeColor="text1"/>
          <w:spacing w:val="0"/>
          <w:sz w:val="24"/>
          <w:szCs w:val="24"/>
          <w:highlight w:val="none"/>
          <w:lang w:eastAsia="zh-CN"/>
          <w14:textFill>
            <w14:solidFill>
              <w14:schemeClr w14:val="tx1"/>
            </w14:solidFill>
          </w14:textFill>
        </w:rPr>
        <w:t xml:space="preserve">中标人</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负责购买、实施并承担相关费用。</w:t>
      </w:r>
      <w:r/>
    </w:p>
    <w:p>
      <w:pPr>
        <w:ind w:firstLine="482"/>
        <w:keepLines w:val="0"/>
        <w:keepNext w:val="0"/>
        <w:pageBreakBefore w:val="0"/>
        <w:spacing w:line="520" w:lineRule="exact"/>
        <w:shd w:val="clear" w:color="auto" w:fill="auto"/>
        <w:widowControl w:val="off"/>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（四）人员配备标准</w:t>
      </w:r>
      <w:r/>
    </w:p>
    <w:p>
      <w:pPr>
        <w:jc w:val="center"/>
        <w:keepLines w:val="0"/>
        <w:keepNext w:val="0"/>
        <w:pageBreakBefore w:val="0"/>
        <w:spacing w:before="157" w:line="240" w:lineRule="auto"/>
        <w:shd w:val="clear" w:color="auto" w:fill="auto"/>
        <w:widowControl w:val="off"/>
        <w:rPr>
          <w:rFonts w:hint="eastAsia" w:ascii="宋体" w:hAnsi="宋体" w:eastAsia="宋体" w:cs="宋体"/>
          <w:b/>
          <w:bCs/>
          <w:caps w:val="0"/>
          <w:color w:val="000000" w:themeColor="text1"/>
          <w:spacing w:val="0"/>
          <w:sz w:val="28"/>
          <w:szCs w:val="28"/>
          <w:highlight w:val="none"/>
          <w14:textFill>
            <w14:solidFill>
              <w14:schemeClr w14:val="tx1"/>
            </w14:solidFill>
          </w14:textFill>
        </w:rPr>
      </w:pPr>
      <w:r>
        <w:rPr>
          <w:rFonts w:hint="eastAsia" w:ascii="宋体" w:hAnsi="宋体" w:eastAsia="宋体" w:cs="宋体"/>
          <w:b/>
          <w:bCs/>
          <w:caps w:val="0"/>
          <w:color w:val="000000" w:themeColor="text1"/>
          <w:spacing w:val="0"/>
          <w:sz w:val="28"/>
          <w:szCs w:val="28"/>
          <w:highlight w:val="none"/>
          <w14:textFill>
            <w14:solidFill>
              <w14:schemeClr w14:val="tx1"/>
            </w14:solidFill>
          </w14:textFill>
        </w:rPr>
        <w:t xml:space="preserve">乘航社区人员配置要求</w:t>
      </w:r>
      <w:r/>
    </w:p>
    <w:tbl>
      <w:tblPr>
        <w:tblStyle w:val="1219"/>
        <w:tblW w:w="49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735"/>
        <w:gridCol w:w="890"/>
        <w:gridCol w:w="4263"/>
        <w:gridCol w:w="2096"/>
      </w:tblGrid>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序号</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岗位</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人数</w:t>
            </w:r>
            <w:r/>
          </w:p>
        </w:tc>
        <w:tc>
          <w:tcPr>
            <w:tcW w:w="2217"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岗位要求</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备注</w:t>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项目负责人</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0人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年龄</w:t>
            </w:r>
            <w:r>
              <w:rPr>
                <w:rFonts w:hint="eastAsia" w:ascii="宋体" w:hAnsi="宋体" w:cs="宋体"/>
                <w:bCs/>
                <w:i/>
                <w:iCs/>
                <w:caps w:val="0"/>
                <w:color w:val="000000" w:themeColor="text1"/>
                <w:spacing w:val="0"/>
                <w:sz w:val="24"/>
                <w:szCs w:val="24"/>
                <w:highlight w:val="none"/>
                <w:u w:val="single"/>
                <w:lang w:val="en-US" w:eastAsia="zh-CN"/>
                <w14:textFill>
                  <w14:solidFill>
                    <w14:schemeClr w14:val="tx1"/>
                  </w14:solidFill>
                </w14:textFill>
              </w:rPr>
              <w:t xml:space="preserve">≤55</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周岁，</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责任心强，有较好的沟通能力，能统筹协调好各项工作。</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b/>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项目负责人与江南社区共用</w:t>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秩序维护员</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3</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垃圾清运</w:t>
            </w:r>
            <w:r>
              <w:rPr>
                <w:rFonts w:hint="eastAsia" w:ascii="宋体" w:hAnsi="宋体" w:eastAsia="宋体" w:cs="宋体"/>
                <w:bCs/>
                <w:i/>
                <w:iCs/>
                <w:caps w:val="0"/>
                <w:color w:val="000000" w:themeColor="text1"/>
                <w:spacing w:val="0"/>
                <w:sz w:val="24"/>
                <w:szCs w:val="24"/>
                <w:highlight w:val="none"/>
                <w:u w:val="single"/>
                <w:lang w:val="en-US" w:eastAsia="zh-CN"/>
                <w14:textFill>
                  <w14:solidFill>
                    <w14:schemeClr w14:val="tx1"/>
                  </w14:solidFill>
                </w14:textFill>
              </w:rPr>
              <w:t xml:space="preserve">车驾驶</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员</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身体健康，体检合格，文明礼貌、卫生意识强，吃苦耐劳。</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4</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保洁员</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15人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身体健康，体检合格，文明礼貌、卫生意识强，吃苦耐劳。</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5</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合计</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18人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bl>
    <w:p>
      <w:pPr>
        <w:jc w:val="center"/>
        <w:keepLines w:val="0"/>
        <w:keepNext w:val="0"/>
        <w:pageBreakBefore w:val="0"/>
        <w:spacing w:before="157" w:line="240" w:lineRule="auto"/>
        <w:shd w:val="clear" w:color="auto" w:fill="auto"/>
        <w:widowControl w:val="off"/>
        <w:rPr>
          <w:rFonts w:hint="eastAsia" w:ascii="宋体" w:hAnsi="宋体" w:eastAsia="宋体" w:cs="宋体"/>
          <w:b/>
          <w:bCs/>
          <w:caps w:val="0"/>
          <w:color w:val="000000" w:themeColor="text1"/>
          <w:spacing w:val="0"/>
          <w:sz w:val="28"/>
          <w:szCs w:val="28"/>
          <w:highlight w:val="none"/>
          <w14:textFill>
            <w14:solidFill>
              <w14:schemeClr w14:val="tx1"/>
            </w14:solidFill>
          </w14:textFill>
        </w:rPr>
      </w:pPr>
      <w:r>
        <w:rPr>
          <w:rFonts w:hint="eastAsia" w:ascii="宋体" w:hAnsi="宋体" w:eastAsia="宋体" w:cs="宋体"/>
          <w:b/>
          <w:bCs/>
          <w:caps w:val="0"/>
          <w:color w:val="000000" w:themeColor="text1"/>
          <w:spacing w:val="0"/>
          <w:sz w:val="28"/>
          <w:szCs w:val="28"/>
          <w:highlight w:val="none"/>
          <w14:textFill>
            <w14:solidFill>
              <w14:schemeClr w14:val="tx1"/>
            </w14:solidFill>
          </w14:textFill>
        </w:rPr>
        <w:t xml:space="preserve">江南社区人员配置要求</w:t>
      </w:r>
      <w:r/>
    </w:p>
    <w:tbl>
      <w:tblPr>
        <w:tblStyle w:val="1219"/>
        <w:tblW w:w="977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792"/>
        <w:gridCol w:w="1512"/>
        <w:gridCol w:w="900"/>
        <w:gridCol w:w="4374"/>
        <w:gridCol w:w="2197"/>
      </w:tblGrid>
      <w:tr>
        <w:trPr>
          <w:trHeight w:val="0"/>
          <w:tblHeader/>
        </w:trPr>
        <w:tc>
          <w:tcPr>
            <w:tcW w:w="792"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序号</w:t>
            </w:r>
            <w:r/>
          </w:p>
        </w:tc>
        <w:tc>
          <w:tcPr>
            <w:tcW w:w="1512"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岗位</w:t>
            </w:r>
            <w:r/>
          </w:p>
        </w:tc>
        <w:tc>
          <w:tcPr>
            <w:tcW w:w="900"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人数</w:t>
            </w:r>
            <w:r/>
          </w:p>
        </w:tc>
        <w:tc>
          <w:tcPr>
            <w:tcW w:w="4374"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岗位要求</w:t>
            </w:r>
            <w:r/>
          </w:p>
        </w:tc>
        <w:tc>
          <w:tcPr>
            <w:tcW w:w="2197"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备注</w:t>
            </w:r>
            <w:r/>
          </w:p>
        </w:tc>
      </w:tr>
      <w:tr>
        <w:trPr>
          <w:trHeight w:val="0"/>
        </w:trPr>
        <w:tc>
          <w:tcPr>
            <w:tcW w:w="79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w:t>
            </w:r>
            <w:r/>
          </w:p>
        </w:tc>
        <w:tc>
          <w:tcPr>
            <w:tcW w:w="151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项目负责人</w:t>
            </w:r>
            <w:r/>
          </w:p>
        </w:tc>
        <w:tc>
          <w:tcPr>
            <w:tcW w:w="90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1人</w:t>
            </w:r>
            <w:r/>
          </w:p>
        </w:tc>
        <w:tc>
          <w:tcPr>
            <w:tcW w:w="4374"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年龄</w:t>
            </w:r>
            <w:r>
              <w:rPr>
                <w:rFonts w:hint="eastAsia" w:ascii="宋体" w:hAnsi="宋体" w:cs="宋体"/>
                <w:bCs/>
                <w:i/>
                <w:iCs/>
                <w:caps w:val="0"/>
                <w:color w:val="000000" w:themeColor="text1"/>
                <w:spacing w:val="0"/>
                <w:sz w:val="24"/>
                <w:szCs w:val="24"/>
                <w:highlight w:val="none"/>
                <w:u w:val="single"/>
                <w:lang w:val="en-US" w:eastAsia="zh-CN"/>
                <w14:textFill>
                  <w14:solidFill>
                    <w14:schemeClr w14:val="tx1"/>
                  </w14:solidFill>
                </w14:textFill>
              </w:rPr>
              <w:t xml:space="preserve">≤55</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周岁，</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责任心强，有较好的沟通能力，能统筹协调好各项工作。</w:t>
            </w:r>
            <w:r/>
          </w:p>
        </w:tc>
        <w:tc>
          <w:tcPr>
            <w:tcW w:w="2197" w:type="dxa"/>
            <w:vAlign w:val="center"/>
            <w:textDirection w:val="lrTb"/>
            <w:noWrap w:val="false"/>
          </w:tcPr>
          <w:p>
            <w:pPr>
              <w:jc w:val="center"/>
              <w:spacing w:line="240" w:lineRule="auto"/>
              <w:shd w:val="clear" w:color="auto" w:fill="auto"/>
              <w:rPr>
                <w:rFonts w:hint="eastAsia" w:ascii="宋体" w:hAnsi="宋体" w:eastAsia="宋体" w:cs="宋体"/>
                <w:b/>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项目负责人与乘航社区共用</w:t>
            </w:r>
            <w:r/>
          </w:p>
        </w:tc>
      </w:tr>
      <w:tr>
        <w:trPr>
          <w:trHeight w:val="0"/>
        </w:trPr>
        <w:tc>
          <w:tcPr>
            <w:tcW w:w="79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w:t>
            </w:r>
            <w:r/>
          </w:p>
        </w:tc>
        <w:tc>
          <w:tcPr>
            <w:tcW w:w="151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秩序维护员</w:t>
            </w:r>
            <w:r/>
          </w:p>
        </w:tc>
        <w:tc>
          <w:tcPr>
            <w:tcW w:w="90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2人</w:t>
            </w:r>
            <w:r/>
          </w:p>
        </w:tc>
        <w:tc>
          <w:tcPr>
            <w:tcW w:w="4374"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p>
        </w:tc>
        <w:tc>
          <w:tcPr>
            <w:tcW w:w="2197" w:type="dxa"/>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trHeight w:val="0"/>
        </w:trPr>
        <w:tc>
          <w:tcPr>
            <w:tcW w:w="79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3</w:t>
            </w:r>
            <w:r/>
          </w:p>
        </w:tc>
        <w:tc>
          <w:tcPr>
            <w:tcW w:w="151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保洁员</w:t>
            </w:r>
            <w:r/>
          </w:p>
        </w:tc>
        <w:tc>
          <w:tcPr>
            <w:tcW w:w="90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5人</w:t>
            </w:r>
            <w:r/>
          </w:p>
        </w:tc>
        <w:tc>
          <w:tcPr>
            <w:tcW w:w="4374"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身体健康，体检合格，文明礼貌、卫生意识强，吃苦耐劳。</w:t>
            </w:r>
            <w:r/>
          </w:p>
        </w:tc>
        <w:tc>
          <w:tcPr>
            <w:tcW w:w="2197" w:type="dxa"/>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其中1人为垃圾</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清运</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车驾驶员</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协助工</w:t>
            </w:r>
            <w:r/>
          </w:p>
        </w:tc>
      </w:tr>
      <w:tr>
        <w:trPr>
          <w:trHeight w:val="0"/>
        </w:trPr>
        <w:tc>
          <w:tcPr>
            <w:tcW w:w="79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4</w:t>
            </w:r>
            <w:r/>
          </w:p>
        </w:tc>
        <w:tc>
          <w:tcPr>
            <w:tcW w:w="151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合计</w:t>
            </w:r>
            <w:r/>
          </w:p>
        </w:tc>
        <w:tc>
          <w:tcPr>
            <w:tcW w:w="90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8人</w:t>
            </w:r>
            <w:r/>
          </w:p>
        </w:tc>
        <w:tc>
          <w:tcPr>
            <w:tcW w:w="4374"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r>
            <w:r/>
          </w:p>
        </w:tc>
        <w:tc>
          <w:tcPr>
            <w:tcW w:w="2197" w:type="dxa"/>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bl>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（1）</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投标人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根据现场情况自行考虑配备的人员且不少于表格中共计26名人员（乘航社区18人、江南社区8人）配置最低要求。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（2）合同签订生效后一个月内，</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须将委派人员的人员信息（身份证）、劳动合同、社保证明、意外保险等相关材料交于</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备案并全员到岗到位，如资料提供不全或人员缺失，</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有权解除合同并扣除履约保证金。</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（3）根据《中华人民共和国劳动合同法》、《中华人民共和国社会保险法》、《住房公积金管理条例》，</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必须依法规范用工，符合规定条件的人员须签订劳动合同，依法参加社会保险、缴存住房公积金，未退休人员工资应不低于最新公布的</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投标人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所在地最低工资标准（经费测算明细表中应载明社会保险、住房公积金缴存金额及员工工资）。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（4）</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需为本项目配备人员购买人身意外保险，保额不低于50万元。</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（5）所有人员须按岗位统一着装，服装费用由</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承担。</w:t>
      </w:r>
      <w:r/>
    </w:p>
    <w:p>
      <w:pPr>
        <w:ind w:firstLine="48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（6）人员配备需合理，服务人员备案后不得随意更换，如有特殊情况，应以书面形式，向</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提出书面情况说明、书面申请、更换人员相关材料等资料，待</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审核通过后才可更换，更换人员的资格要求不低于原岗位人员。如出现无故缺岗、空岗，按实扣除服务费用，即：第一次发现有上述不良行为，将扣除当月服务费的50%并要求限期整改；第二次发现有上述不良行为，将扣除当月服务费的100%并要求限期整改；第三次发现有上述不良行为，将终止合同并扣除履约保证金，按投标承诺书的相关要求执行。</w:t>
      </w:r>
      <w:r/>
    </w:p>
    <w:p>
      <w:pPr>
        <w:ind w:firstLine="482"/>
        <w:jc w:val="left"/>
        <w:keepLines w:val="0"/>
        <w:keepNext w:val="0"/>
        <w:pageBreakBefore w:val="0"/>
        <w:spacing w:line="520" w:lineRule="exact"/>
        <w:shd w:val="clear" w:color="auto" w:fill="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（五）设备配置要求</w:t>
      </w:r>
      <w:r/>
    </w:p>
    <w:tbl>
      <w:tblPr>
        <w:tblStyle w:val="1219"/>
        <w:tblpPr w:horzAnchor="page" w:tblpXSpec="center" w:vertAnchor="text" w:tblpY="131" w:leftFromText="180" w:topFromText="0" w:rightFromText="180" w:bottomFromText="0"/>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1541"/>
        <w:gridCol w:w="1264"/>
        <w:gridCol w:w="3943"/>
        <w:gridCol w:w="2461"/>
      </w:tblGrid>
      <w:tr>
        <w:trPr>
          <w:jc w:val="center"/>
          <w:trHeight w:val="567"/>
        </w:trPr>
        <w:tc>
          <w:tcPr>
            <w:tcBorders>
              <w:top w:val="single" w:color="auto" w:sz="4" w:space="0"/>
              <w:left w:val="single" w:color="auto" w:sz="4" w:space="0"/>
              <w:bottom w:val="single" w:color="auto" w:sz="4" w:space="0"/>
              <w:right w:val="single" w:color="auto" w:sz="4" w:space="0"/>
            </w:tcBorders>
            <w:tcW w:w="503" w:type="dxa"/>
            <w:vAlign w:val="center"/>
            <w:textDirection w:val="lrTb"/>
            <w:noWrap w:val="false"/>
          </w:tcPr>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strike w:val="0"/>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strike w:val="0"/>
                <w:color w:val="000000" w:themeColor="text1"/>
                <w:sz w:val="24"/>
                <w:szCs w:val="24"/>
                <w:highlight w:val="none"/>
                <w:u w:val="single"/>
                <w:lang w:val="en-US" w:eastAsia="zh-CN" w:bidi="ar-SA"/>
                <w14:textFill>
                  <w14:solidFill>
                    <w14:schemeClr w14:val="tx1"/>
                  </w14:solidFill>
                </w14:textFill>
              </w:rPr>
              <w:t xml:space="preserve">数量（辆）</w:t>
            </w:r>
            <w:r/>
          </w:p>
        </w:tc>
        <w:tc>
          <w:tcPr>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（车辆参考图）</w:t>
            </w: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503"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auto"/>
              <w:widowControl w:val="off"/>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240" w:lineRule="auto"/>
              <w:shd w:val="clear" w:color="auto" w:fill="auto"/>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1"/>
                <w:szCs w:val="24"/>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999490" cy="1428750"/>
                      <wp:effectExtent l="0" t="0" r="1016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r/>
                            </pic:nvPicPr>
                            <pic:blipFill>
                              <a:blip r:embed="rId37"/>
                              <a:stretch/>
                            </pic:blipFill>
                            <pic:spPr bwMode="auto">
                              <a:xfrm>
                                <a:off x="0" y="0"/>
                                <a:ext cx="999490" cy="1428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8.7pt;height:112.5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000000" w:themeColor="text1"/>
                <w:sz w:val="21"/>
                <w:szCs w:val="24"/>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971550" cy="1428750"/>
                      <wp:effectExtent l="0" t="0" r="0"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r/>
                            </pic:nvPicPr>
                            <pic:blipFill>
                              <a:blip r:embed="rId38"/>
                              <a:stretch/>
                            </pic:blipFill>
                            <pic:spPr bwMode="auto">
                              <a:xfrm>
                                <a:off x="0" y="0"/>
                                <a:ext cx="971550" cy="1428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5pt;height:112.5pt;mso-wrap-distance-left:0.0pt;mso-wrap-distance-top:0.0pt;mso-wrap-distance-right:0.0pt;mso-wrap-distance-bottom:0.0pt;" stroked="f">
                      <v:path textboxrect="0,0,0,0"/>
                      <v:imagedata r:id="rId38" o:title=""/>
                    </v:shape>
                  </w:pict>
                </mc:Fallback>
              </mc:AlternateContent>
            </w:r>
            <w:r/>
          </w:p>
          <w:p>
            <w:pPr>
              <w:jc w:val="center"/>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val="false"/>
          </w:tcPr>
          <w:p>
            <w:pPr>
              <w:jc w:val="left"/>
              <w:spacing w:line="240" w:lineRule="auto"/>
              <w:shd w:val="clear" w:color="auto" w:fill="auto"/>
              <w:rPr>
                <w:rFonts w:hint="eastAsia" w:ascii="宋体" w:hAnsi="宋体" w:eastAsia="宋体" w:cs="宋体"/>
                <w:i/>
                <w:i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提供，其余车辆由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按需提供，</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需承担所有车辆维修、维护、电费、电瓶更换、保险等一切使用费用。</w:t>
            </w:r>
            <w:r/>
          </w:p>
        </w:tc>
      </w:tr>
      <w:tr>
        <w:trPr>
          <w:jc w:val="center"/>
          <w:trHeight w:val="567"/>
        </w:trPr>
        <w:tc>
          <w:tcPr>
            <w:tcBorders>
              <w:top w:val="single" w:color="auto" w:sz="4" w:space="0"/>
              <w:left w:val="single" w:color="auto" w:sz="4" w:space="0"/>
              <w:bottom w:val="single" w:color="auto" w:sz="4" w:space="0"/>
              <w:right w:val="single" w:color="auto" w:sz="4" w:space="0"/>
            </w:tcBorders>
            <w:tcW w:w="503"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auto"/>
              <w:widowControl w:val="off"/>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240" w:lineRule="auto"/>
              <w:shd w:val="clear" w:color="auto" w:fill="auto"/>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943"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mc:AlternateContent>
                <mc:Choice Requires="wpg">
                  <w:drawing>
                    <wp:inline xmlns:wp="http://schemas.openxmlformats.org/drawingml/2006/wordprocessingDrawing" distT="0" distB="0" distL="0" distR="0">
                      <wp:extent cx="2084705" cy="1390015"/>
                      <wp:effectExtent l="0" t="0" r="10795" b="635"/>
                      <wp:docPr id="13" name="图片 1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0"/>
                              <pic:cNvPicPr>
                                <a:picLocks noChangeAspect="1"/>
                              </pic:cNvPicPr>
                              <pic:nvPr/>
                            </pic:nvPicPr>
                            <pic:blipFill>
                              <a:blip r:embed="rId39"/>
                              <a:stretch/>
                            </pic:blipFill>
                            <pic:spPr bwMode="auto">
                              <a:xfrm>
                                <a:off x="0" y="0"/>
                                <a:ext cx="2084705" cy="139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4.2pt;height:109.4pt;mso-wrap-distance-left:0.0pt;mso-wrap-distance-top:0.0pt;mso-wrap-distance-right:0.0pt;mso-wrap-distance-bottom:0.0pt;" stroked="f">
                      <v:path textboxrect="0,0,0,0"/>
                      <v:imagedata r:id="rId39" o:title=""/>
                    </v:shape>
                  </w:pict>
                </mc:Fallback>
              </mc:AlternateContent>
            </w: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val="false"/>
          </w:tcPr>
          <w:p>
            <w:pPr>
              <w:jc w:val="left"/>
              <w:spacing w:line="240" w:lineRule="auto"/>
              <w:shd w:val="clear" w:color="auto" w:fill="auto"/>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提供，其余车辆由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按需提供，</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需承担所有车辆维修、维护、电费、电瓶更换、保险等一切使用费用。</w:t>
            </w:r>
            <w:r/>
          </w:p>
        </w:tc>
      </w:tr>
    </w:tbl>
    <w:p>
      <w:pPr>
        <w:ind w:firstLine="480"/>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投标人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根据现场情况自行考虑配备的车辆数且不少于表格中需配置数量的最低要求。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在服务期间根据服务内容需增加车辆等设备的，</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需无条件增加，增加设备费用由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承担，</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不支付额外费用；</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对所使用的车辆等设备承担保管、维修、维护、保险等一切使用费用。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（3）</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在服务期间根据服务内容需配备必要的劳动工具、辅助工具等工器具，所有费用由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承担。</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（4）人员到岗到位时，所有设施设备都须配备齐全。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（5）本项目中各种车辆驾驶人员应严格遵守《道路交通安全法》，如发生交通事故及其他事故，都由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负责处理并承担全部责任和费用。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（6）作业车辆保持容貌整洁、标志清晰、车况良好、停放遵章有序；车辆外表无垃圾乱挂放、污物、灰垢，车内工具摆放整齐。外表和垃圾箱体完好无损，有损坏的，应及时维修。</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（7）运输垃圾应密闭，确保完好、运行正常，在运输过程中无垃圾扬、洒、拖挂和污水滴漏。如有违反环保、交通等相关部门规定的，</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自行承担相关责任。</w:t>
      </w:r>
      <w:r/>
    </w:p>
    <w:p>
      <w:pPr>
        <w:pStyle w:val="1220"/>
        <w:keepLines w:val="0"/>
        <w:keepNext w:val="0"/>
        <w:pageBreakBefore w:val="0"/>
        <w:spacing w:line="520" w:lineRule="exact"/>
        <w:shd w:val="clear" w:color="auto" w:fill="auto"/>
        <w:widowControl w:val="off"/>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cs="宋体"/>
          <w:b/>
          <w:bCs/>
          <w:color w:val="000000" w:themeColor="text1"/>
          <w:highlight w:val="none"/>
          <w:lang w:val="en-US" w:eastAsia="zh-CN"/>
          <w14:textFill>
            <w14:solidFill>
              <w14:schemeClr w14:val="tx1"/>
            </w14:solidFill>
          </w14:textFill>
        </w:rPr>
        <w:t xml:space="preserve">特别</w:t>
      </w:r>
      <w:r>
        <w:rPr>
          <w:rFonts w:hint="eastAsia" w:ascii="宋体" w:hAnsi="宋体" w:eastAsia="宋体" w:cs="宋体"/>
          <w:b/>
          <w:bCs/>
          <w:color w:val="000000" w:themeColor="text1"/>
          <w:highlight w:val="none"/>
          <w:lang w:val="en-US" w:eastAsia="zh-CN"/>
          <w14:textFill>
            <w14:solidFill>
              <w14:schemeClr w14:val="tx1"/>
            </w14:solidFill>
          </w14:textFill>
        </w:rPr>
        <w:t xml:space="preserve">说明</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要求在每月5日前按统一格式向</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提供上个月的相关运行资料，包括但不限于作业人员信息、工资和加班费发放、车辆信息、垃圾清运量和自查考核情况等，并确保资料信息的真实性和规范性。</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入驻后，需在服务区域内提供7个垃圾分类归集点和9个监控设备（可新建，或者与原代建单位协商），费用由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承担。</w:t>
      </w:r>
      <w:r/>
    </w:p>
    <w:p>
      <w:pPr>
        <w:ind w:firstLine="482"/>
        <w:keepLines w:val="0"/>
        <w:keepNext w:val="0"/>
        <w:pageBreakBefore w:val="0"/>
        <w:spacing w:line="520" w:lineRule="exact"/>
        <w:shd w:val="clear" w:color="auto" w:fill="auto"/>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outlineLvl w:val="1"/>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r>
      <w:r/>
    </w:p>
    <w:p>
      <w:pPr>
        <w:ind w:firstLine="482"/>
        <w:keepLines w:val="0"/>
        <w:keepNext w:val="0"/>
        <w:pageBreakBefore w:val="0"/>
        <w:spacing w:line="520" w:lineRule="exact"/>
        <w:shd w:val="clear" w:color="auto" w:fill="auto"/>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outlineLvl w:val="1"/>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r>
      <w:r/>
    </w:p>
    <w:p>
      <w:pPr>
        <w:pStyle w:val="1220"/>
        <w:ind w:firstLine="482"/>
        <w:jc w:val="center"/>
        <w:keepLines w:val="0"/>
        <w:keepNext w:val="0"/>
        <w:pageBreakBefore w:val="0"/>
        <w:spacing w:line="520" w:lineRule="exact"/>
        <w:shd w:val="clear" w:color="auto"/>
        <w:widowControl w:val="off"/>
        <w:rPr>
          <w:rFonts w:hint="eastAsia" w:ascii="宋体" w:hAnsi="宋体" w:eastAsia="宋体" w:cs="宋体"/>
          <w:b/>
          <w:bCs/>
          <w:color w:val="000000" w:themeColor="text1"/>
          <w:sz w:val="28"/>
          <w:szCs w:val="28"/>
          <w:highlight w:val="none"/>
          <w:lang w:eastAsia="zh-CN" w:bidi="ar"/>
          <w14:textFill>
            <w14:solidFill>
              <w14:schemeClr w14:val="tx1"/>
            </w14:solidFill>
          </w14:textFill>
        </w:rPr>
      </w:pPr>
      <w:r>
        <w:rPr>
          <w:rFonts w:hint="eastAsia" w:cs="宋体"/>
          <w:b/>
          <w:bCs/>
          <w:color w:val="000000" w:themeColor="text1"/>
          <w:sz w:val="28"/>
          <w:szCs w:val="28"/>
          <w:highlight w:val="none"/>
          <w:lang w:eastAsia="zh-CN" w:bidi="ar"/>
          <w14:textFill>
            <w14:solidFill>
              <w14:schemeClr w14:val="tx1"/>
            </w14:solidFill>
          </w14:textFill>
        </w:rPr>
        <w:t xml:space="preserve">乘航区域城市管理服务技术要求</w:t>
      </w:r>
      <w:r/>
    </w:p>
    <w:p>
      <w:pPr>
        <w:pStyle w:val="1220"/>
        <w:ind w:firstLine="482"/>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cs="宋体"/>
          <w:b/>
          <w:bCs/>
          <w:color w:val="000000" w:themeColor="text1"/>
          <w:sz w:val="24"/>
          <w:szCs w:val="24"/>
          <w:highlight w:val="none"/>
          <w:lang w:eastAsia="zh-CN" w:bidi="ar"/>
          <w14:textFill>
            <w14:solidFill>
              <w14:schemeClr w14:val="tx1"/>
            </w14:solidFill>
          </w14:textFill>
        </w:rPr>
        <w:t xml:space="preserve">需求简介</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为乘航区域</w:t>
      </w:r>
      <w:r>
        <w:rPr>
          <w:rFonts w:hint="eastAsia" w:ascii="宋体" w:hAnsi="宋体" w:cs="宋体"/>
          <w:color w:val="000000" w:themeColor="text1"/>
          <w:sz w:val="24"/>
          <w:szCs w:val="24"/>
          <w:highlight w:val="none"/>
          <w:lang w:eastAsia="zh-CN" w:bidi="ar"/>
          <w14:textFill>
            <w14:solidFill>
              <w14:schemeClr w14:val="tx1"/>
            </w14:solidFill>
          </w14:textFill>
        </w:rPr>
        <w:t xml:space="preserve">提供</w:t>
      </w:r>
      <w:r>
        <w:rPr>
          <w:rFonts w:hint="eastAsia" w:ascii="宋体" w:hAnsi="宋体" w:eastAsia="宋体" w:cs="宋体"/>
          <w:color w:val="000000" w:themeColor="text1"/>
          <w:sz w:val="24"/>
          <w:szCs w:val="24"/>
          <w:highlight w:val="none"/>
          <w:lang w:bidi="ar"/>
          <w14:textFill>
            <w14:solidFill>
              <w14:schemeClr w14:val="tx1"/>
            </w14:solidFill>
          </w14:textFill>
        </w:rPr>
        <w:t xml:space="preserve">城市管理服务，在乘航指定片区开展</w:t>
      </w:r>
      <w:r>
        <w:rPr>
          <w:rFonts w:hint="eastAsia" w:ascii="宋体" w:hAnsi="宋体" w:cs="宋体"/>
          <w:color w:val="000000" w:themeColor="text1"/>
          <w:sz w:val="24"/>
          <w:szCs w:val="24"/>
          <w:highlight w:val="none"/>
          <w:lang w:eastAsia="zh-CN" w:bidi="ar"/>
          <w14:textFill>
            <w14:solidFill>
              <w14:schemeClr w14:val="tx1"/>
            </w14:solidFill>
          </w14:textFill>
        </w:rPr>
        <w:t xml:space="preserve">城市管理</w:t>
      </w:r>
      <w:r>
        <w:rPr>
          <w:rFonts w:hint="eastAsia" w:ascii="宋体" w:hAnsi="宋体" w:eastAsia="宋体" w:cs="宋体"/>
          <w:color w:val="000000" w:themeColor="text1"/>
          <w:sz w:val="24"/>
          <w:szCs w:val="24"/>
          <w:highlight w:val="none"/>
          <w:lang w:bidi="ar"/>
          <w14:textFill>
            <w14:solidFill>
              <w14:schemeClr w14:val="tx1"/>
            </w14:solidFill>
          </w14:textFill>
        </w:rPr>
        <w:t xml:space="preserve">秩序劝导、非机动车停放规范、乱贴乱画清理、流动摊贩劝导疏导、协助做好环境卫生管理及各类保障辅助工作。</w:t>
      </w:r>
      <w:r/>
    </w:p>
    <w:p>
      <w:pPr>
        <w:pStyle w:val="1220"/>
        <w:ind w:firstLine="482"/>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cs="宋体"/>
          <w:b/>
          <w:bCs/>
          <w:color w:val="000000" w:themeColor="text1"/>
          <w:sz w:val="24"/>
          <w:szCs w:val="24"/>
          <w:highlight w:val="none"/>
          <w:lang w:val="en-US" w:eastAsia="zh-CN" w:bidi="ar"/>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）服务内容及服务标准</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投标</w:t>
      </w:r>
      <w:r>
        <w:rPr>
          <w:rFonts w:hint="eastAsia" w:ascii="宋体" w:hAnsi="宋体" w:cs="宋体"/>
          <w:color w:val="000000" w:themeColor="text1"/>
          <w:sz w:val="24"/>
          <w:szCs w:val="24"/>
          <w:highlight w:val="none"/>
          <w:lang w:eastAsia="zh-CN" w:bidi="ar"/>
          <w14:textFill>
            <w14:solidFill>
              <w14:schemeClr w14:val="tx1"/>
            </w14:solidFill>
          </w14:textFill>
        </w:rPr>
        <w:t xml:space="preserve">人</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服务人员负责劝导服务区域内的沿街单位、店铺和个人落实</w:t>
      </w:r>
      <w:r>
        <w:rPr>
          <w:rFonts w:hint="eastAsia" w:ascii="宋体" w:hAnsi="宋体" w:cs="宋体"/>
          <w:color w:val="000000" w:themeColor="text1"/>
          <w:sz w:val="24"/>
          <w:szCs w:val="24"/>
          <w:highlight w:val="none"/>
          <w:lang w:eastAsia="zh-CN" w:bidi="ar"/>
          <w14:textFill>
            <w14:solidFill>
              <w14:schemeClr w14:val="tx1"/>
            </w14:solidFill>
          </w14:textFill>
        </w:rPr>
        <w:t xml:space="preserve">城市管理</w:t>
      </w:r>
      <w:r>
        <w:rPr>
          <w:rFonts w:hint="eastAsia" w:ascii="宋体" w:hAnsi="宋体" w:eastAsia="宋体" w:cs="宋体"/>
          <w:color w:val="000000" w:themeColor="text1"/>
          <w:sz w:val="24"/>
          <w:szCs w:val="24"/>
          <w:highlight w:val="none"/>
          <w:lang w:bidi="ar"/>
          <w14:textFill>
            <w14:solidFill>
              <w14:schemeClr w14:val="tx1"/>
            </w14:solidFill>
          </w14:textFill>
        </w:rPr>
        <w:t xml:space="preserve">环卫责任，劝导辖区内影响</w:t>
      </w:r>
      <w:r>
        <w:rPr>
          <w:rFonts w:hint="eastAsia" w:ascii="宋体" w:hAnsi="宋体" w:cs="宋体"/>
          <w:color w:val="000000" w:themeColor="text1"/>
          <w:sz w:val="24"/>
          <w:szCs w:val="24"/>
          <w:highlight w:val="none"/>
          <w:lang w:eastAsia="zh-CN" w:bidi="ar"/>
          <w14:textFill>
            <w14:solidFill>
              <w14:schemeClr w14:val="tx1"/>
            </w14:solidFill>
          </w14:textFill>
        </w:rPr>
        <w:t xml:space="preserve">城市管理</w:t>
      </w:r>
      <w:r>
        <w:rPr>
          <w:rFonts w:hint="eastAsia" w:ascii="宋体" w:hAnsi="宋体" w:eastAsia="宋体" w:cs="宋体"/>
          <w:color w:val="000000" w:themeColor="text1"/>
          <w:sz w:val="24"/>
          <w:szCs w:val="24"/>
          <w:highlight w:val="none"/>
          <w:lang w:bidi="ar"/>
          <w14:textFill>
            <w14:solidFill>
              <w14:schemeClr w14:val="tx1"/>
            </w14:solidFill>
          </w14:textFill>
        </w:rPr>
        <w:t xml:space="preserve">和环境卫生的行为，对不听劝导、引导的及时报告、协助辖区综合行政执法中队管理。</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对服务区域内乱停放非机动车辆的行为及时劝导、规范，对机动车辆乱停放行为及时引导，做到规范有序停放。</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对服务区域内沿街单位、店铺和个人不履行</w:t>
      </w:r>
      <w:r>
        <w:rPr>
          <w:rFonts w:hint="eastAsia" w:ascii="宋体" w:hAnsi="宋体" w:cs="宋体"/>
          <w:color w:val="000000" w:themeColor="text1"/>
          <w:sz w:val="24"/>
          <w:szCs w:val="24"/>
          <w:highlight w:val="none"/>
          <w:lang w:eastAsia="zh-CN" w:bidi="ar"/>
          <w14:textFill>
            <w14:solidFill>
              <w14:schemeClr w14:val="tx1"/>
            </w14:solidFill>
          </w14:textFill>
        </w:rPr>
        <w:t xml:space="preserve">城市管理</w:t>
      </w:r>
      <w:r>
        <w:rPr>
          <w:rFonts w:hint="eastAsia" w:ascii="宋体" w:hAnsi="宋体" w:eastAsia="宋体" w:cs="宋体"/>
          <w:color w:val="000000" w:themeColor="text1"/>
          <w:sz w:val="24"/>
          <w:szCs w:val="24"/>
          <w:highlight w:val="none"/>
          <w:lang w:bidi="ar"/>
          <w14:textFill>
            <w14:solidFill>
              <w14:schemeClr w14:val="tx1"/>
            </w14:solidFill>
          </w14:textFill>
        </w:rPr>
        <w:t xml:space="preserve">环卫责任的行为进行劝导。</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对服务区域内树木、地面、建筑物、构筑物等设施上的乱张贴乱涂写乱刻画现象，及时劝导并清理干净。</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开展流动摊贩劝导驱离，引导摊贩至指定疏导点规范经营；做好疏导点日常秩序维护，督促疏导点内经营商户落实卫生保洁，做到摊位摆放整齐、垃圾及时收纳。</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协助辖区执法中队做好区域内环境卫生的管理，确保区域内环境卫生整洁有序，地面无果壳纸屑、无烟头、无污水，无乱扔袋装垃圾包等，发现有乱扔垃圾乱倒污水等现象时及时进行劝导。</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对恶劣天气、公共卫生等突发事件有应急预案，事发时及时报告采购人和有关部门，并协助采取相应措施。</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完成辖区综合行政执法中队和上级交办的保障、宣传等其他非行政管理、非执法性任务。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白班：07:30—11:30,13:30—17:30,晚班：13:30—21:30，具体由执法中队根据重点区域、整治工作等需要进行安排，每日工作时间不低于 8 小时。</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9</w:t>
      </w: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投标</w:t>
      </w:r>
      <w:r>
        <w:rPr>
          <w:rFonts w:hint="eastAsia" w:ascii="宋体" w:hAnsi="宋体" w:cs="宋体"/>
          <w:color w:val="000000" w:themeColor="text1"/>
          <w:sz w:val="24"/>
          <w:szCs w:val="24"/>
          <w:highlight w:val="none"/>
          <w:lang w:eastAsia="zh-CN" w:bidi="ar"/>
          <w14:textFill>
            <w14:solidFill>
              <w14:schemeClr w14:val="tx1"/>
            </w14:solidFill>
          </w14:textFill>
        </w:rPr>
        <w:t xml:space="preserve">人</w:t>
      </w:r>
      <w:r>
        <w:rPr>
          <w:rFonts w:hint="eastAsia" w:ascii="宋体" w:hAnsi="宋体" w:eastAsia="宋体" w:cs="宋体"/>
          <w:color w:val="000000" w:themeColor="text1"/>
          <w:sz w:val="24"/>
          <w:szCs w:val="24"/>
          <w:highlight w:val="none"/>
          <w:lang w:bidi="ar"/>
          <w14:textFill>
            <w14:solidFill>
              <w14:schemeClr w14:val="tx1"/>
            </w14:solidFill>
          </w14:textFill>
        </w:rPr>
        <w:t xml:space="preserve">在服务过程中除需考虑一般管理服务内容外，应根据实际情况或事件的轻重缓急，对人员进行合理分配。</w:t>
      </w:r>
      <w:r/>
    </w:p>
    <w:p>
      <w:pPr>
        <w:pStyle w:val="1220"/>
        <w:ind w:firstLine="482"/>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cs="宋体"/>
          <w:b/>
          <w:bCs/>
          <w:color w:val="000000" w:themeColor="text1"/>
          <w:sz w:val="24"/>
          <w:szCs w:val="24"/>
          <w:highlight w:val="none"/>
          <w:lang w:val="en-US" w:eastAsia="zh-CN" w:bidi="ar"/>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cs="宋体"/>
          <w:b/>
          <w:bCs/>
          <w:color w:val="000000" w:themeColor="text1"/>
          <w:sz w:val="24"/>
          <w:szCs w:val="24"/>
          <w:highlight w:val="none"/>
          <w:lang w:eastAsia="zh-CN" w:bidi="ar"/>
          <w14:textFill>
            <w14:solidFill>
              <w14:schemeClr w14:val="tx1"/>
            </w14:solidFill>
          </w14:textFill>
        </w:rPr>
        <w:t xml:space="preserve">人员要求</w:t>
      </w:r>
      <w:r/>
    </w:p>
    <w:p>
      <w:pPr>
        <w:pStyle w:val="1220"/>
        <w:ind w:firstLine="482"/>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配备队员人数不低于18人，性别不限（女性队员数量≤</w:t>
      </w:r>
      <w:r>
        <w:rPr>
          <w:rFonts w:hint="eastAsia" w:cs="宋体"/>
          <w:i/>
          <w:iCs/>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人），初中及以上文化程度，身体健康，精神面貌佳，应变能力强，具有良好人际沟通能力，服务态度好，责任心强，无违法犯罪记录。</w:t>
      </w:r>
      <w:r/>
    </w:p>
    <w:p>
      <w:pPr>
        <w:pStyle w:val="1220"/>
        <w:ind w:firstLine="482"/>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2</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中标</w:t>
      </w:r>
      <w:r>
        <w:rPr>
          <w:rFonts w:hint="eastAsia" w:cs="宋体"/>
          <w:i/>
          <w:iCs/>
          <w:color w:val="000000" w:themeColor="text1"/>
          <w:sz w:val="24"/>
          <w:szCs w:val="24"/>
          <w:highlight w:val="none"/>
          <w:u w:val="single"/>
          <w:lang w:eastAsia="zh-CN" w:bidi="ar"/>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需另外指派（不在18人的配备要求内）一名项目负责人，</w:t>
      </w:r>
      <w:r>
        <w:rPr>
          <w:rFonts w:hint="eastAsia" w:cs="宋体"/>
          <w:i/>
          <w:iCs/>
          <w:color w:val="000000" w:themeColor="text1"/>
          <w:sz w:val="24"/>
          <w:szCs w:val="24"/>
          <w:highlight w:val="none"/>
          <w:u w:val="single"/>
          <w:lang w:val="en-US" w:eastAsia="zh-CN" w:bidi="ar"/>
          <w14:textFill>
            <w14:solidFill>
              <w14:schemeClr w14:val="tx1"/>
            </w14:solidFill>
          </w14:textFill>
        </w:rPr>
        <w:t xml:space="preserve">年龄</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w:t>
      </w:r>
      <w:r>
        <w:rPr>
          <w:rFonts w:hint="eastAsia" w:cs="宋体"/>
          <w:i/>
          <w:iCs/>
          <w:color w:val="000000" w:themeColor="text1"/>
          <w:sz w:val="24"/>
          <w:szCs w:val="24"/>
          <w:highlight w:val="none"/>
          <w:u w:val="single"/>
          <w:lang w:val="en-US" w:eastAsia="zh-CN" w:bidi="ar"/>
          <w14:textFill>
            <w14:solidFill>
              <w14:schemeClr w14:val="tx1"/>
            </w14:solidFill>
          </w14:textFill>
        </w:rPr>
        <w:t xml:space="preserve">55周岁，</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负责与采购</w:t>
      </w:r>
      <w:r>
        <w:rPr>
          <w:rFonts w:hint="eastAsia" w:cs="宋体"/>
          <w:i/>
          <w:iCs/>
          <w:color w:val="000000" w:themeColor="text1"/>
          <w:sz w:val="24"/>
          <w:szCs w:val="24"/>
          <w:highlight w:val="none"/>
          <w:u w:val="single"/>
          <w:lang w:eastAsia="zh-CN" w:bidi="ar"/>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的沟通协调事宜。</w:t>
      </w:r>
      <w:r/>
    </w:p>
    <w:p>
      <w:pPr>
        <w:pStyle w:val="1220"/>
        <w:ind w:firstLine="482"/>
        <w:keepLines w:val="0"/>
        <w:keepNext w:val="0"/>
        <w:pageBreakBefore w:val="0"/>
        <w:spacing w:line="5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3</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其他要求：所有人员须统一着制式服装（夏、冬装），服装样式由采购人指定，服装费用由中标人承担。</w:t>
      </w:r>
      <w:r/>
    </w:p>
    <w:p>
      <w:pPr>
        <w:pStyle w:val="1220"/>
        <w:ind w:firstLine="482"/>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cs="宋体"/>
          <w:b/>
          <w:bCs/>
          <w:color w:val="000000" w:themeColor="text1"/>
          <w:sz w:val="24"/>
          <w:szCs w:val="24"/>
          <w:highlight w:val="none"/>
          <w:lang w:val="en-US" w:eastAsia="zh-CN" w:bidi="ar"/>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）车辆、设备配备要求</w:t>
      </w:r>
      <w:r/>
    </w:p>
    <w:p>
      <w:pPr>
        <w:pStyle w:val="1220"/>
        <w:ind w:firstLine="482"/>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皮卡车1辆，有开放式拖斗，车辆手续齐全，交强险、商业保险在有效期内，国V 及以上排放标准（车辆动力须满足采购人实际使用需要，如不满足，中标人须无条件更换车辆），车龄≤5年，车体颜色为白色（车辆作为日常路段巡查使用，具体由采购人统一安排）。</w:t>
      </w:r>
      <w:r/>
    </w:p>
    <w:p>
      <w:pPr>
        <w:pStyle w:val="1220"/>
        <w:ind w:firstLine="482"/>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2</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四轮电瓶车1辆，续航时间长，车龄≤5年，车辆上路手续齐全。</w:t>
      </w:r>
      <w:r/>
    </w:p>
    <w:p>
      <w:pPr>
        <w:pStyle w:val="1220"/>
        <w:ind w:firstLine="482"/>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视频记录仪18台，为现场管理服务进行视频摄录。</w:t>
      </w:r>
      <w:r/>
    </w:p>
    <w:p>
      <w:pPr>
        <w:pStyle w:val="1220"/>
        <w:ind w:firstLine="482"/>
        <w:keepLines w:val="0"/>
        <w:keepNext w:val="0"/>
        <w:pageBreakBefore w:val="0"/>
        <w:spacing w:line="520" w:lineRule="exact"/>
        <w:shd w:val="clear" w:color="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4</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配备车辆的维修、保险、燃油费等使用过程中的所有费用由中标人承担。</w:t>
      </w:r>
      <w:r/>
    </w:p>
    <w:p>
      <w:pPr>
        <w:pStyle w:val="1220"/>
        <w:ind w:firstLine="482"/>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rPr>
          <w:rFonts w:hint="eastAsia" w:cs="宋体"/>
          <w:b/>
          <w:bCs/>
          <w:color w:val="000000" w:themeColor="text1"/>
          <w:sz w:val="24"/>
          <w:szCs w:val="24"/>
          <w:highlight w:val="none"/>
          <w:lang w:val="en-US" w:eastAsia="zh-CN" w:bidi="ar"/>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）管理要求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人员配置为工作岗位所需人员最低配置且不含轮休；服务人员作业时间及具体轮休时间由投标人根据国家有关规定及实际工作需要自行安排。</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2</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作业期间服务人员的变动必须在7个工作日内书面报告采购人，中标人承担所有服务人员的安全责任及费用。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中标人需为本项目配备人员购买人身意外保险，保额不低于50万元。</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4</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根据《中华人民共和国劳动合同法》、《中华人民共和国社会保险法》、《住房公积金管理条例》，投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p>
      <w:pPr>
        <w:pStyle w:val="1220"/>
        <w:ind w:firstLine="482"/>
        <w:jc w:val="center"/>
        <w:keepLines w:val="0"/>
        <w:keepNext w:val="0"/>
        <w:pageBreakBefore w:val="0"/>
        <w:spacing w:line="520" w:lineRule="exact"/>
        <w:shd w:val="clear" w:color="auto"/>
        <w:widowControl w:val="off"/>
        <w:rPr>
          <w:rFonts w:hint="eastAsia" w:ascii="宋体" w:hAnsi="宋体" w:eastAsia="宋体" w:cs="宋体"/>
          <w:b/>
          <w:bCs/>
          <w:color w:val="000000" w:themeColor="text1"/>
          <w:sz w:val="28"/>
          <w:szCs w:val="28"/>
          <w:highlight w:val="none"/>
          <w:lang w:eastAsia="zh-CN" w:bidi="ar"/>
          <w14:textFill>
            <w14:solidFill>
              <w14:schemeClr w14:val="tx1"/>
            </w14:solidFill>
          </w14:textFill>
        </w:rPr>
      </w:pPr>
      <w:r>
        <w:rPr>
          <w:rFonts w:hint="eastAsia" w:cs="宋体"/>
          <w:b/>
          <w:bCs/>
          <w:color w:val="000000" w:themeColor="text1"/>
          <w:sz w:val="28"/>
          <w:szCs w:val="28"/>
          <w:highlight w:val="none"/>
          <w:lang w:eastAsia="zh-CN" w:bidi="ar"/>
          <w14:textFill>
            <w14:solidFill>
              <w14:schemeClr w14:val="tx1"/>
            </w14:solidFill>
          </w14:textFill>
        </w:rPr>
        <w:t xml:space="preserve">乘航片区（乘航社区、江南社区）开放区域保洁及片区城市管理服务项目总体技术要求</w:t>
      </w:r>
      <w:r/>
    </w:p>
    <w:p>
      <w:pPr>
        <w:ind w:firstLine="482"/>
        <w:jc w:val="left"/>
        <w:keepLines w:val="0"/>
        <w:keepNext w:val="0"/>
        <w:pageBreakBefore w:val="0"/>
        <w:spacing w:line="520" w:lineRule="exact"/>
        <w:shd w:val="clear" w:color="auto" w:fill="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）考核细则</w:t>
      </w:r>
      <w:r/>
    </w:p>
    <w:p>
      <w:pPr>
        <w:numPr>
          <w:ilvl w:val="0"/>
          <w:numId w:val="0"/>
        </w:numPr>
        <w:jc w:val="center"/>
        <w:keepLines w:val="0"/>
        <w:keepNext w:val="0"/>
        <w:pageBreakBefore w:val="0"/>
        <w:spacing w:line="240" w:lineRule="auto"/>
        <w:shd w:val="clear" w:color="auto" w:fill="auto"/>
        <w:widowControl w:val="off"/>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乘航社区、江南社区开放区域保洁考核细则</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1．按规定时间要求进行日常保洁：</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1.1路面废弃物控制指标：</w:t>
      </w:r>
      <w:r/>
    </w:p>
    <w:p>
      <w:pPr>
        <w:numPr>
          <w:ilvl w:val="0"/>
          <w:numId w:val="3"/>
        </w:num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果皮（片/千平方米）≤5；</w:t>
      </w:r>
      <w:r/>
    </w:p>
    <w:p>
      <w:pPr>
        <w:numPr>
          <w:ilvl w:val="0"/>
          <w:numId w:val="3"/>
        </w:num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纸屑、塑膜（片/千平方米）≤5；</w:t>
      </w:r>
      <w:r/>
    </w:p>
    <w:p>
      <w:pPr>
        <w:numPr>
          <w:ilvl w:val="0"/>
          <w:numId w:val="3"/>
        </w:num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烟蒂（个千平方米）≤6：</w:t>
      </w:r>
      <w:r/>
    </w:p>
    <w:p>
      <w:pPr>
        <w:numPr>
          <w:ilvl w:val="0"/>
          <w:numId w:val="3"/>
        </w:num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污水（平方米/千平方米）≤0.5；</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（5）其它（平方米/千平方米）≤2；</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2．文明作业</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2.1工作时间内两人以上，聚堆聊天超过十分钟的，扣1～2分/处；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2.2作业时有打骂、吵架等不文明行为的，扣1～2分/处；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2.3按要求作业人员统一着装，上班统一着规定的工作服，不按要求着工作服的，每发现一人扣1分：</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2.4作业时有吸烟现象的，扣1～2分/处；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2.5作业人员有焚烧垃圾、树叶等杂物行为的，扣1～2分处：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2.6产出的垃圾应做到日产日清，无堆积现象，未能及时清理的，扣1～2分处；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2.7未在指定地方倾倒垃圾的，扣1～2分处；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2.8保洁工具合理摆放，因摆放不合理影响行人、车辆通行的，扣1～2分/次；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2.9无路牙的路面禁止将垃圾往两边绿化或出水通道内清扫，违反规定的，扣1～2分/次。</w:t>
      </w:r>
      <w:r/>
    </w:p>
    <w:p>
      <w:pPr>
        <w:numPr>
          <w:ilvl w:val="0"/>
          <w:numId w:val="4"/>
        </w:num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如有重大检查、重要线路等特殊情况，应按办事处要求的时间进行保洁，若未按规定时间保洁，产生质量问题的，扣1～3分次。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3.1重大检查活动时，巡回保洁人员应及时到岗检查，发现有未到岗现象出现质量问题的，扣1～2分/次；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3.2重大活动保障期间，巡回保洁人员应来回检查，发现问题不及时处理的，扣1～3分/次；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3.3重大活动保障期间，保洁管理负责人必须在现场进行督查协调，如出现质量问题，扣1～3分/次。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4．居民丢弃在道路、绿化带边的垃圾包应该及时清理，未清理到位的扣1～2分/处。</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5．保洁区域工作有序，质量到位。</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5.1保洁时要严格按先拾后扫的原则，未按规定保洁出现质量问题的，扣1～2分/次；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5.2保洁清扫如有遗漏的，扣1～2分/次，遗漏多处加倍扣分；</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5.3保洁范围内有乱张贴现象的，应及时清理，清理不及时的，扣1分/次；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5.5垃圾桶/房周边堆放有大量建筑垃圾、大件垃圾的，应该及时并妥善处理或清运，无主垃圾清运、保洁不到位，不及时的，扣1～2分次。</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各种规章制度、保养维修记录齐全、完整，缺一项扣1分，记录不全扣1分。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lang w:val="en-US" w:eastAsia="zh-CN" w:bidi="ar-SA"/>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按规定办理相关用工手续并按《劳动法》规定发放工资和加班等费用及执行公休等，保障职工合法权益：</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7.1未签订劳动合同的，扣3分1人；</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7.2未按规定参加基本社会养老保险的，扣3分/人；</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7.3未切实遵守劳动合同法，工资低于最低工资水平的，扣3分人；</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7.4加班、公休、作息时间、工作任务量不符合相关规定的，扣3分/人；</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7.5公司应建立用工制度（聘用制度、辞退制度、上岗培训制度、技能培训制度等)，如用工不合理，出现问题的，扣2分次；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7.6对保洁人员实施上岗前和每年至少一次的职业道德和标准化保洁培训，并有培训记录，如未按要求出现问题的，扣2分次。</w:t>
      </w:r>
      <w:r/>
    </w:p>
    <w:p>
      <w:pPr>
        <w:numPr>
          <w:ilvl w:val="0"/>
          <w:numId w:val="0"/>
        </w:numPr>
        <w:ind w:firstLine="482"/>
        <w:jc w:val="left"/>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14:textFill>
            <w14:solidFill>
              <w14:schemeClr w14:val="tx1"/>
            </w14:solidFill>
          </w14:textFill>
        </w:rPr>
        <w:t xml:space="preserve">7.7</w:t>
      </w: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垃圾分类定时定点督导服务考核</w:t>
      </w:r>
      <w:r>
        <w:rPr>
          <w:rFonts w:hint="eastAsia" w:ascii="宋体" w:hAnsi="宋体" w:eastAsia="宋体" w:cs="宋体"/>
          <w:b/>
          <w:caps w:val="0"/>
          <w:color w:val="000000" w:themeColor="text1"/>
          <w:spacing w:val="0"/>
          <w:sz w:val="24"/>
          <w:szCs w:val="24"/>
          <w:highlight w:val="none"/>
          <w:lang w:val="en-US" w:eastAsia="zh-CN"/>
          <w14:textFill>
            <w14:solidFill>
              <w14:schemeClr w14:val="tx1"/>
            </w14:solidFill>
          </w14:textFill>
        </w:rPr>
        <w:t xml:space="preserve">扣分</w:t>
      </w:r>
      <w:r/>
    </w:p>
    <w:tbl>
      <w:tblPr>
        <w:tblStyle w:val="1219"/>
        <w:tblW w:w="4936" w:type="pct"/>
        <w:tblInd w:w="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89"/>
        <w:gridCol w:w="5522"/>
      </w:tblGrid>
      <w:tr>
        <w:trPr>
          <w:trHeight w:val="567"/>
        </w:trPr>
        <w:tc>
          <w:tcPr>
            <w:tcW w:w="2127" w:type="pct"/>
            <w:vAlign w:val="center"/>
            <w:textDirection w:val="lrTb"/>
            <w:noWrap w:val="false"/>
          </w:tcPr>
          <w:p>
            <w:pPr>
              <w:ind w:firstLine="0"/>
              <w:jc w:val="center"/>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检查要求</w:t>
            </w:r>
            <w:r/>
          </w:p>
        </w:tc>
        <w:tc>
          <w:tcPr>
            <w:tcW w:w="2872" w:type="pct"/>
            <w:vAlign w:val="center"/>
            <w:textDirection w:val="lrTb"/>
            <w:noWrap w:val="false"/>
          </w:tcPr>
          <w:p>
            <w:pPr>
              <w:ind w:firstLine="0"/>
              <w:jc w:val="center"/>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val="en-US" w:eastAsia="zh-CN" w:bidi="ar-SA"/>
                <w14:textFill>
                  <w14:solidFill>
                    <w14:schemeClr w14:val="tx1"/>
                  </w14:solidFill>
                </w14:textFill>
              </w:rPr>
              <w:t xml:space="preserve">扣分标准</w:t>
            </w:r>
            <w:r/>
          </w:p>
        </w:tc>
      </w:tr>
      <w:tr>
        <w:trPr>
          <w:trHeight w:val="567"/>
        </w:trPr>
        <w:tc>
          <w:tcPr>
            <w:tcW w:w="2127" w:type="pct"/>
            <w:vAlign w:val="center"/>
            <w:textDirection w:val="lrTb"/>
            <w:noWrap w:val="false"/>
          </w:tcPr>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合法用工，无拖欠员工工资、劳资纠纷、罢工停工、人员工伤等事件发生，工作时长不得超出法定时间。配置专职工作人员数量符合要求。</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按合同要求配置相应专业资质、经验、学历的工作人员</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加强员工培训，有详细的培训计划，每月至少一次集中培训并有培训记录。</w:t>
            </w:r>
            <w:r/>
          </w:p>
        </w:tc>
        <w:tc>
          <w:tcPr>
            <w:tcW w:w="2872" w:type="pct"/>
            <w:vAlign w:val="center"/>
            <w:textDirection w:val="lrTb"/>
            <w:noWrap w:val="false"/>
          </w:tcPr>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1、有拖欠员工工资、或发生劳资纠纷的，每宗扣1分。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2、人员配置不足的，人身意外险、或未对员工进行岗前培训并持证上岗的，每少1人扣1分。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3、未在每月定期对督导员进行监督考评，或及时更换、再培训不合格的督导员的，每发现1人次，扣0.5分。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4、督导员补贴标准不得低于投标文件承诺水平，一旦低于，扣5分。</w:t>
            </w:r>
            <w:r/>
          </w:p>
        </w:tc>
      </w:tr>
      <w:tr>
        <w:trPr>
          <w:trHeight w:val="567"/>
        </w:trPr>
        <w:tc>
          <w:tcPr>
            <w:tcW w:w="2127" w:type="pct"/>
            <w:vAlign w:val="center"/>
            <w:textDirection w:val="lrTb"/>
            <w:noWrap w:val="false"/>
          </w:tcPr>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必须有完整的人员安全管理制度，明确具体责任人。加强督导工作培训，确保人员安全。</w:t>
            </w:r>
            <w:r/>
          </w:p>
        </w:tc>
        <w:tc>
          <w:tcPr>
            <w:tcW w:w="2872" w:type="pct"/>
            <w:vAlign w:val="center"/>
            <w:textDirection w:val="lrTb"/>
            <w:noWrap w:val="false"/>
          </w:tcPr>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1、没有制定安全督导管理制度的，扣0.5分。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2、没有开展安全知识培训的，扣1分。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3、因管理不当，造成安全事故的，扣2分。</w:t>
            </w:r>
            <w:r/>
          </w:p>
        </w:tc>
      </w:tr>
      <w:tr>
        <w:trPr>
          <w:trHeight w:val="567"/>
        </w:trPr>
        <w:tc>
          <w:tcPr>
            <w:tcW w:w="2127" w:type="pct"/>
            <w:vAlign w:val="center"/>
            <w:textDirection w:val="lrTb"/>
            <w:noWrap w:val="false"/>
          </w:tcPr>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结合日常检查对中标方及其督导员的服务质量（督导成效）进行评价。</w:t>
            </w:r>
            <w:r/>
          </w:p>
        </w:tc>
        <w:tc>
          <w:tcPr>
            <w:tcW w:w="2872" w:type="pct"/>
            <w:vAlign w:val="center"/>
            <w:textDirection w:val="lrTb"/>
            <w:noWrap w:val="false"/>
          </w:tcPr>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1、在日常检查过程中，督导员未按规定时间到岗、持证在岗的，发现1人次扣1分。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2、督导员应着装规范得体，应有工作衣、工作证或袖章；应配备标准督导工具，如有不符合处每处扣1分。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3、督导员应规范督导操作，现场指导、引导居民进行正确的垃圾分类投放。未及时纠正未正确投放的垃圾。发现1次扣0.5分；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4、督导员应对未分类垃圾进行二次分拣，对厨余垃圾进行破袋分类投放；每发现一项不符合扣0.5分。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5、未按规定将垃圾桶统一收集至垃圾房的，发现1次扣0.5分。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6、未保持垃圾分类容器和设施干净、整洁无破损，发现1处扣0.5分。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7、媒体负面曝光、市、区级部门通报、市民投诉，经核实属于中标方责任的，每宗扣1分。</w:t>
            </w:r>
            <w:r/>
          </w:p>
          <w:p>
            <w:pPr>
              <w:ind w:firstLine="0"/>
              <w:jc w:val="left"/>
              <w:keepLines w:val="0"/>
              <w:keepNext w:val="0"/>
              <w:pageBreakBefore w:val="0"/>
              <w:spacing w:line="400" w:lineRule="exact"/>
              <w:shd w:val="clear" w:color="auto" w:fill="auto"/>
              <w:widowControl w:val="off"/>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8、未及时报送工作资料（数据、报表、照片等）或达不到要求的，每次扣0.5分。</w:t>
            </w:r>
            <w:r/>
          </w:p>
        </w:tc>
      </w:tr>
    </w:tbl>
    <w:p>
      <w:pPr>
        <w:numPr>
          <w:ilvl w:val="0"/>
          <w:numId w:val="0"/>
        </w:numPr>
        <w:ind w:firstLine="482"/>
        <w:jc w:val="left"/>
        <w:keepLines w:val="0"/>
        <w:keepNext w:val="0"/>
        <w:pageBreakBefore w:val="0"/>
        <w:spacing w:line="520" w:lineRule="exact"/>
        <w:shd w:val="clear" w:color="auto" w:fill="auto"/>
        <w:widowControl w:val="off"/>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注：本考核为暂定考核标准，</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服务期内如有新的考核标准出台，以最新的考核标准为准。</w:t>
      </w:r>
      <w:r/>
    </w:p>
    <w:p>
      <w:pPr>
        <w:numPr>
          <w:ilvl w:val="0"/>
          <w:numId w:val="0"/>
        </w:numPr>
        <w:ind w:firstLine="482"/>
        <w:jc w:val="center"/>
        <w:keepLines w:val="0"/>
        <w:keepNext w:val="0"/>
        <w:pageBreakBefore w:val="0"/>
        <w:spacing w:line="520" w:lineRule="exact"/>
        <w:shd w:val="clear" w:color="auto" w:fill="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eastAsia="zh-CN" w:bidi="ar"/>
          <w14:textFill>
            <w14:solidFill>
              <w14:schemeClr w14:val="tx1"/>
            </w14:solidFill>
          </w14:textFill>
        </w:rPr>
        <w:t xml:space="preserve">乘航区域城市管理服务</w:t>
      </w:r>
      <w:r>
        <w:rPr>
          <w:rFonts w:hint="eastAsia" w:cs="宋体"/>
          <w:b/>
          <w:bCs/>
          <w:color w:val="000000" w:themeColor="text1"/>
          <w:sz w:val="24"/>
          <w:szCs w:val="24"/>
          <w:highlight w:val="none"/>
          <w:lang w:eastAsia="zh-CN" w:bidi="ar"/>
          <w14:textFill>
            <w14:solidFill>
              <w14:schemeClr w14:val="tx1"/>
            </w14:solidFill>
          </w14:textFill>
        </w:rPr>
        <w:t xml:space="preserve">考核细则</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为加强城市管理秩序及环境管理，提升城市</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管理</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标准，规范管理服务水平，就乘航区域城市管理服务，制定以下管理服务考评标准。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1．管理服务考评</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由管理服务工作质量（60分）、队伍纪律作风形象（20分）、内部管理质量（10分）、中队评议（10分）四部分组成。其中管理服务工作质量（60分）由日常考核（24分）、不定期考核（24分）、第三方考核（12分）三部分组成。管理服务工作质量、队伍纪律作风形象、内部管理质量三方面由局督查部门、所在辖区执法中队，属地街道办事处相关科室组成督查小组，参照考核标准实施，按照定时及不定期检查进行扣分，局督查部门进行月度汇总。第三方考核由采购人委托第三方部门进行检查打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．考评内容及标准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管理服务工作质量考评（60分）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在日常管理服务工作中，督查发现以下问题，服务人员未及时发现、劝导及报告中队的：</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（1）市政设施、建筑立面、门店橱窗、立柱等保持整洁，有乱张贴、乱涂写、乱刻画现象的，每起扣0.2分；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（2）有乱晒挂现象，影响</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城市面貌</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的，每起扣0.2分；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（3）有店外经营、乱推乱放现象的，每起扣0.3分；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（4）服务区域内保持环境卫生洁美，有乱扔垃圾、乱倒污水等不文明行为的，每起扣0.2分；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（5）车辆停放有序，有机动车辆、非机动车辆不规范停放等现象的，每起扣0.2分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（每100米有2处或2处以上违停）</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（6）高标准完成服务区域内各类接待、参观等线路保障工作（不限服务区域），工作质量不高，保障不到位的，每次扣1分，被上级领导点名</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批评</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的每次扣2分；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（7）对违反城市管理行为，不能及时通知或有效协助执法中队管理的，每起扣0.5分；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（8）其他应承担的职责而不作为的，每起扣0.2分；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（9）高标准完成各类文明创建、检查等活动的保障工作，工作质量不高，保障不到位的，每次扣1分；因重大工作失职，导致出现安全事故和检查失分的，每次扣10分；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（10）以上扣分情况由中队予以核实，如因路段责任人发现不能自行处理并且及时上报中队的，可以免于扣分。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第三方考核每月进行一次，按四个区域排名得分，第一名不扣分即12分，第二名得10分，第三名得8分，第四名得6分。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队伍纪律作风形象考评（20分）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未按照规定着装，佩戴巡查标志不齐，装备不全的，每起扣0.5分；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巡查过程中勾手搭背，嘻笑打闹等，举止形象不符规定的，每起扣0.5分；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巡查过程中在公共场所及禁烟场所吸烟；边走边吃东西、玩手机，形象不正，影响不佳的，每起扣1分；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上班时间擅离岗位，责任范围内无人巡查服务的，每起扣2分；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巡查服务中不遵守道路交通安全法规，有争抢车道，车辆逆向行驶等行为的，每起扣0.5分；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服务人员刁难群众或索贿受贿，以权谋私，吃、拿、卡要当事人的，经查实后每起扣5分，建议</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开除处理，情节严重的移交司法机关处理；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因工作方式粗暴，态度恶劣等自身原因，造成与服务对象纠纷或引起有效投诉，有负面影响的，每起扣2分；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因工作失职、故意行为造成采购人声誉影响或经济损失的，或影响城管形象的，每起扣5分；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存在其他服务不文明、不规范的行为的，每起扣0.5分。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内部管理质量（总分10分）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未建立人员职业道德规范与行为准则、人员岗位责任、人员聘用、培训、管理、考核与奖惩、技术服务规范、服务质量管理等相关制度的，扣2分；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未对服务人员落实个人考核与奖惩机制的，每次扣2分，直至扣完10分为止；</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巡查记录、服务人员及办公室人员上班人员考勤、打卡记录不全的，每次扣2分，直至扣完10分为止；未建立智能考勤打卡和考核系统的，扣2分。</w:t>
      </w:r>
      <w:r/>
    </w:p>
    <w:p>
      <w:pPr>
        <w:numPr>
          <w:ilvl w:val="0"/>
          <w:numId w:val="0"/>
        </w:numPr>
        <w:ind w:firstLine="482"/>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服务人员未按要求落实配备相应的车辆、对讲机、记录仪等装备的，扣10分；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各区域应保持合同规定的人员到岗率，如出现到岗人数低于应到岗数的90%的扣3分。</w:t>
      </w:r>
      <w:r/>
    </w:p>
    <w:p>
      <w:pPr>
        <w:numPr>
          <w:ilvl w:val="0"/>
          <w:numId w:val="0"/>
        </w:numPr>
        <w:ind w:firstLine="482"/>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人员身份信息查实弄虚作假的，每发现一名扣除该人员已发生的项目费用。</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发现三名以上的，采购人有权解除合同关系。</w:t>
      </w:r>
      <w:r/>
    </w:p>
    <w:p>
      <w:pPr>
        <w:numPr>
          <w:ilvl w:val="0"/>
          <w:numId w:val="0"/>
        </w:numPr>
        <w:ind w:firstLine="482"/>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项目人员需全职服务于此项目，不得在其他项目上兼职，如发现在其他项目兼职的，扣1分。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中队评议（10分）</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此项考核由中队根据公司月度工作开展情况进行评议，分为好10分、较好8分、一般6分、差4分四个档次。原则上当月区域考核最后的单位不得评为前两档。</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．管理服务考评工作</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由杨舍镇综合行政执法局指定部门，对照本考评内容及标准具体组织实施。</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．考核结果运用</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1按百分制每月度进行考核，根据考核</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情</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况进行实际结算。月度最终考核得分≥90分的，该月度服务费100%支付；90分＞月度最终考核得分＞85分，该月度实际支付服务费按照该月度实际考核得分数与100分的百分比乘以该月度服务费；月度考核得分为≤85分的为不合格，考核不通过，不支付该月度服务费，累计二次不合格，采购人将提前终止与中标人的合同，且不予返还履约保证金。</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出现恶劣事件，给区（镇）或杨舍镇综合行政执法局造成不良影响的，由杨舍镇综合执法局给予黄牌警告，两次黄牌警告的，</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可单方面终止合同。</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．直接扣款项</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5.1中标</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人应保持各岗位人员相对稳定，人员流动不超过3人/年，每超1人次扣款1000元。</w:t>
      </w:r>
      <w:r/>
    </w:p>
    <w:p>
      <w:pPr>
        <w:numPr>
          <w:ilvl w:val="0"/>
          <w:numId w:val="0"/>
        </w:numPr>
        <w:ind w:firstLine="480"/>
        <w:jc w:val="left"/>
        <w:keepLines w:val="0"/>
        <w:keepNext w:val="0"/>
        <w:pageBreakBefore w:val="0"/>
        <w:spacing w:line="520" w:lineRule="exact"/>
        <w:shd w:val="clear" w:color="auto" w:fill="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中标人不得在人员配备、身份信息等方面有弄虚作假的行为。一旦人员身份信息查实有弄虚作假的，每发现一名，扣除该人员已发生的费用，发现三名以上的，采购人有权解除合同关系。</w:t>
      </w:r>
      <w:r/>
    </w:p>
    <w:p>
      <w:pPr>
        <w:numPr>
          <w:ilvl w:val="0"/>
          <w:numId w:val="0"/>
        </w:numPr>
        <w:ind w:firstLine="482"/>
        <w:jc w:val="left"/>
        <w:keepLines w:val="0"/>
        <w:keepNext w:val="0"/>
        <w:pageBreakBefore w:val="0"/>
        <w:spacing w:line="520" w:lineRule="exact"/>
        <w:shd w:val="clear" w:color="auto" w:fill="auto"/>
        <w:widowControl w:val="off"/>
        <w:rPr>
          <w:rFonts w:hint="eastAsia"/>
          <w:color w:val="000000" w:themeColor="text1"/>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注：本考核为暂定考核标准，</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服务期内如有新的考核标准出台，以最新的考核标准为准。</w:t>
      </w:r>
      <w:r/>
    </w:p>
    <w:p>
      <w:pPr>
        <w:numPr>
          <w:ilvl w:val="0"/>
          <w:numId w:val="0"/>
        </w:numPr>
        <w:ind w:firstLine="482"/>
        <w:jc w:val="left"/>
        <w:keepLines w:val="0"/>
        <w:keepNext w:val="0"/>
        <w:pageBreakBefore w:val="0"/>
        <w:spacing w:line="520" w:lineRule="exact"/>
        <w:shd w:val="clear" w:color="auto" w:fill="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）服务方案</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需针对本项目制定保洁服务方案，包含作业计划排布、作业区域管控、垃圾收集处理、作业资源保障等方面内容。</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需针对本项目制定垃圾清运及垃圾分类方案，包含收运作业管控、各类垃圾处置、分类督导实施、分类设施运维等方面内容。</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需针对本项目制定大环境卫生整治方案，包含环境专项整治、病媒消杀落实、问题点位治理、整治资源配置等方面内容。</w:t>
      </w:r>
      <w:r/>
    </w:p>
    <w:p>
      <w:pPr>
        <w:ind w:firstLine="480"/>
        <w:jc w:val="left"/>
        <w:keepLines w:val="0"/>
        <w:keepNext w:val="0"/>
        <w:pageBreakBefore w:val="0"/>
        <w:spacing w:line="520" w:lineRule="exact"/>
        <w:shd w:val="clear" w:color="auto" w:fill="auto"/>
        <w:widowControl w:val="off"/>
        <w:rPr>
          <w:rFonts w:hint="eastAsia"/>
          <w:color w:val="000000" w:themeColor="text1"/>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城市管理服务实施方案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，包含</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城市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劝导管理、重点区域管控、现场问题处置、多方协同联动等方面内容。</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需针对本项目制定安全文明管控方案，包含作业安全管控、车辆设备安全、人员防护管理、文明作业规范等方面内容。</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应急管理方案，包含节假日、重大活动（如文明城市、卫生城市检查，其他创建、检查活动等）、恶劣天气等紧急情况的应急措施、突发事件处理的措施等方面内容；当遇突发事件、遇上级检查、庆典等重大活动或节假日期间，应落实保障措施，增加作业人员和保洁频次，保证作业质量，费用含在投标报价内。</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需针对本项目制定项目组织管理方案，包含岗位体系设置、考核监督机制、问题闭环处置、人员综合管理等方面内容。</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需针对本项目制定</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服务质量保障方案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，包含全程质量管控、作业标准落地、服务巡检督导、质量提升长效措施等方面内容。</w:t>
      </w:r>
      <w:r/>
    </w:p>
    <w:p>
      <w:pPr>
        <w:ind w:firstLine="482"/>
        <w:keepLines w:val="0"/>
        <w:keepNext w:val="0"/>
        <w:pageBreakBefore w:val="0"/>
        <w:spacing w:line="520" w:lineRule="exact"/>
        <w:shd w:val="clear" w:color="auto" w:fill="auto"/>
        <w:widowControl w:val="off"/>
        <w:rPr>
          <w:rFonts w:hint="default" w:ascii="宋体" w:hAnsi="宋体" w:eastAsia="宋体" w:cs="宋体"/>
          <w:b/>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b/>
          <w:caps w:val="0"/>
          <w:color w:val="000000" w:themeColor="text1"/>
          <w:spacing w:val="0"/>
          <w:sz w:val="24"/>
          <w:szCs w:val="24"/>
          <w:highlight w:val="none"/>
          <w:lang w:val="en-US" w:eastAsia="zh-CN"/>
          <w14:textFill>
            <w14:solidFill>
              <w14:schemeClr w14:val="tx1"/>
            </w14:solidFill>
          </w14:textFill>
        </w:rPr>
        <w:t xml:space="preserve">三</w:t>
      </w: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b/>
          <w:caps w:val="0"/>
          <w:color w:val="000000" w:themeColor="text1"/>
          <w:spacing w:val="0"/>
          <w:sz w:val="24"/>
          <w:szCs w:val="24"/>
          <w:highlight w:val="none"/>
          <w:lang w:val="en-US" w:eastAsia="zh-CN"/>
          <w14:textFill>
            <w14:solidFill>
              <w14:schemeClr w14:val="tx1"/>
            </w14:solidFill>
          </w14:textFill>
        </w:rPr>
        <w:t xml:space="preserve">总体要求</w:t>
      </w:r>
      <w:r/>
    </w:p>
    <w:p>
      <w:pPr>
        <w:ind w:firstLine="480"/>
        <w:keepLines w:val="0"/>
        <w:keepNext w:val="0"/>
        <w:pageBreakBefore w:val="0"/>
        <w:spacing w:line="52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投标人应具有承担过类似项目的经验及能力，可提供2023年以来承担过的类似项目业绩</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或具有相关证书等。</w:t>
      </w:r>
      <w:r/>
    </w:p>
    <w:p>
      <w:pPr>
        <w:ind w:firstLine="482"/>
        <w:keepLines w:val="0"/>
        <w:keepNext w:val="0"/>
        <w:pageBreakBefore w:val="0"/>
        <w:spacing w:line="520" w:lineRule="exact"/>
        <w:shd w:val="clear" w:color="auto" w:fill="auto"/>
        <w:widowControl w:val="off"/>
        <w:rPr>
          <w:rFonts w:hint="eastAsia" w:ascii="宋体" w:hAnsi="宋体" w:eastAsia="宋体" w:cs="宋体"/>
          <w:b/>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b/>
          <w:caps w:val="0"/>
          <w:color w:val="000000" w:themeColor="text1"/>
          <w:spacing w:val="0"/>
          <w:sz w:val="24"/>
          <w:szCs w:val="24"/>
          <w:highlight w:val="none"/>
          <w:lang w:val="en-US" w:eastAsia="zh-CN"/>
          <w14:textFill>
            <w14:solidFill>
              <w14:schemeClr w14:val="tx1"/>
            </w14:solidFill>
          </w14:textFill>
        </w:rPr>
        <w:t xml:space="preserve">四</w:t>
      </w: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caps w:val="0"/>
          <w:color w:val="000000" w:themeColor="text1"/>
          <w:spacing w:val="0"/>
          <w:sz w:val="24"/>
          <w:szCs w:val="24"/>
          <w:highlight w:val="none"/>
          <w:lang w:val="en-US" w:eastAsia="zh-CN"/>
          <w14:textFill>
            <w14:solidFill>
              <w14:schemeClr w14:val="tx1"/>
            </w14:solidFill>
          </w14:textFill>
        </w:rPr>
        <w:t xml:space="preserve">其他要求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应加强对员工的培训、管理，以达到符合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管理要求。</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应严格督导作业人员的行为规范，并要求作业人员严格执行</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相关管理规定，维护</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整体形象。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3</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在服务过程中应注意安全防范。发生的安全事故、交通事故、意外事故、伤亡事故等任何事故及造成的人员和财产损失的，都由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负责处理并承担相关责任和费用，</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不承担任何责任和费用。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应按照</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的要求，及时更换不能胜任工作的作业人员；负责处理合同服务期内所有劳资纠纷和调解管理纠纷。</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建立人员职业道德规范与行为准则、人员岗位责任制度、人员聘用、培训、管理、考核与奖惩制度、技术服务规范与工作制度、服务质量管理制度等相关制度。落实文明管理、保洁服务的措施，提供文明优质的服务。</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须负责作业人员的人事、劳资、办理社会保险和商业保险、计生等人事劳资管理工作，并提供为作业人员办理劳动用工手续、结算发放工资、发放高温费、加班费等补偿金、缴纳社会保险、处理保险理赔、管理人事档案等方面的管理服务；负责处理服务期内所有劳资纠纷和调解管理纠纷。</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．中标后不得转包，一经发现查实，</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有权解除合同关系。</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因管事不力造成工人聚众闹事等性质恶劣的事件，在社会上造成恶劣影响的，</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有权终止合同，并没收履约保证金。</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因管理不力，在服务期内出现重大安全事故并负主要责任以上的，视情况给予经济处罚，在社会上造成恶劣影响的，</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有权终止合同，并没收履约保证金。</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．服务期内，如遇重大活动需增加服务人员，</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需无条件配合并承担相关费用。</w:t>
      </w:r>
      <w:r/>
    </w:p>
    <w:p>
      <w:pPr>
        <w:ind w:firstLine="480"/>
        <w:jc w:val="left"/>
        <w:keepLines w:val="0"/>
        <w:keepNext w:val="0"/>
        <w:pageBreakBefore w:val="0"/>
        <w:spacing w:line="520" w:lineRule="exact"/>
        <w:shd w:val="clear" w:color="auto" w:fill="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宋体"/>
          <w:color w:val="000000" w:themeColor="text1"/>
          <w:sz w:val="24"/>
          <w:szCs w:val="24"/>
          <w:highlight w:val="none"/>
          <w14:textFill>
            <w14:solidFill>
              <w14:schemeClr w14:val="tx1"/>
            </w14:solidFill>
          </w14:textFill>
        </w:rPr>
        <w:t xml:space="preserve">，处于维保期内的有关设备、设施等，按保修有关规定，由维保单位进行养护和维修；保修期满，相关费用由</w:t>
      </w:r>
      <w:r>
        <w:rPr>
          <w:rFonts w:hint="eastAsia" w:ascii="宋体" w:hAnsi="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．本项目服务费用中应包含项目公共责任保险（亦称第三者险），</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未及时投保所造成的损害责任由</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承担。</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．投标报价应是招标文件所确定的招标范围内的全部工作内容的价格体现。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进行</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费测算时，应考虑到物价上涨、工资调整等因素。费用构成及费用支出需合理。所有费用均包含在投标报价里，中标之后不得再增加任何费用。</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中标人在公开招标活动结束后再提供按采购人要求数量的纸质中标文件交于招标代理机构，用于制作归档资料。</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t xml:space="preserve">本项目中标人需在中标结果公告前将投标文件中提供的合同等相关证明材料原件送至招标代理机构审核，如有未按时提供相关证明材料原件或发现有提供虚假材料（弄虚作假）的行为，采购人将按本招标文件（第二章 第29.4条）要求取消中标人中标资格。</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16．中标人应当按照合同约定履行义务，完成本项目。中标人不得向他人转让本项目，也不得将本项目肢解后分别向他人转让。中标人按照合同约定或者经采购人同意，可以将本项目的部分非主体、非关键性工作分包给他人完成。接受分包的人应当具备相应的资格条件，并不得再次分包。中标人应当就分包项目向采购人负责，接受分包的人就分包项目承担连带责任。中标人未遵守前述规定存在转让或分包行为的，采购人有权终止合同，并要求中标人赔偿一切损失。</w:t>
      </w:r>
      <w:r/>
    </w:p>
    <w:p>
      <w:pPr>
        <w:ind w:firstLine="480"/>
        <w:jc w:val="left"/>
        <w:keepLines w:val="0"/>
        <w:keepNext w:val="0"/>
        <w:pageBreakBefore w:val="0"/>
        <w:spacing w:line="520" w:lineRule="exact"/>
        <w:shd w:val="clear" w:color="auto" w:fill="auto"/>
        <w:widowControl w:val="off"/>
        <w:rPr>
          <w:rFonts w:hint="default"/>
          <w:color w:val="000000" w:themeColor="text1"/>
          <w:lang w:val="en-US"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17．合同签订前，中标人针对本项目配备的所有车辆及设备、人员都要到位，如不到位，采购人将出具书面整改通知，若中标人接到书面整改通知10日内还不整改到位，采购人有权取消中标人中标资格。</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r>
      <w:r/>
    </w:p>
    <w:p>
      <w:pPr>
        <w:keepLines w:val="0"/>
        <w:keepNext w:val="0"/>
        <w:pageBreakBefore w:val="0"/>
        <w:spacing w:line="520" w:lineRule="exact"/>
        <w:shd w:val="clear" w:color="auto"/>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357" w:name="_Toc20113"/>
      <w:r>
        <w:rPr>
          <w:rFonts w:hint="eastAsia" w:ascii="宋体" w:hAnsi="宋体" w:eastAsia="宋体" w:cs="宋体"/>
          <w:b/>
          <w:color w:val="000000" w:themeColor="text1"/>
          <w:spacing w:val="0"/>
          <w:sz w:val="28"/>
          <w:szCs w:val="28"/>
          <w:highlight w:val="none"/>
          <w14:textFill>
            <w14:solidFill>
              <w14:schemeClr w14:val="tx1"/>
            </w14:solidFill>
          </w14:textFill>
        </w:rPr>
        <w:t xml:space="preserve">三、商务条款</w:t>
      </w:r>
      <w:bookmarkEnd w:id="357"/>
      <w:r/>
      <w:r/>
    </w:p>
    <w:p>
      <w:pPr>
        <w:ind w:firstLine="482"/>
        <w:keepLines w:val="0"/>
        <w:keepNext w:val="0"/>
        <w:pageBreakBefore w:val="0"/>
        <w:spacing w:line="520" w:lineRule="exact"/>
        <w:shd w:val="clear" w:color="auto" w:fill="auto"/>
        <w:widowControl w:val="off"/>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一</w:t>
      </w: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）服务期限及服务地点</w:t>
      </w:r>
      <w:r/>
    </w:p>
    <w:p>
      <w:pPr>
        <w:ind w:firstLine="480"/>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．服务期限：</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自合同签订之日起12个月。</w:t>
      </w:r>
      <w:r/>
    </w:p>
    <w:p>
      <w:pPr>
        <w:ind w:firstLine="480"/>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．服务地点：张家港经济技术开发区（杨舍镇）</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乘航社区、江南社区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p>
    <w:p>
      <w:pPr>
        <w:ind w:firstLine="482"/>
        <w:keepLines w:val="0"/>
        <w:keepNext w:val="0"/>
        <w:pageBreakBefore w:val="0"/>
        <w:spacing w:line="520" w:lineRule="exact"/>
        <w:shd w:val="clear" w:color="auto" w:fill="auto"/>
        <w:widowControl w:val="off"/>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二</w:t>
      </w: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）支付</w:t>
      </w: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方式</w:t>
      </w:r>
      <w:r/>
    </w:p>
    <w:p>
      <w:pPr>
        <w:ind w:firstLine="480"/>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．结付程序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中标人合格地履行服务后，凭人员考勤表、月度考核明细、结算金额、销售发票到采购人处办理合同款结算手续。</w:t>
      </w:r>
      <w:r/>
    </w:p>
    <w:p>
      <w:pPr>
        <w:ind w:firstLine="480"/>
        <w:jc w:val="left"/>
        <w:keepLines w:val="0"/>
        <w:keepNext w:val="0"/>
        <w:pageBreakBefore w:val="0"/>
        <w:spacing w:line="520" w:lineRule="exact"/>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2．结付期限：</w:t>
      </w:r>
      <w:r/>
    </w:p>
    <w:p>
      <w:pPr>
        <w:ind w:firstLine="480"/>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自双方确认结算金额之日起算。</w:t>
      </w:r>
      <w:r/>
    </w:p>
    <w:p>
      <w:pPr>
        <w:ind w:firstLine="480"/>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合同签订生效后，采购人支付合同款的</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0%作为预付款（在签订合同时，中标人明确表示无需预付款或者主动要求降低预付款比例的，采购人可不适用前述规定）</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。剩余款项</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采购</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每个季度支付一次服务费用，一个年度内共支付四次。前三季度根据月度考核结算服务费用支付；最后一个季度根据年度考核结算服务费用支付。服务期满后一次性无息退还履约保证金。</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（2）结付标准</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按百分制每月度进行考核，根据考核</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情</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况进行实际结算。</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月度最终考核得分≥90分的，该月度服务费100%支付；90分＞月度最终考核得分＞85分，该月度实际支付服务费按照该月度实际考核得分数与100分的百分比乘以该月度服务费；月度考核得分为≤85分的为不合格，考核不通过，不支付该月度服务费，累计二次不合格，采购</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将提前终止与中标</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的合同，且不予返还履约保证金。</w:t>
      </w:r>
      <w:r/>
    </w:p>
    <w:p>
      <w:pPr>
        <w:ind w:firstLine="482"/>
        <w:keepLines w:val="0"/>
        <w:keepNext w:val="0"/>
        <w:pageBreakBefore w:val="0"/>
        <w:spacing w:line="520" w:lineRule="exact"/>
        <w:shd w:val="clear" w:color="auto" w:fill="auto"/>
        <w:widowControl w:val="off"/>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（三）投标货币</w:t>
      </w:r>
      <w:r/>
    </w:p>
    <w:p>
      <w:pPr>
        <w:ind w:left="0" w:firstLine="480"/>
        <w:jc w:val="left"/>
        <w:keepLines w:val="0"/>
        <w:keepNext w:val="0"/>
        <w:pageBreakBefore w:val="0"/>
        <w:spacing w:line="520" w:lineRule="exact"/>
        <w:shd w:val="clear" w:color="auto"/>
        <w:widowControl w:val="off"/>
        <w:rPr>
          <w:rStyle w:val="1425"/>
          <w:rFonts w:hint="eastAsia" w:ascii="宋体" w:hAnsi="宋体" w:eastAsia="宋体" w:cs="宋体"/>
          <w:i w:val="0"/>
          <w:iCs/>
          <w:color w:val="000000" w:themeColor="text1"/>
          <w:spacing w:val="0"/>
          <w:sz w:val="24"/>
          <w:szCs w:val="24"/>
          <w:highlight w:val="none"/>
          <w:u w:val="none"/>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应采用人民币报价。</w:t>
      </w:r>
      <w:r/>
    </w:p>
    <w:p>
      <w:pPr>
        <w:ind w:firstLine="482"/>
        <w:jc w:val="left"/>
        <w:keepLines w:val="0"/>
        <w:keepNext w:val="0"/>
        <w:pageBreakBefore w:val="0"/>
        <w:spacing w:line="520" w:lineRule="exact"/>
        <w:shd w:val="clear" w:color="auto"/>
        <w:widowControl w:val="off"/>
        <w:rPr>
          <w:rStyle w:val="1425"/>
          <w:rFonts w:hint="eastAsia" w:ascii="宋体" w:hAnsi="宋体" w:eastAsia="宋体" w:cs="宋体"/>
          <w:i w:val="0"/>
          <w:iCs/>
          <w:color w:val="000000" w:themeColor="text1"/>
          <w:spacing w:val="0"/>
          <w:sz w:val="24"/>
          <w:szCs w:val="24"/>
          <w:highlight w:val="none"/>
          <w:u w:val="none"/>
          <w:lang w:val="en-US" w:eastAsia="zh-CN"/>
          <w14:textFill>
            <w14:solidFill>
              <w14:schemeClr w14:val="tx1"/>
            </w14:solidFill>
          </w14:textFill>
        </w:rPr>
        <w:outlineLvl w:val="1"/>
      </w:pPr>
      <w:r>
        <w:rPr>
          <w:rFonts w:hint="eastAsia" w:ascii="宋体" w:hAnsi="宋体" w:eastAsia="宋体" w:cs="宋体"/>
          <w:i w:val="0"/>
          <w:iCs/>
          <w:color w:val="000000" w:themeColor="text1"/>
          <w:spacing w:val="0"/>
          <w:sz w:val="24"/>
          <w:szCs w:val="24"/>
          <w:highlight w:val="none"/>
          <w:u w:val="none"/>
          <w:lang w:val="en-US" w:eastAsia="zh-CN"/>
          <w14:textFill>
            <w14:solidFill>
              <w14:schemeClr w14:val="tx1"/>
            </w14:solidFill>
          </w14:textFill>
        </w:rPr>
      </w:r>
      <w:r/>
    </w:p>
    <w:p>
      <w:pPr>
        <w:ind w:firstLine="562"/>
        <w:jc w:val="left"/>
        <w:keepLines w:val="0"/>
        <w:keepNext w:val="0"/>
        <w:pageBreakBefore w:val="0"/>
        <w:spacing w:line="520" w:lineRule="exact"/>
        <w:shd w:val="clear" w:color="auto"/>
        <w:widowControl w:val="off"/>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sectPr>
          <w:footerReference w:type="default" r:id="rId31"/>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r>
      <w:r/>
    </w:p>
    <w:p>
      <w:pPr>
        <w:pStyle w:val="1420"/>
        <w:spacing w:before="313" w:after="313"/>
        <w:shd w:val="clear" w:color="auto"/>
        <w:rPr>
          <w:rFonts w:hint="eastAsia" w:ascii="宋体" w:hAnsi="宋体" w:eastAsia="宋体" w:cs="宋体"/>
          <w:color w:val="000000" w:themeColor="text1"/>
          <w:spacing w:val="0"/>
          <w:highlight w:val="none"/>
          <w14:textFill>
            <w14:solidFill>
              <w14:schemeClr w14:val="tx1"/>
            </w14:solidFill>
          </w14:textFill>
        </w:rPr>
      </w:pPr>
      <w:r/>
      <w:bookmarkStart w:id="358" w:name="_Toc9779"/>
      <w:r/>
      <w:bookmarkStart w:id="359" w:name="_Toc5882"/>
      <w:r/>
      <w:bookmarkStart w:id="360" w:name="_Toc687"/>
      <w:r/>
      <w:bookmarkStart w:id="361" w:name="_Toc35266029"/>
      <w:r/>
      <w:bookmarkStart w:id="362" w:name="_Toc18894"/>
      <w:r/>
      <w:bookmarkStart w:id="363" w:name="_Toc54615247"/>
      <w:r/>
      <w:bookmarkStart w:id="364" w:name="_Toc38368129"/>
      <w:r/>
      <w:bookmarkStart w:id="365" w:name="_Toc19919"/>
      <w:r>
        <w:rPr>
          <w:rFonts w:hint="eastAsia" w:ascii="宋体" w:hAnsi="宋体" w:eastAsia="宋体" w:cs="宋体"/>
          <w:color w:val="000000" w:themeColor="text1"/>
          <w:spacing w:val="0"/>
          <w:highlight w:val="none"/>
          <w14:textFill>
            <w14:solidFill>
              <w14:schemeClr w14:val="tx1"/>
            </w14:solidFill>
          </w14:textFill>
        </w:rPr>
        <w:t xml:space="preserve">第五章 评标方法与评标标准</w:t>
      </w:r>
      <w:bookmarkEnd w:id="358"/>
      <w:r/>
      <w:bookmarkEnd w:id="359"/>
      <w:r/>
      <w:bookmarkEnd w:id="360"/>
      <w:r/>
      <w:bookmarkEnd w:id="361"/>
      <w:r/>
      <w:bookmarkEnd w:id="362"/>
      <w:r/>
      <w:bookmarkEnd w:id="363"/>
      <w:r/>
      <w:bookmarkEnd w:id="364"/>
      <w:r/>
      <w:bookmarkEnd w:id="365"/>
      <w:r/>
      <w:r/>
    </w:p>
    <w:p>
      <w:pPr>
        <w:pStyle w:val="1448"/>
        <w:keepLines w:val="0"/>
        <w:keepNext w:val="0"/>
        <w:pageBreakBefore w:val="0"/>
        <w:spacing w:line="520" w:lineRule="exact"/>
        <w:shd w:val="clear" w:color="auto"/>
        <w:widowControl/>
        <w:rPr>
          <w:rStyle w:val="1425"/>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366" w:name="_Toc15851"/>
      <w:r/>
      <w:bookmarkStart w:id="367" w:name="_Toc6812"/>
      <w:r/>
      <w:bookmarkStart w:id="368" w:name="_Toc35266030"/>
      <w:r/>
      <w:bookmarkStart w:id="369" w:name="_Toc21744"/>
      <w:r/>
      <w:bookmarkStart w:id="370" w:name="_Toc20541"/>
      <w:r/>
      <w:bookmarkStart w:id="371" w:name="_Toc54615248"/>
      <w:r/>
      <w:bookmarkStart w:id="372" w:name="_Toc20893"/>
      <w:r/>
      <w:bookmarkStart w:id="373" w:name="_Toc38368130"/>
      <w:r>
        <w:rPr>
          <w:rStyle w:val="1425"/>
          <w:rFonts w:hint="eastAsia" w:ascii="宋体" w:hAnsi="宋体" w:eastAsia="宋体" w:cs="宋体"/>
          <w:b/>
          <w:color w:val="000000" w:themeColor="text1"/>
          <w:spacing w:val="0"/>
          <w:sz w:val="28"/>
          <w:szCs w:val="28"/>
          <w:highlight w:val="none"/>
          <w14:textFill>
            <w14:solidFill>
              <w14:schemeClr w14:val="tx1"/>
            </w14:solidFill>
          </w14:textFill>
        </w:rPr>
        <w:t xml:space="preserve">一、评标方法与定标原则</w:t>
      </w:r>
      <w:bookmarkEnd w:id="366"/>
      <w:r/>
      <w:bookmarkEnd w:id="367"/>
      <w:r/>
      <w:bookmarkEnd w:id="368"/>
      <w:r/>
      <w:bookmarkEnd w:id="369"/>
      <w:r/>
      <w:bookmarkEnd w:id="370"/>
      <w:r/>
      <w:bookmarkEnd w:id="371"/>
      <w:r/>
      <w:bookmarkEnd w:id="372"/>
      <w:r/>
      <w:bookmarkEnd w:id="373"/>
      <w:r/>
      <w:r/>
    </w:p>
    <w:p>
      <w:pPr>
        <w:pStyle w:val="1449"/>
        <w:ind w:firstLine="480"/>
        <w:keepLines w:val="0"/>
        <w:keepNext w:val="0"/>
        <w:pageBreakBefore w:val="0"/>
        <w:spacing w:line="520" w:lineRule="exact"/>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448"/>
        <w:keepLines w:val="0"/>
        <w:keepNext w:val="0"/>
        <w:pageBreakBefore w:val="0"/>
        <w:spacing w:line="520" w:lineRule="exact"/>
        <w:shd w:val="clear" w:color="auto"/>
        <w:widowControl/>
        <w:rPr>
          <w:rStyle w:val="1425"/>
          <w:rFonts w:hint="eastAsia" w:ascii="宋体" w:hAnsi="宋体" w:eastAsia="宋体" w:cs="宋体"/>
          <w:b/>
          <w:color w:val="000000" w:themeColor="text1"/>
          <w:spacing w:val="0"/>
          <w:highlight w:val="none"/>
          <w14:textFill>
            <w14:solidFill>
              <w14:schemeClr w14:val="tx1"/>
            </w14:solidFill>
          </w14:textFill>
        </w:rPr>
        <w:outlineLvl w:val="1"/>
      </w:pPr>
      <w:r/>
      <w:bookmarkStart w:id="374" w:name="EB4d4ec51fae08401e9c82e93d31b337cc"/>
      <w:r/>
      <w:bookmarkEnd w:id="374"/>
      <w:r/>
      <w:bookmarkStart w:id="375" w:name="EBd9567453f96a4fca96262d13cc886515"/>
      <w:r/>
      <w:bookmarkEnd w:id="375"/>
      <w:r/>
      <w:bookmarkStart w:id="376" w:name="_Toc27494"/>
      <w:r/>
      <w:bookmarkStart w:id="377" w:name="_Toc54615249"/>
      <w:r/>
      <w:bookmarkStart w:id="378" w:name="_Toc24219"/>
      <w:r/>
      <w:bookmarkStart w:id="379" w:name="_Toc35266031"/>
      <w:r/>
      <w:bookmarkStart w:id="380" w:name="_Toc24442"/>
      <w:r/>
      <w:bookmarkStart w:id="381" w:name="_Toc38368131"/>
      <w:r/>
      <w:bookmarkStart w:id="382" w:name="_Toc17619"/>
      <w:r/>
      <w:bookmarkStart w:id="383" w:name="_Toc6122"/>
      <w:r>
        <w:rPr>
          <w:rStyle w:val="1425"/>
          <w:rFonts w:hint="eastAsia" w:ascii="宋体" w:hAnsi="宋体" w:eastAsia="宋体" w:cs="宋体"/>
          <w:b/>
          <w:color w:val="000000" w:themeColor="text1"/>
          <w:spacing w:val="0"/>
          <w:sz w:val="28"/>
          <w:szCs w:val="28"/>
          <w:highlight w:val="none"/>
          <w14:textFill>
            <w14:solidFill>
              <w14:schemeClr w14:val="tx1"/>
            </w14:solidFill>
          </w14:textFill>
        </w:rPr>
        <w:t xml:space="preserve">二、评标标准</w:t>
      </w:r>
      <w:bookmarkEnd w:id="376"/>
      <w:r/>
      <w:bookmarkEnd w:id="377"/>
      <w:r/>
      <w:bookmarkEnd w:id="378"/>
      <w:r/>
      <w:bookmarkEnd w:id="379"/>
      <w:r/>
      <w:bookmarkEnd w:id="380"/>
      <w:r/>
      <w:bookmarkEnd w:id="381"/>
      <w:r/>
      <w:bookmarkEnd w:id="382"/>
      <w:r/>
      <w:bookmarkEnd w:id="383"/>
      <w:r/>
      <w:r/>
    </w:p>
    <w:p>
      <w:pPr>
        <w:pStyle w:val="1448"/>
        <w:ind w:firstLine="482"/>
        <w:keepLines w:val="0"/>
        <w:keepNext w:val="0"/>
        <w:pageBreakBefore w:val="0"/>
        <w:spacing w:line="520" w:lineRule="exact"/>
        <w:shd w:val="clear" w:color="auto"/>
        <w:widowControl/>
        <w:rPr>
          <w:rStyle w:val="1425"/>
          <w:rFonts w:hint="default" w:ascii="宋体" w:hAnsi="宋体" w:eastAsia="宋体" w:cs="宋体"/>
          <w:b/>
          <w:color w:val="000000" w:themeColor="text1"/>
          <w:spacing w:val="0"/>
          <w:sz w:val="24"/>
          <w:szCs w:val="24"/>
          <w:highlight w:val="none"/>
          <w:lang w:val="en-US"/>
          <w14:textFill>
            <w14:solidFill>
              <w14:schemeClr w14:val="tx1"/>
            </w14:solidFill>
          </w14:textFill>
        </w:rPr>
      </w:pPr>
      <w:r/>
      <w:bookmarkStart w:id="384" w:name="EB5eda7c9be7464788810dca94d24e634f"/>
      <w:r/>
      <w:bookmarkEnd w:id="384"/>
      <w:r>
        <w:rPr>
          <w:rStyle w:val="1425"/>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一</w:t>
      </w:r>
      <w:r>
        <w:rPr>
          <w:rStyle w:val="1425"/>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color w:val="000000" w:themeColor="text1"/>
          <w:spacing w:val="0"/>
          <w:sz w:val="24"/>
          <w:szCs w:val="24"/>
          <w:highlight w:val="none"/>
          <w14:textFill>
            <w14:solidFill>
              <w14:schemeClr w14:val="tx1"/>
            </w14:solidFill>
          </w14:textFill>
        </w:rPr>
        <w:t xml:space="preserve">价格分</w:t>
      </w:r>
      <w:r>
        <w:rPr>
          <w:rStyle w:val="1425"/>
          <w:rFonts w:hint="eastAsia" w:ascii="宋体" w:hAnsi="宋体" w:eastAsia="宋体" w:cs="宋体"/>
          <w:b/>
          <w:color w:val="000000" w:themeColor="text1"/>
          <w:spacing w:val="0"/>
          <w:sz w:val="24"/>
          <w:szCs w:val="24"/>
          <w:highlight w:val="none"/>
          <w:lang w:val="en-US"/>
          <w14:textFill>
            <w14:solidFill>
              <w14:schemeClr w14:val="tx1"/>
            </w14:solidFill>
          </w14:textFill>
        </w:rPr>
        <w:t xml:space="preserve">30分</w:t>
      </w:r>
      <w:r/>
    </w:p>
    <w:p>
      <w:pPr>
        <w:pStyle w:val="1448"/>
        <w:ind w:firstLine="480"/>
        <w:keepLines w:val="0"/>
        <w:keepNext w:val="0"/>
        <w:pageBreakBefore w:val="0"/>
        <w:spacing w:line="520" w:lineRule="exact"/>
        <w:shd w:val="clear" w:color="auto"/>
        <w:widowControl/>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采用低价优先法计算，即满足招标文件要求且投标价格最低的投标价为评标基准价，其价格分为满分</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30</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分。其他投标人的价格分统一按照下列公式计算：</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投标报价得分=（评标基准价/投标报价）*</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30</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%*100（保留二位小数）</w:t>
      </w:r>
      <w:r>
        <w:rPr>
          <w:rStyle w:val="1425"/>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25"/>
          <w:rFonts w:hint="eastAsia" w:ascii="宋体" w:hAnsi="宋体" w:eastAsia="宋体" w:cs="宋体"/>
          <w:b/>
          <w:color w:val="000000" w:themeColor="text1"/>
          <w:spacing w:val="0"/>
          <w:sz w:val="24"/>
          <w:szCs w:val="24"/>
          <w:highlight w:val="none"/>
          <w14:textFill>
            <w14:solidFill>
              <w14:schemeClr w14:val="tx1"/>
            </w14:solidFill>
          </w14:textFill>
        </w:rPr>
        <w:t xml:space="preserve">（</w:t>
      </w:r>
      <w:r>
        <w:rPr>
          <w:rStyle w:val="1425"/>
          <w:rFonts w:hint="eastAsia" w:ascii="宋体" w:hAnsi="宋体" w:eastAsia="宋体" w:cs="宋体"/>
          <w:b/>
          <w:color w:val="000000" w:themeColor="text1"/>
          <w:spacing w:val="0"/>
          <w:sz w:val="24"/>
          <w:szCs w:val="24"/>
          <w:highlight w:val="none"/>
          <w:lang w:val="en-US"/>
          <w14:textFill>
            <w14:solidFill>
              <w14:schemeClr w14:val="tx1"/>
            </w14:solidFill>
          </w14:textFill>
        </w:rPr>
        <w:t xml:space="preserve">二</w:t>
      </w:r>
      <w:r>
        <w:rPr>
          <w:rStyle w:val="1425"/>
          <w:rFonts w:hint="eastAsia" w:ascii="宋体" w:hAnsi="宋体" w:eastAsia="宋体" w:cs="宋体"/>
          <w:b/>
          <w:color w:val="000000" w:themeColor="text1"/>
          <w:spacing w:val="0"/>
          <w:sz w:val="24"/>
          <w:szCs w:val="24"/>
          <w:highlight w:val="none"/>
          <w14:textFill>
            <w14:solidFill>
              <w14:schemeClr w14:val="tx1"/>
            </w14:solidFill>
          </w14:textFill>
        </w:rPr>
        <w:t xml:space="preserve">）服务方案分6</w:t>
      </w:r>
      <w:r>
        <w:rPr>
          <w:rStyle w:val="1425"/>
          <w:rFonts w:hint="eastAsia" w:ascii="宋体" w:hAnsi="宋体" w:eastAsia="宋体" w:cs="宋体"/>
          <w:b/>
          <w:color w:val="000000" w:themeColor="text1"/>
          <w:spacing w:val="0"/>
          <w:sz w:val="24"/>
          <w:szCs w:val="24"/>
          <w:highlight w:val="none"/>
          <w:lang w:val="en-US"/>
          <w14:textFill>
            <w14:solidFill>
              <w14:schemeClr w14:val="tx1"/>
            </w14:solidFill>
          </w14:textFill>
        </w:rPr>
        <w:t xml:space="preserve">3</w:t>
      </w:r>
      <w:r>
        <w:rPr>
          <w:rStyle w:val="1425"/>
          <w:rFonts w:hint="eastAsia" w:ascii="宋体" w:hAnsi="宋体" w:eastAsia="宋体" w:cs="宋体"/>
          <w:b/>
          <w:color w:val="000000" w:themeColor="text1"/>
          <w:spacing w:val="0"/>
          <w:sz w:val="24"/>
          <w:szCs w:val="24"/>
          <w:highlight w:val="none"/>
          <w14:textFill>
            <w14:solidFill>
              <w14:schemeClr w14:val="tx1"/>
            </w14:solidFill>
          </w14:textFill>
        </w:rPr>
        <w:t xml:space="preserve">分</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1.保洁服务方案8分</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投标人提供的保洁服务方案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优于项目需求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的，得8分；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满足项目需求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的，得7分；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基本</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满足项目需求的，得5分；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不满足项目需求或不提供的</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不得分</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2.</w:t>
      </w:r>
      <w:r>
        <w:rPr>
          <w:rStyle w:val="1409"/>
          <w:rFonts w:hint="eastAsia" w:ascii="宋体" w:hAnsi="宋体" w:eastAsia="宋体" w:cs="宋体"/>
          <w:b w:val="0"/>
          <w:color w:val="000000" w:themeColor="text1"/>
          <w:spacing w:val="0"/>
          <w:sz w:val="24"/>
          <w:highlight w:val="none"/>
          <w:lang w:eastAsia="zh-CN"/>
          <w14:textFill>
            <w14:solidFill>
              <w14:schemeClr w14:val="tx1"/>
            </w14:solidFill>
          </w14:textFill>
        </w:rPr>
        <w:t xml:space="preserve">垃圾清运及垃圾分类方案</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8</w:t>
      </w:r>
      <w:r>
        <w:rPr>
          <w:rStyle w:val="1409"/>
          <w:rFonts w:hint="eastAsia" w:ascii="宋体" w:hAnsi="宋体" w:eastAsia="宋体" w:cs="宋体"/>
          <w:b w:val="0"/>
          <w:color w:val="000000" w:themeColor="text1"/>
          <w:spacing w:val="0"/>
          <w:sz w:val="24"/>
          <w:highlight w:val="none"/>
          <w14:textFill>
            <w14:solidFill>
              <w14:schemeClr w14:val="tx1"/>
            </w14:solidFill>
          </w14:textFill>
        </w:rPr>
        <w:t xml:space="preserve">分</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投标人提供的垃圾清运及垃圾分类方案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，方案优于项目需求的，得8分；满足项目需求的，得7分；基本满足项目需求的，得5分；不满足项目需求或不提供的不得分。</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3.大环境卫生整治方案8分</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投标人提供的大环境卫生整治方案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，方案优于项目需求的，得8分；满足项目需求的，得7分；基本满足项目需求的，得5分；不满足项目需求或不提供的不得分。</w:t>
      </w:r>
      <w:r/>
    </w:p>
    <w:p>
      <w:pPr>
        <w:pStyle w:val="1448"/>
        <w:ind w:firstLine="482"/>
        <w:keepLines w:val="0"/>
        <w:keepNext w:val="0"/>
        <w:pageBreakBefore w:val="0"/>
        <w:spacing w:line="520" w:lineRule="exact"/>
        <w:shd w:val="clear" w:color="auto"/>
        <w:widowControl w:val="off"/>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4.城市管理服务实施方案8分</w:t>
      </w:r>
      <w:r/>
    </w:p>
    <w:p>
      <w:pPr>
        <w:pStyle w:val="1448"/>
        <w:ind w:firstLine="482"/>
        <w:keepLines w:val="0"/>
        <w:keepNext w:val="0"/>
        <w:pageBreakBefore w:val="0"/>
        <w:spacing w:line="520" w:lineRule="exact"/>
        <w:shd w:val="clear" w:color="auto"/>
        <w:widowControl w:val="off"/>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投标人提供的城市管理服务实施方案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优于项目需求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的，得8分；</w:t>
      </w:r>
      <w:r>
        <w:rPr>
          <w:rFonts w:hint="eastAsia" w:ascii="宋体" w:hAnsi="宋体" w:eastAsia="宋体" w:cs="宋体"/>
          <w:caps w:val="0"/>
          <w:color w:val="000000" w:themeColor="text1"/>
          <w:spacing w:val="-11"/>
          <w:sz w:val="24"/>
          <w:szCs w:val="24"/>
          <w:highlight w:val="none"/>
          <w:lang w:eastAsia="zh-CN"/>
          <w14:textFill>
            <w14:solidFill>
              <w14:schemeClr w14:val="tx1"/>
            </w14:solidFill>
          </w14:textFill>
        </w:rPr>
        <w:t xml:space="preserve">满足项目需求</w:t>
      </w:r>
      <w:r>
        <w:rPr>
          <w:rFonts w:hint="eastAsia" w:ascii="宋体" w:hAnsi="宋体" w:eastAsia="宋体" w:cs="宋体"/>
          <w:caps w:val="0"/>
          <w:color w:val="000000" w:themeColor="text1"/>
          <w:spacing w:val="-11"/>
          <w:sz w:val="24"/>
          <w:szCs w:val="24"/>
          <w:highlight w:val="none"/>
          <w14:textFill>
            <w14:solidFill>
              <w14:schemeClr w14:val="tx1"/>
            </w14:solidFill>
          </w14:textFill>
        </w:rPr>
        <w:t xml:space="preserve">的，得7分；</w:t>
      </w:r>
      <w:r>
        <w:rPr>
          <w:rFonts w:hint="eastAsia" w:ascii="宋体" w:hAnsi="宋体" w:eastAsia="宋体" w:cs="宋体"/>
          <w:caps w:val="0"/>
          <w:color w:val="000000" w:themeColor="text1"/>
          <w:spacing w:val="-11"/>
          <w:sz w:val="24"/>
          <w:szCs w:val="24"/>
          <w:highlight w:val="none"/>
          <w:lang w:eastAsia="zh-CN"/>
          <w14:textFill>
            <w14:solidFill>
              <w14:schemeClr w14:val="tx1"/>
            </w14:solidFill>
          </w14:textFill>
        </w:rPr>
        <w:t xml:space="preserve">基本</w:t>
      </w:r>
      <w:r>
        <w:rPr>
          <w:rFonts w:hint="eastAsia" w:ascii="宋体" w:hAnsi="宋体" w:eastAsia="宋体" w:cs="宋体"/>
          <w:caps w:val="0"/>
          <w:color w:val="000000" w:themeColor="text1"/>
          <w:spacing w:val="-11"/>
          <w:sz w:val="24"/>
          <w:szCs w:val="24"/>
          <w:highlight w:val="none"/>
          <w14:textFill>
            <w14:solidFill>
              <w14:schemeClr w14:val="tx1"/>
            </w14:solidFill>
          </w14:textFill>
        </w:rPr>
        <w:t xml:space="preserve">满足项目需求的，得5分；</w:t>
      </w:r>
      <w:r>
        <w:rPr>
          <w:rFonts w:hint="eastAsia" w:ascii="宋体" w:hAnsi="宋体" w:eastAsia="宋体" w:cs="宋体"/>
          <w:caps w:val="0"/>
          <w:color w:val="000000" w:themeColor="text1"/>
          <w:spacing w:val="-11"/>
          <w:sz w:val="24"/>
          <w:szCs w:val="24"/>
          <w:highlight w:val="none"/>
          <w:lang w:eastAsia="zh-CN"/>
          <w14:textFill>
            <w14:solidFill>
              <w14:schemeClr w14:val="tx1"/>
            </w14:solidFill>
          </w14:textFill>
        </w:rPr>
        <w:t xml:space="preserve">不满足项目需求或不提供的</w:t>
      </w:r>
      <w:r>
        <w:rPr>
          <w:rFonts w:hint="eastAsia" w:ascii="宋体" w:hAnsi="宋体" w:eastAsia="宋体" w:cs="宋体"/>
          <w:caps w:val="0"/>
          <w:color w:val="000000" w:themeColor="text1"/>
          <w:spacing w:val="-11"/>
          <w:sz w:val="24"/>
          <w:szCs w:val="24"/>
          <w:highlight w:val="none"/>
          <w14:textFill>
            <w14:solidFill>
              <w14:schemeClr w14:val="tx1"/>
            </w14:solidFill>
          </w14:textFill>
        </w:rPr>
        <w:t xml:space="preserve">不得分</w:t>
      </w:r>
      <w:r>
        <w:rPr>
          <w:rStyle w:val="1409"/>
          <w:rFonts w:hint="eastAsia" w:ascii="宋体" w:hAnsi="宋体" w:eastAsia="宋体" w:cs="宋体"/>
          <w:b w:val="0"/>
          <w:color w:val="000000" w:themeColor="text1"/>
          <w:spacing w:val="-11"/>
          <w:sz w:val="24"/>
          <w:highlight w:val="none"/>
          <w:lang w:val="en-US" w:eastAsia="zh-CN"/>
          <w14:textFill>
            <w14:solidFill>
              <w14:schemeClr w14:val="tx1"/>
            </w14:solidFill>
          </w14:textFill>
        </w:rPr>
        <w:t xml:space="preserve">。</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5.安全文明管控方案8分</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投标人提供的安全文明管控方案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优于项目需求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的，得8分；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满足项目需求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的，得7分；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基本</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满足项目需求的，得5分；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不满足项目需求或不提供的</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不得分</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6.应急管理方案8分</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投标人提供的应急管理方案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优于项目需求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的，得8分；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满足项目需求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的，得7分；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基本</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满足项目需求的，得5分；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不满足项目需求或不提供的</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不得分</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7.项目组织管理方案8分</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投标人提供的项目组织管理方案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优于项目需求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的，得8分；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满足项目需求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的，得7分；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基本</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满足项目需求的，得5分；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不满足项目需求或不提供的</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不得分</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w:t>
      </w:r>
      <w:r/>
    </w:p>
    <w:p>
      <w:pPr>
        <w:pStyle w:val="1448"/>
        <w:ind w:firstLine="480"/>
        <w:keepLines w:val="0"/>
        <w:keepNext w:val="0"/>
        <w:pageBreakBefore w:val="0"/>
        <w:spacing w:line="520" w:lineRule="exact"/>
        <w:shd w:val="clear" w:color="auto"/>
        <w:widowControl/>
        <w:rPr>
          <w:rStyle w:val="1409"/>
          <w:rFonts w:hint="default"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8.</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服务质量保障方案7分</w:t>
      </w:r>
      <w:r/>
    </w:p>
    <w:p>
      <w:pPr>
        <w:pStyle w:val="1448"/>
        <w:ind w:firstLine="480"/>
        <w:keepLines w:val="0"/>
        <w:keepNext w:val="0"/>
        <w:pageBreakBefore w:val="0"/>
        <w:spacing w:line="520" w:lineRule="exact"/>
        <w:shd w:val="clear" w:color="auto"/>
        <w:widowControl/>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outlineLvl w:val="9"/>
      </w:pP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根据</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投标人提供的服务质量保障方案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进行综合评定</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，方案</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优于项目需求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满足项目需求</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的，得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基本</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满足项目需求的，得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分；</w:t>
      </w:r>
      <w:r>
        <w:rPr>
          <w:rFonts w:hint="eastAsia" w:ascii="宋体" w:hAnsi="宋体" w:eastAsia="宋体" w:cs="宋体"/>
          <w:caps w:val="0"/>
          <w:color w:val="000000" w:themeColor="text1"/>
          <w:spacing w:val="0"/>
          <w:sz w:val="24"/>
          <w:szCs w:val="24"/>
          <w:highlight w:val="none"/>
          <w:lang w:eastAsia="zh-CN"/>
          <w14:textFill>
            <w14:solidFill>
              <w14:schemeClr w14:val="tx1"/>
            </w14:solidFill>
          </w14:textFill>
        </w:rPr>
        <w:t xml:space="preserve">不满足项目需求或不提供的</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不得分</w:t>
      </w:r>
      <w:r>
        <w:rPr>
          <w:rStyle w:val="1409"/>
          <w:rFonts w:hint="eastAsia" w:ascii="宋体" w:hAnsi="宋体" w:eastAsia="宋体" w:cs="宋体"/>
          <w:b w:val="0"/>
          <w:color w:val="000000" w:themeColor="text1"/>
          <w:spacing w:val="0"/>
          <w:sz w:val="24"/>
          <w:highlight w:val="none"/>
          <w:lang w:val="en-US" w:eastAsia="zh-CN"/>
          <w14:textFill>
            <w14:solidFill>
              <w14:schemeClr w14:val="tx1"/>
            </w14:solidFill>
          </w14:textFill>
        </w:rPr>
        <w:t xml:space="preserve">。</w:t>
      </w:r>
      <w:r/>
    </w:p>
    <w:p>
      <w:pPr>
        <w:pStyle w:val="1448"/>
        <w:numPr>
          <w:ilvl w:val="0"/>
          <w:numId w:val="0"/>
        </w:numPr>
        <w:ind w:firstLine="482"/>
        <w:keepLines w:val="0"/>
        <w:keepNext w:val="0"/>
        <w:pageBreakBefore w:val="0"/>
        <w:spacing w:line="520" w:lineRule="exact"/>
        <w:shd w:val="clear" w:color="auto"/>
        <w:widowControl w:val="off"/>
        <w:rPr>
          <w:rStyle w:val="1425"/>
          <w:rFonts w:hint="default" w:ascii="宋体" w:hAnsi="宋体" w:eastAsia="宋体" w:cs="宋体"/>
          <w:b/>
          <w:color w:val="000000" w:themeColor="text1"/>
          <w:spacing w:val="0"/>
          <w:sz w:val="24"/>
          <w:szCs w:val="24"/>
          <w:highlight w:val="none"/>
          <w:lang w:val="en-US" w:eastAsia="zh-CN"/>
          <w14:textFill>
            <w14:solidFill>
              <w14:schemeClr w14:val="tx1"/>
            </w14:solidFill>
          </w14:textFill>
        </w:rPr>
      </w:pPr>
      <w:r>
        <w:rPr>
          <w:rStyle w:val="1425"/>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w:t>
      </w:r>
      <w:r>
        <w:rPr>
          <w:rStyle w:val="1425"/>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三</w:t>
      </w:r>
      <w:r>
        <w:rPr>
          <w:rStyle w:val="1425"/>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）履约能力</w:t>
      </w:r>
      <w:r>
        <w:rPr>
          <w:rStyle w:val="1425"/>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 xml:space="preserve">分7</w:t>
      </w:r>
      <w:r>
        <w:rPr>
          <w:rStyle w:val="1425"/>
          <w:rFonts w:hint="eastAsia" w:ascii="宋体" w:hAnsi="宋体" w:eastAsia="宋体" w:cs="宋体"/>
          <w:b/>
          <w:color w:val="000000" w:themeColor="text1"/>
          <w:spacing w:val="0"/>
          <w:sz w:val="24"/>
          <w:szCs w:val="24"/>
          <w:highlight w:val="none"/>
          <w:lang w:eastAsia="zh-CN"/>
          <w14:textFill>
            <w14:solidFill>
              <w14:schemeClr w14:val="tx1"/>
            </w14:solidFill>
          </w14:textFill>
        </w:rPr>
        <w:t xml:space="preserve">分</w:t>
      </w:r>
      <w:r/>
    </w:p>
    <w:p>
      <w:pPr>
        <w:pStyle w:val="1448"/>
        <w:numPr>
          <w:ilvl w:val="0"/>
          <w:numId w:val="0"/>
        </w:numPr>
        <w:ind w:firstLine="482"/>
        <w:keepLines w:val="0"/>
        <w:keepNext w:val="0"/>
        <w:pageBreakBefore w:val="0"/>
        <w:spacing w:line="520" w:lineRule="exact"/>
        <w:shd w:val="clear" w:color="auto"/>
        <w:widowControl w:val="off"/>
        <w:rPr>
          <w:rStyle w:val="1425"/>
          <w:rFonts w:hint="default" w:ascii="宋体" w:hAnsi="宋体" w:eastAsia="宋体" w:cs="宋体"/>
          <w:color w:val="000000" w:themeColor="text1"/>
          <w:spacing w:val="0"/>
          <w:sz w:val="24"/>
          <w:szCs w:val="24"/>
          <w:highlight w:val="none"/>
          <w:lang w:val="en-US"/>
          <w14:textFill>
            <w14:solidFill>
              <w14:schemeClr w14:val="tx1"/>
            </w14:solidFill>
          </w14:textFill>
        </w:rPr>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1.</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类似</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项目</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业绩</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4分</w:t>
      </w:r>
      <w:r/>
    </w:p>
    <w:p>
      <w:pPr>
        <w:pStyle w:val="1448"/>
        <w:ind w:firstLine="480"/>
        <w:keepLines w:val="0"/>
        <w:keepNext w:val="0"/>
        <w:pageBreakBefore w:val="0"/>
        <w:spacing w:line="520" w:lineRule="exact"/>
        <w:shd w:val="clear" w:color="auto"/>
        <w:widowControl w:val="off"/>
        <w:rPr>
          <w:rFonts w:hint="eastAsia" w:ascii="宋体" w:hAnsi="宋体" w:cs="宋体"/>
          <w:color w:val="000000" w:themeColor="text1"/>
          <w:spacing w:val="0"/>
          <w:sz w:val="24"/>
          <w:szCs w:val="24"/>
          <w:highlight w:val="none"/>
          <w:lang w:val="en-US" w:eastAsia="zh-CN"/>
          <w14:textFill>
            <w14:solidFill>
              <w14:schemeClr w14:val="tx1"/>
            </w14:solidFill>
          </w14:textFill>
        </w:rPr>
      </w:pP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投标人</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2023年1月1日以来（以合同签订时间为准）</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承担过</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类似项目业绩</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的，</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有一份</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得</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2</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分，最多得</w:t>
      </w:r>
      <w:r>
        <w:rPr>
          <w:rStyle w:val="1425"/>
          <w:rFonts w:hint="eastAsia" w:ascii="宋体" w:hAnsi="宋体" w:eastAsia="宋体" w:cs="宋体"/>
          <w:color w:val="000000" w:themeColor="text1"/>
          <w:spacing w:val="0"/>
          <w:sz w:val="24"/>
          <w:szCs w:val="24"/>
          <w:highlight w:val="none"/>
          <w:lang w:val="en-US"/>
          <w14:textFill>
            <w14:solidFill>
              <w14:schemeClr w14:val="tx1"/>
            </w14:solidFill>
          </w14:textFill>
        </w:rPr>
        <w:t xml:space="preserve">4</w:t>
      </w:r>
      <w:r>
        <w:rPr>
          <w:rStyle w:val="1425"/>
          <w:rFonts w:hint="eastAsia" w:ascii="宋体" w:hAnsi="宋体" w:eastAsia="宋体" w:cs="宋体"/>
          <w:color w:val="000000" w:themeColor="text1"/>
          <w:spacing w:val="0"/>
          <w:sz w:val="24"/>
          <w:szCs w:val="24"/>
          <w:highlight w:val="none"/>
          <w14:textFill>
            <w14:solidFill>
              <w14:schemeClr w14:val="tx1"/>
            </w14:solidFill>
          </w14:textFill>
        </w:rPr>
        <w:t xml:space="preserve">分</w:t>
      </w: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rPr>
          <w:rStyle w:val="1425"/>
          <w:rFonts w:hint="eastAsia" w:ascii="宋体" w:hAnsi="宋体" w:eastAsia="宋体" w:cs="宋体"/>
          <w:b/>
          <w:bCs/>
          <w:color w:val="000000" w:themeColor="text1"/>
          <w:spacing w:val="0"/>
          <w:sz w:val="24"/>
          <w:szCs w:val="24"/>
          <w:highlight w:val="none"/>
          <w:lang w:val="en-US"/>
          <w14:textFill>
            <w14:solidFill>
              <w14:schemeClr w14:val="tx1"/>
            </w14:solidFill>
          </w14:textFill>
        </w:rPr>
        <w:t xml:space="preserve">请在投标文件中提供相关合同证明材料，如合同不能反映相关信息的，须提供其他材料予以证明，不提供或提供不全的不得分</w:t>
      </w:r>
      <w:r>
        <w:rPr>
          <w:rStyle w:val="1425"/>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p>
    <w:p>
      <w:pPr>
        <w:pStyle w:val="1448"/>
        <w:ind w:firstLine="480"/>
        <w:keepLines w:val="0"/>
        <w:keepNext w:val="0"/>
        <w:pageBreakBefore w:val="0"/>
        <w:spacing w:line="520" w:lineRule="exact"/>
        <w:shd w:val="clear" w:color="auto"/>
        <w:widowControl/>
        <w:rPr>
          <w:rStyle w:val="1218"/>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pPr>
      <w:r>
        <w:rPr>
          <w:rStyle w:val="1218"/>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t xml:space="preserve">2.相关证书3分</w:t>
      </w:r>
      <w:r/>
    </w:p>
    <w:p>
      <w:pPr>
        <w:pStyle w:val="1448"/>
        <w:ind w:firstLine="480"/>
        <w:keepLines w:val="0"/>
        <w:keepNext w:val="0"/>
        <w:pageBreakBefore w:val="0"/>
        <w:spacing w:line="520" w:lineRule="exact"/>
        <w:shd w:val="clear" w:color="auto"/>
        <w:widowControl/>
        <w:rPr>
          <w:rFonts w:hint="eastAsia" w:ascii="宋体" w:hAnsi="宋体" w:eastAsia="宋体" w:cs="宋体"/>
          <w:b/>
          <w:bCs/>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投标人具有</w:t>
      </w:r>
      <w:r>
        <w:rPr>
          <w:rFonts w:hint="eastAsia" w:ascii="宋体" w:hAnsi="宋体" w:eastAsia="宋体" w:cs="宋体"/>
          <w:color w:val="000000" w:themeColor="text1"/>
          <w:sz w:val="24"/>
          <w:highlight w:val="none"/>
          <w14:textFill>
            <w14:solidFill>
              <w14:schemeClr w14:val="tx1"/>
            </w14:solidFill>
          </w14:textFill>
        </w:rPr>
        <w:t xml:space="preserve">质量管理体系认证、环境管理体系认证、职业健康安全管理体系认证，且在有效期内，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每</w:t>
      </w:r>
      <w:r>
        <w:rPr>
          <w:rFonts w:hint="eastAsia" w:ascii="宋体" w:hAnsi="宋体" w:eastAsia="宋体" w:cs="宋体"/>
          <w:color w:val="000000" w:themeColor="text1"/>
          <w:sz w:val="24"/>
          <w:szCs w:val="22"/>
          <w:highlight w:val="none"/>
          <w14:textFill>
            <w14:solidFill>
              <w14:schemeClr w14:val="tx1"/>
            </w14:solidFill>
          </w14:textFill>
        </w:rPr>
        <w:t xml:space="preserve">提供一个得1分</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14:textFill>
            <w14:solidFill>
              <w14:schemeClr w14:val="tx1"/>
            </w14:solidFill>
          </w14:textFill>
        </w:rPr>
        <w:t xml:space="preserve">本项最多得3分</w:t>
      </w:r>
      <w:r>
        <w:rPr>
          <w:rFonts w:hint="eastAsia" w:ascii="宋体" w:hAnsi="宋体" w:eastAsia="宋体" w:cs="宋体"/>
          <w:b/>
          <w:bCs/>
          <w:color w:val="000000" w:themeColor="text1"/>
          <w:sz w:val="24"/>
          <w:szCs w:val="22"/>
          <w:highlight w:val="none"/>
          <w14:textFill>
            <w14:solidFill>
              <w14:schemeClr w14:val="tx1"/>
            </w14:solidFill>
          </w14:textFill>
        </w:rPr>
        <w:t xml:space="preserve">（请在投标文件中提供相关证书原件扫描件或电子件，不提供的不得分）</w:t>
      </w:r>
      <w:r>
        <w:rPr>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bookmarkStart w:id="461" w:name="_GoBack"/>
      <w:r/>
      <w:bookmarkEnd w:id="461"/>
      <w:r/>
      <w:r/>
    </w:p>
    <w:p>
      <w:pPr>
        <w:pStyle w:val="1448"/>
        <w:ind w:firstLine="480"/>
        <w:keepLines w:val="0"/>
        <w:keepNext w:val="0"/>
        <w:pageBreakBefore w:val="0"/>
        <w:spacing w:line="520" w:lineRule="exact"/>
        <w:shd w:val="clear" w:color="auto"/>
        <w:widowControl/>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r>
      <w:bookmarkEnd w:id="333"/>
      <w:r/>
      <w:bookmarkEnd w:id="334"/>
      <w:r/>
      <w:bookmarkEnd w:id="339"/>
      <w:r/>
      <w:r/>
    </w:p>
    <w:p>
      <w:pPr>
        <w:ind w:right="-124" w:firstLine="482"/>
        <w:keepLines w:val="0"/>
        <w:keepNext w:val="0"/>
        <w:pageBreakBefore w:val="0"/>
        <w:spacing w:line="520" w:lineRule="exact"/>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注：以上证明材料请在投标文件中提供原件扫描件或者电子件，不提供不得分。</w:t>
      </w:r>
      <w:r/>
    </w:p>
    <w:p>
      <w:pPr>
        <w:keepLines w:val="0"/>
        <w:keepNext w:val="0"/>
        <w:pageBreakBefore w:val="0"/>
        <w:spacing w:line="520" w:lineRule="exact"/>
        <w:shd w:val="clear" w:color="auto"/>
        <w:rPr>
          <w:rFonts w:hint="eastAsia" w:ascii="宋体" w:hAnsi="宋体" w:eastAsia="宋体" w:cs="宋体"/>
          <w:color w:val="000000" w:themeColor="text1"/>
          <w:highlight w:val="none"/>
          <w14:textFill>
            <w14:solidFill>
              <w14:schemeClr w14:val="tx1"/>
            </w14:solidFill>
          </w14:textFill>
        </w:rPr>
        <w:sectPr>
          <w:headerReference w:type="default" r:id="rId19"/>
          <w:footerReference w:type="default" r:id="rId3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420"/>
        <w:spacing w:before="313" w:after="313"/>
        <w:shd w:val="clear" w:color="auto"/>
        <w:rPr>
          <w:rFonts w:hint="eastAsia" w:ascii="宋体" w:hAnsi="宋体" w:eastAsia="宋体" w:cs="宋体"/>
          <w:color w:val="000000" w:themeColor="text1"/>
          <w:spacing w:val="0"/>
          <w:highlight w:val="none"/>
          <w14:textFill>
            <w14:solidFill>
              <w14:schemeClr w14:val="tx1"/>
            </w14:solidFill>
          </w14:textFill>
        </w:rPr>
      </w:pPr>
      <w:r/>
      <w:bookmarkStart w:id="385" w:name="_Toc54615250"/>
      <w:r/>
      <w:bookmarkStart w:id="386" w:name="_Toc11445"/>
      <w:r/>
      <w:bookmarkStart w:id="387" w:name="_Toc20742"/>
      <w:r/>
      <w:bookmarkStart w:id="388" w:name="_Toc35266032"/>
      <w:r/>
      <w:bookmarkStart w:id="389" w:name="_Toc19751"/>
      <w:r/>
      <w:bookmarkStart w:id="390" w:name="_Toc38368132"/>
      <w:r/>
      <w:bookmarkStart w:id="391" w:name="_Toc20359"/>
      <w:r/>
      <w:bookmarkStart w:id="392" w:name="_Toc5859"/>
      <w:r>
        <w:rPr>
          <w:rFonts w:hint="eastAsia" w:ascii="宋体" w:hAnsi="宋体" w:eastAsia="宋体" w:cs="宋体"/>
          <w:color w:val="000000" w:themeColor="text1"/>
          <w:spacing w:val="0"/>
          <w:highlight w:val="none"/>
          <w14:textFill>
            <w14:solidFill>
              <w14:schemeClr w14:val="tx1"/>
            </w14:solidFill>
          </w14:textFill>
        </w:rPr>
        <w:t xml:space="preserve">第六章 投标文件格式</w:t>
      </w:r>
      <w:bookmarkEnd w:id="385"/>
      <w:r/>
      <w:bookmarkEnd w:id="386"/>
      <w:r/>
      <w:bookmarkEnd w:id="387"/>
      <w:r/>
      <w:bookmarkEnd w:id="388"/>
      <w:r/>
      <w:bookmarkEnd w:id="389"/>
      <w:r/>
      <w:bookmarkEnd w:id="390"/>
      <w:r/>
      <w:bookmarkEnd w:id="391"/>
      <w:r/>
      <w:bookmarkEnd w:id="392"/>
      <w:r/>
      <w:r/>
    </w:p>
    <w:p>
      <w:pPr>
        <w:pStyle w:val="1450"/>
        <w:jc w:val="center"/>
        <w:spacing w:before="157" w:after="157"/>
        <w:shd w:val="clear" w:color="auto"/>
        <w:rPr>
          <w:rStyle w:val="1425"/>
          <w:rFonts w:hint="eastAsia" w:ascii="宋体" w:hAnsi="宋体" w:eastAsia="宋体" w:cs="宋体"/>
          <w:color w:val="000000" w:themeColor="text1"/>
          <w:spacing w:val="0"/>
          <w:sz w:val="40"/>
          <w:szCs w:val="40"/>
          <w:highlight w:val="none"/>
          <w14:textFill>
            <w14:solidFill>
              <w14:schemeClr w14:val="tx1"/>
            </w14:solidFill>
          </w14:textFill>
        </w:rPr>
      </w:pPr>
      <w:r>
        <w:rPr>
          <w:rStyle w:val="1425"/>
          <w:rFonts w:hint="eastAsia" w:ascii="宋体" w:hAnsi="宋体" w:eastAsia="宋体" w:cs="宋体"/>
          <w:color w:val="000000" w:themeColor="text1"/>
          <w:spacing w:val="0"/>
          <w:sz w:val="40"/>
          <w:szCs w:val="40"/>
          <w:highlight w:val="none"/>
          <w14:textFill>
            <w14:solidFill>
              <w14:schemeClr w14:val="tx1"/>
            </w14:solidFill>
          </w14:textFill>
        </w:rPr>
        <w:t xml:space="preserve">投标主要文件目录</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一、封面</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二、投标函</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三、开标一览表</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pPr>
      <w:r>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四</w:t>
      </w: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w:t>
      </w:r>
      <w:r>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资格证明文件</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lang w:val="en-US"/>
          <w14:textFill>
            <w14:solidFill>
              <w14:schemeClr w14:val="tx1"/>
            </w14:solidFill>
          </w14:textFill>
        </w:rPr>
      </w:pPr>
      <w:r>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五</w:t>
      </w: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w:t>
      </w:r>
      <w:r>
        <w:rPr>
          <w:rStyle w:val="1425"/>
          <w:rFonts w:hint="eastAsia" w:ascii="宋体" w:hAnsi="宋体" w:eastAsia="宋体" w:cs="宋体"/>
          <w:color w:val="000000" w:themeColor="text1"/>
          <w:spacing w:val="0"/>
          <w:sz w:val="28"/>
          <w:szCs w:val="28"/>
          <w:highlight w:val="none"/>
          <w:lang w:val="en-US"/>
          <w14:textFill>
            <w14:solidFill>
              <w14:schemeClr w14:val="tx1"/>
            </w14:solidFill>
          </w14:textFill>
        </w:rPr>
        <w:t xml:space="preserve">经费测算明细表</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六</w:t>
      </w: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、第四章项目需求中实质性要求响应对照表</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七</w:t>
      </w: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、服务方案</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八</w:t>
      </w: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、投标人情况介绍</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九、技术要求响应及偏离表</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十、商务条款响应及偏离表</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28"/>
          <w:szCs w:val="28"/>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十一、关于符合本国产品标准的声明函</w:t>
      </w:r>
      <w:r/>
    </w:p>
    <w:p>
      <w:pPr>
        <w:pStyle w:val="1450"/>
        <w:keepLines w:val="0"/>
        <w:keepNext w:val="0"/>
        <w:pageBreakBefore w:val="0"/>
        <w:spacing w:line="480" w:lineRule="auto"/>
        <w:shd w:val="clear" w:color="auto"/>
        <w:widowControl/>
        <w:rPr>
          <w:rStyle w:val="1425"/>
          <w:rFonts w:hint="eastAsia" w:ascii="宋体" w:hAnsi="宋体" w:eastAsia="宋体" w:cs="宋体"/>
          <w:color w:val="000000" w:themeColor="text1"/>
          <w:spacing w:val="0"/>
          <w:sz w:val="32"/>
          <w:szCs w:val="32"/>
          <w:highlight w:val="none"/>
          <w14:textFill>
            <w14:solidFill>
              <w14:schemeClr w14:val="tx1"/>
            </w14:solidFill>
          </w14:textFill>
        </w:rPr>
      </w:pPr>
      <w:r>
        <w:rPr>
          <w:rStyle w:val="1425"/>
          <w:rFonts w:hint="eastAsia" w:ascii="宋体" w:hAnsi="宋体" w:eastAsia="宋体" w:cs="宋体"/>
          <w:color w:val="000000" w:themeColor="text1"/>
          <w:spacing w:val="0"/>
          <w:sz w:val="28"/>
          <w:szCs w:val="28"/>
          <w:highlight w:val="none"/>
          <w:lang w:val="en-US" w:eastAsia="zh-CN"/>
          <w14:textFill>
            <w14:solidFill>
              <w14:schemeClr w14:val="tx1"/>
            </w14:solidFill>
          </w14:textFill>
        </w:rPr>
        <w:t xml:space="preserve">十二</w:t>
      </w:r>
      <w:r>
        <w:rPr>
          <w:rStyle w:val="1425"/>
          <w:rFonts w:hint="eastAsia" w:ascii="宋体" w:hAnsi="宋体" w:eastAsia="宋体" w:cs="宋体"/>
          <w:color w:val="000000" w:themeColor="text1"/>
          <w:spacing w:val="0"/>
          <w:sz w:val="28"/>
          <w:szCs w:val="28"/>
          <w:highlight w:val="none"/>
          <w14:textFill>
            <w14:solidFill>
              <w14:schemeClr w14:val="tx1"/>
            </w14:solidFill>
          </w14:textFill>
        </w:rPr>
        <w:t xml:space="preserve">、其他材料</w:t>
      </w:r>
      <w:r/>
    </w:p>
    <w:p>
      <w:pPr>
        <w:pStyle w:val="1451"/>
        <w:jc w:val="left"/>
        <w:keepLines w:val="0"/>
        <w:keepNext w:val="0"/>
        <w:pageBreakBefore w:val="0"/>
        <w:spacing w:line="40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425"/>
          <w:rFonts w:hint="eastAsia" w:ascii="宋体" w:hAnsi="宋体" w:eastAsia="宋体" w:cs="宋体"/>
          <w:color w:val="000000" w:themeColor="text1"/>
          <w:spacing w:val="0"/>
          <w:highlight w:val="none"/>
          <w14:textFill>
            <w14:solidFill>
              <w14:schemeClr w14:val="tx1"/>
            </w14:solidFill>
          </w14:textFill>
        </w:rPr>
        <w:br w:type="page" w:clear="all"/>
      </w:r>
      <w:bookmarkStart w:id="393" w:name="_Toc10661"/>
      <w:r/>
      <w:bookmarkStart w:id="394" w:name="_Toc31370"/>
      <w:r/>
      <w:bookmarkStart w:id="395" w:name="_Toc20996"/>
      <w:r/>
      <w:bookmarkStart w:id="396" w:name="_Toc10154"/>
      <w:r/>
      <w:bookmarkStart w:id="397" w:name="_Toc24520"/>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一、封面</w:t>
      </w:r>
      <w:bookmarkEnd w:id="393"/>
      <w:r/>
      <w:bookmarkEnd w:id="394"/>
      <w:r/>
      <w:bookmarkEnd w:id="395"/>
      <w:r/>
      <w:bookmarkEnd w:id="396"/>
      <w:r/>
      <w:bookmarkEnd w:id="397"/>
      <w:r/>
      <w:r/>
    </w:p>
    <w:p>
      <w:pPr>
        <w:pStyle w:val="1452"/>
        <w:jc w:val="center"/>
        <w:spacing w:before="540" w:after="540"/>
        <w:shd w:val="clear" w:color="auto"/>
        <w:rPr>
          <w:rStyle w:val="1425"/>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pPr>
      <w:r>
        <w:rPr>
          <w:rStyle w:val="1425"/>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t xml:space="preserve">投 标 文 件</w:t>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ind w:firstLine="2168"/>
        <w:jc w:val="both"/>
        <w:spacing w:before="360" w:after="360"/>
        <w:shd w:val="clear" w:color="auto"/>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项</w:t>
      </w: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目</w:t>
      </w: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名</w:t>
      </w: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称：</w:t>
      </w:r>
      <w:r>
        <w:rPr>
          <w:rStyle w:val="1425"/>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452"/>
        <w:ind w:firstLine="2168"/>
        <w:jc w:val="both"/>
        <w:spacing w:before="360" w:after="360"/>
        <w:shd w:val="clear" w:color="auto"/>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招</w:t>
      </w: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标</w:t>
      </w: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编</w:t>
      </w: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号：</w:t>
      </w:r>
      <w:r>
        <w:rPr>
          <w:rStyle w:val="1425"/>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ind w:firstLine="2168"/>
        <w:jc w:val="both"/>
        <w:spacing w:before="360" w:after="360"/>
        <w:shd w:val="clear" w:color="auto"/>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投标人名称：</w:t>
      </w:r>
      <w:r>
        <w:rPr>
          <w:rStyle w:val="1425"/>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452"/>
        <w:ind w:firstLine="2168"/>
        <w:jc w:val="both"/>
        <w:spacing w:before="360" w:after="360"/>
        <w:shd w:val="clear" w:color="auto"/>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日</w:t>
      </w: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      </w:t>
      </w: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期：</w:t>
      </w:r>
      <w:r>
        <w:rPr>
          <w:rStyle w:val="1425"/>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452"/>
        <w:jc w:val="center"/>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2"/>
        <w:jc w:val="center"/>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453"/>
        <w:jc w:val="both"/>
        <w:shd w:val="clear" w:color="auto"/>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398" w:name="_Toc3182"/>
      <w:r/>
      <w:bookmarkStart w:id="399" w:name="_Toc19488"/>
      <w:r/>
      <w:bookmarkStart w:id="400" w:name="_Toc29380"/>
      <w:r/>
      <w:bookmarkStart w:id="401" w:name="_Toc27453"/>
      <w:r/>
      <w:bookmarkStart w:id="402" w:name="_Toc28507"/>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二、投标函格式</w:t>
      </w:r>
      <w:bookmarkEnd w:id="398"/>
      <w:r/>
      <w:bookmarkEnd w:id="399"/>
      <w:r/>
      <w:bookmarkEnd w:id="400"/>
      <w:r/>
      <w:bookmarkEnd w:id="401"/>
      <w:r/>
      <w:bookmarkEnd w:id="402"/>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投标函</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致：</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苏州政合信咨询管理服务有限公司</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根据贵方的</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号招标文件，正式授权下述签字人</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(姓名和职务)代表我方</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（投标人名称），全权处理本次项目投标的有关事宜。</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据此函，签字人兹宣布同意如下：</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1</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同意向贵方提供贵方可能另外要求的与投标有关的任何证据或资料；</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2</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我们完全理解贵方不一定将合同授予最低报价的投标人；</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3</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我们已详细审核全部招标文件及其有效补充文件，我们知道必须放弃提出含糊不清或误解问题的权利；</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4</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一旦我方中标，我们将根据招标文件的规定，严格履行合同条款的责任和义务，并保证按照合同条款提供服务；</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5</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与本投标有关的正式通讯地址为：</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地址：</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邮编：</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电话：</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传真：</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投标人法定代表人（单位负责人）或授权代表姓名（签字或盖章）：</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名称：</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公章：</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日期：</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r>
      <w:r/>
    </w:p>
    <w:p>
      <w:pPr>
        <w:pStyle w:val="1455"/>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r>
      <w:r/>
    </w:p>
    <w:p>
      <w:pPr>
        <w:pStyle w:val="1456"/>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403" w:name="_Toc27467"/>
      <w:r/>
      <w:bookmarkStart w:id="404" w:name="_Toc2722"/>
      <w:r/>
      <w:bookmarkStart w:id="405" w:name="_Toc23994"/>
      <w:r/>
      <w:bookmarkStart w:id="406" w:name="_Toc32465"/>
      <w:r/>
      <w:bookmarkStart w:id="407" w:name="_Toc9318"/>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三、开标一览表</w:t>
      </w:r>
      <w:bookmarkEnd w:id="403"/>
      <w:r/>
      <w:bookmarkEnd w:id="404"/>
      <w:r/>
      <w:bookmarkEnd w:id="405"/>
      <w:r/>
      <w:bookmarkEnd w:id="406"/>
      <w:r/>
      <w:bookmarkEnd w:id="407"/>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开标一览表（总报价）</w:t>
      </w:r>
      <w:r/>
    </w:p>
    <w:p>
      <w:pPr>
        <w:pStyle w:val="1454"/>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全称（加盖公章）：</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4"/>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项目编号：</w:t>
      </w:r>
      <w:r>
        <w:rPr>
          <w:rStyle w:val="1425"/>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454"/>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54"/>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54"/>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bl>
      <w:tblPr>
        <w:tblStyle w:val="1219"/>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1"/>
        <w:gridCol w:w="7198"/>
      </w:tblGrid>
      <w:tr>
        <w:trPr>
          <w:trHeight w:val="567"/>
        </w:trPr>
        <w:tc>
          <w:tcPr>
            <w:tcMar>
              <w:left w:w="0" w:type="dxa"/>
              <w:top w:w="0" w:type="dxa"/>
              <w:right w:w="0" w:type="dxa"/>
              <w:bottom w:w="0" w:type="dxa"/>
            </w:tcMar>
            <w:tcW w:w="2591" w:type="dxa"/>
            <w:vAlign w:val="center"/>
            <w:textDirection w:val="lrTb"/>
            <w:noWrap w:val="false"/>
          </w:tcPr>
          <w:p>
            <w:pPr>
              <w:pStyle w:val="1454"/>
              <w:jc w:val="center"/>
              <w:spacing w:line="240" w:lineRule="auto"/>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项目名称</w:t>
            </w:r>
            <w:r/>
          </w:p>
        </w:tc>
        <w:tc>
          <w:tcPr>
            <w:tcMar>
              <w:left w:w="0" w:type="dxa"/>
              <w:top w:w="0" w:type="dxa"/>
              <w:right w:w="0" w:type="dxa"/>
              <w:bottom w:w="0" w:type="dxa"/>
            </w:tcMar>
            <w:tcW w:w="7198" w:type="dxa"/>
            <w:vAlign w:val="center"/>
            <w:textDirection w:val="lrTb"/>
            <w:noWrap w:val="false"/>
          </w:tcPr>
          <w:p>
            <w:pPr>
              <w:pStyle w:val="1454"/>
              <w:jc w:val="center"/>
              <w:spacing w:line="240" w:lineRule="auto"/>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t xml:space="preserve">投标总报价</w:t>
            </w:r>
            <w:r/>
          </w:p>
        </w:tc>
      </w:tr>
      <w:tr>
        <w:trPr>
          <w:trHeight w:val="1134"/>
        </w:trPr>
        <w:tc>
          <w:tcPr>
            <w:tcMar>
              <w:left w:w="0" w:type="dxa"/>
              <w:top w:w="0" w:type="dxa"/>
              <w:right w:w="0" w:type="dxa"/>
              <w:bottom w:w="0" w:type="dxa"/>
            </w:tcMar>
            <w:tcW w:w="2591" w:type="dxa"/>
            <w:vAlign w:val="center"/>
            <w:textDirection w:val="lrTb"/>
            <w:noWrap w:val="false"/>
          </w:tcPr>
          <w:p>
            <w:pPr>
              <w:pStyle w:val="1454"/>
              <w:jc w:val="center"/>
              <w:keepLines w:val="0"/>
              <w:keepNext w:val="0"/>
              <w:pageBreakBefore w:val="0"/>
              <w:spacing w:line="240" w:lineRule="auto"/>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乘航片区（乘航社区、江南社区）开放区域保洁及片区城市管理服务项目</w:t>
            </w:r>
            <w:r/>
          </w:p>
        </w:tc>
        <w:tc>
          <w:tcPr>
            <w:tcMar>
              <w:left w:w="0" w:type="dxa"/>
              <w:top w:w="0" w:type="dxa"/>
              <w:right w:w="0" w:type="dxa"/>
              <w:bottom w:w="0" w:type="dxa"/>
            </w:tcMar>
            <w:tcW w:w="7198" w:type="dxa"/>
            <w:vAlign w:val="center"/>
            <w:textDirection w:val="lrTb"/>
            <w:noWrap w:val="false"/>
          </w:tcPr>
          <w:p>
            <w:pPr>
              <w:pStyle w:val="1454"/>
              <w:jc w:val="center"/>
              <w:spacing w:line="240" w:lineRule="auto"/>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小写：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（元人民币）</w:t>
            </w:r>
            <w:r/>
          </w:p>
        </w:tc>
      </w:tr>
      <w:tr>
        <w:trPr>
          <w:trHeight w:val="717"/>
        </w:trPr>
        <w:tc>
          <w:tcPr>
            <w:tcMar>
              <w:left w:w="0" w:type="dxa"/>
              <w:top w:w="0" w:type="dxa"/>
              <w:right w:w="0" w:type="dxa"/>
              <w:bottom w:w="0" w:type="dxa"/>
            </w:tcMar>
            <w:tcW w:w="2591" w:type="dxa"/>
            <w:vAlign w:val="center"/>
            <w:textDirection w:val="lrTb"/>
            <w:noWrap w:val="false"/>
          </w:tcPr>
          <w:p>
            <w:pPr>
              <w:pStyle w:val="1454"/>
              <w:jc w:val="center"/>
              <w:spacing w:line="240" w:lineRule="auto"/>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投标报价大写金额</w:t>
            </w:r>
            <w:r/>
          </w:p>
        </w:tc>
        <w:tc>
          <w:tcPr>
            <w:tcMar>
              <w:left w:w="0" w:type="dxa"/>
              <w:top w:w="0" w:type="dxa"/>
              <w:right w:w="0" w:type="dxa"/>
              <w:bottom w:w="0" w:type="dxa"/>
            </w:tcMar>
            <w:tcW w:w="7198" w:type="dxa"/>
            <w:vAlign w:val="center"/>
            <w:textDirection w:val="lrTb"/>
            <w:noWrap w:val="false"/>
          </w:tcPr>
          <w:p>
            <w:pPr>
              <w:pStyle w:val="1454"/>
              <w:ind w:firstLine="1200"/>
              <w:jc w:val="both"/>
              <w:spacing w:line="240" w:lineRule="auto"/>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大</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p>
        </w:tc>
      </w:tr>
    </w:tbl>
    <w:p>
      <w:pPr>
        <w:pStyle w:val="1454"/>
        <w:jc w:val="right"/>
        <w:keepLines w:val="0"/>
        <w:keepNext w:val="0"/>
        <w:pageBreakBefore w:val="0"/>
        <w:spacing w:line="520" w:lineRule="exact"/>
        <w:shd w:val="clear" w:color="auto"/>
        <w:widowControl/>
        <w:rPr>
          <w:rStyle w:val="1425"/>
          <w:rFonts w:hint="eastAsia" w:ascii="宋体" w:hAnsi="宋体" w:eastAsia="宋体" w:cs="宋体"/>
          <w:b/>
          <w:bCs/>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日</w:t>
      </w:r>
      <w:r/>
    </w:p>
    <w:p>
      <w:pPr>
        <w:pStyle w:val="1415"/>
        <w:keepLines w:val="0"/>
        <w:keepNext w:val="0"/>
        <w:spacing w:line="44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suppressLineNumbers w:val="0"/>
      </w:pPr>
      <w:r>
        <w:rPr>
          <w:rFonts w:hint="eastAsia" w:ascii="宋体" w:hAnsi="宋体" w:eastAsia="宋体" w:cs="宋体"/>
          <w:color w:val="000000" w:themeColor="text1"/>
          <w:spacing w:val="0"/>
          <w:highlight w:val="none"/>
          <w14:textFill>
            <w14:solidFill>
              <w14:schemeClr w14:val="tx1"/>
            </w14:solidFill>
          </w14:textFill>
        </w:rPr>
      </w:r>
      <w:r/>
    </w:p>
    <w:p>
      <w:pPr>
        <w:pStyle w:val="1415"/>
        <w:keepLines w:val="0"/>
        <w:keepNext w:val="0"/>
        <w:spacing w:line="44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suppressLineNumbers w:val="0"/>
      </w:pPr>
      <w:r>
        <w:rPr>
          <w:rFonts w:hint="eastAsia" w:ascii="宋体" w:hAnsi="宋体" w:eastAsia="宋体" w:cs="宋体"/>
          <w:color w:val="000000" w:themeColor="text1"/>
          <w:spacing w:val="0"/>
          <w:highlight w:val="none"/>
          <w14:textFill>
            <w14:solidFill>
              <w14:schemeClr w14:val="tx1"/>
            </w14:solidFill>
          </w14:textFill>
        </w:rPr>
      </w:r>
      <w:r/>
    </w:p>
    <w:p>
      <w:pPr>
        <w:pStyle w:val="1415"/>
        <w:keepLines w:val="0"/>
        <w:keepNext w:val="0"/>
        <w:spacing w:line="44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suppressLineNumbers w:val="0"/>
      </w:pPr>
      <w:r>
        <w:rPr>
          <w:rFonts w:hint="eastAsia" w:ascii="宋体" w:hAnsi="宋体" w:eastAsia="宋体" w:cs="宋体"/>
          <w:color w:val="000000" w:themeColor="text1"/>
          <w:spacing w:val="0"/>
          <w:highlight w:val="none"/>
          <w14:textFill>
            <w14:solidFill>
              <w14:schemeClr w14:val="tx1"/>
            </w14:solidFill>
          </w14:textFill>
        </w:rPr>
        <w:t xml:space="preserve">填写说明：</w:t>
      </w:r>
      <w:r/>
    </w:p>
    <w:p>
      <w:pPr>
        <w:pStyle w:val="1415"/>
        <w:keepLines w:val="0"/>
        <w:keepNext w:val="0"/>
        <w:spacing w:line="44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suppressLineNumbers w:val="0"/>
      </w:pPr>
      <w:r>
        <w:rPr>
          <w:rStyle w:val="1416"/>
          <w:rFonts w:hint="eastAsia" w:ascii="宋体" w:hAnsi="宋体" w:eastAsia="宋体" w:cs="宋体"/>
          <w:color w:val="000000" w:themeColor="text1"/>
          <w:spacing w:val="0"/>
          <w:highlight w:val="none"/>
          <w:u w:val="single"/>
          <w14:textFill>
            <w14:solidFill>
              <w14:schemeClr w14:val="tx1"/>
            </w14:solidFill>
          </w14:textFill>
        </w:rPr>
        <w:t xml:space="preserve">1</w:t>
      </w:r>
      <w:r>
        <w:rPr>
          <w:rStyle w:val="1416"/>
          <w:rFonts w:hint="eastAsia" w:ascii="宋体" w:hAnsi="宋体" w:eastAsia="宋体" w:cs="宋体"/>
          <w:color w:val="000000" w:themeColor="text1"/>
          <w:spacing w:val="0"/>
          <w:highlight w:val="none"/>
          <w:u w:val="single"/>
          <w:lang w:val="en-US" w:eastAsia="zh-CN"/>
          <w14:textFill>
            <w14:solidFill>
              <w14:schemeClr w14:val="tx1"/>
            </w14:solidFill>
          </w14:textFill>
        </w:rPr>
        <w:t xml:space="preserve">.</w:t>
      </w:r>
      <w:r>
        <w:rPr>
          <w:rStyle w:val="1416"/>
          <w:rFonts w:hint="eastAsia" w:ascii="宋体" w:hAnsi="宋体" w:eastAsia="宋体" w:cs="宋体"/>
          <w:color w:val="000000" w:themeColor="text1"/>
          <w:spacing w:val="0"/>
          <w:highlight w:val="none"/>
          <w:u w:val="single"/>
          <w14:textFill>
            <w14:solidFill>
              <w14:schemeClr w14:val="tx1"/>
            </w14:solidFill>
          </w14:textFill>
        </w:rPr>
        <w:t xml:space="preserve">开标一览表必须加盖投标人公章（复印件无效）。</w:t>
      </w:r>
      <w:r/>
    </w:p>
    <w:p>
      <w:pPr>
        <w:pStyle w:val="1415"/>
        <w:keepLines w:val="0"/>
        <w:keepNext w:val="0"/>
        <w:spacing w:line="44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uppressLineNumbers w:val="0"/>
      </w:pPr>
      <w:r>
        <w:rPr>
          <w:rStyle w:val="1416"/>
          <w:rFonts w:hint="eastAsia" w:ascii="宋体" w:hAnsi="宋体" w:eastAsia="宋体" w:cs="宋体"/>
          <w:color w:val="000000" w:themeColor="text1"/>
          <w:spacing w:val="0"/>
          <w:highlight w:val="none"/>
          <w:u w:val="single"/>
          <w14:textFill>
            <w14:solidFill>
              <w14:schemeClr w14:val="tx1"/>
            </w14:solidFill>
          </w14:textFill>
        </w:rPr>
        <w:t xml:space="preserve">2</w:t>
      </w:r>
      <w:r>
        <w:rPr>
          <w:rStyle w:val="1416"/>
          <w:rFonts w:hint="eastAsia" w:ascii="宋体" w:hAnsi="宋体" w:eastAsia="宋体" w:cs="宋体"/>
          <w:color w:val="000000" w:themeColor="text1"/>
          <w:spacing w:val="0"/>
          <w:highlight w:val="none"/>
          <w:u w:val="single"/>
          <w:lang w:val="en-US" w:eastAsia="zh-CN"/>
          <w14:textFill>
            <w14:solidFill>
              <w14:schemeClr w14:val="tx1"/>
            </w14:solidFill>
          </w14:textFill>
        </w:rPr>
        <w:t xml:space="preserve">.</w:t>
      </w:r>
      <w:r>
        <w:rPr>
          <w:rStyle w:val="1416"/>
          <w:rFonts w:hint="eastAsia" w:ascii="宋体" w:hAnsi="宋体" w:eastAsia="宋体" w:cs="宋体"/>
          <w:color w:val="000000" w:themeColor="text1"/>
          <w:spacing w:val="0"/>
          <w:highlight w:val="none"/>
          <w:u w:val="single"/>
          <w14:textFill>
            <w14:solidFill>
              <w14:schemeClr w14:val="tx1"/>
            </w14:solidFill>
          </w14:textFill>
        </w:rPr>
        <w:t xml:space="preserve">如有分包，投标人投任何一个包的标的，都需单独填写开标一览表。</w:t>
      </w:r>
      <w:r/>
    </w:p>
    <w:p>
      <w:pPr>
        <w:pStyle w:val="1454"/>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57"/>
        <w:jc w:val="left"/>
        <w:shd w:val="clear" w:color="auto"/>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58"/>
        <w:jc w:val="left"/>
        <w:keepLines w:val="0"/>
        <w:keepNext w:val="0"/>
        <w:pageBreakBefore w:val="0"/>
        <w:spacing w:line="520" w:lineRule="exact"/>
        <w:shd w:val="clear" w:color="auto"/>
        <w:widowControl/>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outlineLvl w:val="1"/>
      </w:pPr>
      <w:r/>
      <w:bookmarkStart w:id="408" w:name="_Toc19115"/>
      <w:r/>
      <w:bookmarkStart w:id="409" w:name="_Toc24613"/>
      <w:r/>
      <w:bookmarkStart w:id="410" w:name="_Toc24468"/>
      <w:r/>
      <w:bookmarkStart w:id="411" w:name="_Toc21766"/>
      <w:r/>
      <w:bookmarkStart w:id="412" w:name="_Toc28557"/>
      <w:r/>
      <w:bookmarkStart w:id="413" w:name="_Toc12028"/>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四、资格证明文件</w:t>
      </w:r>
      <w:bookmarkEnd w:id="408"/>
      <w:r/>
      <w:bookmarkEnd w:id="409"/>
      <w:r/>
      <w:bookmarkEnd w:id="410"/>
      <w:r/>
      <w:bookmarkEnd w:id="411"/>
      <w:r/>
      <w:r/>
    </w:p>
    <w:p>
      <w:pPr>
        <w:pStyle w:val="1459"/>
        <w:ind w:firstLine="482"/>
        <w:keepLines w:val="0"/>
        <w:keepNext w:val="0"/>
        <w:pageBreakBefore w:val="0"/>
        <w:spacing w:line="520" w:lineRule="exact"/>
        <w:shd w:val="clear" w:color="auto"/>
        <w:widowControl/>
        <w:rPr>
          <w:rStyle w:val="1425"/>
          <w:rFonts w:hint="eastAsia" w:ascii="宋体" w:hAnsi="宋体" w:eastAsia="宋体" w:cs="宋体"/>
          <w:b/>
          <w:bCs w:val="0"/>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bCs w:val="0"/>
          <w:i/>
          <w:iCs/>
          <w:color w:val="000000" w:themeColor="text1"/>
          <w:sz w:val="24"/>
          <w:szCs w:val="24"/>
          <w:highlight w:val="none"/>
          <w:u w:val="single"/>
          <w14:textFill>
            <w14:solidFill>
              <w14:schemeClr w14:val="tx1"/>
            </w14:solidFill>
          </w14:textFill>
        </w:rPr>
        <w:t xml:space="preserve">投标人必须在投标文件提交截止时间之前递交以下资格证明文件：</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1</w:t>
      </w: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2</w:t>
      </w: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财务状况报告（成立不满一年不需要提供，若投标人为分公司，可提供总公司财务状况报告）；</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3</w:t>
      </w: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依法缴纳税收和社会保障资金的相关材料（如依法享受缓缴、免缴税收、社会保障资金的，应提供相关证明材料）；</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4</w:t>
      </w: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具备履行合同所必需的设备和专业技术能力的书面声明（格式见后）；</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5</w:t>
      </w: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参加政府采购活动前3年内在经营活动中没有重大违法记录的书面声明（格式见后）；</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6.</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提供授权委托书（被授权人非法定代表人的，应提供授权委托书；被授权人是法定代表人的，应提供授权委托书或法定代表人身份证明书。格式见后）；</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7</w:t>
      </w: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关于资格证明文件的书面承诺（格式见后）；</w:t>
      </w:r>
      <w:r/>
    </w:p>
    <w:p>
      <w:pPr>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8.</w:t>
      </w:r>
      <w:r>
        <w:rPr>
          <w:rStyle w:val="1425"/>
          <w:rFonts w:hint="eastAsia" w:ascii="宋体" w:hAnsi="宋体" w:eastAsia="宋体" w:cs="宋体"/>
          <w:b w:val="0"/>
          <w:bCs/>
          <w:i/>
          <w:iCs/>
          <w:color w:val="000000" w:themeColor="text1"/>
          <w:sz w:val="24"/>
          <w:szCs w:val="24"/>
          <w:highlight w:val="none"/>
          <w:u w:val="single"/>
          <w14:textFill>
            <w14:solidFill>
              <w14:schemeClr w14:val="tx1"/>
            </w14:solidFill>
          </w14:textFill>
        </w:rPr>
        <w:t xml:space="preserve">中小企业声明函等（格式见后）；</w:t>
      </w:r>
      <w:r/>
    </w:p>
    <w:p>
      <w:pPr>
        <w:pStyle w:val="1459"/>
        <w:ind w:firstLine="480"/>
        <w:keepLines w:val="0"/>
        <w:keepNext w:val="0"/>
        <w:pageBreakBefore w:val="0"/>
        <w:spacing w:line="520" w:lineRule="exact"/>
        <w:shd w:val="clear" w:color="auto"/>
        <w:widowControl/>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outlineLvl w:val="2"/>
      </w:pPr>
      <w:r>
        <w:rPr>
          <w:rStyle w:val="1425"/>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 xml:space="preserve">9.未被“信用中国”网站（www.creditchina.gov.cn）列入失信被执行人、重大税收违法案件当事人名单、政府采购严重失信行为记录名单（提供相关证明材料）。</w:t>
      </w:r>
      <w:r/>
    </w:p>
    <w:p>
      <w:pPr>
        <w:pStyle w:val="1459"/>
        <w:shd w:val="clear" w:color="auto"/>
        <w:rPr>
          <w:rStyle w:val="1425"/>
          <w:rFonts w:hint="eastAsia" w:ascii="宋体" w:hAnsi="宋体" w:eastAsia="宋体" w:cs="宋体"/>
          <w:b/>
          <w:color w:val="000000" w:themeColor="text1"/>
          <w:sz w:val="28"/>
          <w:highlight w:val="none"/>
          <w14:textFill>
            <w14:solidFill>
              <w14:schemeClr w14:val="tx1"/>
            </w14:solidFill>
          </w14:textFill>
        </w:rPr>
        <w:outlineLvl w:val="2"/>
      </w:pPr>
      <w:r>
        <w:rPr>
          <w:rFonts w:hint="eastAsia" w:ascii="宋体" w:hAnsi="宋体" w:eastAsia="宋体" w:cs="宋体"/>
          <w:b/>
          <w:color w:val="000000" w:themeColor="text1"/>
          <w:sz w:val="28"/>
          <w:highlight w:val="none"/>
          <w14:textFill>
            <w14:solidFill>
              <w14:schemeClr w14:val="tx1"/>
            </w14:solidFill>
          </w14:textFill>
        </w:rPr>
      </w:r>
      <w:r/>
    </w:p>
    <w:p>
      <w:pPr>
        <w:pStyle w:val="1459"/>
        <w:shd w:val="clear" w:color="auto"/>
        <w:rPr>
          <w:rStyle w:val="1425"/>
          <w:rFonts w:hint="eastAsia" w:ascii="宋体" w:hAnsi="宋体" w:eastAsia="宋体" w:cs="宋体"/>
          <w:b/>
          <w:color w:val="000000" w:themeColor="text1"/>
          <w:sz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2"/>
      </w:pPr>
      <w:r>
        <w:rPr>
          <w:rFonts w:hint="eastAsia" w:ascii="宋体" w:hAnsi="宋体" w:eastAsia="宋体" w:cs="宋体"/>
          <w:b/>
          <w:color w:val="000000" w:themeColor="text1"/>
          <w:sz w:val="28"/>
          <w:highlight w:val="none"/>
          <w14:textFill>
            <w14:solidFill>
              <w14:schemeClr w14:val="tx1"/>
            </w14:solidFill>
          </w14:textFill>
        </w:rPr>
      </w:r>
      <w:r/>
    </w:p>
    <w:p>
      <w:pPr>
        <w:pStyle w:val="1459"/>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法人或者其他组织的营业执照等证明文件，自然人的身份证明</w:t>
      </w:r>
      <w:r/>
    </w:p>
    <w:p>
      <w:pPr>
        <w:pStyle w:val="1460"/>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法人或者其他组织的营业执照等证明文件，自然人的身份证明</w:t>
      </w:r>
      <w:r/>
    </w:p>
    <w:p>
      <w:pPr>
        <w:pStyle w:val="1460"/>
        <w:jc w:val="left"/>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0"/>
        <w:jc w:val="left"/>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0"/>
        <w:jc w:val="left"/>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0"/>
        <w:ind w:firstLine="480"/>
        <w:jc w:val="left"/>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60"/>
        <w:jc w:val="left"/>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0"/>
        <w:jc w:val="left"/>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1"/>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财务状况报告（成立不满一年不需要提供，若投标人为分公司，可提供总公司财务状况报告）</w:t>
      </w:r>
      <w:r/>
    </w:p>
    <w:p>
      <w:pPr>
        <w:pStyle w:val="1462"/>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近年财务状况表</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r>
      <w:r/>
    </w:p>
    <w:p>
      <w:pPr>
        <w:ind w:firstLine="480"/>
        <w:jc w:val="both"/>
        <w:keepLines w:val="0"/>
        <w:keepNext w:val="0"/>
        <w:pageBreakBefore w:val="0"/>
        <w:spacing w:before="240" w:after="240" w:line="520" w:lineRule="exact"/>
        <w:shd w:val="clear" w:color="auto" w:fill="auto"/>
        <w:widowControl/>
        <w:rPr>
          <w:rFonts w:hint="eastAsia" w:ascii="宋体" w:hAnsi="宋体" w:eastAsia="宋体" w:cs="宋体"/>
          <w:caps w:val="0"/>
          <w:smallCaps w:val="0"/>
          <w:color w:val="000000" w:themeColor="text1"/>
          <w:spacing w:val="0"/>
          <w:sz w:val="24"/>
          <w:szCs w:val="24"/>
          <w:highlight w:val="none"/>
          <w:lang w:val="en-US" w:eastAsia="zh-CN" w:bidi="ar-SA"/>
          <w14:textFill>
            <w14:solidFill>
              <w14:schemeClr w14:val="tx1"/>
            </w14:solidFill>
          </w14:textFill>
          <w14:ligatures w14:val="none"/>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注：若投标人为分公司，可提供总公司财务状况报告。</w:t>
      </w:r>
      <w:r/>
    </w:p>
    <w:p>
      <w:pPr>
        <w:keepLines w:val="0"/>
        <w:keepNext w:val="0"/>
        <w:pageBreakBefore w:val="0"/>
        <w:spacing w:line="520" w:lineRule="exact"/>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r>
      <w:r/>
    </w:p>
    <w:p>
      <w:pPr>
        <w:keepLines w:val="0"/>
        <w:keepNext w:val="0"/>
        <w:pageBreakBefore w:val="0"/>
        <w:spacing w:line="520" w:lineRule="exact"/>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460"/>
        <w:spacing w:before="240" w:after="240"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Style w:val="1425"/>
          <w:rFonts w:hint="eastAsia" w:ascii="宋体" w:hAnsi="宋体" w:eastAsia="宋体" w:cs="宋体"/>
          <w:b/>
          <w:color w:val="000000" w:themeColor="text1"/>
          <w:spacing w:val="0"/>
          <w:sz w:val="28"/>
          <w:highlight w:val="none"/>
          <w14:textFill>
            <w14:solidFill>
              <w14:schemeClr w14:val="tx1"/>
            </w14:solidFill>
          </w14:textFill>
        </w:rPr>
        <w:t xml:space="preserve">依法缴纳税收和社会保障资金的相关材料（如依法享受缓缴、免缴税收、社会保障资金的，应提供相关证明材料）</w:t>
      </w:r>
      <w:r/>
    </w:p>
    <w:p>
      <w:pPr>
        <w:pStyle w:val="1454"/>
        <w:jc w:val="center"/>
        <w:spacing w:before="567" w:after="567"/>
        <w:shd w:val="clear" w:color="auto"/>
        <w:rPr>
          <w:rStyle w:val="1425"/>
          <w:rFonts w:hint="eastAsia" w:ascii="宋体" w:hAnsi="宋体" w:eastAsia="宋体" w:cs="宋体"/>
          <w:b/>
          <w:bCs/>
          <w:color w:val="000000" w:themeColor="text1"/>
          <w:spacing w:val="0"/>
          <w:sz w:val="36"/>
          <w:szCs w:val="36"/>
          <w:highlight w:val="none"/>
          <w14:textFill>
            <w14:solidFill>
              <w14:schemeClr w14:val="tx1"/>
            </w14:solidFill>
          </w14:textFill>
        </w:rPr>
      </w:pPr>
      <w:r>
        <w:rPr>
          <w:rStyle w:val="1425"/>
          <w:rFonts w:hint="eastAsia" w:ascii="宋体" w:hAnsi="宋体" w:eastAsia="宋体" w:cs="宋体"/>
          <w:b/>
          <w:bCs/>
          <w:color w:val="000000" w:themeColor="text1"/>
          <w:spacing w:val="0"/>
          <w:sz w:val="36"/>
          <w:szCs w:val="36"/>
          <w:highlight w:val="none"/>
          <w14:textFill>
            <w14:solidFill>
              <w14:schemeClr w14:val="tx1"/>
            </w14:solidFill>
          </w14:textFill>
        </w:rPr>
        <w:t xml:space="preserve">依法缴纳税收和社会保障资金的相关材料（如依法享受缓缴、免缴税收、社会保障资金的，应提供相关证明材料）</w:t>
      </w:r>
      <w:r/>
    </w:p>
    <w:p>
      <w:pPr>
        <w:pStyle w:val="1460"/>
        <w:spacing w:before="240" w:after="240"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60"/>
        <w:spacing w:before="240" w:after="240"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60"/>
        <w:spacing w:before="240" w:after="240" w:line="520" w:lineRule="exact"/>
        <w:shd w:val="clear" w:color="auto"/>
        <w:rPr>
          <w:rStyle w:val="1425"/>
          <w:rFonts w:hint="eastAsia" w:ascii="宋体" w:hAnsi="宋体" w:eastAsia="宋体" w:cs="宋体"/>
          <w:color w:val="000000" w:themeColor="text1"/>
          <w:spacing w:val="0"/>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pStyle w:val="1463"/>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具备履行合同所必需的设备和专业技术能力的书面声明</w:t>
      </w:r>
      <w:r/>
    </w:p>
    <w:p>
      <w:pPr>
        <w:pStyle w:val="1464"/>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w:t>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具备履行合同所必需的设备和专业技术能力的书面声明</w:t>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320" w:after="320" w:line="520" w:lineRule="exact"/>
        <w:shd w:val="clear" w:color="auto"/>
        <w:widowControl/>
        <w:rPr>
          <w:rStyle w:val="1425"/>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ind w:firstLine="480"/>
        <w:jc w:val="both"/>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我单位郑重声明：我单位具备履行本项采购合同所必需的设备和专业技术能力。</w:t>
      </w:r>
      <w:r/>
    </w:p>
    <w:p>
      <w:pPr>
        <w:pStyle w:val="1464"/>
        <w:jc w:val="center"/>
        <w:keepLines w:val="0"/>
        <w:keepNext w:val="0"/>
        <w:pageBreakBefore w:val="0"/>
        <w:spacing w:before="360" w:after="36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360" w:after="36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360" w:after="36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ind w:firstLine="3600"/>
        <w:keepLines w:val="0"/>
        <w:keepNext w:val="0"/>
        <w:pageBreakBefore w:val="0"/>
        <w:spacing w:before="210" w:after="21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人名称</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465"/>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参加政府采购活动前3年内在经营活动中没有重大违法记录的书面声明</w:t>
      </w:r>
      <w:r/>
    </w:p>
    <w:p>
      <w:pPr>
        <w:pStyle w:val="1466"/>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参加政府采购活动前3年内在经营活动中没有重大违法记录的书面声明</w:t>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both"/>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4"/>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66"/>
        <w:ind w:firstLine="4320"/>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人名称</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467"/>
        <w:spacing w:line="520" w:lineRule="exact"/>
        <w:shd w:val="clear" w:color="auto"/>
        <w:rPr>
          <w:rStyle w:val="1425"/>
          <w:rFonts w:hint="eastAsia" w:ascii="宋体" w:hAnsi="宋体" w:eastAsia="宋体" w:cs="宋体"/>
          <w:color w:val="000000" w:themeColor="text1"/>
          <w:spacing w:val="0"/>
          <w:highlight w:val="none"/>
          <w14:textFill>
            <w14:solidFill>
              <w14:schemeClr w14:val="tx1"/>
            </w14:solidFill>
          </w14:textFill>
        </w:rPr>
        <w:outlineLvl w:val="2"/>
      </w:pPr>
      <w:r>
        <w:rPr>
          <w:rStyle w:val="1425"/>
          <w:rFonts w:hint="eastAsia" w:ascii="宋体" w:hAnsi="宋体" w:eastAsia="宋体" w:cs="宋体"/>
          <w:b/>
          <w:color w:val="000000" w:themeColor="text1"/>
          <w:spacing w:val="0"/>
          <w:sz w:val="28"/>
          <w:highlight w:val="none"/>
          <w14:textFill>
            <w14:solidFill>
              <w14:schemeClr w14:val="tx1"/>
            </w14:solidFill>
          </w14:textFill>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1.授权委托书</w:t>
      </w:r>
      <w:r/>
    </w:p>
    <w:p>
      <w:pPr>
        <w:ind w:firstLine="48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本授权书声明：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（投标人名称）授权</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(被授权人的姓名)（被授权人身份证号码：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）为我方就</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（项目编号：</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本授权书于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日起生效，特此声明。</w:t>
      </w:r>
      <w:r/>
    </w:p>
    <w:p>
      <w:pPr>
        <w:ind w:firstLine="360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被授权人联系电话：（手机）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60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授权单位名称：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（加盖公章）</w:t>
      </w:r>
      <w:r/>
    </w:p>
    <w:p>
      <w:pPr>
        <w:ind w:firstLine="360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60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w:t>
      </w:r>
      <w:r/>
    </w:p>
    <w:p>
      <w:pPr>
        <w:jc w:val="center"/>
        <w:keepLines w:val="0"/>
        <w:keepNext w:val="0"/>
        <w:pageBreakBefore w:val="0"/>
        <w:spacing w:before="567" w:after="567" w:line="240" w:lineRule="auto"/>
        <w:shd w:val="clear" w:color="auto"/>
        <w:widowControl/>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2.法定代表人身份证明书</w:t>
      </w:r>
      <w:r/>
    </w:p>
    <w:p>
      <w:pPr>
        <w:ind w:firstLine="48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兹证明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（姓名）（法定代表人身份证号码：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）担任</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（职位），是我单位的法定代表人。</w:t>
      </w:r>
      <w:r/>
    </w:p>
    <w:p>
      <w:pPr>
        <w:ind w:firstLine="48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特此证明。</w:t>
      </w:r>
      <w:r/>
    </w:p>
    <w:p>
      <w:pPr>
        <w:ind w:firstLine="336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法定代表人联系电话：（手机）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36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（加盖公章）</w:t>
      </w:r>
      <w:r/>
    </w:p>
    <w:p>
      <w:pPr>
        <w:ind w:firstLine="336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ind w:firstLine="3360"/>
        <w:jc w:val="both"/>
        <w:keepLines w:val="0"/>
        <w:keepNext w:val="0"/>
        <w:pageBreakBefore w:val="0"/>
        <w:spacing w:line="520" w:lineRule="exact"/>
        <w:shd w:val="clear" w:color="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w:t>
      </w:r>
      <w:r/>
    </w:p>
    <w:p>
      <w:pPr>
        <w:pStyle w:val="1469"/>
        <w:jc w:val="left"/>
        <w:shd w:val="clear" w:color="auto"/>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关于资格证明文件的书面承诺</w:t>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关于资格证明文件的书面承诺</w:t>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70"/>
        <w:ind w:firstLine="480"/>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70"/>
        <w:ind w:firstLine="3840"/>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人名称</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（加盖公章）：</w:t>
      </w:r>
      <w:r/>
    </w:p>
    <w:p>
      <w:pPr>
        <w:pStyle w:val="1471"/>
        <w:jc w:val="left"/>
        <w:shd w:val="clear" w:color="auto"/>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bookmarkStart w:id="414" w:name="_Toc6100"/>
      <w:r/>
      <w:bookmarkEnd w:id="414"/>
      <w:r/>
      <w:bookmarkStart w:id="415" w:name="_Toc11461"/>
      <w:r/>
      <w:bookmarkEnd w:id="415"/>
      <w:r/>
      <w:bookmarkStart w:id="416" w:name="_Toc26705"/>
      <w:r/>
      <w:bookmarkEnd w:id="416"/>
      <w:r/>
      <w:r/>
    </w:p>
    <w:p>
      <w:pPr>
        <w:pStyle w:val="1469"/>
        <w:jc w:val="left"/>
        <w:shd w:val="clear" w:color="auto"/>
        <w:rPr>
          <w:rStyle w:val="1425"/>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outlineLvl w:val="2"/>
      </w:pPr>
      <w:r>
        <w:rPr>
          <w:rStyle w:val="1425"/>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 xml:space="preserve">中小企业声明函（本项目专门面向中小企业采购）</w:t>
      </w:r>
      <w:r/>
    </w:p>
    <w:p>
      <w:pPr>
        <w:pStyle w:val="1454"/>
        <w:jc w:val="center"/>
        <w:keepLines w:val="0"/>
        <w:keepNext w:val="0"/>
        <w:pageBreakBefore w:val="0"/>
        <w:spacing w:before="567" w:after="567" w:line="52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中小企业声明函（服务）</w:t>
      </w: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本公司郑重声明，根据《政府采购促进中小企业发展管理办法》</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财库〔2020〕46号)的规定，本公司参加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（单位名称）的</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（项目名称）采购活动，服务全部由符合政策要求的中小企业承接。相关企业的具体情况如下：</w:t>
      </w:r>
      <w:r/>
    </w:p>
    <w:p>
      <w:pPr>
        <w:ind w:firstLine="480"/>
        <w:jc w:val="left"/>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乘航片区（乘航社区、江南社区）开放区域保洁及片区城市管理服务项目</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（标的名称），</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其他未列明行业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 xml:space="preserve">（采购文件中明确的所属行业）；</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承接企业为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（企业名称），从业人员</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人，营业收入为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万元，资产总额为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万元，属于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（中型企业、小型企业、微型企业）；</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以上企业，不属于大企业的分支机构，不存在控股股东为大企业的情形，也不存在与大企业的负责人为同一人的情形。</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本企业对上述声明内容的真实性负责。如有虚假，将依法承担相应责任。</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企业名称（盖章）：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注：供应商对照《关于印发中小企业划型标准规定的通知》（工信部联企业【2011】300号）中的标准，明确标的承接企业所属企业类型。</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备注：</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pStyle w:val="1472"/>
        <w:spacing w:before="240" w:after="240"/>
        <w:shd w:val="clear" w:color="auto"/>
        <w:rPr>
          <w:rFonts w:hint="eastAsia" w:ascii="宋体" w:hAnsi="宋体" w:eastAsia="宋体" w:cs="宋体"/>
          <w:color w:val="000000" w:themeColor="text1"/>
          <w:spacing w:val="0"/>
          <w:highlight w:val="none"/>
          <w14:textFill>
            <w14:solidFill>
              <w14:schemeClr w14:val="tx1"/>
            </w14:solidFill>
          </w14:textFill>
        </w:rPr>
        <w:sectPr>
          <w:footnotePr/>
          <w:endnotePr/>
          <w:type w:val="nextPage"/>
          <w:pgSz w:w="11906" w:h="16838" w:orient="portrait"/>
          <w:pgMar w:top="1440" w:right="1080" w:bottom="1440" w:left="1080" w:header="709" w:footer="709" w:gutter="0"/>
          <w:cols w:num="1" w:sep="0" w:space="1701" w:equalWidth="1"/>
          <w:docGrid w:linePitch="360"/>
        </w:sectPr>
      </w:pPr>
      <w:r>
        <w:rPr>
          <w:rFonts w:hint="eastAsia" w:ascii="宋体" w:hAnsi="宋体" w:eastAsia="宋体" w:cs="宋体"/>
          <w:color w:val="000000" w:themeColor="text1"/>
          <w:spacing w:val="0"/>
          <w:highlight w:val="none"/>
          <w14:textFill>
            <w14:solidFill>
              <w14:schemeClr w14:val="tx1"/>
            </w14:solidFill>
          </w14:textFill>
        </w:rPr>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附：中小企业划型标准规定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472"/>
        <w:keepLines w:val="0"/>
        <w:keepNext w:val="0"/>
        <w:pageBreakBefore w:val="0"/>
        <w:spacing w:before="240" w:after="240"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72"/>
        <w:keepLines w:val="0"/>
        <w:keepNext w:val="0"/>
        <w:pageBreakBefore w:val="0"/>
        <w:spacing w:before="240" w:after="240" w:line="36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473"/>
        <w:jc w:val="left"/>
        <w:keepLines w:val="0"/>
        <w:keepNext w:val="0"/>
        <w:pageBreakBefore w:val="0"/>
        <w:spacing w:line="36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outlineLvl w:val="9"/>
      </w:pPr>
      <w:r/>
      <w:bookmarkStart w:id="417" w:name="undefined"/>
      <w:r>
        <w:rPr>
          <w:rStyle w:val="1425"/>
          <w:rFonts w:hint="eastAsia" w:ascii="宋体" w:hAnsi="宋体" w:eastAsia="宋体" w:cs="宋体"/>
          <w:b/>
          <w:caps w:val="0"/>
          <w:smallCaps w:val="0"/>
          <w:color w:val="000000" w:themeColor="text1"/>
          <w:spacing w:val="0"/>
          <w:sz w:val="32"/>
          <w:szCs w:val="24"/>
          <w:highlight w:val="none"/>
          <w:shd w:val="clear" w:color="auto" w:fill="auto"/>
          <w14:textFill>
            <w14:solidFill>
              <w14:schemeClr w14:val="tx1"/>
            </w14:solidFill>
          </w14:textFill>
        </w:rPr>
        <w:t xml:space="preserve">残疾人福利性单位声明函</w:t>
      </w:r>
      <w:bookmarkEnd w:id="417"/>
      <w:r/>
      <w:r/>
    </w:p>
    <w:p>
      <w:pPr>
        <w:pStyle w:val="1454"/>
        <w:jc w:val="center"/>
        <w:keepLines w:val="0"/>
        <w:keepNext w:val="0"/>
        <w:pageBreakBefore w:val="0"/>
        <w:spacing w:before="567" w:after="567" w:line="52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﻿残疾人福利性单位声明函</w:t>
      </w: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单位的</w:t>
      </w:r>
      <w:r>
        <w:rPr>
          <w:rFonts w:hint="eastAsia" w:ascii="宋体" w:hAnsi="宋体" w:eastAsia="宋体" w:cs="宋体"/>
          <w:color w:val="000000" w:themeColor="text1"/>
          <w:spacing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本单位对上述声明的真实性负责。如有虚假，将依法承担相应责任。</w:t>
      </w: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单位名称（盖章）：</w:t>
      </w:r>
      <w:r/>
    </w:p>
    <w:p>
      <w:pPr>
        <w:ind w:firstLine="480"/>
        <w:keepLines w:val="0"/>
        <w:keepNext w:val="0"/>
        <w:pageBreakBefore w:val="0"/>
        <w:spacing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日期：</w:t>
      </w:r>
      <w:r/>
    </w:p>
    <w:p>
      <w:pPr>
        <w:ind w:firstLine="480"/>
        <w:jc w:val="left"/>
        <w:keepLines w:val="0"/>
        <w:keepNext w:val="0"/>
        <w:pageBreakBefore w:val="0"/>
        <w:spacing w:before="0" w:after="0"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jc w:val="left"/>
        <w:keepLines w:val="0"/>
        <w:keepNext w:val="0"/>
        <w:pageBreakBefore w:val="0"/>
        <w:spacing w:before="0" w:after="0"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注：</w:t>
      </w:r>
      <w:r/>
    </w:p>
    <w:p>
      <w:pPr>
        <w:ind w:firstLine="480"/>
        <w:jc w:val="left"/>
        <w:keepLines w:val="0"/>
        <w:keepNext w:val="0"/>
        <w:pageBreakBefore w:val="0"/>
        <w:spacing w:before="0" w:after="0"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1.符合《关于促进残疾人就业政府采购政策的通知》（财库〔2017〕141号）规定条件的残疾人福利性单位在参加政府采购活动时，应当提供《残疾人福利性单位声明函》，并对声明的真实性负责。</w:t>
      </w:r>
      <w:r/>
    </w:p>
    <w:p>
      <w:pPr>
        <w:ind w:firstLine="480"/>
        <w:jc w:val="left"/>
        <w:keepLines w:val="0"/>
        <w:keepNext w:val="0"/>
        <w:pageBreakBefore w:val="0"/>
        <w:spacing w:before="0" w:after="0"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供应商提供的《残疾人福利性单位声明函》与事实不符的，依照《政府采购法》第七十七条第一款的规定追究法律责任。</w:t>
      </w:r>
      <w:r/>
    </w:p>
    <w:p>
      <w:pPr>
        <w:ind w:firstLine="480"/>
        <w:jc w:val="left"/>
        <w:keepLines w:val="0"/>
        <w:keepNext w:val="0"/>
        <w:pageBreakBefore w:val="0"/>
        <w:spacing w:before="0" w:after="0"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before="0" w:after="0" w:line="520" w:lineRule="exact"/>
        <w:shd w:val="clear" w:color="auto"/>
        <w:widowControl/>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2.若供应商对照《关于促进残疾人就业政府采购政策的通知》（财库〔2017〕141号）中的规定，明确不符合残疾人福利性单位条件的，则无需提供此声明函。</w:t>
      </w:r>
      <w:r/>
    </w:p>
    <w:p>
      <w:pPr>
        <w:pStyle w:val="1473"/>
        <w:jc w:val="left"/>
        <w:keepLines w:val="0"/>
        <w:keepNext w:val="0"/>
        <w:pageBreakBefore w:val="0"/>
        <w:spacing w:line="360" w:lineRule="exact"/>
        <w:shd w:val="clear" w:color="auto"/>
        <w:widowControl/>
        <w:rPr>
          <w:rStyle w:val="1425"/>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outlineLvl w:val="9"/>
      </w:pPr>
      <w:r/>
      <w:bookmarkStart w:id="418" w:name="_Toc12746"/>
      <w:r/>
      <w:bookmarkStart w:id="419" w:name="_Toc13316"/>
      <w:r>
        <w:rPr>
          <w:rStyle w:val="1425"/>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t xml:space="preserve">监狱企业的证明文件</w:t>
      </w:r>
      <w:bookmarkEnd w:id="418"/>
      <w:r/>
      <w:bookmarkEnd w:id="419"/>
      <w:r/>
      <w:r/>
    </w:p>
    <w:p>
      <w:pPr>
        <w:pStyle w:val="1454"/>
        <w:jc w:val="center"/>
        <w:keepLines w:val="0"/>
        <w:keepNext w:val="0"/>
        <w:pageBreakBefore w:val="0"/>
        <w:spacing w:before="567" w:after="567" w:line="520" w:lineRule="exact"/>
        <w:shd w:val="clear" w:color="auto"/>
        <w:widowControl/>
        <w:rPr>
          <w:rFonts w:hint="eastAsia" w:ascii="宋体" w:hAnsi="宋体" w:eastAsia="宋体" w:cs="宋体"/>
          <w:color w:val="000000" w:themeColor="text1"/>
          <w:spacing w:val="0"/>
          <w:highlight w:val="none"/>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监狱企业的证明文件</w:t>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注：</w:t>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shd w:val="clear" w:color="auto"/>
        <w:widowControl w:val="off"/>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 xml:space="preserve">2.若供应商对照《关于政府采购支持监狱企业发展有关问题的通知》（财库〔2014〕68号）中的规定，明确不符合监狱企业条件的，则无需提供相关证明文件。</w:t>
      </w:r>
      <w:r/>
    </w:p>
    <w:p>
      <w:pPr>
        <w:shd w:val="clear" w:color="auto"/>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r>
      <w:r/>
    </w:p>
    <w:p>
      <w:pPr>
        <w:shd w:val="clear" w:color="auto"/>
        <w:rPr>
          <w:rStyle w:val="1425"/>
          <w:rFonts w:hint="eastAsia" w:ascii="宋体" w:hAnsi="宋体" w:eastAsia="宋体" w:cs="宋体"/>
          <w:caps w:val="0"/>
          <w:smallCaps w:val="0"/>
          <w:color w:val="000000" w:themeColor="text1"/>
          <w:spacing w:val="0"/>
          <w:highlight w:val="none"/>
          <w:lang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eastAsia="宋体" w:cs="宋体"/>
          <w:caps w:val="0"/>
          <w:smallCaps w:val="0"/>
          <w:color w:val="000000" w:themeColor="text1"/>
          <w:spacing w:val="0"/>
          <w:highlight w:val="none"/>
          <w:lang w:eastAsia="zh-CN"/>
          <w14:textFill>
            <w14:solidFill>
              <w14:schemeClr w14:val="tx1"/>
            </w14:solidFill>
          </w14:textFill>
        </w:rPr>
      </w:r>
      <w:r/>
    </w:p>
    <w:p>
      <w:pPr>
        <w:ind w:left="0" w:right="0" w:firstLine="0"/>
        <w:jc w:val="center"/>
        <w:spacing w:before="0" w:after="0"/>
        <w:shd w:val="clear" w:color="auto"/>
        <w:rPr>
          <w:rFonts w:hint="eastAsia" w:ascii="宋体" w:hAnsi="宋体" w:eastAsia="宋体" w:cs="宋体"/>
          <w:color w:val="000000" w:themeColor="text1"/>
          <w:spacing w:val="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0"/>
          <w:sz w:val="32"/>
          <w:highlight w:val="none"/>
          <w14:textFill>
            <w14:solidFill>
              <w14:schemeClr w14:val="tx1"/>
            </w14:solidFill>
          </w14:textFill>
        </w:rPr>
        <w:t xml:space="preserve">未被“信用中国”网站（www.creditchina.gov.cn）列入失信被执行人、重大税收违法案件当事人名单、政府采购严重失信行为记录名单（提供相关证明材料）</w:t>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220"/>
        <w:ind w:left="0" w:firstLine="0"/>
        <w:shd w:val="clear" w:color="auto"/>
        <w:rPr>
          <w:rFonts w:hint="eastAsia" w:ascii="宋体" w:hAnsi="宋体" w:eastAsia="宋体" w:cs="宋体"/>
          <w:b/>
          <w:color w:val="000000" w:themeColor="text1"/>
          <w:spacing w:val="0"/>
          <w:sz w:val="32"/>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themeColor="text1"/>
          <w:spacing w:val="0"/>
          <w:sz w:val="32"/>
          <w:highlight w:val="none"/>
          <w:lang w:val="en-US" w:eastAsia="zh-CN"/>
          <w14:textFill>
            <w14:solidFill>
              <w14:schemeClr w14:val="tx1"/>
            </w14:solidFill>
          </w14:textFill>
        </w:rPr>
      </w:r>
      <w:r/>
    </w:p>
    <w:p>
      <w:pPr>
        <w:pStyle w:val="1458"/>
        <w:jc w:val="left"/>
        <w:keepLines w:val="0"/>
        <w:keepNext w:val="0"/>
        <w:pageBreakBefore w:val="0"/>
        <w:spacing w:line="520" w:lineRule="exact"/>
        <w:shd w:val="clear" w:color="auto"/>
        <w:widowControl/>
        <w:rPr>
          <w:rStyle w:val="1425"/>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outlineLvl w:val="1"/>
      </w:pPr>
      <w:r/>
      <w:bookmarkStart w:id="420" w:name="_Toc24206"/>
      <w:r>
        <w:rPr>
          <w:rStyle w:val="1425"/>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五</w:t>
      </w:r>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w:t>
      </w:r>
      <w:bookmarkEnd w:id="412"/>
      <w:r/>
      <w:bookmarkEnd w:id="413"/>
      <w:r>
        <w:rPr>
          <w:rStyle w:val="1425"/>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 xml:space="preserve">经费测算明细表</w:t>
      </w:r>
      <w:bookmarkEnd w:id="420"/>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经费测算明细表</w:t>
      </w:r>
      <w:r/>
    </w:p>
    <w:p>
      <w:pPr>
        <w:pStyle w:val="1454"/>
        <w:jc w:val="center"/>
        <w:keepLines w:val="0"/>
        <w:keepNext w:val="0"/>
        <w:pageBreakBefore w:val="0"/>
        <w:spacing w:before="181" w:after="181"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（一）乘航社区内开放区域保洁</w:t>
      </w:r>
      <w:r/>
    </w:p>
    <w:tbl>
      <w:tblPr>
        <w:tblStyle w:val="12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2"/>
        <w:gridCol w:w="2225"/>
        <w:gridCol w:w="2100"/>
        <w:gridCol w:w="1388"/>
        <w:gridCol w:w="1437"/>
        <w:gridCol w:w="1713"/>
      </w:tblGrid>
      <w:tr>
        <w:trPr>
          <w:jc w:val="center"/>
          <w:trHeight w:val="680"/>
        </w:trPr>
        <w:tc>
          <w:tcPr>
            <w:tcW w:w="852" w:type="dxa"/>
            <w:vAlign w:val="center"/>
            <w:textDirection w:val="lrTb"/>
            <w:noWrap w:val="false"/>
          </w:tcPr>
          <w:p>
            <w:pPr>
              <w:jc w:val="center"/>
              <w:spacing w:before="61"/>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序号</w:t>
            </w:r>
            <w:r/>
          </w:p>
        </w:tc>
        <w:tc>
          <w:tcPr>
            <w:tcBorders>
              <w:bottom w:val="single" w:color="auto" w:sz="4" w:space="0"/>
            </w:tcBorders>
            <w:tcW w:w="2225"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费用名称</w:t>
            </w:r>
            <w:r/>
          </w:p>
        </w:tc>
        <w:tc>
          <w:tcPr>
            <w:tcW w:w="2100"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14:textFill>
                  <w14:solidFill>
                    <w14:schemeClr w14:val="tx1"/>
                  </w14:solidFill>
                </w14:textFill>
              </w:rPr>
              <w:t xml:space="preserve">测算依据和测算式</w:t>
            </w:r>
            <w:r/>
          </w:p>
        </w:tc>
        <w:tc>
          <w:tcPr>
            <w:tcW w:w="1388"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月支出</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（元）</w:t>
            </w:r>
            <w:r/>
          </w:p>
        </w:tc>
        <w:tc>
          <w:tcPr>
            <w:tcW w:w="1437"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一年支出</w:t>
            </w:r>
            <w:r/>
          </w:p>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（12个月）</w:t>
            </w:r>
            <w:r/>
          </w:p>
        </w:tc>
        <w:tc>
          <w:tcPr>
            <w:tcW w:w="1713" w:type="dxa"/>
            <w:vAlign w:val="center"/>
            <w:textDirection w:val="lrTb"/>
            <w:noWrap w:val="false"/>
          </w:tcPr>
          <w:p>
            <w:pPr>
              <w:jc w:val="center"/>
              <w:spacing w:before="61"/>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管理、服务人员工资及附加</w:t>
            </w:r>
            <w:r/>
          </w:p>
        </w:tc>
        <w:tc>
          <w:tcPr>
            <w:tcBorders>
              <w:left w:val="single" w:color="auto" w:sz="4" w:space="0"/>
            </w:tcBorders>
            <w:tcW w:w="2100"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713" w:type="dxa"/>
            <w:vAlign w:val="center"/>
            <w:textDirection w:val="lrTb"/>
            <w:noWrap w:val="false"/>
          </w:tcPr>
          <w:p>
            <w:pPr>
              <w:ind w:left="58"/>
              <w:jc w:val="center"/>
              <w:spacing w:before="178"/>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需另附明细</w:t>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left w:val="single" w:color="auto" w:sz="4" w:space="0"/>
            </w:tcBorders>
            <w:tcW w:w="2100"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437"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58"/>
              <w:jc w:val="center"/>
              <w:spacing w:before="17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1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6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437" w:type="dxa"/>
            <w:vAlign w:val="center"/>
            <w:textDirection w:val="lrTb"/>
            <w:noWrap w:val="false"/>
          </w:tcPr>
          <w:p>
            <w:pPr>
              <w:jc w:val="center"/>
              <w:spacing w:before="26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2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6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6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tcBorders>
            <w:tcW w:w="1713" w:type="dxa"/>
            <w:vAlign w:val="center"/>
            <w:textDirection w:val="lrTb"/>
            <w:noWrap w:val="false"/>
          </w:tcPr>
          <w:p>
            <w:pPr>
              <w:ind w:left="58"/>
              <w:jc w:val="left"/>
              <w:spacing w:before="22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ind w:left="32"/>
              <w:jc w:val="center"/>
              <w:spacing w:before="2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8"/>
              <w:jc w:val="left"/>
              <w:spacing w:before="1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6"/>
              <w:jc w:val="center"/>
              <w:spacing w:before="12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8"/>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23"/>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7" w:hanging="20"/>
              <w:jc w:val="left"/>
              <w:spacing w:before="133"/>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W w:w="852" w:type="dxa"/>
            <w:vAlign w:val="center"/>
            <w:textDirection w:val="lrTb"/>
            <w:noWrap w:val="false"/>
          </w:tcPr>
          <w:p>
            <w:pPr>
              <w:jc w:val="center"/>
              <w:spacing w:before="18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25" w:type="dxa"/>
            <w:vAlign w:val="center"/>
            <w:textDirection w:val="lrTb"/>
            <w:noWrap w:val="false"/>
          </w:tcPr>
          <w:p>
            <w:pPr>
              <w:ind w:left="41"/>
              <w:jc w:val="center"/>
              <w:spacing w:before="178"/>
              <w:widowControl/>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r>
            <w:r/>
          </w:p>
        </w:tc>
        <w:tc>
          <w:tcPr>
            <w:tcW w:w="2100" w:type="dxa"/>
            <w:vAlign w:val="center"/>
            <w:textDirection w:val="lrTb"/>
            <w:noWrap w:val="false"/>
          </w:tcPr>
          <w:p>
            <w:pPr>
              <w:ind w:left="32"/>
              <w:jc w:val="center"/>
              <w:spacing w:before="18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186"/>
              <w:jc w:val="center"/>
              <w:spacing w:before="225"/>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gridSpan w:val="2"/>
            <w:tcW w:w="3077" w:type="dxa"/>
            <w:vAlign w:val="center"/>
            <w:textDirection w:val="lrTb"/>
            <w:noWrap w:val="false"/>
          </w:tcPr>
          <w:p>
            <w:pPr>
              <w:jc w:val="center"/>
              <w:spacing w:before="168"/>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合计</w:t>
            </w:r>
            <w:r/>
          </w:p>
        </w:tc>
        <w:tc>
          <w:tcPr>
            <w:tcW w:w="21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136"/>
              <w:jc w:val="center"/>
              <w:spacing w:before="215"/>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713" w:type="dxa"/>
            <w:vAlign w:val="center"/>
            <w:textDirection w:val="lrTb"/>
            <w:noWrap w:val="false"/>
          </w:tcPr>
          <w:p>
            <w:pP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bl>
    <w:p>
      <w:pPr>
        <w:ind w:left="0" w:right="0"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t xml:space="preserve">注：以上表格必须如实提供，内容表述不全的可自行调整或添加。本项目（一）、（二）、（三）三张经费测算明细表合计金额之和，应与开标一览表金额保持一致；如有不符，以开标一览表为准。</w:t>
      </w:r>
      <w:r/>
    </w:p>
    <w:p>
      <w:pPr>
        <w:pStyle w:val="1454"/>
        <w:jc w:val="center"/>
        <w:keepLines w:val="0"/>
        <w:keepNext w:val="0"/>
        <w:pageBreakBefore w:val="0"/>
        <w:spacing w:before="181" w:after="181" w:line="240" w:lineRule="auto"/>
        <w:shd w:val="clear" w:color="auto"/>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bookmarkStart w:id="421" w:name="_Toc21515"/>
      <w:r/>
      <w:bookmarkStart w:id="422" w:name="_Toc4216"/>
      <w:r/>
      <w:bookmarkStart w:id="423" w:name="_Toc22512"/>
      <w:r/>
      <w:bookmarkStart w:id="424" w:name="_Toc5493"/>
      <w:r/>
      <w:bookmarkStart w:id="425" w:name="_Toc17337"/>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（二）江南社区内开放区域保洁</w:t>
      </w:r>
      <w:r/>
    </w:p>
    <w:tbl>
      <w:tblPr>
        <w:tblStyle w:val="12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2"/>
        <w:gridCol w:w="2225"/>
        <w:gridCol w:w="2100"/>
        <w:gridCol w:w="1388"/>
        <w:gridCol w:w="1437"/>
        <w:gridCol w:w="1713"/>
      </w:tblGrid>
      <w:tr>
        <w:trPr>
          <w:jc w:val="center"/>
          <w:trHeight w:val="680"/>
        </w:trPr>
        <w:tc>
          <w:tcPr>
            <w:tcW w:w="852" w:type="dxa"/>
            <w:vAlign w:val="center"/>
            <w:textDirection w:val="lrTb"/>
            <w:noWrap w:val="false"/>
          </w:tcPr>
          <w:p>
            <w:pPr>
              <w:jc w:val="center"/>
              <w:spacing w:before="61"/>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序号</w:t>
            </w:r>
            <w:r/>
          </w:p>
        </w:tc>
        <w:tc>
          <w:tcPr>
            <w:tcBorders>
              <w:bottom w:val="single" w:color="auto" w:sz="4" w:space="0"/>
            </w:tcBorders>
            <w:tcW w:w="2225"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费用名称</w:t>
            </w:r>
            <w:r/>
          </w:p>
        </w:tc>
        <w:tc>
          <w:tcPr>
            <w:tcW w:w="2100"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14:textFill>
                  <w14:solidFill>
                    <w14:schemeClr w14:val="tx1"/>
                  </w14:solidFill>
                </w14:textFill>
              </w:rPr>
              <w:t xml:space="preserve">测算依据和测算式</w:t>
            </w:r>
            <w:r/>
          </w:p>
        </w:tc>
        <w:tc>
          <w:tcPr>
            <w:tcW w:w="1388"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月支出</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（元）</w:t>
            </w:r>
            <w:r/>
          </w:p>
        </w:tc>
        <w:tc>
          <w:tcPr>
            <w:tcW w:w="1437" w:type="dxa"/>
            <w:vAlign w:val="center"/>
            <w:textDirection w:val="lrTb"/>
            <w:noWrap w:val="false"/>
          </w:tcPr>
          <w:p>
            <w:pPr>
              <w:jc w:val="center"/>
              <w:spacing w:before="62"/>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一年支出</w:t>
            </w:r>
            <w:r/>
          </w:p>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（12个月）</w:t>
            </w:r>
            <w:r/>
          </w:p>
        </w:tc>
        <w:tc>
          <w:tcPr>
            <w:tcW w:w="1713" w:type="dxa"/>
            <w:vAlign w:val="center"/>
            <w:textDirection w:val="lrTb"/>
            <w:noWrap w:val="false"/>
          </w:tcPr>
          <w:p>
            <w:pPr>
              <w:jc w:val="center"/>
              <w:spacing w:before="61"/>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管理、服务人员工资及附加</w:t>
            </w:r>
            <w:r/>
          </w:p>
        </w:tc>
        <w:tc>
          <w:tcPr>
            <w:tcBorders>
              <w:left w:val="single" w:color="auto" w:sz="4" w:space="0"/>
            </w:tcBorders>
            <w:tcW w:w="2100"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713" w:type="dxa"/>
            <w:vAlign w:val="center"/>
            <w:textDirection w:val="lrTb"/>
            <w:noWrap w:val="false"/>
          </w:tcPr>
          <w:p>
            <w:pPr>
              <w:ind w:left="58"/>
              <w:jc w:val="center"/>
              <w:spacing w:before="178"/>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需另附明细</w:t>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left w:val="single" w:color="auto" w:sz="4" w:space="0"/>
            </w:tcBorders>
            <w:tcW w:w="2100"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437"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58"/>
              <w:jc w:val="center"/>
              <w:spacing w:before="17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1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6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437" w:type="dxa"/>
            <w:vAlign w:val="center"/>
            <w:textDirection w:val="lrTb"/>
            <w:noWrap w:val="false"/>
          </w:tcPr>
          <w:p>
            <w:pPr>
              <w:jc w:val="center"/>
              <w:spacing w:before="26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2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6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6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tcBorders>
            <w:tcW w:w="1713" w:type="dxa"/>
            <w:vAlign w:val="center"/>
            <w:textDirection w:val="lrTb"/>
            <w:noWrap w:val="false"/>
          </w:tcPr>
          <w:p>
            <w:pPr>
              <w:ind w:left="58"/>
              <w:jc w:val="left"/>
              <w:spacing w:before="22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ind w:left="32"/>
              <w:jc w:val="center"/>
              <w:spacing w:before="2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8"/>
              <w:jc w:val="left"/>
              <w:spacing w:before="1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6"/>
              <w:jc w:val="center"/>
              <w:spacing w:before="12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8"/>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23"/>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7" w:hanging="20"/>
              <w:jc w:val="left"/>
              <w:spacing w:before="133"/>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W w:w="852" w:type="dxa"/>
            <w:vAlign w:val="center"/>
            <w:textDirection w:val="lrTb"/>
            <w:noWrap w:val="false"/>
          </w:tcPr>
          <w:p>
            <w:pPr>
              <w:jc w:val="center"/>
              <w:spacing w:before="18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25" w:type="dxa"/>
            <w:vAlign w:val="center"/>
            <w:textDirection w:val="lrTb"/>
            <w:noWrap w:val="false"/>
          </w:tcPr>
          <w:p>
            <w:pPr>
              <w:ind w:left="41"/>
              <w:jc w:val="center"/>
              <w:spacing w:before="178"/>
              <w:widowControl/>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r>
            <w:r/>
          </w:p>
        </w:tc>
        <w:tc>
          <w:tcPr>
            <w:tcW w:w="2100" w:type="dxa"/>
            <w:vAlign w:val="center"/>
            <w:textDirection w:val="lrTb"/>
            <w:noWrap w:val="false"/>
          </w:tcPr>
          <w:p>
            <w:pPr>
              <w:ind w:left="32"/>
              <w:jc w:val="center"/>
              <w:spacing w:before="18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186"/>
              <w:jc w:val="center"/>
              <w:spacing w:before="225"/>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gridSpan w:val="2"/>
            <w:tcW w:w="3077" w:type="dxa"/>
            <w:vAlign w:val="center"/>
            <w:textDirection w:val="lrTb"/>
            <w:noWrap w:val="false"/>
          </w:tcPr>
          <w:p>
            <w:pPr>
              <w:jc w:val="center"/>
              <w:spacing w:before="168"/>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合计</w:t>
            </w:r>
            <w:r/>
          </w:p>
        </w:tc>
        <w:tc>
          <w:tcPr>
            <w:tcW w:w="21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136"/>
              <w:jc w:val="center"/>
              <w:spacing w:before="215"/>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713" w:type="dxa"/>
            <w:vAlign w:val="center"/>
            <w:textDirection w:val="lrTb"/>
            <w:noWrap w:val="false"/>
          </w:tcPr>
          <w:p>
            <w:pP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bl>
    <w:p>
      <w:pPr>
        <w:ind w:left="0" w:right="0"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t xml:space="preserve">注：以上表格必须如实提供，内容表述不全的可自行调整或添加。本项目（一）、（二）、（三）三张经费测算明细表合计金额之和，应与开标一览表金额保持一致；如有不符，以开标一览表为准。</w:t>
      </w:r>
      <w:r/>
    </w:p>
    <w:p>
      <w:pPr>
        <w:pStyle w:val="1454"/>
        <w:jc w:val="center"/>
        <w:keepLines w:val="0"/>
        <w:keepNext w:val="0"/>
        <w:pageBreakBefore w:val="0"/>
        <w:spacing w:before="181" w:after="181" w:line="240" w:lineRule="auto"/>
        <w:shd w:val="clear" w:color="auto"/>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（三）乘航区域城市管理服务</w:t>
      </w:r>
      <w:r/>
    </w:p>
    <w:tbl>
      <w:tblPr>
        <w:tblStyle w:val="12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2"/>
        <w:gridCol w:w="2225"/>
        <w:gridCol w:w="2100"/>
        <w:gridCol w:w="1388"/>
        <w:gridCol w:w="1437"/>
        <w:gridCol w:w="1713"/>
      </w:tblGrid>
      <w:tr>
        <w:trPr>
          <w:jc w:val="center"/>
          <w:trHeight w:val="680"/>
        </w:trPr>
        <w:tc>
          <w:tcPr>
            <w:tcW w:w="852" w:type="dxa"/>
            <w:vAlign w:val="center"/>
            <w:textDirection w:val="lrTb"/>
            <w:noWrap w:val="false"/>
          </w:tcPr>
          <w:p>
            <w:pPr>
              <w:jc w:val="center"/>
              <w:spacing w:before="61"/>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序号</w:t>
            </w:r>
            <w:r/>
          </w:p>
        </w:tc>
        <w:tc>
          <w:tcPr>
            <w:tcBorders>
              <w:bottom w:val="single" w:color="auto" w:sz="4" w:space="0"/>
            </w:tcBorders>
            <w:tcW w:w="2225"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费用名称</w:t>
            </w:r>
            <w:r/>
          </w:p>
        </w:tc>
        <w:tc>
          <w:tcPr>
            <w:tcW w:w="2100"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14:textFill>
                  <w14:solidFill>
                    <w14:schemeClr w14:val="tx1"/>
                  </w14:solidFill>
                </w14:textFill>
              </w:rPr>
              <w:t xml:space="preserve">测算依据和测算式</w:t>
            </w:r>
            <w:r/>
          </w:p>
        </w:tc>
        <w:tc>
          <w:tcPr>
            <w:tcW w:w="1388" w:type="dxa"/>
            <w:vAlign w:val="center"/>
            <w:textDirection w:val="lrTb"/>
            <w:noWrap w:val="false"/>
          </w:tcPr>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月支出</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14:textFill>
                  <w14:solidFill>
                    <w14:schemeClr w14:val="tx1"/>
                  </w14:solidFill>
                </w14:textFill>
              </w:rPr>
              <w:t xml:space="preserve">（元）</w:t>
            </w:r>
            <w:r/>
          </w:p>
        </w:tc>
        <w:tc>
          <w:tcPr>
            <w:tcW w:w="1437" w:type="dxa"/>
            <w:vAlign w:val="center"/>
            <w:textDirection w:val="lrTb"/>
            <w:noWrap w:val="false"/>
          </w:tcPr>
          <w:p>
            <w:pPr>
              <w:jc w:val="center"/>
              <w:spacing w:before="62"/>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一年支出</w:t>
            </w:r>
            <w:r/>
          </w:p>
          <w:p>
            <w:pPr>
              <w:jc w:val="center"/>
              <w:spacing w:before="62"/>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（12个月）</w:t>
            </w:r>
            <w:r/>
          </w:p>
        </w:tc>
        <w:tc>
          <w:tcPr>
            <w:tcW w:w="1713" w:type="dxa"/>
            <w:vAlign w:val="center"/>
            <w:textDirection w:val="lrTb"/>
            <w:noWrap w:val="false"/>
          </w:tcPr>
          <w:p>
            <w:pPr>
              <w:jc w:val="center"/>
              <w:spacing w:before="61"/>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管理、服务人员工资及附加</w:t>
            </w:r>
            <w:r/>
          </w:p>
        </w:tc>
        <w:tc>
          <w:tcPr>
            <w:tcBorders>
              <w:left w:val="single" w:color="auto" w:sz="4" w:space="0"/>
            </w:tcBorders>
            <w:tcW w:w="2100"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713" w:type="dxa"/>
            <w:vAlign w:val="center"/>
            <w:textDirection w:val="lrTb"/>
            <w:noWrap w:val="false"/>
          </w:tcPr>
          <w:p>
            <w:pPr>
              <w:ind w:left="58"/>
              <w:jc w:val="center"/>
              <w:spacing w:before="178"/>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需另附明细</w:t>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Borders>
              <w:left w:val="single" w:color="auto" w:sz="4" w:space="0"/>
            </w:tcBorders>
            <w:tcW w:w="2100"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437"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58"/>
              <w:jc w:val="center"/>
              <w:spacing w:before="17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4"/>
              <w:jc w:val="center"/>
              <w:spacing w:before="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1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6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437" w:type="dxa"/>
            <w:vAlign w:val="center"/>
            <w:textDirection w:val="lrTb"/>
            <w:noWrap w:val="false"/>
          </w:tcPr>
          <w:p>
            <w:pPr>
              <w:jc w:val="center"/>
              <w:spacing w:before="268"/>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2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6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69"/>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tcBorders>
            <w:tcW w:w="1713" w:type="dxa"/>
            <w:vAlign w:val="center"/>
            <w:textDirection w:val="lrTb"/>
            <w:noWrap w:val="false"/>
          </w:tcPr>
          <w:p>
            <w:pPr>
              <w:ind w:left="58"/>
              <w:jc w:val="left"/>
              <w:spacing w:before="22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ind w:left="32"/>
              <w:jc w:val="center"/>
              <w:spacing w:before="26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6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8"/>
              <w:jc w:val="left"/>
              <w:spacing w:before="1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right="166"/>
              <w:jc w:val="center"/>
              <w:spacing w:before="12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8"/>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ind w:left="32"/>
              <w:jc w:val="center"/>
              <w:spacing w:before="223"/>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2100" w:type="dxa"/>
            <w:vAlign w:val="center"/>
            <w:textDirection w:val="lrTb"/>
            <w:noWrap w:val="false"/>
          </w:tcPr>
          <w:p>
            <w:pPr>
              <w:jc w:val="center"/>
              <w:spacing w:before="222"/>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jc w:val="center"/>
              <w:spacing w:before="27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ind w:left="57" w:hanging="20"/>
              <w:jc w:val="left"/>
              <w:spacing w:before="133"/>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tcW w:w="852" w:type="dxa"/>
            <w:vAlign w:val="center"/>
            <w:textDirection w:val="lrTb"/>
            <w:noWrap w:val="false"/>
          </w:tcPr>
          <w:p>
            <w:pPr>
              <w:jc w:val="center"/>
              <w:spacing w:before="181"/>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25" w:type="dxa"/>
            <w:vAlign w:val="center"/>
            <w:textDirection w:val="lrTb"/>
            <w:noWrap w:val="false"/>
          </w:tcPr>
          <w:p>
            <w:pPr>
              <w:ind w:left="41"/>
              <w:jc w:val="center"/>
              <w:spacing w:before="178"/>
              <w:widowControl/>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r>
            <w:r/>
          </w:p>
        </w:tc>
        <w:tc>
          <w:tcPr>
            <w:tcW w:w="2100" w:type="dxa"/>
            <w:vAlign w:val="center"/>
            <w:textDirection w:val="lrTb"/>
            <w:noWrap w:val="false"/>
          </w:tcPr>
          <w:p>
            <w:pPr>
              <w:ind w:left="32"/>
              <w:jc w:val="center"/>
              <w:spacing w:before="180"/>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186"/>
              <w:jc w:val="center"/>
              <w:spacing w:before="225"/>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80"/>
        </w:trPr>
        <w:tc>
          <w:tcPr>
            <w:gridSpan w:val="2"/>
            <w:tcW w:w="3077" w:type="dxa"/>
            <w:vAlign w:val="center"/>
            <w:textDirection w:val="lrTb"/>
            <w:noWrap w:val="false"/>
          </w:tcPr>
          <w:p>
            <w:pPr>
              <w:jc w:val="center"/>
              <w:spacing w:before="168"/>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 xml:space="preserve">合计</w:t>
            </w:r>
            <w:r/>
          </w:p>
        </w:tc>
        <w:tc>
          <w:tcPr>
            <w:tcW w:w="2100"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38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437" w:type="dxa"/>
            <w:vAlign w:val="center"/>
            <w:textDirection w:val="lrTb"/>
            <w:noWrap w:val="false"/>
          </w:tcPr>
          <w:p>
            <w:pPr>
              <w:ind w:left="136"/>
              <w:jc w:val="center"/>
              <w:spacing w:before="215"/>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1713" w:type="dxa"/>
            <w:vAlign w:val="center"/>
            <w:textDirection w:val="lrTb"/>
            <w:noWrap w:val="false"/>
          </w:tcPr>
          <w:p>
            <w:pP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r>
    </w:tbl>
    <w:p>
      <w:pPr>
        <w:ind w:left="0" w:right="0" w:firstLine="480"/>
        <w:keepLines w:val="0"/>
        <w:keepNext w:val="0"/>
        <w:pageBreakBefore w:val="0"/>
        <w:spacing w:line="520" w:lineRule="atLeast"/>
        <w:shd w:val="clear" w:color="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t xml:space="preserve">注：以上表格必须如实提供，内容表述不全的可自行调整或添加。本项目（一）、（二）、（三）三张经费测算明细表合计金额之和，应与开标一览表金额保持一致；如有不符，以开标一览表为准。</w:t>
      </w:r>
      <w:bookmarkEnd w:id="421"/>
      <w:r/>
      <w:r/>
    </w:p>
    <w:p>
      <w:pPr>
        <w:pStyle w:val="1458"/>
        <w:jc w:val="left"/>
        <w:keepLines w:val="0"/>
        <w:keepNext w:val="0"/>
        <w:pageBreakBefore w:val="0"/>
        <w:spacing w:line="520" w:lineRule="exact"/>
        <w:shd w:val="clear" w:color="auto"/>
        <w:widowControl/>
        <w:rPr>
          <w:rStyle w:val="1425"/>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outlineLvl w:val="1"/>
      </w:pPr>
      <w:r/>
      <w:bookmarkStart w:id="426" w:name="_Toc11731"/>
      <w:r>
        <w:rPr>
          <w:rStyle w:val="1425"/>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六</w:t>
      </w:r>
      <w:r>
        <w:rPr>
          <w:rStyle w:val="1425"/>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 xml:space="preserve">、第四章项目需求中实质性要求响应对照表</w:t>
      </w:r>
      <w:bookmarkEnd w:id="422"/>
      <w:r/>
      <w:bookmarkEnd w:id="423"/>
      <w:r/>
      <w:bookmarkEnd w:id="424"/>
      <w:r/>
      <w:bookmarkEnd w:id="425"/>
      <w:r/>
      <w:bookmarkEnd w:id="426"/>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bookmarkStart w:id="427" w:name="_Toc8782"/>
      <w:r/>
      <w:bookmarkStart w:id="428" w:name="_Toc12266"/>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第四章项目需求中实质性要求响应对照表</w:t>
      </w:r>
      <w:bookmarkEnd w:id="427"/>
      <w:r/>
      <w:bookmarkEnd w:id="428"/>
      <w:r/>
      <w:r/>
    </w:p>
    <w:p>
      <w:pPr>
        <w:pStyle w:val="1481"/>
        <w:ind w:firstLine="482"/>
        <w:spacing w:line="440" w:lineRule="exact"/>
        <w:shd w:val="clear" w:color="auto"/>
        <w:rPr>
          <w:rStyle w:val="1409"/>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Style w:val="1409"/>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1、技术要求的实质性格式</w:t>
      </w:r>
      <w:r/>
    </w:p>
    <w:tbl>
      <w:tblPr>
        <w:tblStyle w:val="1219"/>
        <w:tblW w:w="49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6"/>
        <w:gridCol w:w="10258"/>
        <w:gridCol w:w="1460"/>
        <w:gridCol w:w="1548"/>
      </w:tblGrid>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10259"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技术</w:t>
            </w:r>
            <w:r>
              <w:rPr>
                <w:rStyle w:val="140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条款</w:t>
            </w:r>
            <w:r>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的实质性要求</w:t>
            </w:r>
            <w:r/>
          </w:p>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投标响应情况</w:t>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正偏离、符合或负偏离</w:t>
            </w:r>
            <w:r/>
          </w:p>
        </w:tc>
      </w:tr>
      <w:tr>
        <w:trPr>
          <w:trHeight w:val="90"/>
        </w:trPr>
        <w:tc>
          <w:tcPr>
            <w:tcMar>
              <w:left w:w="0" w:type="dxa"/>
              <w:top w:w="0" w:type="dxa"/>
              <w:right w:w="0" w:type="dxa"/>
              <w:bottom w:w="0" w:type="dxa"/>
            </w:tcMar>
            <w:tcW w:w="598" w:type="dxa"/>
            <w:vAlign w:val="center"/>
            <w:textDirection w:val="lrTb"/>
            <w:noWrap w:val="false"/>
          </w:tcPr>
          <w:p>
            <w:pPr>
              <w:pStyle w:val="1481"/>
              <w:jc w:val="center"/>
              <w:keepLines w:val="0"/>
              <w:keepNext w:val="0"/>
              <w:pageBreakBefore w:val="0"/>
              <w:spacing w:line="460" w:lineRule="exact"/>
              <w:widowControl/>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w:t>
            </w:r>
            <w:r/>
          </w:p>
        </w:tc>
        <w:tc>
          <w:tcPr>
            <w:tcMar>
              <w:left w:w="0" w:type="dxa"/>
              <w:top w:w="0" w:type="dxa"/>
              <w:right w:w="0" w:type="dxa"/>
              <w:bottom w:w="0" w:type="dxa"/>
            </w:tcMar>
            <w:tcW w:w="10259" w:type="dxa"/>
            <w:vAlign w:val="center"/>
            <w:textDirection w:val="lrTb"/>
            <w:noWrap w:val="false"/>
          </w:tcPr>
          <w:p>
            <w:pPr>
              <w:pStyle w:val="1476"/>
              <w:jc w:val="left"/>
              <w:keepLines w:val="0"/>
              <w:keepNext w:val="0"/>
              <w:pageBreakBefore w:val="0"/>
              <w:spacing w:line="460" w:lineRule="exact"/>
              <w:shd w:val="clear" w:color="auto" w:fill="auto"/>
              <w:widowControl/>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乘航社区、江南社区开放区域保洁技术要求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（三）保洁服务要求</w:t>
            </w:r>
            <w:r/>
          </w:p>
          <w:p>
            <w:pPr>
              <w:pStyle w:val="1476"/>
              <w:jc w:val="left"/>
              <w:keepLines w:val="0"/>
              <w:keepNext w:val="0"/>
              <w:pageBreakBefore w:val="0"/>
              <w:spacing w:line="460" w:lineRule="exact"/>
              <w:shd w:val="clear" w:color="auto" w:fill="auto"/>
              <w:widowControl/>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乘航社区保洁人员不少于15人、江南社区保洁人员不少于5人</w:t>
            </w: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keepLines w:val="0"/>
              <w:keepNext w:val="0"/>
              <w:pageBreakBefore w:val="0"/>
              <w:spacing w:line="460" w:lineRule="exact"/>
              <w:widowControl/>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2</w:t>
            </w:r>
            <w:r/>
          </w:p>
        </w:tc>
        <w:tc>
          <w:tcPr>
            <w:tcMar>
              <w:left w:w="0" w:type="dxa"/>
              <w:top w:w="0" w:type="dxa"/>
              <w:right w:w="0" w:type="dxa"/>
              <w:bottom w:w="0" w:type="dxa"/>
            </w:tcMar>
            <w:tcW w:w="10259" w:type="dxa"/>
            <w:vAlign w:val="center"/>
            <w:textDirection w:val="lrTb"/>
            <w:noWrap w:val="false"/>
          </w:tcPr>
          <w:p>
            <w:pPr>
              <w:pStyle w:val="1476"/>
              <w:jc w:val="left"/>
              <w:keepLines w:val="0"/>
              <w:keepNext w:val="0"/>
              <w:pageBreakBefore w:val="0"/>
              <w:spacing w:line="460" w:lineRule="exact"/>
              <w:shd w:val="clear" w:color="auto" w:fill="auto"/>
              <w:widowControl/>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乘航社区、江南社区开放区域保洁技术要求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（三）保洁服务要求</w:t>
            </w:r>
            <w:r/>
          </w:p>
          <w:p>
            <w:pPr>
              <w:pStyle w:val="1476"/>
              <w:jc w:val="left"/>
              <w:keepLines w:val="0"/>
              <w:keepNext w:val="0"/>
              <w:pageBreakBefore w:val="0"/>
              <w:spacing w:line="460" w:lineRule="exact"/>
              <w:shd w:val="clear" w:color="auto" w:fill="auto"/>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lang w:val="en-US" w:eastAsia="zh-CN" w:bidi="ar-SA"/>
                <w14:textFill>
                  <w14:solidFill>
                    <w14:schemeClr w14:val="tx1"/>
                  </w14:solidFill>
                </w14:textFill>
              </w:rPr>
              <w:t xml:space="preserve">乘航社区秩序维护人员不少于2人，江南社区秩序维护人员不少于2人。负责整个服务区域的安全保卫等工作。</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keepLines w:val="0"/>
              <w:keepNext w:val="0"/>
              <w:pageBreakBefore w:val="0"/>
              <w:spacing w:line="460" w:lineRule="exact"/>
              <w:widowControl/>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3</w:t>
            </w:r>
            <w:r/>
          </w:p>
        </w:tc>
        <w:tc>
          <w:tcPr>
            <w:tcMar>
              <w:left w:w="0" w:type="dxa"/>
              <w:top w:w="0" w:type="dxa"/>
              <w:right w:w="0" w:type="dxa"/>
              <w:bottom w:w="0" w:type="dxa"/>
            </w:tcMar>
            <w:tcW w:w="10259" w:type="dxa"/>
            <w:vAlign w:val="center"/>
            <w:textDirection w:val="lrTb"/>
            <w:noWrap w:val="false"/>
          </w:tcPr>
          <w:p>
            <w:pPr>
              <w:pStyle w:val="1476"/>
              <w:jc w:val="left"/>
              <w:keepLines w:val="0"/>
              <w:keepNext w:val="0"/>
              <w:pageBreakBefore w:val="0"/>
              <w:spacing w:line="460" w:lineRule="exact"/>
              <w:shd w:val="clear" w:color="auto" w:fill="auto"/>
              <w:widowControl/>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乘航社区、江南社区开放区域保洁技术要求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（三）保洁服务要求</w:t>
            </w:r>
            <w:r/>
          </w:p>
          <w:p>
            <w:pPr>
              <w:pStyle w:val="1447"/>
              <w:ind w:left="0" w:firstLine="0"/>
              <w:keepLines w:val="0"/>
              <w:keepNext w:val="0"/>
              <w:pageBreakBefore w:val="0"/>
              <w:spacing w:line="460" w:lineRule="exact"/>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乘航社区垃圾清运车</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驾驶员不少于1</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人</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。负责整个服务区域的其他生活垃圾清运至环卫中转站</w:t>
            </w:r>
            <w:r>
              <w:rPr>
                <w:rFonts w:hint="eastAsia" w:ascii="宋体" w:hAnsi="宋体" w:eastAsia="宋体" w:cs="宋体"/>
                <w:i/>
                <w:iCs/>
                <w:caps w:val="0"/>
                <w:color w:val="000000" w:themeColor="text1"/>
                <w:spacing w:val="0"/>
                <w:sz w:val="24"/>
                <w:szCs w:val="24"/>
                <w:highlight w:val="none"/>
                <w:u w:val="single"/>
                <w:lang w:eastAsia="zh-CN"/>
                <w14:textFill>
                  <w14:solidFill>
                    <w14:schemeClr w14:val="tx1"/>
                  </w14:solidFill>
                </w14:textFill>
              </w:rPr>
              <w:t xml:space="preserve">。</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keepLines w:val="0"/>
              <w:keepNext w:val="0"/>
              <w:pageBreakBefore w:val="0"/>
              <w:spacing w:line="460" w:lineRule="exact"/>
              <w:widowControl/>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4</w:t>
            </w:r>
            <w:r/>
          </w:p>
        </w:tc>
        <w:tc>
          <w:tcPr>
            <w:tcMar>
              <w:left w:w="0" w:type="dxa"/>
              <w:top w:w="0" w:type="dxa"/>
              <w:right w:w="0" w:type="dxa"/>
              <w:bottom w:w="0" w:type="dxa"/>
            </w:tcMar>
            <w:tcW w:w="10259" w:type="dxa"/>
            <w:vAlign w:val="center"/>
            <w:textDirection w:val="lrTb"/>
            <w:noWrap w:val="false"/>
          </w:tcPr>
          <w:p>
            <w:pPr>
              <w:pStyle w:val="1476"/>
              <w:jc w:val="left"/>
              <w:keepLines w:val="0"/>
              <w:keepNext w:val="0"/>
              <w:pageBreakBefore w:val="0"/>
              <w:spacing w:line="460" w:lineRule="exact"/>
              <w:shd w:val="clear" w:color="auto" w:fill="auto"/>
              <w:widowControl/>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乘航社区、江南社区开放区域保洁技术要求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（三）保洁服务要求</w:t>
            </w:r>
            <w:r/>
          </w:p>
          <w:p>
            <w:pPr>
              <w:pStyle w:val="1447"/>
              <w:ind w:left="0" w:firstLine="0"/>
              <w:keepLines w:val="0"/>
              <w:keepNext w:val="0"/>
              <w:pageBreakBefore w:val="0"/>
              <w:spacing w:line="460" w:lineRule="exact"/>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（9）考核以上级督查通报为依据，如</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管理的区域每次在市级及以上考核为后三名或在市级及以上考核中属“一般小区”的扣3000元（同一地点第二次通报扣4000元，第三次通报扣5000元)，第四次在市级及以上考核属后三名或属“一般小区”的将终止合同并扣除履约保证金，</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的项目负责人必须每天在现场办公（如遇迎检及线路保障，项目负责人必须全程参与，少一次扣200元）</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870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5</w:t>
            </w:r>
            <w:r/>
          </w:p>
        </w:tc>
        <w:tc>
          <w:tcPr>
            <w:tcMar>
              <w:left w:w="0" w:type="dxa"/>
              <w:top w:w="0" w:type="dxa"/>
              <w:right w:w="0" w:type="dxa"/>
              <w:bottom w:w="0" w:type="dxa"/>
            </w:tcMar>
            <w:tcW w:w="10259" w:type="dxa"/>
            <w:vAlign w:val="center"/>
            <w:textDirection w:val="lrTb"/>
            <w:noWrap w:val="false"/>
          </w:tcPr>
          <w:p>
            <w:pPr>
              <w:pStyle w:val="1476"/>
              <w:jc w:val="left"/>
              <w:keepLines w:val="0"/>
              <w:keepNext w:val="0"/>
              <w:pageBreakBefore w:val="0"/>
              <w:spacing w:line="520" w:lineRule="exact"/>
              <w:shd w:val="clear" w:color="auto" w:fill="auto"/>
              <w:widowControl/>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乘航社区、江南社区开放区域保洁技术要求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（四）人员配备标准</w:t>
            </w:r>
            <w:r/>
          </w:p>
          <w:p>
            <w:pPr>
              <w:jc w:val="center"/>
              <w:keepLines w:val="0"/>
              <w:keepNext w:val="0"/>
              <w:pageBreakBefore w:val="0"/>
              <w:spacing w:before="157" w:line="240" w:lineRule="auto"/>
              <w:shd w:val="clear" w:color="auto" w:fill="auto"/>
              <w:widowControl w:val="off"/>
              <w:rPr>
                <w:rFonts w:hint="eastAsia" w:ascii="宋体" w:hAnsi="宋体" w:eastAsia="宋体" w:cs="宋体"/>
                <w:b/>
                <w:bCs/>
                <w:caps w:val="0"/>
                <w:color w:val="000000" w:themeColor="text1"/>
                <w:spacing w:val="0"/>
                <w:sz w:val="28"/>
                <w:szCs w:val="28"/>
                <w:highlight w:val="none"/>
                <w14:textFill>
                  <w14:solidFill>
                    <w14:schemeClr w14:val="tx1"/>
                  </w14:solidFill>
                </w14:textFill>
              </w:rPr>
            </w:pPr>
            <w:r>
              <w:rPr>
                <w:rFonts w:hint="eastAsia" w:ascii="宋体" w:hAnsi="宋体" w:eastAsia="宋体" w:cs="宋体"/>
                <w:b/>
                <w:bCs/>
                <w:caps w:val="0"/>
                <w:color w:val="000000" w:themeColor="text1"/>
                <w:spacing w:val="0"/>
                <w:sz w:val="28"/>
                <w:szCs w:val="28"/>
                <w:highlight w:val="none"/>
                <w14:textFill>
                  <w14:solidFill>
                    <w14:schemeClr w14:val="tx1"/>
                  </w14:solidFill>
                </w14:textFill>
              </w:rPr>
              <w:t xml:space="preserve">乘航社区人员配置要求</w:t>
            </w:r>
            <w:r/>
          </w:p>
          <w:tbl>
            <w:tblPr>
              <w:tblStyle w:val="1219"/>
              <w:tblW w:w="49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824"/>
              <w:gridCol w:w="936"/>
              <w:gridCol w:w="4483"/>
              <w:gridCol w:w="2205"/>
            </w:tblGrid>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序号</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岗位</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人数</w:t>
                  </w:r>
                  <w:r/>
                </w:p>
              </w:tc>
              <w:tc>
                <w:tcPr>
                  <w:tcW w:w="2217"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岗位要求</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备注</w:t>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项目负责人</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0人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年龄</w:t>
                  </w:r>
                  <w:r>
                    <w:rPr>
                      <w:rFonts w:hint="eastAsia" w:ascii="宋体" w:hAnsi="宋体" w:cs="宋体"/>
                      <w:bCs/>
                      <w:i/>
                      <w:iCs/>
                      <w:caps w:val="0"/>
                      <w:color w:val="000000" w:themeColor="text1"/>
                      <w:spacing w:val="0"/>
                      <w:sz w:val="24"/>
                      <w:szCs w:val="24"/>
                      <w:highlight w:val="none"/>
                      <w:u w:val="single"/>
                      <w:lang w:val="en-US" w:eastAsia="zh-CN"/>
                      <w14:textFill>
                        <w14:solidFill>
                          <w14:schemeClr w14:val="tx1"/>
                        </w14:solidFill>
                      </w14:textFill>
                    </w:rPr>
                    <w:t xml:space="preserve">≤55</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周岁，</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责任心强，有较好的沟通能力，能统筹协调好各项工作。</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b/>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项目负责人与江南社区共用</w:t>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秩序维护员</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3</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垃圾清运</w:t>
                  </w:r>
                  <w:r>
                    <w:rPr>
                      <w:rFonts w:hint="eastAsia" w:ascii="宋体" w:hAnsi="宋体" w:eastAsia="宋体" w:cs="宋体"/>
                      <w:bCs/>
                      <w:i/>
                      <w:iCs/>
                      <w:caps w:val="0"/>
                      <w:color w:val="000000" w:themeColor="text1"/>
                      <w:spacing w:val="0"/>
                      <w:sz w:val="24"/>
                      <w:szCs w:val="24"/>
                      <w:highlight w:val="none"/>
                      <w:u w:val="single"/>
                      <w:lang w:val="en-US" w:eastAsia="zh-CN"/>
                      <w14:textFill>
                        <w14:solidFill>
                          <w14:schemeClr w14:val="tx1"/>
                        </w14:solidFill>
                      </w14:textFill>
                    </w:rPr>
                    <w:t xml:space="preserve">车驾驶</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员</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身体健康，体检合格，文明礼貌、卫生意识强，吃苦耐劳。</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4</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保洁员</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15人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身体健康，体检合格，文明礼貌、卫生意识强，吃苦耐劳。</w:t>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jc w:val="center"/>
                <w:trHeight w:val="567"/>
              </w:trPr>
              <w:tc>
                <w:tcPr>
                  <w:tcW w:w="325"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5</w:t>
                  </w:r>
                  <w:r/>
                </w:p>
              </w:tc>
              <w:tc>
                <w:tcPr>
                  <w:tcW w:w="902"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合计</w:t>
                  </w:r>
                  <w:r/>
                </w:p>
              </w:tc>
              <w:tc>
                <w:tcPr>
                  <w:tcW w:w="463" w:type="pct"/>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18人</w:t>
                  </w:r>
                  <w:r/>
                </w:p>
              </w:tc>
              <w:tc>
                <w:tcPr>
                  <w:tcW w:w="2217" w:type="pct"/>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r>
                  <w:r/>
                </w:p>
              </w:tc>
              <w:tc>
                <w:tcPr>
                  <w:tcW w:w="1090" w:type="pct"/>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bl>
          <w:p>
            <w:pPr>
              <w:jc w:val="center"/>
              <w:keepLines w:val="0"/>
              <w:keepNext w:val="0"/>
              <w:pageBreakBefore w:val="0"/>
              <w:spacing w:before="157" w:line="240" w:lineRule="auto"/>
              <w:shd w:val="clear" w:color="auto" w:fill="auto"/>
              <w:widowControl w:val="off"/>
              <w:rPr>
                <w:rFonts w:hint="eastAsia" w:ascii="宋体" w:hAnsi="宋体" w:eastAsia="宋体" w:cs="宋体"/>
                <w:b/>
                <w:bCs/>
                <w:caps w:val="0"/>
                <w:color w:val="000000" w:themeColor="text1"/>
                <w:spacing w:val="0"/>
                <w:sz w:val="28"/>
                <w:szCs w:val="28"/>
                <w:highlight w:val="none"/>
                <w14:textFill>
                  <w14:solidFill>
                    <w14:schemeClr w14:val="tx1"/>
                  </w14:solidFill>
                </w14:textFill>
              </w:rPr>
            </w:pPr>
            <w:r>
              <w:rPr>
                <w:rFonts w:hint="eastAsia" w:ascii="宋体" w:hAnsi="宋体" w:eastAsia="宋体" w:cs="宋体"/>
                <w:b/>
                <w:bCs/>
                <w:caps w:val="0"/>
                <w:color w:val="000000" w:themeColor="text1"/>
                <w:spacing w:val="0"/>
                <w:sz w:val="28"/>
                <w:szCs w:val="28"/>
                <w:highlight w:val="none"/>
                <w14:textFill>
                  <w14:solidFill>
                    <w14:schemeClr w14:val="tx1"/>
                  </w14:solidFill>
                </w14:textFill>
              </w:rPr>
              <w:t xml:space="preserve">江南社区人员配置要求</w:t>
            </w:r>
            <w:r/>
          </w:p>
          <w:tbl>
            <w:tblPr>
              <w:tblStyle w:val="1219"/>
              <w:tblW w:w="9849"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627"/>
              <w:gridCol w:w="1640"/>
              <w:gridCol w:w="862"/>
              <w:gridCol w:w="4583"/>
              <w:gridCol w:w="2137"/>
            </w:tblGrid>
            <w:tr>
              <w:trPr>
                <w:trHeight w:val="567"/>
                <w:tblHeader/>
              </w:trPr>
              <w:tc>
                <w:tcPr>
                  <w:tcW w:w="627"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序号</w:t>
                  </w:r>
                  <w:r/>
                </w:p>
              </w:tc>
              <w:tc>
                <w:tcPr>
                  <w:tcW w:w="1640"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岗位</w:t>
                  </w:r>
                  <w:r/>
                </w:p>
              </w:tc>
              <w:tc>
                <w:tcPr>
                  <w:tcW w:w="862"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人数</w:t>
                  </w:r>
                  <w:r/>
                </w:p>
              </w:tc>
              <w:tc>
                <w:tcPr>
                  <w:tcW w:w="4583"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岗位要求</w:t>
                  </w:r>
                  <w:r/>
                </w:p>
              </w:tc>
              <w:tc>
                <w:tcPr>
                  <w:tcW w:w="2137" w:type="dxa"/>
                  <w:vAlign w:val="center"/>
                  <w:textDirection w:val="lrTb"/>
                  <w:noWrap w:val="false"/>
                </w:tcPr>
                <w:p>
                  <w:pPr>
                    <w:jc w:val="center"/>
                    <w:spacing w:line="240" w:lineRule="auto"/>
                    <w:shd w:val="clear" w:color="auto" w:fill="auto"/>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aps w:val="0"/>
                      <w:color w:val="000000" w:themeColor="text1"/>
                      <w:spacing w:val="0"/>
                      <w:sz w:val="24"/>
                      <w:szCs w:val="24"/>
                      <w:highlight w:val="none"/>
                      <w:lang w:eastAsia="zh-CN"/>
                      <w14:textFill>
                        <w14:solidFill>
                          <w14:schemeClr w14:val="tx1"/>
                        </w14:solidFill>
                      </w14:textFill>
                    </w:rPr>
                    <w:t xml:space="preserve">备注</w:t>
                  </w:r>
                  <w:r/>
                </w:p>
              </w:tc>
            </w:tr>
            <w:tr>
              <w:trPr>
                <w:trHeight w:val="567"/>
              </w:trPr>
              <w:tc>
                <w:tcPr>
                  <w:tcW w:w="627"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w:t>
                  </w:r>
                  <w:r/>
                </w:p>
              </w:tc>
              <w:tc>
                <w:tcPr>
                  <w:tcW w:w="164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项目负责人</w:t>
                  </w:r>
                  <w:r/>
                </w:p>
              </w:tc>
              <w:tc>
                <w:tcPr>
                  <w:tcW w:w="86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1人</w:t>
                  </w:r>
                  <w:r/>
                </w:p>
              </w:tc>
              <w:tc>
                <w:tcPr>
                  <w:tcW w:w="4583"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年龄</w:t>
                  </w:r>
                  <w:r>
                    <w:rPr>
                      <w:rFonts w:hint="eastAsia" w:ascii="宋体" w:hAnsi="宋体" w:cs="宋体"/>
                      <w:bCs/>
                      <w:i/>
                      <w:iCs/>
                      <w:caps w:val="0"/>
                      <w:color w:val="000000" w:themeColor="text1"/>
                      <w:spacing w:val="0"/>
                      <w:sz w:val="24"/>
                      <w:szCs w:val="24"/>
                      <w:highlight w:val="none"/>
                      <w:u w:val="single"/>
                      <w:lang w:val="en-US" w:eastAsia="zh-CN"/>
                      <w14:textFill>
                        <w14:solidFill>
                          <w14:schemeClr w14:val="tx1"/>
                        </w14:solidFill>
                      </w14:textFill>
                    </w:rPr>
                    <w:t xml:space="preserve">≤55</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周岁，</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责任心强，有较好的沟通能力，能统筹协调好各项工作。</w:t>
                  </w:r>
                  <w:r/>
                </w:p>
              </w:tc>
              <w:tc>
                <w:tcPr>
                  <w:tcW w:w="2137" w:type="dxa"/>
                  <w:vAlign w:val="center"/>
                  <w:textDirection w:val="lrTb"/>
                  <w:noWrap w:val="false"/>
                </w:tcPr>
                <w:p>
                  <w:pPr>
                    <w:jc w:val="center"/>
                    <w:spacing w:line="240" w:lineRule="auto"/>
                    <w:shd w:val="clear" w:color="auto" w:fill="auto"/>
                    <w:rPr>
                      <w:rFonts w:hint="eastAsia" w:ascii="宋体" w:hAnsi="宋体" w:eastAsia="宋体" w:cs="宋体"/>
                      <w:b/>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项目负责人与乘航社区共用</w:t>
                  </w:r>
                  <w:r/>
                </w:p>
              </w:tc>
            </w:tr>
            <w:tr>
              <w:trPr>
                <w:trHeight w:val="567"/>
              </w:trPr>
              <w:tc>
                <w:tcPr>
                  <w:tcW w:w="627"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w:t>
                  </w:r>
                  <w:r/>
                </w:p>
              </w:tc>
              <w:tc>
                <w:tcPr>
                  <w:tcW w:w="164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秩序维护员</w:t>
                  </w:r>
                  <w:r/>
                </w:p>
              </w:tc>
              <w:tc>
                <w:tcPr>
                  <w:tcW w:w="86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2人</w:t>
                  </w:r>
                  <w:r/>
                </w:p>
              </w:tc>
              <w:tc>
                <w:tcPr>
                  <w:tcW w:w="4583"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身体健康。</w:t>
                  </w:r>
                  <w:r/>
                </w:p>
              </w:tc>
              <w:tc>
                <w:tcPr>
                  <w:tcW w:w="2137" w:type="dxa"/>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r>
              <w:trPr>
                <w:trHeight w:val="567"/>
              </w:trPr>
              <w:tc>
                <w:tcPr>
                  <w:tcW w:w="627"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3</w:t>
                  </w:r>
                  <w:r/>
                </w:p>
              </w:tc>
              <w:tc>
                <w:tcPr>
                  <w:tcW w:w="164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保洁员</w:t>
                  </w:r>
                  <w:r/>
                </w:p>
              </w:tc>
              <w:tc>
                <w:tcPr>
                  <w:tcW w:w="86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5人</w:t>
                  </w:r>
                  <w:r/>
                </w:p>
              </w:tc>
              <w:tc>
                <w:tcPr>
                  <w:tcW w:w="4583"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身体健康，体检合格，文明礼貌、卫生意识强，吃苦耐劳。</w:t>
                  </w:r>
                  <w:r/>
                </w:p>
              </w:tc>
              <w:tc>
                <w:tcPr>
                  <w:tcW w:w="2137" w:type="dxa"/>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其中1人为垃圾</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清运</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车驾驶员</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协助工</w:t>
                  </w:r>
                  <w:r/>
                </w:p>
              </w:tc>
            </w:tr>
            <w:tr>
              <w:trPr>
                <w:trHeight w:val="567"/>
              </w:trPr>
              <w:tc>
                <w:tcPr>
                  <w:tcW w:w="627"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4</w:t>
                  </w:r>
                  <w:r/>
                </w:p>
              </w:tc>
              <w:tc>
                <w:tcPr>
                  <w:tcW w:w="1640"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合计</w:t>
                  </w:r>
                  <w:r/>
                </w:p>
              </w:tc>
              <w:tc>
                <w:tcPr>
                  <w:tcW w:w="862" w:type="dxa"/>
                  <w:vAlign w:val="center"/>
                  <w:textDirection w:val="lrTb"/>
                  <w:noWrap w:val="false"/>
                </w:tcPr>
                <w:p>
                  <w:pPr>
                    <w:jc w:val="center"/>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t xml:space="preserve">8人</w:t>
                  </w:r>
                  <w:r/>
                </w:p>
              </w:tc>
              <w:tc>
                <w:tcPr>
                  <w:tcW w:w="4583" w:type="dxa"/>
                  <w:vAlign w:val="center"/>
                  <w:textDirection w:val="lrTb"/>
                  <w:noWrap w:val="false"/>
                </w:tcPr>
                <w:p>
                  <w:pPr>
                    <w:jc w:val="left"/>
                    <w:spacing w:line="240" w:lineRule="auto"/>
                    <w:shd w:val="clear" w:color="auto" w:fill="auto"/>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14:textFill>
                        <w14:solidFill>
                          <w14:schemeClr w14:val="tx1"/>
                        </w14:solidFill>
                      </w14:textFill>
                    </w:rPr>
                  </w:r>
                  <w:r/>
                </w:p>
              </w:tc>
              <w:tc>
                <w:tcPr>
                  <w:tcW w:w="2137" w:type="dxa"/>
                  <w:vAlign w:val="center"/>
                  <w:textDirection w:val="lrTb"/>
                  <w:noWrap w:val="false"/>
                </w:tcPr>
                <w:p>
                  <w:pPr>
                    <w:jc w:val="center"/>
                    <w:spacing w:line="240" w:lineRule="auto"/>
                    <w:shd w:val="clear" w:color="auto" w:fill="auto"/>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r>
                  <w:r/>
                </w:p>
              </w:tc>
            </w:tr>
          </w:tbl>
          <w:p>
            <w:pPr>
              <w:ind w:firstLine="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注：</w:t>
            </w:r>
            <w:r/>
          </w:p>
          <w:p>
            <w:pPr>
              <w:ind w:firstLine="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（1）</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投标人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根据现场情况自行考虑配备的人员且不少于表格中共计26名人员（乘航社区18人、江南社区8人）配置最低要求。</w:t>
            </w:r>
            <w:r/>
          </w:p>
          <w:p>
            <w:pPr>
              <w:ind w:firstLine="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（2）合同签订生效后一个月内，</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须将委派人员的人员信息（身份证）、劳动合同、社保证明、意外保险等相关材料交于</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备案并全员到岗到位，如资料提供不全或人员缺失，</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有权解除合同并扣除履约保证金。</w:t>
            </w:r>
            <w:r/>
          </w:p>
          <w:p>
            <w:pPr>
              <w:ind w:firstLine="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（3）根据《中华人民共和国劳动合同法》、《中华人民共和国社会保险法》、《住房公积金管理条例》，</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必须依法规范用工，符合规定条件的人员须签订劳动合同，依法参加社会保险、缴存住房公积金，未退休人员工资应不低于最新公布的</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投标人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所在地最低工资标准（经费测算明细表中应载明社会保险、住房公积金缴存金额及员工工资）。</w:t>
            </w:r>
            <w:r/>
          </w:p>
          <w:p>
            <w:pPr>
              <w:ind w:firstLine="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（4）</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需为本项目配备人员购买人身意外保险，保额不低于50万元。</w:t>
            </w:r>
            <w:r/>
          </w:p>
          <w:p>
            <w:pPr>
              <w:ind w:firstLine="0"/>
              <w:jc w:val="left"/>
              <w:keepLines w:val="0"/>
              <w:keepNext w:val="0"/>
              <w:pageBreakBefore w:val="0"/>
              <w:spacing w:line="520" w:lineRule="exact"/>
              <w:shd w:val="clear" w:color="auto" w:fill="auto"/>
              <w:widowControl w:val="off"/>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（5）所有人员须按岗位统一着装，服装费用由</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承担。</w:t>
            </w:r>
            <w:r/>
          </w:p>
          <w:p>
            <w:pPr>
              <w:pStyle w:val="1447"/>
              <w:ind w:left="0" w:firstLine="0"/>
              <w:keepLines w:val="0"/>
              <w:keepNext w:val="0"/>
              <w:pageBreakBefore w:val="0"/>
              <w:spacing w:line="520" w:lineRule="exact"/>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（6）人员配备需合理，服务人员备案后不得随意更换，如有特殊情况，应以书面形式，向</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提出书面情况说明、书面申请、更换人员相关材料等资料，待</w:t>
            </w:r>
            <w:r>
              <w:rPr>
                <w:rFonts w:hint="eastAsia" w:ascii="宋体" w:hAnsi="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bCs/>
                <w:i/>
                <w:iCs/>
                <w:caps w:val="0"/>
                <w:color w:val="000000" w:themeColor="text1"/>
                <w:spacing w:val="0"/>
                <w:sz w:val="24"/>
                <w:szCs w:val="24"/>
                <w:highlight w:val="none"/>
                <w:u w:val="single"/>
                <w:lang w:val="en-US" w:eastAsia="zh-CN" w:bidi="ar-SA"/>
                <w14:textFill>
                  <w14:solidFill>
                    <w14:schemeClr w14:val="tx1"/>
                  </w14:solidFill>
                </w14:textFill>
              </w:rPr>
              <w:t xml:space="preserve">审核通过后才可更换，更换人员的资格要求不低于原岗位人员。如出现无故缺岗、空岗，按实扣除服务费用，即：第一次发现有上述不良行为，将扣除当月服务费的50%并要求限期整改；第二次发现有上述不良行为，将扣除当月服务费的100%并要求限期整改；第三次发现有上述不良行为，将终止合同并扣除履约保证金，按投标承诺书的相关要求执行。</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6</w:t>
            </w:r>
            <w:r/>
          </w:p>
        </w:tc>
        <w:tc>
          <w:tcPr>
            <w:tcMar>
              <w:left w:w="0" w:type="dxa"/>
              <w:top w:w="0" w:type="dxa"/>
              <w:right w:w="0" w:type="dxa"/>
              <w:bottom w:w="0" w:type="dxa"/>
            </w:tcMar>
            <w:tcW w:w="10259" w:type="dxa"/>
            <w:vAlign w:val="center"/>
            <w:textDirection w:val="lrTb"/>
            <w:noWrap w:val="false"/>
          </w:tcPr>
          <w:p>
            <w:pPr>
              <w:ind w:firstLine="0"/>
              <w:keepLines w:val="0"/>
              <w:keepNext w:val="0"/>
              <w:pageBreakBefore w:val="0"/>
              <w:spacing w:line="520" w:lineRule="exact"/>
              <w:shd w:val="clear" w:color="auto" w:fill="auto"/>
              <w:widowControl w:val="off"/>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乘航社区、江南社区开放区域保洁技术要求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（五）设备配置要求</w:t>
            </w:r>
            <w:r/>
          </w:p>
          <w:tbl>
            <w:tblPr>
              <w:tblStyle w:val="1219"/>
              <w:tblpPr w:horzAnchor="page" w:tblpXSpec="center" w:vertAnchor="text" w:tblpY="131" w:leftFromText="180" w:topFromText="0" w:rightFromText="180" w:bottomFromText="0"/>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1507"/>
              <w:gridCol w:w="1236"/>
              <w:gridCol w:w="3856"/>
              <w:gridCol w:w="2407"/>
            </w:tblGrid>
            <w:tr>
              <w:trPr>
                <w:jc w:val="center"/>
                <w:trHeight w:val="617"/>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车辆名称</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strike w:val="0"/>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strike w:val="0"/>
                      <w:color w:val="000000" w:themeColor="text1"/>
                      <w:sz w:val="24"/>
                      <w:szCs w:val="24"/>
                      <w:highlight w:val="none"/>
                      <w:u w:val="single"/>
                      <w:lang w:val="en-US" w:eastAsia="zh-CN" w:bidi="ar-SA"/>
                      <w14:textFill>
                        <w14:solidFill>
                          <w14:schemeClr w14:val="tx1"/>
                        </w14:solidFill>
                      </w14:textFill>
                    </w:rPr>
                    <w:t xml:space="preserve">数量（辆）</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（车辆参考图）</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备注</w:t>
                  </w:r>
                  <w:r/>
                </w:p>
              </w:tc>
            </w:tr>
            <w:tr>
              <w:trPr>
                <w:jc w:val="center"/>
                <w:trHeight w:val="2507"/>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auto"/>
                    <w:widowControl w:val="off"/>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240" w:lineRule="auto"/>
                    <w:shd w:val="clear" w:color="auto" w:fill="auto"/>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1"/>
                      <w:szCs w:val="24"/>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999490" cy="1428750"/>
                            <wp:effectExtent l="0" t="0" r="10160" b="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r/>
                                  </pic:nvPicPr>
                                  <pic:blipFill>
                                    <a:blip r:embed="rId37"/>
                                    <a:stretch/>
                                  </pic:blipFill>
                                  <pic:spPr bwMode="auto">
                                    <a:xfrm>
                                      <a:off x="0" y="0"/>
                                      <a:ext cx="999490" cy="1428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8.7pt;height:112.5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000000" w:themeColor="text1"/>
                      <w:sz w:val="21"/>
                      <w:szCs w:val="24"/>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971550" cy="1428750"/>
                            <wp:effectExtent l="0" t="0" r="0" b="0"/>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r/>
                                  </pic:nvPicPr>
                                  <pic:blipFill>
                                    <a:blip r:embed="rId38"/>
                                    <a:stretch/>
                                  </pic:blipFill>
                                  <pic:spPr bwMode="auto">
                                    <a:xfrm>
                                      <a:off x="0" y="0"/>
                                      <a:ext cx="971550" cy="1428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5pt;height:112.5pt;mso-wrap-distance-left:0.0pt;mso-wrap-distance-top:0.0pt;mso-wrap-distance-right:0.0pt;mso-wrap-distance-bottom:0.0pt;" stroked="f">
                            <v:path textboxrect="0,0,0,0"/>
                            <v:imagedata r:id="rId38" o:title=""/>
                          </v:shape>
                        </w:pict>
                      </mc:Fallback>
                    </mc:AlternateContent>
                  </w:r>
                  <w:r/>
                </w:p>
                <w:p>
                  <w:pPr>
                    <w:jc w:val="center"/>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left"/>
                    <w:spacing w:line="240" w:lineRule="auto"/>
                    <w:shd w:val="clear" w:color="auto" w:fill="auto"/>
                    <w:rPr>
                      <w:rFonts w:hint="eastAsia" w:ascii="宋体" w:hAnsi="宋体" w:eastAsia="宋体" w:cs="宋体"/>
                      <w:i/>
                      <w:i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提供，其余车辆由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按需提供，</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需承担所有车辆维修、维护、电费、电瓶更换、保险等一切使用费用。</w:t>
                  </w:r>
                  <w:r/>
                </w:p>
              </w:tc>
            </w:tr>
            <w:tr>
              <w:trPr>
                <w:jc w:val="center"/>
                <w:trHeight w:val="2223"/>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firstLine="0"/>
                    <w:jc w:val="center"/>
                    <w:keepLines w:val="0"/>
                    <w:keepNext w:val="0"/>
                    <w:spacing w:before="0" w:beforeAutospacing="0" w:after="0" w:afterAutospacing="0" w:line="240" w:lineRule="auto"/>
                    <w:shd w:val="clear" w:color="auto" w:fill="auto"/>
                    <w:widowControl w:val="off"/>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suppressLineNumbers w:val="0"/>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240" w:lineRule="auto"/>
                    <w:shd w:val="clear" w:color="auto" w:fill="auto"/>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iCs/>
                      <w:strike w:val="0"/>
                      <w:color w:val="000000" w:themeColor="text1"/>
                      <w:sz w:val="24"/>
                      <w:szCs w:val="24"/>
                      <w:highlight w:val="none"/>
                      <w:u w:val="singl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mc:AlternateContent>
                      <mc:Choice Requires="wpg">
                        <w:drawing>
                          <wp:inline xmlns:wp="http://schemas.openxmlformats.org/drawingml/2006/wordprocessingDrawing" distT="0" distB="0" distL="0" distR="0">
                            <wp:extent cx="2084705" cy="1390015"/>
                            <wp:effectExtent l="0" t="0" r="10795" b="635"/>
                            <wp:docPr id="16" name="图片 1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0"/>
                                    <pic:cNvPicPr>
                                      <a:picLocks noChangeAspect="1"/>
                                    </pic:cNvPicPr>
                                    <pic:nvPr/>
                                  </pic:nvPicPr>
                                  <pic:blipFill>
                                    <a:blip r:embed="rId39"/>
                                    <a:stretch/>
                                  </pic:blipFill>
                                  <pic:spPr bwMode="auto">
                                    <a:xfrm>
                                      <a:off x="0" y="0"/>
                                      <a:ext cx="2084705" cy="139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64.2pt;height:109.4pt;mso-wrap-distance-left:0.0pt;mso-wrap-distance-top:0.0pt;mso-wrap-distance-right:0.0pt;mso-wrap-distance-bottom:0.0pt;" stroked="f">
                            <v:path textboxrect="0,0,0,0"/>
                            <v:imagedata r:id="rId39" o:title=""/>
                          </v:shape>
                        </w:pict>
                      </mc:Fallback>
                    </mc:AlternateConten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jc w:val="left"/>
                    <w:spacing w:line="240" w:lineRule="auto"/>
                    <w:shd w:val="clear" w:color="auto" w:fill="auto"/>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pP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垃圾清运车辆由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提供，其余车辆由</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按需提供，</w:t>
                  </w:r>
                  <w:r>
                    <w:rPr>
                      <w:rFonts w:hint="eastAsia" w:ascii="宋体" w:hAnsi="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shd w:val="clear" w:color="auto" w:fill="auto"/>
                      <w:lang w:val="en-US" w:eastAsia="zh-CN" w:bidi="ar"/>
                      <w14:textFill>
                        <w14:solidFill>
                          <w14:schemeClr w14:val="tx1"/>
                        </w14:solidFill>
                      </w14:textFill>
                    </w:rPr>
                    <w:t xml:space="preserve">需承担所有车辆维修、维护、电费、电瓶更换、保险等一切使用费用。</w:t>
                  </w:r>
                  <w:r/>
                </w:p>
              </w:tc>
            </w:tr>
          </w:tbl>
          <w:p>
            <w:pPr>
              <w:ind w:firstLine="0"/>
              <w:keepLines w:val="0"/>
              <w:keepNext w:val="0"/>
              <w:pageBreakBefore w:val="0"/>
              <w:spacing w:line="240" w:lineRule="auto"/>
              <w:shd w:val="clear" w:color="auto" w:fill="auto"/>
              <w:widowControl w:val="off"/>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注：</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投标人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根据现场情况自行考虑配备的车辆数且不少于表格中需配置数量的最低要求。</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在服务期间根据服务内容需增加车辆等设备的，</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需无条件增加，增加设备费用由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承担，</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不支付额外费用；</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对所使用的车辆等设备承担保管、维修、维护、保险等一切使用费用。</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（3）</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在服务期间根据服务内容需配备必要的劳动工具、辅助工具等工器具，所有费用由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承担。</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（4）人员到岗到位时，所有设施设备都须配备齐全。</w:t>
            </w:r>
            <w:r/>
          </w:p>
          <w:p>
            <w:pPr>
              <w:pStyle w:val="1447"/>
              <w:ind w:left="0" w:firstLine="0"/>
              <w:keepLines w:val="0"/>
              <w:keepNext w:val="0"/>
              <w:pageBreakBefore w:val="0"/>
              <w:spacing w:line="240" w:lineRule="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（5）本项目中各种车辆驾驶人员应严格遵守《道路交通安全法》，如发生交通事故及其他事故，都由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负责处理并承担全部责任和费用。</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7</w:t>
            </w:r>
            <w:r/>
          </w:p>
        </w:tc>
        <w:tc>
          <w:tcPr>
            <w:tcMar>
              <w:left w:w="0" w:type="dxa"/>
              <w:top w:w="0" w:type="dxa"/>
              <w:right w:w="0" w:type="dxa"/>
              <w:bottom w:w="0" w:type="dxa"/>
            </w:tcMar>
            <w:tcW w:w="10259" w:type="dxa"/>
            <w:vAlign w:val="center"/>
            <w:textDirection w:val="lrTb"/>
            <w:noWrap w:val="false"/>
          </w:tcPr>
          <w:p>
            <w:pPr>
              <w:pStyle w:val="1447"/>
              <w:ind w:left="0" w:firstLine="0"/>
              <w:keepLines w:val="0"/>
              <w:keepNext w:val="0"/>
              <w:pageBreakBefore w:val="0"/>
              <w:spacing w:line="520" w:lineRule="exact"/>
              <w:widowControl/>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乘航社区、江南社区开放区域保洁技术要求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（六）特别说明</w:t>
            </w:r>
            <w:r/>
          </w:p>
          <w:p>
            <w:pPr>
              <w:pStyle w:val="1447"/>
              <w:ind w:left="0" w:firstLine="0"/>
              <w:keepLines w:val="0"/>
              <w:keepNext w:val="0"/>
              <w:pageBreakBefore w:val="0"/>
              <w:spacing w:line="520" w:lineRule="exact"/>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入驻后，需在服务区域内提供7个垃圾分类归集点和9个监控设备（可新建，或者与原代建单位协商），费用由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承担。</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8</w:t>
            </w:r>
            <w:r/>
          </w:p>
        </w:tc>
        <w:tc>
          <w:tcPr>
            <w:tcMar>
              <w:left w:w="0" w:type="dxa"/>
              <w:top w:w="0" w:type="dxa"/>
              <w:right w:w="0" w:type="dxa"/>
              <w:bottom w:w="0" w:type="dxa"/>
            </w:tcMar>
            <w:tcW w:w="10259" w:type="dxa"/>
            <w:vAlign w:val="center"/>
            <w:textDirection w:val="lrTb"/>
            <w:noWrap w:val="false"/>
          </w:tcPr>
          <w:p>
            <w:pPr>
              <w:pStyle w:val="1220"/>
              <w:ind w:firstLine="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乘航区域城市管理服务技术要求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（三）人员要求</w:t>
            </w:r>
            <w:r/>
          </w:p>
          <w:p>
            <w:pPr>
              <w:pStyle w:val="1220"/>
              <w:ind w:firstLine="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配备队员人数不低于18人，性别不限（女性队员数量≤</w:t>
            </w:r>
            <w:r>
              <w:rPr>
                <w:rFonts w:hint="eastAsia" w:cs="宋体"/>
                <w:i/>
                <w:iCs/>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人），初中及以上文化程度，身体健康，精神面貌佳，应变能力强，具有良好人际沟通能力，服务态度好，责任心强，无违法犯罪记录。</w:t>
            </w:r>
            <w:r/>
          </w:p>
          <w:p>
            <w:pPr>
              <w:pStyle w:val="1220"/>
              <w:ind w:firstLine="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2</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中标</w:t>
            </w:r>
            <w:r>
              <w:rPr>
                <w:rFonts w:hint="eastAsia" w:cs="宋体"/>
                <w:i/>
                <w:iCs/>
                <w:color w:val="000000" w:themeColor="text1"/>
                <w:sz w:val="24"/>
                <w:szCs w:val="24"/>
                <w:highlight w:val="none"/>
                <w:u w:val="single"/>
                <w:lang w:eastAsia="zh-CN" w:bidi="ar"/>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需另外指派（不在18人的配备要求内）一名项目负责人，</w:t>
            </w:r>
            <w:r>
              <w:rPr>
                <w:rFonts w:hint="eastAsia" w:cs="宋体"/>
                <w:i/>
                <w:iCs/>
                <w:color w:val="000000" w:themeColor="text1"/>
                <w:sz w:val="24"/>
                <w:szCs w:val="24"/>
                <w:highlight w:val="none"/>
                <w:u w:val="single"/>
                <w:lang w:val="en-US" w:eastAsia="zh-CN" w:bidi="ar"/>
                <w14:textFill>
                  <w14:solidFill>
                    <w14:schemeClr w14:val="tx1"/>
                  </w14:solidFill>
                </w14:textFill>
              </w:rPr>
              <w:t xml:space="preserve">年龄</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w:t>
            </w:r>
            <w:r>
              <w:rPr>
                <w:rFonts w:hint="eastAsia" w:cs="宋体"/>
                <w:i/>
                <w:iCs/>
                <w:color w:val="000000" w:themeColor="text1"/>
                <w:sz w:val="24"/>
                <w:szCs w:val="24"/>
                <w:highlight w:val="none"/>
                <w:u w:val="single"/>
                <w:lang w:val="en-US" w:eastAsia="zh-CN" w:bidi="ar"/>
                <w14:textFill>
                  <w14:solidFill>
                    <w14:schemeClr w14:val="tx1"/>
                  </w14:solidFill>
                </w14:textFill>
              </w:rPr>
              <w:t xml:space="preserve">55周岁，</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负责与采购</w:t>
            </w:r>
            <w:r>
              <w:rPr>
                <w:rFonts w:hint="eastAsia" w:cs="宋体"/>
                <w:i/>
                <w:iCs/>
                <w:color w:val="000000" w:themeColor="text1"/>
                <w:sz w:val="24"/>
                <w:szCs w:val="24"/>
                <w:highlight w:val="none"/>
                <w:u w:val="single"/>
                <w:lang w:eastAsia="zh-CN" w:bidi="ar"/>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的沟通协调事宜。</w:t>
            </w:r>
            <w:r/>
          </w:p>
          <w:p>
            <w:pPr>
              <w:pStyle w:val="1447"/>
              <w:ind w:left="0" w:firstLine="0"/>
              <w:keepLines w:val="0"/>
              <w:keepNext w:val="0"/>
              <w:pageBreakBefore w:val="0"/>
              <w:spacing w:line="520" w:lineRule="exact"/>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3</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其他要求：所有人员须统一着制式服装（夏、冬装），服装样式由采购人指定，服装费用由中标人承担。</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9</w:t>
            </w:r>
            <w:r/>
          </w:p>
        </w:tc>
        <w:tc>
          <w:tcPr>
            <w:tcMar>
              <w:left w:w="0" w:type="dxa"/>
              <w:top w:w="0" w:type="dxa"/>
              <w:right w:w="0" w:type="dxa"/>
              <w:bottom w:w="0" w:type="dxa"/>
            </w:tcMar>
            <w:tcW w:w="10259" w:type="dxa"/>
            <w:vAlign w:val="center"/>
            <w:textDirection w:val="lrTb"/>
            <w:noWrap w:val="false"/>
          </w:tcPr>
          <w:p>
            <w:pPr>
              <w:pStyle w:val="1220"/>
              <w:ind w:firstLine="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乘航区域城市管理服务技术要求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（四）车辆、设备配备要求</w:t>
            </w:r>
            <w:r/>
          </w:p>
          <w:p>
            <w:pPr>
              <w:pStyle w:val="1220"/>
              <w:ind w:firstLine="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皮卡车1辆，有开放式拖斗，车辆手续齐全，交强险、商业保险在有效期内，国V 及以上排放标准（车辆动力须满足采购人实际使用需要，如不满足，中标人须无条件更换车辆），车龄≤5年，车体颜色为白色（车辆作为日常路段巡查使用，具体由采购人统一安排）。</w:t>
            </w:r>
            <w:r/>
          </w:p>
          <w:p>
            <w:pPr>
              <w:pStyle w:val="1220"/>
              <w:ind w:firstLine="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2</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四轮电瓶车1辆，续航时间长，车龄≤5年，车辆上路手续齐全。</w:t>
            </w:r>
            <w:r/>
          </w:p>
          <w:p>
            <w:pPr>
              <w:pStyle w:val="1220"/>
              <w:ind w:firstLine="0"/>
              <w:keepLines w:val="0"/>
              <w:keepNext w:val="0"/>
              <w:pageBreakBefore w:val="0"/>
              <w:spacing w:line="520" w:lineRule="exact"/>
              <w:shd w:val="clear" w:color="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视频记录仪18台，为现场管理服务进行视频摄录。</w:t>
            </w:r>
            <w:r/>
          </w:p>
          <w:p>
            <w:pPr>
              <w:pStyle w:val="1447"/>
              <w:ind w:left="0" w:firstLine="0"/>
              <w:keepLines w:val="0"/>
              <w:keepNext w:val="0"/>
              <w:pageBreakBefore w:val="0"/>
              <w:spacing w:line="520" w:lineRule="exact"/>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cs="宋体"/>
                <w:i/>
                <w:iCs/>
                <w:color w:val="000000" w:themeColor="text1"/>
                <w:sz w:val="24"/>
                <w:szCs w:val="24"/>
                <w:highlight w:val="none"/>
                <w:u w:val="single"/>
                <w:lang w:val="en-US" w:eastAsia="zh-CN" w:bidi="ar"/>
                <w14:textFill>
                  <w14:solidFill>
                    <w14:schemeClr w14:val="tx1"/>
                  </w14:solidFill>
                </w14:textFill>
              </w:rPr>
              <w:t xml:space="preserve">4</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配备车辆的维修、保险、燃油费等使用过程中的所有费用由中标人承担。</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10</w:t>
            </w:r>
            <w:r/>
          </w:p>
        </w:tc>
        <w:tc>
          <w:tcPr>
            <w:tcMar>
              <w:left w:w="0" w:type="dxa"/>
              <w:top w:w="0" w:type="dxa"/>
              <w:right w:w="0" w:type="dxa"/>
              <w:bottom w:w="0" w:type="dxa"/>
            </w:tcMar>
            <w:tcW w:w="10259" w:type="dxa"/>
            <w:vAlign w:val="center"/>
            <w:textDirection w:val="lrTb"/>
            <w:noWrap w:val="false"/>
          </w:tcPr>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乘航区域城市管理服务技术要求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（五）管理要求</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1</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人员配置为工作岗位所需人员最低配置且不含轮休；服务人员作业时间及具体轮休时间由投标人根据国家有关规定及实际工作需要自行安排。</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2</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作业期间服务人员的变动必须在7个工作日内书面报告采购人，中标人承担所有服务人员的安全责任及费用。</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bidi="ar"/>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中标人需为本项目配备人员购买人身意外保险，保额不低于50万元。</w:t>
            </w:r>
            <w:r/>
          </w:p>
          <w:p>
            <w:pPr>
              <w:pStyle w:val="1447"/>
              <w:ind w:left="0" w:firstLine="0"/>
              <w:keepLines w:val="0"/>
              <w:keepNext w:val="0"/>
              <w:pageBreakBefore w:val="0"/>
              <w:spacing w:line="240" w:lineRule="auto"/>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
                <w14:textFill>
                  <w14:solidFill>
                    <w14:schemeClr w14:val="tx1"/>
                  </w14:solidFill>
                </w14:textFill>
              </w:rPr>
              <w:t xml:space="preserve">4</w:t>
            </w:r>
            <w:r>
              <w:rPr>
                <w:rFonts w:hint="eastAsia" w:ascii="宋体" w:hAnsi="宋体" w:eastAsia="宋体" w:cs="宋体"/>
                <w:i/>
                <w:iCs/>
                <w:caps w:val="0"/>
                <w:color w:val="000000" w:themeColor="text1"/>
                <w:spacing w:val="0"/>
                <w:sz w:val="24"/>
                <w:szCs w:val="24"/>
                <w:u w:val="single"/>
                <w:lang w:val="en-US" w:eastAsia="zh-CN" w:bidi="ar-SA"/>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bidi="ar"/>
                <w14:textFill>
                  <w14:solidFill>
                    <w14:schemeClr w14:val="tx1"/>
                  </w14:solidFill>
                </w14:textFill>
              </w:rPr>
              <w:t xml:space="preserve">根据《中华人民共和国劳动合同法》、《中华人民共和国社会保险法》、《住房公积金管理条例》，投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11</w:t>
            </w:r>
            <w:r/>
          </w:p>
        </w:tc>
        <w:tc>
          <w:tcPr>
            <w:tcMar>
              <w:left w:w="0" w:type="dxa"/>
              <w:top w:w="0" w:type="dxa"/>
              <w:right w:w="0" w:type="dxa"/>
              <w:bottom w:w="0" w:type="dxa"/>
            </w:tcMar>
            <w:tcW w:w="10259" w:type="dxa"/>
            <w:vAlign w:val="center"/>
            <w:textDirection w:val="lrTb"/>
            <w:noWrap w:val="false"/>
          </w:tcPr>
          <w:p>
            <w:pPr>
              <w:pStyle w:val="1447"/>
              <w:ind w:left="0" w:firstLine="0"/>
              <w:keepLines w:val="0"/>
              <w:keepNext w:val="0"/>
              <w:pageBreakBefore w:val="0"/>
              <w:spacing w:line="240" w:lineRule="auto"/>
              <w:widowControl/>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乘航片区（乘航社区、江南社区）开放区域保洁及片区城市管理服务项目总体技术要求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（四）其他要求</w:t>
            </w:r>
            <w:r/>
          </w:p>
          <w:p>
            <w:pPr>
              <w:pStyle w:val="1447"/>
              <w:ind w:left="0" w:firstLine="0"/>
              <w:keepLines w:val="0"/>
              <w:keepNext w:val="0"/>
              <w:pageBreakBefore w:val="0"/>
              <w:spacing w:line="240" w:lineRule="auto"/>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3</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在服务过程中应注意安全防范。发生的安全事故、交通事故、意外事故、伤亡事故等任何事故及造成的人员和财产损失的，都由</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中标人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负责处理并承担相关责任和费用，</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采购人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不承担任何责任和费用。</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12</w:t>
            </w:r>
            <w:r/>
          </w:p>
        </w:tc>
        <w:tc>
          <w:tcPr>
            <w:tcMar>
              <w:left w:w="0" w:type="dxa"/>
              <w:top w:w="0" w:type="dxa"/>
              <w:right w:w="0" w:type="dxa"/>
              <w:bottom w:w="0" w:type="dxa"/>
            </w:tcMar>
            <w:tcW w:w="10259" w:type="dxa"/>
            <w:vAlign w:val="center"/>
            <w:textDirection w:val="lrTb"/>
            <w:noWrap w:val="false"/>
          </w:tcPr>
          <w:p>
            <w:pPr>
              <w:pStyle w:val="1447"/>
              <w:ind w:left="0" w:firstLine="0"/>
              <w:keepLines w:val="0"/>
              <w:keepNext w:val="0"/>
              <w:pageBreakBefore w:val="0"/>
              <w:spacing w:line="240" w:lineRule="auto"/>
              <w:widowControl/>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乘航片区（乘航社区、江南社区）开放区域保洁及片区城市管理服务项目总体技术要求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（四）其他要求</w:t>
            </w:r>
            <w:r/>
          </w:p>
          <w:p>
            <w:pPr>
              <w:pStyle w:val="1447"/>
              <w:ind w:left="0" w:firstLine="0"/>
              <w:keepLines w:val="0"/>
              <w:keepNext w:val="0"/>
              <w:pageBreakBefore w:val="0"/>
              <w:spacing w:line="240" w:lineRule="auto"/>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16．中标人应当按照合同约定履行义务，完成本项目。中标人不得向他人转让本项目，也不得将本项目肢解后分别向他人转让。中标人按照合同约定或者经采购人同意，可以将本项目的部分非主体、非关键性工作分包给他人完成。接受分包的人应当具备相应的资格条件，并不得再次分包。中标人应当就分包项目向采购人负责，接受分包的人就分包项目承担连带责任。中标人未遵守前述规定存在转让或分包行为的，采购人有权终止合同，并要求中标人赔偿一切损失。</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598" w:type="dxa"/>
            <w:vAlign w:val="center"/>
            <w:textDirection w:val="lrTb"/>
            <w:noWrap w:val="false"/>
          </w:tcPr>
          <w:p>
            <w:pPr>
              <w:pStyle w:val="1481"/>
              <w:jc w:val="center"/>
              <w:spacing w:line="440" w:lineRule="exact"/>
              <w:rPr>
                <w:rStyle w:val="140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13</w:t>
            </w:r>
            <w:r/>
          </w:p>
        </w:tc>
        <w:tc>
          <w:tcPr>
            <w:tcMar>
              <w:left w:w="0" w:type="dxa"/>
              <w:top w:w="0" w:type="dxa"/>
              <w:right w:w="0" w:type="dxa"/>
              <w:bottom w:w="0" w:type="dxa"/>
            </w:tcMar>
            <w:tcW w:w="10259" w:type="dxa"/>
            <w:vAlign w:val="center"/>
            <w:textDirection w:val="lrTb"/>
            <w:noWrap w:val="false"/>
          </w:tcPr>
          <w:p>
            <w:pPr>
              <w:pStyle w:val="1447"/>
              <w:ind w:left="0" w:firstLine="0"/>
              <w:keepLines w:val="0"/>
              <w:keepNext w:val="0"/>
              <w:pageBreakBefore w:val="0"/>
              <w:spacing w:line="240" w:lineRule="auto"/>
              <w:widowControl/>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pP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第四章  项目需求二、技术要求 乘航片区（乘航社区、江南社区）开放区域保洁及片区城市管理服务项目总体技术要求</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（四）其他要求</w:t>
            </w:r>
            <w:r/>
          </w:p>
          <w:p>
            <w:pPr>
              <w:pStyle w:val="1447"/>
              <w:ind w:left="0" w:firstLine="0"/>
              <w:keepLines w:val="0"/>
              <w:keepNext w:val="0"/>
              <w:pageBreakBefore w:val="0"/>
              <w:spacing w:line="240" w:lineRule="auto"/>
              <w:widowControl/>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17．合同签订前，中标人针对本项目配备的所有车辆及设备、人员都要到位，如不到位，采购人将出具书面整改通知，若中标人接到书面整改通知10日内还不整改到位，采购人有权取消中标人中标资格。</w:t>
            </w:r>
            <w:r/>
          </w:p>
        </w:tc>
        <w:tc>
          <w:tcPr>
            <w:tcMar>
              <w:left w:w="0" w:type="dxa"/>
              <w:top w:w="0" w:type="dxa"/>
              <w:right w:w="0" w:type="dxa"/>
              <w:bottom w:w="0" w:type="dxa"/>
            </w:tcMar>
            <w:tcW w:w="1464"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52" w:type="dxa"/>
            <w:vAlign w:val="center"/>
            <w:textDirection w:val="lrTb"/>
            <w:noWrap w:val="false"/>
          </w:tcPr>
          <w:p>
            <w:pPr>
              <w:pStyle w:val="1481"/>
              <w:jc w:val="center"/>
              <w:spacing w:line="440" w:lineRule="exact"/>
              <w:rPr>
                <w:rStyle w:val="1409"/>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bl>
    <w:p>
      <w:pPr>
        <w:pStyle w:val="1481"/>
        <w:ind w:firstLine="482"/>
        <w:spacing w:line="440" w:lineRule="exact"/>
        <w:shd w:val="clear" w:color="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481"/>
        <w:ind w:firstLine="482"/>
        <w:spacing w:line="440" w:lineRule="exact"/>
        <w:shd w:val="clear" w:color="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投标人必须</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技术要求</w:t>
      </w:r>
      <w:r>
        <w:rPr>
          <w:rFonts w:ascii="宋体" w:hAnsi="宋体"/>
          <w:color w:val="000000" w:themeColor="text1"/>
          <w:sz w:val="24"/>
          <w:szCs w:val="24"/>
          <w:highlight w:val="none"/>
          <w14:textFill>
            <w14:solidFill>
              <w14:schemeClr w14:val="tx1"/>
            </w14:solidFill>
          </w14:textFill>
        </w:rPr>
        <w:t xml:space="preserve">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w:t>
      </w:r>
      <w:r>
        <w:rPr>
          <w:rFonts w:hint="eastAsia" w:ascii="宋体" w:hAnsi="宋体"/>
          <w:color w:val="000000" w:themeColor="text1"/>
          <w:sz w:val="24"/>
          <w:highlight w:val="none"/>
          <w:lang w:eastAsia="zh-CN"/>
          <w14:textFill>
            <w14:solidFill>
              <w14:schemeClr w14:val="tx1"/>
            </w14:solidFill>
          </w14:textFill>
        </w:rPr>
        <w:t xml:space="preserve">该采购包</w:t>
      </w:r>
      <w:r>
        <w:rPr>
          <w:rFonts w:hint="eastAsia" w:ascii="宋体" w:hAnsi="宋体"/>
          <w:color w:val="000000" w:themeColor="text1"/>
          <w:sz w:val="24"/>
          <w:highlight w:val="none"/>
          <w14:textFill>
            <w14:solidFill>
              <w14:schemeClr w14:val="tx1"/>
            </w14:solidFill>
          </w14:textFill>
        </w:rPr>
        <w:t xml:space="preserve">作无效投标处理</w:t>
      </w:r>
      <w:r>
        <w:rPr>
          <w:rFonts w:ascii="宋体" w:hAnsi="宋体"/>
          <w:color w:val="000000" w:themeColor="text1"/>
          <w:sz w:val="24"/>
          <w:highlight w:val="none"/>
          <w14:textFill>
            <w14:solidFill>
              <w14:schemeClr w14:val="tx1"/>
            </w14:solidFill>
          </w14:textFill>
        </w:rPr>
        <w:t xml:space="preserve">。</w:t>
      </w:r>
      <w:r/>
    </w:p>
    <w:p>
      <w:pPr>
        <w:pStyle w:val="1481"/>
        <w:ind w:firstLine="482"/>
        <w:spacing w:line="440" w:lineRule="exact"/>
        <w:shd w:val="clear" w:color="auto"/>
        <w:rPr>
          <w:rStyle w:val="1409"/>
          <w:rFonts w:hint="eastAsia" w:ascii="宋体" w:hAnsi="宋体" w:eastAsia="宋体" w:cs="宋体"/>
          <w:b/>
          <w:bCs/>
          <w:color w:val="000000" w:themeColor="text1"/>
          <w:spacing w:val="0"/>
          <w:highlight w:val="none"/>
          <w:lang w:val="en-US" w:eastAsia="zh-CN"/>
          <w14:textFill>
            <w14:solidFill>
              <w14:schemeClr w14:val="tx1"/>
            </w14:solidFill>
          </w14:textFill>
        </w:rPr>
        <w:sectPr>
          <w:footnotePr/>
          <w:endnotePr/>
          <w:type w:val="nextPage"/>
          <w:pgSz w:w="16838" w:h="11906" w:orient="landscape"/>
          <w:pgMar w:top="1080" w:right="1440" w:bottom="1080" w:left="1440" w:header="851" w:footer="992" w:gutter="0"/>
          <w:cols w:num="1" w:sep="0" w:space="1701" w:equalWidth="1"/>
          <w:docGrid w:linePitch="360"/>
        </w:sectPr>
      </w:pPr>
      <w:r>
        <w:rPr>
          <w:rFonts w:hint="eastAsia" w:ascii="宋体" w:hAnsi="宋体" w:eastAsia="宋体" w:cs="宋体"/>
          <w:b/>
          <w:bCs/>
          <w:color w:val="000000" w:themeColor="text1"/>
          <w:spacing w:val="0"/>
          <w:highlight w:val="none"/>
          <w:lang w:val="en-US" w:eastAsia="zh-CN"/>
          <w14:textFill>
            <w14:solidFill>
              <w14:schemeClr w14:val="tx1"/>
            </w14:solidFill>
          </w14:textFill>
        </w:rPr>
      </w:r>
      <w:r/>
    </w:p>
    <w:p>
      <w:pPr>
        <w:pStyle w:val="1481"/>
        <w:ind w:firstLine="482"/>
        <w:spacing w:line="440" w:lineRule="exact"/>
        <w:shd w:val="clear" w:color="auto"/>
        <w:rPr>
          <w:rStyle w:val="1409"/>
          <w:rFonts w:hint="eastAsia" w:ascii="宋体" w:hAnsi="宋体" w:eastAsia="宋体" w:cs="宋体"/>
          <w:b/>
          <w:bCs/>
          <w:color w:val="000000" w:themeColor="text1"/>
          <w:spacing w:val="0"/>
          <w:highlight w:val="none"/>
          <w:lang w:val="en-US" w:eastAsia="zh-CN"/>
          <w14:textFill>
            <w14:solidFill>
              <w14:schemeClr w14:val="tx1"/>
            </w14:solidFill>
          </w14:textFill>
        </w:rPr>
      </w:pPr>
      <w:r>
        <w:rPr>
          <w:rStyle w:val="1409"/>
          <w:rFonts w:hint="eastAsia" w:ascii="宋体" w:hAnsi="宋体" w:eastAsia="宋体" w:cs="宋体"/>
          <w:b/>
          <w:bCs/>
          <w:color w:val="000000" w:themeColor="text1"/>
          <w:spacing w:val="0"/>
          <w:highlight w:val="none"/>
          <w:lang w:val="en-US" w:eastAsia="zh-CN"/>
          <w14:textFill>
            <w14:solidFill>
              <w14:schemeClr w14:val="tx1"/>
            </w14:solidFill>
          </w14:textFill>
        </w:rPr>
        <w:t xml:space="preserve">2.</w:t>
      </w:r>
      <w:r>
        <w:rPr>
          <w:rStyle w:val="1409"/>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商务条款的实质性格式</w:t>
      </w:r>
      <w:r/>
    </w:p>
    <w:tbl>
      <w:tblPr>
        <w:tblStyle w:val="1219"/>
        <w:tblW w:w="50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3"/>
        <w:gridCol w:w="8312"/>
        <w:gridCol w:w="2522"/>
        <w:gridCol w:w="2424"/>
      </w:tblGrid>
      <w:tr>
        <w:trPr>
          <w:trHeight w:val="567"/>
          <w:tblHeader/>
        </w:trPr>
        <w:tc>
          <w:tcPr>
            <w:tcMar>
              <w:left w:w="0" w:type="dxa"/>
              <w:top w:w="0" w:type="dxa"/>
              <w:right w:w="0" w:type="dxa"/>
              <w:bottom w:w="0" w:type="dxa"/>
            </w:tcMar>
            <w:tcW w:w="289"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t xml:space="preserve">序号</w:t>
            </w:r>
            <w:r/>
          </w:p>
        </w:tc>
        <w:tc>
          <w:tcPr>
            <w:tcMar>
              <w:left w:w="0" w:type="dxa"/>
              <w:top w:w="0" w:type="dxa"/>
              <w:right w:w="0" w:type="dxa"/>
              <w:bottom w:w="0" w:type="dxa"/>
            </w:tcMar>
            <w:tcW w:w="2953"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Style w:val="1409"/>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商务</w:t>
            </w:r>
            <w:r>
              <w:rPr>
                <w:rStyle w:val="1409"/>
                <w:rFonts w:hint="eastAsia" w:ascii="宋体" w:hAnsi="宋体" w:eastAsia="宋体" w:cs="宋体"/>
                <w:b w:val="0"/>
                <w:bCs w:val="0"/>
                <w:i w:val="0"/>
                <w:iCs w:val="0"/>
                <w:smallCaps w:val="0"/>
                <w:color w:val="000000" w:themeColor="text1"/>
                <w:spacing w:val="0"/>
                <w:sz w:val="24"/>
                <w:szCs w:val="24"/>
                <w:highlight w:val="none"/>
                <w:lang w:eastAsia="zh-CN"/>
                <w14:textFill>
                  <w14:solidFill>
                    <w14:schemeClr w14:val="tx1"/>
                  </w14:solidFill>
                </w14:textFill>
              </w:rPr>
              <w:t xml:space="preserve">要求</w:t>
            </w:r>
            <w:r>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t xml:space="preserve">的实质性要求</w:t>
            </w:r>
            <w:r/>
          </w:p>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color w:val="000000" w:themeColor="text1"/>
                <w:spacing w:val="0"/>
                <w:sz w:val="24"/>
                <w:szCs w:val="24"/>
                <w:highlight w:val="none"/>
                <w:u w:val="single"/>
                <w14:textFill>
                  <w14:solidFill>
                    <w14:schemeClr w14:val="tx1"/>
                  </w14:solidFill>
                </w14:textFill>
              </w:rPr>
              <w:t xml:space="preserve">（加斜体下划线内容）</w:t>
            </w:r>
            <w:r/>
          </w:p>
        </w:tc>
        <w:tc>
          <w:tcPr>
            <w:tcMar>
              <w:left w:w="0" w:type="dxa"/>
              <w:top w:w="0" w:type="dxa"/>
              <w:right w:w="0" w:type="dxa"/>
              <w:bottom w:w="0" w:type="dxa"/>
            </w:tcMar>
            <w:tcW w:w="896"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Style w:val="1409"/>
                <w:rFonts w:hint="eastAsia" w:ascii="宋体" w:hAnsi="宋体" w:eastAsia="宋体" w:cs="宋体"/>
                <w:b w:val="0"/>
                <w:bCs w:val="0"/>
                <w:i w:val="0"/>
                <w:iCs w:val="0"/>
                <w:smallCaps w:val="0"/>
                <w:color w:val="000000" w:themeColor="text1"/>
                <w:spacing w:val="0"/>
                <w:sz w:val="24"/>
                <w:szCs w:val="24"/>
                <w:highlight w:val="none"/>
                <w:lang w:eastAsia="zh-CN"/>
                <w14:textFill>
                  <w14:solidFill>
                    <w14:schemeClr w14:val="tx1"/>
                  </w14:solidFill>
                </w14:textFill>
              </w:rPr>
              <w:t xml:space="preserve">投标响应情况</w:t>
            </w:r>
            <w:r/>
          </w:p>
        </w:tc>
        <w:tc>
          <w:tcPr>
            <w:tcMar>
              <w:left w:w="0" w:type="dxa"/>
              <w:top w:w="0" w:type="dxa"/>
              <w:right w:w="0" w:type="dxa"/>
              <w:bottom w:w="0" w:type="dxa"/>
            </w:tcMar>
            <w:tcW w:w="861"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Style w:val="1409"/>
                <w:rFonts w:hint="eastAsia" w:ascii="宋体" w:hAnsi="宋体" w:eastAsia="宋体" w:cs="宋体"/>
                <w:b w:val="0"/>
                <w:bCs w:val="0"/>
                <w:i w:val="0"/>
                <w:iCs w:val="0"/>
                <w:smallCaps w:val="0"/>
                <w:color w:val="000000" w:themeColor="text1"/>
                <w:spacing w:val="0"/>
                <w:sz w:val="24"/>
                <w:szCs w:val="24"/>
                <w:highlight w:val="none"/>
                <w:lang w:eastAsia="zh-CN"/>
                <w14:textFill>
                  <w14:solidFill>
                    <w14:schemeClr w14:val="tx1"/>
                  </w14:solidFill>
                </w14:textFill>
              </w:rPr>
              <w:t xml:space="preserve">正偏离、符合或负偏离</w:t>
            </w:r>
            <w:r/>
          </w:p>
        </w:tc>
      </w:tr>
      <w:tr>
        <w:trPr>
          <w:trHeight w:val="567"/>
        </w:trPr>
        <w:tc>
          <w:tcPr>
            <w:tcMar>
              <w:left w:w="0" w:type="dxa"/>
              <w:top w:w="0" w:type="dxa"/>
              <w:right w:w="0" w:type="dxa"/>
              <w:bottom w:w="0" w:type="dxa"/>
            </w:tcMar>
            <w:tcW w:w="289"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1</w:t>
            </w:r>
            <w:r/>
          </w:p>
        </w:tc>
        <w:tc>
          <w:tcPr>
            <w:tcMar>
              <w:left w:w="0" w:type="dxa"/>
              <w:top w:w="0" w:type="dxa"/>
              <w:right w:w="0" w:type="dxa"/>
              <w:bottom w:w="0" w:type="dxa"/>
            </w:tcMar>
            <w:tcW w:w="2953" w:type="pct"/>
            <w:vAlign w:val="center"/>
            <w:textDirection w:val="lrTb"/>
            <w:noWrap w:val="false"/>
          </w:tcPr>
          <w:p>
            <w:pPr>
              <w:numPr>
                <w:ilvl w:val="0"/>
                <w:numId w:val="0"/>
              </w:numPr>
              <w:ind w:firstLine="0"/>
              <w:keepLines w:val="0"/>
              <w:keepNext w:val="0"/>
              <w:pageBreakBefore w:val="0"/>
              <w:spacing w:line="240" w:lineRule="auto"/>
              <w:shd w:val="clear" w:color="auto" w:fill="auto"/>
              <w:widowControl w:val="off"/>
              <w:rPr>
                <w:rStyle w:val="1425"/>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第四章</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Style w:val="1425"/>
                <w:rFonts w:hint="eastAsia" w:ascii="宋体" w:hAnsi="宋体" w:cs="宋体"/>
                <w:color w:val="000000" w:themeColor="text1"/>
                <w:sz w:val="24"/>
                <w:szCs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项目需求</w:t>
            </w:r>
            <w:r>
              <w:rPr>
                <w:rStyle w:val="1425"/>
                <w:rFonts w:hint="eastAsia" w:ascii="宋体" w:hAnsi="宋体" w:cs="宋体"/>
                <w:color w:val="000000" w:themeColor="text1"/>
                <w:sz w:val="24"/>
                <w:szCs w:val="24"/>
                <w:highlight w:val="none"/>
                <w:lang w:val="en-US"/>
                <w14:textFill>
                  <w14:solidFill>
                    <w14:schemeClr w14:val="tx1"/>
                  </w14:solidFill>
                </w14:textFill>
              </w:rPr>
              <w:t xml:space="preserve">三</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、商务条款</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（一）服务期限及服务地点</w:t>
            </w:r>
            <w:r/>
          </w:p>
          <w:p>
            <w:pPr>
              <w:numPr>
                <w:ilvl w:val="0"/>
                <w:numId w:val="0"/>
              </w:numPr>
              <w:ind w:firstLine="0"/>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．服务期限：</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自合同签订之日起12个月。</w:t>
            </w:r>
            <w:r/>
          </w:p>
          <w:p>
            <w:pPr>
              <w:ind w:firstLine="0"/>
              <w:keepLines w:val="0"/>
              <w:keepNext w:val="0"/>
              <w:pageBreakBefore w:val="0"/>
              <w:spacing w:line="240" w:lineRule="auto"/>
              <w:shd w:val="clear" w:color="auto"/>
              <w:widowControl/>
              <w:rPr>
                <w:rFonts w:hint="eastAsia" w:ascii="宋体" w:hAnsi="宋体" w:eastAsia="宋体" w:cs="宋体"/>
                <w:b w:val="0"/>
                <w:i/>
                <w:color w:val="000000" w:themeColor="text1"/>
                <w:spacing w:val="0"/>
                <w:sz w:val="24"/>
                <w:szCs w:val="24"/>
                <w:highlight w:val="none"/>
                <w:u w:val="single"/>
                <w:lang w:eastAsia="zh-CN"/>
                <w14:textFill>
                  <w14:solidFill>
                    <w14:schemeClr w14:val="tx1"/>
                  </w14:solidFill>
                </w14:textFill>
              </w:rPr>
              <w:outlineLvl w:val="9"/>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．服务地点：张家港经济技术开发区（杨舍镇）</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乘航社区、江南社区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p>
        </w:tc>
        <w:tc>
          <w:tcPr>
            <w:tcMar>
              <w:left w:w="0" w:type="dxa"/>
              <w:top w:w="0" w:type="dxa"/>
              <w:right w:w="0" w:type="dxa"/>
              <w:bottom w:w="0" w:type="dxa"/>
            </w:tcMar>
            <w:tcW w:w="896"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c>
          <w:tcPr>
            <w:tcMar>
              <w:left w:w="0" w:type="dxa"/>
              <w:top w:w="0" w:type="dxa"/>
              <w:right w:w="0" w:type="dxa"/>
              <w:bottom w:w="0" w:type="dxa"/>
            </w:tcMar>
            <w:tcW w:w="861"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89"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2</w:t>
            </w:r>
            <w:r/>
          </w:p>
        </w:tc>
        <w:tc>
          <w:tcPr>
            <w:tcMar>
              <w:left w:w="0" w:type="dxa"/>
              <w:top w:w="0" w:type="dxa"/>
              <w:right w:w="0" w:type="dxa"/>
              <w:bottom w:w="0" w:type="dxa"/>
            </w:tcMar>
            <w:tcW w:w="2953" w:type="pct"/>
            <w:vAlign w:val="center"/>
            <w:textDirection w:val="lrTb"/>
            <w:noWrap w:val="false"/>
          </w:tcPr>
          <w:p>
            <w:pPr>
              <w:numPr>
                <w:ilvl w:val="0"/>
                <w:numId w:val="0"/>
              </w:numPr>
              <w:ind w:firstLine="0"/>
              <w:keepLines w:val="0"/>
              <w:keepNext w:val="0"/>
              <w:pageBreakBefore w:val="0"/>
              <w:spacing w:line="240" w:lineRule="auto"/>
              <w:shd w:val="clear" w:color="auto" w:fill="auto"/>
              <w:widowControl w:val="off"/>
              <w:rPr>
                <w:rStyle w:val="1425"/>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第四章</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Style w:val="1425"/>
                <w:rFonts w:hint="eastAsia" w:ascii="宋体" w:hAnsi="宋体" w:cs="宋体"/>
                <w:color w:val="000000" w:themeColor="text1"/>
                <w:sz w:val="24"/>
                <w:szCs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项目需求</w:t>
            </w:r>
            <w:r>
              <w:rPr>
                <w:rStyle w:val="1425"/>
                <w:rFonts w:hint="eastAsia" w:ascii="宋体" w:hAnsi="宋体" w:cs="宋体"/>
                <w:color w:val="000000" w:themeColor="text1"/>
                <w:sz w:val="24"/>
                <w:szCs w:val="24"/>
                <w:highlight w:val="none"/>
                <w:lang w:val="en-US"/>
                <w14:textFill>
                  <w14:solidFill>
                    <w14:schemeClr w14:val="tx1"/>
                  </w14:solidFill>
                </w14:textFill>
              </w:rPr>
              <w:t xml:space="preserve">三</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、商务条款</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（二）支付方式</w:t>
            </w:r>
            <w:r/>
          </w:p>
          <w:p>
            <w:pPr>
              <w:ind w:firstLine="0"/>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．结付程序</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中标人合格地履行服务后，凭人员考勤表、月度考核明细、结算金额、销售发票到采购人处办理合同款结算手续。</w:t>
            </w:r>
            <w:r/>
          </w:p>
          <w:p>
            <w:pPr>
              <w:ind w:firstLine="0"/>
              <w:jc w:val="left"/>
              <w:keepLines w:val="0"/>
              <w:keepNext w:val="0"/>
              <w:pageBreakBefore w:val="0"/>
              <w:spacing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2．结付期限：</w:t>
            </w:r>
            <w:r/>
          </w:p>
          <w:p>
            <w:pPr>
              <w:ind w:firstLine="0"/>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自双方确认结算金额之日起算。</w:t>
            </w:r>
            <w:r/>
          </w:p>
          <w:p>
            <w:pPr>
              <w:ind w:firstLine="0"/>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合同签订生效后，采购人支付合同款的</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1</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0%作为预付款（在签订合同时，中标人明确表示无需预付款或者主动要求降低预付款比例的，采购人可不适用前述规定）</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。剩余款项</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采购</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每个季度支付一次服务费用，一个年度内共支付四次。前三季度根据月度考核结算服务费用支付；最后一个季度根据年度考核结算服务费用支付。服务期满后一次性无息退还履约保证金。</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（2）结付标准</w:t>
            </w:r>
            <w:r/>
          </w:p>
          <w:p>
            <w:pPr>
              <w:ind w:firstLine="0"/>
              <w:jc w:val="left"/>
              <w:keepLines w:val="0"/>
              <w:keepNext w:val="0"/>
              <w:pageBreakBefore w:val="0"/>
              <w:spacing w:line="240" w:lineRule="auto"/>
              <w:shd w:val="clear" w:color="auto" w:fill="auto"/>
              <w:widowControl w:val="off"/>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按百分制每月度进行考核，根据考核</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情</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况进行实际结算。</w:t>
            </w:r>
            <w:r/>
          </w:p>
          <w:p>
            <w:pPr>
              <w:ind w:firstLine="0"/>
              <w:jc w:val="left"/>
              <w:keepLines w:val="0"/>
              <w:keepNext w:val="0"/>
              <w:pageBreakBefore w:val="0"/>
              <w:spacing w:line="240" w:lineRule="auto"/>
              <w:shd w:val="clear" w:color="auto"/>
              <w:widowControl/>
              <w:rPr>
                <w:rFonts w:hint="eastAsia" w:ascii="宋体" w:hAnsi="宋体" w:eastAsia="宋体" w:cs="宋体"/>
                <w:b/>
                <w:i/>
                <w:iCs/>
                <w:color w:val="000000" w:themeColor="text1"/>
                <w:spacing w:val="0"/>
                <w:sz w:val="24"/>
                <w:highlight w:val="none"/>
                <w:u w:val="single"/>
                <w:lang w:eastAsia="zh-CN"/>
                <w14:textFill>
                  <w14:solidFill>
                    <w14:schemeClr w14:val="tx1"/>
                  </w14:solidFill>
                </w14:textFill>
              </w:rPr>
              <w:outlineLvl w:val="9"/>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月度最终考核得分≥90分的，该月度服务费100%支付；90分＞月度最终考核得分＞85分，该月度实际支付服务费按照该月度实际考核得分数与100分的百分比乘以该月度服务费；月度考核得分为≤85分的为不合格，考核不通过，不支付该月度服务费，累计二次不合格，采购</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将提前终止与中标</w:t>
            </w:r>
            <w:r>
              <w:rPr>
                <w:rFonts w:hint="eastAsia" w:ascii="宋体" w:hAnsi="宋体" w:cs="宋体"/>
                <w:i/>
                <w:iCs/>
                <w:color w:val="000000" w:themeColor="text1"/>
                <w:sz w:val="24"/>
                <w:szCs w:val="24"/>
                <w:highlight w:val="none"/>
                <w:u w:val="single"/>
                <w:lang w:val="en-US" w:eastAsia="zh-CN" w:bidi="ar-SA"/>
                <w14:textFill>
                  <w14:solidFill>
                    <w14:schemeClr w14:val="tx1"/>
                  </w14:solidFill>
                </w14:textFill>
              </w:rPr>
              <w:t xml:space="preserve">人</w:t>
            </w: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的合同，且不予返还履约保证金。</w:t>
            </w:r>
            <w:r/>
          </w:p>
        </w:tc>
        <w:tc>
          <w:tcPr>
            <w:tcMar>
              <w:left w:w="0" w:type="dxa"/>
              <w:top w:w="0" w:type="dxa"/>
              <w:right w:w="0" w:type="dxa"/>
              <w:bottom w:w="0" w:type="dxa"/>
            </w:tcMar>
            <w:tcW w:w="896"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c>
          <w:tcPr>
            <w:tcMar>
              <w:left w:w="0" w:type="dxa"/>
              <w:top w:w="0" w:type="dxa"/>
              <w:right w:w="0" w:type="dxa"/>
              <w:bottom w:w="0" w:type="dxa"/>
            </w:tcMar>
            <w:tcW w:w="861"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89"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1409"/>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 xml:space="preserve">3</w:t>
            </w:r>
            <w:r/>
          </w:p>
        </w:tc>
        <w:tc>
          <w:tcPr>
            <w:tcMar>
              <w:left w:w="0" w:type="dxa"/>
              <w:top w:w="0" w:type="dxa"/>
              <w:right w:w="0" w:type="dxa"/>
              <w:bottom w:w="0" w:type="dxa"/>
            </w:tcMar>
            <w:tcW w:w="2953" w:type="pct"/>
            <w:vAlign w:val="center"/>
            <w:textDirection w:val="lrTb"/>
            <w:noWrap w:val="false"/>
          </w:tcPr>
          <w:p>
            <w:pPr>
              <w:numPr>
                <w:ilvl w:val="0"/>
                <w:numId w:val="0"/>
              </w:numPr>
              <w:ind w:firstLine="0"/>
              <w:keepLines w:val="0"/>
              <w:keepNext w:val="0"/>
              <w:pageBreakBefore w:val="0"/>
              <w:spacing w:line="240" w:lineRule="auto"/>
              <w:shd w:val="clear" w:color="auto" w:fill="auto"/>
              <w:widowControl w:val="off"/>
              <w:rPr>
                <w:rStyle w:val="1425"/>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第四章</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Style w:val="1425"/>
                <w:rFonts w:hint="eastAsia" w:ascii="宋体" w:hAnsi="宋体" w:cs="宋体"/>
                <w:color w:val="000000" w:themeColor="text1"/>
                <w:sz w:val="24"/>
                <w:szCs w:val="24"/>
                <w:highlight w:val="none"/>
                <w:lang w:val="en-US"/>
                <w14:textFill>
                  <w14:solidFill>
                    <w14:schemeClr w14:val="tx1"/>
                  </w14:solidFill>
                </w14:textFill>
              </w:rPr>
              <w:t xml:space="preserve"> </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项目需求</w:t>
            </w:r>
            <w:r>
              <w:rPr>
                <w:rStyle w:val="1425"/>
                <w:rFonts w:hint="eastAsia" w:ascii="宋体" w:hAnsi="宋体" w:cs="宋体"/>
                <w:color w:val="000000" w:themeColor="text1"/>
                <w:sz w:val="24"/>
                <w:szCs w:val="24"/>
                <w:highlight w:val="none"/>
                <w:lang w:val="en-US"/>
                <w14:textFill>
                  <w14:solidFill>
                    <w14:schemeClr w14:val="tx1"/>
                  </w14:solidFill>
                </w14:textFill>
              </w:rPr>
              <w:t xml:space="preserve">三</w:t>
            </w:r>
            <w:r>
              <w:rPr>
                <w:rStyle w:val="1425"/>
                <w:rFonts w:hint="eastAsia" w:ascii="宋体" w:hAnsi="宋体" w:eastAsia="宋体" w:cs="宋体"/>
                <w:color w:val="000000" w:themeColor="text1"/>
                <w:sz w:val="24"/>
                <w:szCs w:val="24"/>
                <w:highlight w:val="none"/>
                <w:lang w:val="en-US"/>
                <w14:textFill>
                  <w14:solidFill>
                    <w14:schemeClr w14:val="tx1"/>
                  </w14:solidFill>
                </w14:textFill>
              </w:rPr>
              <w:t xml:space="preserve">、商务条款</w:t>
            </w:r>
            <w:r>
              <w:rPr>
                <w:rStyle w:val="1425"/>
                <w:rFonts w:hint="eastAsia" w:ascii="宋体" w:hAnsi="宋体" w:eastAsia="宋体" w:cs="宋体"/>
                <w:b/>
                <w:bCs/>
                <w:color w:val="000000" w:themeColor="text1"/>
                <w:sz w:val="24"/>
                <w:szCs w:val="24"/>
                <w:highlight w:val="none"/>
                <w:lang w:val="en-US"/>
                <w14:textFill>
                  <w14:solidFill>
                    <w14:schemeClr w14:val="tx1"/>
                  </w14:solidFill>
                </w14:textFill>
              </w:rPr>
              <w:t xml:space="preserve">（三）投标货币</w:t>
            </w:r>
            <w:r/>
          </w:p>
          <w:p>
            <w:pPr>
              <w:numPr>
                <w:ilvl w:val="0"/>
                <w:numId w:val="0"/>
              </w:numPr>
              <w:ind w:firstLine="0"/>
              <w:keepLines w:val="0"/>
              <w:keepNext w:val="0"/>
              <w:pageBreakBefore w:val="0"/>
              <w:spacing w:line="240" w:lineRule="auto"/>
              <w:shd w:val="clear" w:color="auto"/>
              <w:widowControl/>
              <w:rPr>
                <w:rFonts w:hint="eastAsia" w:ascii="宋体" w:hAnsi="宋体" w:eastAsia="宋体" w:cs="宋体"/>
                <w:b w:val="0"/>
                <w:i w:val="0"/>
                <w:color w:val="000000" w:themeColor="text1"/>
                <w:spacing w:val="0"/>
                <w:sz w:val="24"/>
                <w:szCs w:val="24"/>
                <w:highlight w:val="none"/>
                <w:u w:val="none"/>
                <w:lang w:eastAsia="zh-CN"/>
                <w14:textFill>
                  <w14:solidFill>
                    <w14:schemeClr w14:val="tx1"/>
                  </w14:solidFill>
                </w14:textFill>
              </w:rPr>
              <w:outlineLvl w:val="9"/>
            </w:pPr>
            <w:r>
              <w:rPr>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应采用人民币报价。</w:t>
            </w:r>
            <w:r/>
          </w:p>
        </w:tc>
        <w:tc>
          <w:tcPr>
            <w:tcMar>
              <w:left w:w="0" w:type="dxa"/>
              <w:top w:w="0" w:type="dxa"/>
              <w:right w:w="0" w:type="dxa"/>
              <w:bottom w:w="0" w:type="dxa"/>
            </w:tcMar>
            <w:tcW w:w="896"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c>
          <w:tcPr>
            <w:tcMar>
              <w:left w:w="0" w:type="dxa"/>
              <w:top w:w="0" w:type="dxa"/>
              <w:right w:w="0" w:type="dxa"/>
              <w:bottom w:w="0" w:type="dxa"/>
            </w:tcMar>
            <w:tcW w:w="861" w:type="pct"/>
            <w:vAlign w:val="center"/>
            <w:textDirection w:val="lrTb"/>
            <w:noWrap w:val="false"/>
          </w:tcPr>
          <w:p>
            <w:pPr>
              <w:pStyle w:val="1481"/>
              <w:jc w:val="center"/>
              <w:keepLines w:val="0"/>
              <w:keepNext w:val="0"/>
              <w:pageBreakBefore w:val="0"/>
              <w:spacing w:line="240" w:lineRule="auto"/>
              <w:shd w:val="clear" w:color="auto"/>
              <w:widowControl/>
              <w:rPr>
                <w:rStyle w:val="1409"/>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r>
            <w:r/>
          </w:p>
        </w:tc>
      </w:tr>
    </w:tbl>
    <w:p>
      <w:pPr>
        <w:ind w:firstLine="480"/>
        <w:spacing w:line="44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注：投标人必须对商务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条款</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中的实质性要求</w:t>
      </w:r>
      <w:r>
        <w:rPr>
          <w:rFonts w:hint="eastAsia" w:ascii="宋体" w:hAnsi="宋体" w:eastAsia="宋体" w:cs="宋体"/>
          <w:i/>
          <w:color w:val="000000" w:themeColor="text1"/>
          <w:spacing w:val="0"/>
          <w:sz w:val="24"/>
          <w:szCs w:val="24"/>
          <w:highlight w:val="none"/>
          <w:u w:val="single"/>
          <w14:textFill>
            <w14:solidFill>
              <w14:schemeClr w14:val="tx1"/>
            </w14:solidFill>
          </w14:textFill>
        </w:rPr>
        <w:t xml:space="preserve">（加斜体下划线内容）</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逐条做出明确响应，否则</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该采购包</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作无效投标处理。</w:t>
      </w:r>
      <w:r/>
    </w:p>
    <w:p>
      <w:pPr>
        <w:pStyle w:val="1454"/>
        <w:jc w:val="both"/>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footnotePr/>
          <w:endnotePr/>
          <w:type w:val="nextPage"/>
          <w:pgSz w:w="16838" w:h="11906" w:orient="landscape"/>
          <w:pgMar w:top="1080" w:right="1440" w:bottom="1080" w:left="1440" w:header="851" w:footer="992" w:gutter="0"/>
          <w:cols w:num="1" w:sep="0" w:space="1701" w:equalWidth="1"/>
          <w:docGrid w:linePitch="360"/>
        </w:sectPr>
        <w:outlineLvl w:val="9"/>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477"/>
        <w:jc w:val="left"/>
        <w:shd w:val="clear" w:color="auto"/>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429" w:name="_Toc13750"/>
      <w:r/>
      <w:bookmarkStart w:id="430" w:name="_Toc18666"/>
      <w:r/>
      <w:bookmarkStart w:id="431" w:name="_Toc11261"/>
      <w:r/>
      <w:bookmarkStart w:id="432" w:name="_Toc31833"/>
      <w:r/>
      <w:bookmarkStart w:id="433" w:name="_Toc19964"/>
      <w:r>
        <w:rPr>
          <w:rStyle w:val="1425"/>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七</w:t>
      </w:r>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、服务方案</w:t>
      </w:r>
      <w:bookmarkEnd w:id="429"/>
      <w:r/>
      <w:bookmarkEnd w:id="430"/>
      <w:r/>
      <w:bookmarkEnd w:id="431"/>
      <w:r/>
      <w:bookmarkEnd w:id="432"/>
      <w:r/>
      <w:bookmarkEnd w:id="433"/>
      <w:r/>
      <w:r/>
    </w:p>
    <w:p>
      <w:pPr>
        <w:pStyle w:val="1454"/>
        <w:jc w:val="center"/>
        <w:keepLines w:val="0"/>
        <w:keepNext w:val="0"/>
        <w:pageBreakBefore w:val="0"/>
        <w:spacing w:before="567" w:after="567" w:line="240" w:lineRule="auto"/>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bookmarkStart w:id="434" w:name="_Toc43285583"/>
      <w:r/>
      <w:bookmarkStart w:id="435" w:name="_Toc35266041"/>
      <w:r>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服务方案</w:t>
      </w:r>
      <w:bookmarkEnd w:id="434"/>
      <w:r/>
      <w:bookmarkEnd w:id="435"/>
      <w:r/>
      <w:r/>
    </w:p>
    <w:p>
      <w:pPr>
        <w:pStyle w:val="1478"/>
        <w:jc w:val="center"/>
        <w:keepLines w:val="0"/>
        <w:keepNext w:val="0"/>
        <w:pageBreakBefore w:val="0"/>
        <w:spacing w:line="520" w:lineRule="exact"/>
        <w:shd w:val="clear" w:color="auto"/>
        <w:widowControl w:val="off"/>
        <w:rPr>
          <w:rStyle w:val="1425"/>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t xml:space="preserve">（服务方案的内容编排等由投标人自定）</w:t>
      </w:r>
      <w:r/>
    </w:p>
    <w:p>
      <w:pPr>
        <w:pStyle w:val="1480"/>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80"/>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80"/>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436" w:name="_Toc29190"/>
      <w:r/>
      <w:bookmarkStart w:id="437" w:name="_Toc15154"/>
      <w:r/>
      <w:bookmarkStart w:id="438" w:name="_Toc12415"/>
      <w:r/>
      <w:bookmarkStart w:id="439" w:name="_Toc14582"/>
      <w:r/>
      <w:bookmarkStart w:id="440" w:name="_Toc11992"/>
      <w:r>
        <w:rPr>
          <w:rStyle w:val="1425"/>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八</w:t>
      </w:r>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、投标人情况介绍</w:t>
      </w:r>
      <w:bookmarkEnd w:id="436"/>
      <w:r/>
      <w:bookmarkEnd w:id="437"/>
      <w:r/>
      <w:bookmarkEnd w:id="438"/>
      <w:r/>
      <w:bookmarkEnd w:id="439"/>
      <w:r/>
      <w:bookmarkEnd w:id="440"/>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81"/>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3"/>
      </w:pPr>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投标人拥有的设施设备情况</w:t>
      </w:r>
      <w:r/>
    </w:p>
    <w:p>
      <w:pPr>
        <w:pStyle w:val="1454"/>
        <w:jc w:val="center"/>
        <w:keepLines w:val="0"/>
        <w:keepNext w:val="0"/>
        <w:pageBreakBefore w:val="0"/>
        <w:spacing w:before="567" w:after="567" w:line="520" w:lineRule="exact"/>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投标人拥有的设施设备情况（若有的话）</w:t>
      </w:r>
      <w:r/>
    </w:p>
    <w:p>
      <w:pPr>
        <w:pStyle w:val="1454"/>
        <w:jc w:val="center"/>
        <w:keepLines w:val="0"/>
        <w:keepNext w:val="0"/>
        <w:pageBreakBefore w:val="0"/>
        <w:spacing w:before="567" w:after="567" w:line="520" w:lineRule="exact"/>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464"/>
        <w:jc w:val="both"/>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64"/>
        <w:jc w:val="center"/>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82"/>
        <w:jc w:val="left"/>
        <w:keepLines w:val="0"/>
        <w:keepNext w:val="0"/>
        <w:pageBreakBefore w:val="0"/>
        <w:spacing w:line="520" w:lineRule="exact"/>
        <w:shd w:val="clear" w:color="auto"/>
        <w:widowControl/>
        <w:rPr>
          <w:rStyle w:val="1425"/>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outlineLvl w:val="3"/>
      </w:pPr>
      <w:r>
        <w:rPr>
          <w:rStyle w:val="1425"/>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 xml:space="preserve">项目负责人及其他人员介绍</w:t>
      </w:r>
      <w:r/>
    </w:p>
    <w:p>
      <w:pPr>
        <w:pStyle w:val="1454"/>
        <w:jc w:val="center"/>
        <w:keepLines w:val="0"/>
        <w:keepNext w:val="0"/>
        <w:pageBreakBefore w:val="0"/>
        <w:spacing w:before="567" w:after="567" w:line="520" w:lineRule="exact"/>
        <w:shd w:val="clear" w:color="auto"/>
        <w:widowControl/>
        <w:rPr>
          <w:rStyle w:val="1425"/>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项目负责人及其他人员介绍</w:t>
      </w:r>
      <w:r/>
    </w:p>
    <w:tbl>
      <w:tblPr>
        <w:tblStyle w:val="1219"/>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序号</w:t>
            </w:r>
            <w:r/>
          </w:p>
        </w:tc>
        <w:tc>
          <w:tcPr>
            <w:tcW w:w="1270"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姓名</w:t>
            </w:r>
            <w:r/>
          </w:p>
        </w:tc>
        <w:tc>
          <w:tcPr>
            <w:tcW w:w="673"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性别</w:t>
            </w:r>
            <w:r/>
          </w:p>
        </w:tc>
        <w:tc>
          <w:tcPr>
            <w:tcW w:w="602"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年龄</w:t>
            </w:r>
            <w:r/>
          </w:p>
        </w:tc>
        <w:tc>
          <w:tcPr>
            <w:tcW w:w="1275"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文化程度</w:t>
            </w:r>
            <w:r/>
          </w:p>
        </w:tc>
        <w:tc>
          <w:tcPr>
            <w:tcW w:w="1061"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专业</w:t>
            </w:r>
            <w:r/>
          </w:p>
        </w:tc>
        <w:tc>
          <w:tcPr>
            <w:tcW w:w="1322"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技术职称</w:t>
            </w:r>
            <w:r/>
          </w:p>
        </w:tc>
        <w:tc>
          <w:tcPr>
            <w:gridSpan w:val="2"/>
            <w:tcW w:w="1416" w:type="dxa"/>
            <w:vAlign w:val="center"/>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资格证书</w:t>
            </w:r>
            <w:r/>
          </w:p>
        </w:tc>
        <w:tc>
          <w:tcPr>
            <w:tcW w:w="1854"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人事隶属关系</w:t>
            </w:r>
            <w:r/>
          </w:p>
        </w:tc>
        <w:tc>
          <w:tcPr>
            <w:tcW w:w="2472"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主要资历、经验及承担过的管理项目</w:t>
            </w:r>
            <w:r/>
          </w:p>
        </w:tc>
        <w:tc>
          <w:tcPr>
            <w:tcW w:w="1080"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本项目拟担任的职务</w:t>
            </w:r>
            <w:r/>
          </w:p>
        </w:tc>
        <w:tc>
          <w:tcPr>
            <w:tcW w:w="945" w:type="dxa"/>
            <w:vAlign w:val="center"/>
            <w:vMerge w:val="restart"/>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备注</w:t>
            </w:r>
            <w:r/>
          </w:p>
        </w:tc>
      </w:tr>
      <w:tr>
        <w:trPr>
          <w:jc w:val="center"/>
          <w:trHeight w:val="567"/>
        </w:trPr>
        <w:tc>
          <w:tcPr>
            <w:tcW w:w="703"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270"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73"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02"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275"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61"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322"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类别</w:t>
            </w:r>
            <w:r/>
          </w:p>
        </w:tc>
        <w:tc>
          <w:tcPr>
            <w:tcW w:w="708" w:type="dxa"/>
            <w:vAlign w:val="center"/>
            <w:textDirection w:val="lrTb"/>
            <w:noWrap w:val="false"/>
          </w:tcPr>
          <w:p>
            <w:pPr>
              <w:jc w:val="center"/>
              <w:shd w:val="clear" w:color="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编号</w:t>
            </w:r>
            <w:r/>
          </w:p>
        </w:tc>
        <w:tc>
          <w:tcPr>
            <w:tcW w:w="1854"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2472"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80"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945" w:type="dxa"/>
            <w:vAlign w:val="center"/>
            <w:vMerge w:val="continue"/>
            <w:textDirection w:val="lrTb"/>
            <w:noWrap w:val="false"/>
          </w:tcPr>
          <w:p>
            <w:pPr>
              <w:jc w:val="center"/>
              <w:spacing w:line="480" w:lineRule="exact"/>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618"/>
        </w:trPr>
        <w:tc>
          <w:tcPr>
            <w:tcW w:w="70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1</w:t>
            </w:r>
            <w:r/>
          </w:p>
        </w:tc>
        <w:tc>
          <w:tcPr>
            <w:tcW w:w="127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548"/>
        </w:trPr>
        <w:tc>
          <w:tcPr>
            <w:tcW w:w="70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w:t>
            </w:r>
            <w:r/>
          </w:p>
        </w:tc>
        <w:tc>
          <w:tcPr>
            <w:tcW w:w="127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595"/>
        </w:trPr>
        <w:tc>
          <w:tcPr>
            <w:tcW w:w="70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3</w:t>
            </w:r>
            <w:r/>
          </w:p>
        </w:tc>
        <w:tc>
          <w:tcPr>
            <w:tcW w:w="127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r>
        <w:trPr>
          <w:jc w:val="center"/>
          <w:trHeight w:val="513"/>
        </w:trPr>
        <w:tc>
          <w:tcPr>
            <w:tcW w:w="70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tc>
        <w:tc>
          <w:tcPr>
            <w:tcW w:w="127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73"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60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27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61"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32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708"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854"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2472"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1080"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c>
          <w:tcPr>
            <w:tcW w:w="945" w:type="dxa"/>
            <w:vAlign w:val="center"/>
            <w:textDirection w:val="lrTb"/>
            <w:noWrap w:val="false"/>
          </w:tcPr>
          <w:p>
            <w:pPr>
              <w:jc w:val="center"/>
              <w:shd w:val="clear" w:color="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r>
            <w:r/>
          </w:p>
        </w:tc>
      </w:tr>
    </w:tbl>
    <w:p>
      <w:pPr>
        <w:ind w:firstLine="480"/>
        <w:jc w:val="left"/>
        <w:spacing w:line="520" w:lineRule="exact"/>
        <w:shd w:val="clear" w:color="auto"/>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注：</w:t>
      </w:r>
      <w:r/>
    </w:p>
    <w:p>
      <w:pPr>
        <w:ind w:firstLine="480"/>
        <w:jc w:val="left"/>
        <w:spacing w:line="520" w:lineRule="exact"/>
        <w:shd w:val="clear" w:color="auto"/>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资格证书类别一栏按资格证书、岗位证书、培训证书填写。</w:t>
      </w:r>
      <w:r/>
    </w:p>
    <w:p>
      <w:pPr>
        <w:ind w:firstLine="480"/>
        <w:jc w:val="left"/>
        <w:spacing w:line="520" w:lineRule="exact"/>
        <w:shd w:val="clear" w:color="auto"/>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提供人员相关证书、</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社保或劳动合同</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，条目不限于此，可自行添加。</w:t>
      </w:r>
      <w:r/>
    </w:p>
    <w:p>
      <w:pPr>
        <w:pStyle w:val="1482"/>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outlineLvl w:val="9"/>
      </w:pPr>
      <w:r>
        <w:rPr>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r>
      <w:r/>
    </w:p>
    <w:p>
      <w:pPr>
        <w:pStyle w:val="1482"/>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sectPr>
          <w:footerReference w:type="default" r:id="rId33"/>
          <w:footnotePr/>
          <w:endnotePr/>
          <w:type w:val="nextPage"/>
          <w:pgSz w:w="16838" w:h="11906" w:orient="landscape"/>
          <w:pgMar w:top="1440" w:right="1080" w:bottom="1440" w:left="1080" w:header="851" w:footer="992" w:gutter="0"/>
          <w:cols w:num="1" w:sep="0" w:space="1701" w:equalWidth="1"/>
          <w:docGrid w:linePitch="360"/>
        </w:sectPr>
        <w:outlineLvl w:val="9"/>
      </w:pPr>
      <w:r>
        <w:rPr>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r>
      <w:r/>
    </w:p>
    <w:p>
      <w:pPr>
        <w:pStyle w:val="1482"/>
        <w:jc w:val="left"/>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bookmarkStart w:id="441" w:name="_Toc693"/>
      <w:r/>
      <w:bookmarkStart w:id="442" w:name="_Toc18644"/>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类似业绩一览表</w:t>
      </w:r>
      <w:bookmarkEnd w:id="441"/>
      <w:r/>
      <w:bookmarkEnd w:id="442"/>
      <w:r/>
      <w:r/>
    </w:p>
    <w:p>
      <w:pPr>
        <w:pStyle w:val="1454"/>
        <w:jc w:val="center"/>
        <w:keepLines w:val="0"/>
        <w:keepNext w:val="0"/>
        <w:pageBreakBefore w:val="0"/>
        <w:spacing w:before="567" w:after="567" w:line="520" w:lineRule="exact"/>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类似业绩一览表</w:t>
      </w:r>
      <w:r/>
    </w:p>
    <w:tbl>
      <w:tblPr>
        <w:tblStyle w:val="1219"/>
        <w:tblW w:w="97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1232" w:type="dxa"/>
            <w:vAlign w:val="center"/>
            <w:textDirection w:val="lrTb"/>
            <w:noWrap w:val="false"/>
          </w:tcPr>
          <w:p>
            <w:pPr>
              <w:pStyle w:val="1483"/>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项目名称</w:t>
            </w:r>
            <w:r/>
          </w:p>
        </w:tc>
        <w:tc>
          <w:tcPr>
            <w:tcMar>
              <w:left w:w="0" w:type="dxa"/>
              <w:top w:w="0" w:type="dxa"/>
              <w:right w:w="0" w:type="dxa"/>
              <w:bottom w:w="0" w:type="dxa"/>
            </w:tcMar>
            <w:tcW w:w="3650" w:type="dxa"/>
            <w:vAlign w:val="center"/>
            <w:textDirection w:val="lrTb"/>
            <w:noWrap w:val="false"/>
          </w:tcPr>
          <w:p>
            <w:pPr>
              <w:pStyle w:val="1483"/>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合同期（天）</w:t>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合同金额</w:t>
            </w:r>
            <w:r/>
          </w:p>
        </w:tc>
      </w:tr>
      <w:tr>
        <w:trPr>
          <w:jc w:val="center"/>
          <w:trHeight w:val="567"/>
        </w:trPr>
        <w:tc>
          <w:tcPr>
            <w:tcMar>
              <w:left w:w="0" w:type="dxa"/>
              <w:top w:w="0" w:type="dxa"/>
              <w:right w:w="0" w:type="dxa"/>
              <w:bottom w:w="0" w:type="dxa"/>
            </w:tcMar>
            <w:tcW w:w="1232"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443" w:name="xh"/>
            <w:r/>
            <w:bookmarkEnd w:id="443"/>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444" w:name="XmName"/>
            <w:r/>
            <w:bookmarkEnd w:id="444"/>
            <w:r/>
            <w:r/>
          </w:p>
        </w:tc>
        <w:tc>
          <w:tcPr>
            <w:tcMar>
              <w:left w:w="0" w:type="dxa"/>
              <w:top w:w="0" w:type="dxa"/>
              <w:right w:w="0" w:type="dxa"/>
              <w:bottom w:w="0" w:type="dxa"/>
            </w:tcMar>
            <w:tcW w:w="3650"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445" w:name="ZhongBiaoJia"/>
            <w:r/>
            <w:bookmarkEnd w:id="445"/>
            <w:r/>
            <w:r/>
          </w:p>
        </w:tc>
      </w:tr>
      <w:tr>
        <w:trPr>
          <w:jc w:val="center"/>
          <w:trHeight w:val="567"/>
        </w:trPr>
        <w:tc>
          <w:tcPr>
            <w:tcMar>
              <w:left w:w="0" w:type="dxa"/>
              <w:top w:w="0" w:type="dxa"/>
              <w:right w:w="0" w:type="dxa"/>
              <w:bottom w:w="0" w:type="dxa"/>
            </w:tcMar>
            <w:tcW w:w="1232"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232"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650"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41" w:type="dxa"/>
            <w:vAlign w:val="center"/>
            <w:textDirection w:val="lrTb"/>
            <w:noWrap w:val="false"/>
          </w:tcPr>
          <w:p>
            <w:pPr>
              <w:pStyle w:val="1483"/>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83"/>
        <w:jc w:val="both"/>
        <w:spacing w:before="240" w:after="240"/>
        <w:shd w:val="clear" w:color="auto"/>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headerReference w:type="default" r:id="rId22"/>
          <w:headerReference w:type="first" r:id="rId23"/>
          <w:footerReference w:type="default" r:id="rId34"/>
          <w:footerReference w:type="first" r:id="rId3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84"/>
        <w:jc w:val="left"/>
        <w:shd w:val="clear" w:color="auto"/>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9"/>
      </w:pPr>
      <w:r>
        <w:rPr>
          <w:rStyle w:val="1425"/>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投标人获得的相关证书</w:t>
      </w:r>
      <w:r/>
    </w:p>
    <w:p>
      <w:pPr>
        <w:pStyle w:val="1454"/>
        <w:jc w:val="center"/>
        <w:keepLines w:val="0"/>
        <w:keepNext w:val="0"/>
        <w:pageBreakBefore w:val="0"/>
        <w:spacing w:before="567" w:after="567" w:line="520" w:lineRule="exact"/>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各类证书（若有的话）</w:t>
      </w:r>
      <w:r/>
    </w:p>
    <w:p>
      <w:pPr>
        <w:pStyle w:val="1483"/>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r>
      <w:r/>
    </w:p>
    <w:p>
      <w:pPr>
        <w:pStyle w:val="1483"/>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83"/>
        <w:jc w:val="both"/>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83"/>
        <w:jc w:val="center"/>
        <w:keepLines w:val="0"/>
        <w:keepNext w:val="0"/>
        <w:pageBreakBefore w:val="0"/>
        <w:spacing w:before="240" w:after="240"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87"/>
        <w:jc w:val="left"/>
        <w:shd w:val="clear" w:color="auto"/>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outlineLvl w:val="1"/>
      </w:pPr>
      <w:r/>
      <w:bookmarkStart w:id="446" w:name="_Toc7948"/>
      <w:r/>
      <w:bookmarkStart w:id="447" w:name="_Toc13057"/>
      <w:r/>
      <w:bookmarkStart w:id="448" w:name="_Toc15335"/>
      <w:r/>
      <w:bookmarkStart w:id="449" w:name="_Toc285"/>
      <w:r/>
      <w:bookmarkStart w:id="450" w:name="_Toc29532"/>
      <w:r>
        <w:rPr>
          <w:rStyle w:val="1425"/>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九</w:t>
      </w:r>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、技术</w:t>
      </w:r>
      <w:r>
        <w:rPr>
          <w:rStyle w:val="1425"/>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要求</w:t>
      </w:r>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响应及偏离表</w:t>
      </w:r>
      <w:bookmarkEnd w:id="446"/>
      <w:r/>
      <w:bookmarkEnd w:id="447"/>
      <w:r/>
      <w:bookmarkEnd w:id="448"/>
      <w:r/>
      <w:bookmarkEnd w:id="449"/>
      <w:r/>
      <w:bookmarkEnd w:id="450"/>
      <w:r/>
      <w:r/>
    </w:p>
    <w:p>
      <w:pPr>
        <w:pStyle w:val="1454"/>
        <w:jc w:val="center"/>
        <w:keepLines w:val="0"/>
        <w:keepNext w:val="0"/>
        <w:pageBreakBefore w:val="0"/>
        <w:spacing w:before="567" w:after="567" w:line="520" w:lineRule="exact"/>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技术要求响应及偏离表</w:t>
      </w:r>
      <w:r/>
    </w:p>
    <w:tbl>
      <w:tblPr>
        <w:tblStyle w:val="1219"/>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2374" w:type="dxa"/>
            <w:vAlign w:val="center"/>
            <w:textDirection w:val="lrTb"/>
            <w:noWrap w:val="false"/>
          </w:tcPr>
          <w:p>
            <w:pPr>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招标文件技术要求中的要求</w:t>
            </w:r>
            <w:r/>
          </w:p>
        </w:tc>
        <w:tc>
          <w:tcPr>
            <w:tcMar>
              <w:left w:w="0" w:type="dxa"/>
              <w:top w:w="0" w:type="dxa"/>
              <w:right w:w="0" w:type="dxa"/>
              <w:bottom w:w="0" w:type="dxa"/>
            </w:tcMar>
            <w:tcW w:w="2014" w:type="dxa"/>
            <w:vAlign w:val="center"/>
            <w:textDirection w:val="lrTb"/>
            <w:noWrap w:val="false"/>
          </w:tcPr>
          <w:p>
            <w:pPr>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投标文件对应要求的服务承诺</w:t>
            </w:r>
            <w:r/>
          </w:p>
        </w:tc>
        <w:tc>
          <w:tcPr>
            <w:tcMar>
              <w:left w:w="0" w:type="dxa"/>
              <w:top w:w="0" w:type="dxa"/>
              <w:right w:w="0" w:type="dxa"/>
              <w:bottom w:w="0" w:type="dxa"/>
            </w:tcMar>
            <w:tcW w:w="1880" w:type="dxa"/>
            <w:vAlign w:val="center"/>
            <w:textDirection w:val="lrTb"/>
            <w:noWrap w:val="false"/>
          </w:tcPr>
          <w:p>
            <w:pPr>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有无偏离</w:t>
            </w:r>
            <w:r/>
          </w:p>
        </w:tc>
        <w:tc>
          <w:tcPr>
            <w:tcMar>
              <w:left w:w="0" w:type="dxa"/>
              <w:top w:w="0" w:type="dxa"/>
              <w:right w:w="0" w:type="dxa"/>
              <w:bottom w:w="0" w:type="dxa"/>
            </w:tcMar>
            <w:tcW w:w="1808" w:type="dxa"/>
            <w:vAlign w:val="center"/>
            <w:textDirection w:val="lrTb"/>
            <w:noWrap w:val="false"/>
          </w:tcPr>
          <w:p>
            <w:pPr>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偏离内容及原因</w:t>
            </w:r>
            <w:r/>
          </w:p>
        </w:tc>
        <w:tc>
          <w:tcPr>
            <w:tcMar>
              <w:left w:w="0" w:type="dxa"/>
              <w:top w:w="0" w:type="dxa"/>
              <w:right w:w="0" w:type="dxa"/>
              <w:bottom w:w="0" w:type="dxa"/>
            </w:tcMar>
            <w:tcW w:w="1128" w:type="dxa"/>
            <w:vAlign w:val="center"/>
            <w:textDirection w:val="lrTb"/>
            <w:noWrap w:val="false"/>
          </w:tcPr>
          <w:p>
            <w:pPr>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备注</w:t>
            </w:r>
            <w:r/>
          </w:p>
        </w:tc>
      </w:tr>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54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37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014"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80"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0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28" w:type="dxa"/>
            <w:vAlign w:val="center"/>
            <w:textDirection w:val="lrTb"/>
            <w:noWrap w:val="false"/>
          </w:tcPr>
          <w:p>
            <w:pPr>
              <w:pStyle w:val="1488"/>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86"/>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w:t>
      </w:r>
      <w:r/>
    </w:p>
    <w:p>
      <w:pPr>
        <w:pStyle w:val="1486"/>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1</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投标人应根据招标文件技术</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要求</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中的要求对照投标人所提供的服务承诺进行逐项评议。</w:t>
      </w:r>
      <w:r/>
    </w:p>
    <w:p>
      <w:pPr>
        <w:pStyle w:val="1486"/>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2</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486"/>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3</w:t>
      </w:r>
      <w:r>
        <w:rPr>
          <w:rStyle w:val="1425"/>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w:t>
      </w:r>
      <w:r>
        <w:rPr>
          <w:rStyle w:val="1425"/>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表格不够可另接。</w:t>
      </w:r>
      <w:r/>
    </w:p>
    <w:p>
      <w:pPr>
        <w:pStyle w:val="1454"/>
        <w:jc w:val="both"/>
        <w:keepLines w:val="0"/>
        <w:keepNext w:val="0"/>
        <w:pageBreakBefore w:val="0"/>
        <w:spacing w:line="520" w:lineRule="exact"/>
        <w:shd w:val="clear" w:color="auto"/>
        <w:widowControl/>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451" w:name="_Toc27654"/>
      <w:r/>
      <w:bookmarkStart w:id="452" w:name="_Toc18326"/>
      <w:r/>
      <w:bookmarkStart w:id="453" w:name="_Toc31721"/>
      <w:r>
        <w:rPr>
          <w:rStyle w:val="1425"/>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十、商务条款响应及偏离表</w:t>
      </w:r>
      <w:bookmarkEnd w:id="451"/>
      <w:r/>
      <w:bookmarkEnd w:id="452"/>
      <w:r/>
      <w:bookmarkEnd w:id="453"/>
      <w:r/>
      <w:r/>
    </w:p>
    <w:p>
      <w:pPr>
        <w:pStyle w:val="1454"/>
        <w:jc w:val="center"/>
        <w:keepLines w:val="0"/>
        <w:keepNext w:val="0"/>
        <w:pageBreakBefore w:val="0"/>
        <w:spacing w:before="567" w:after="567" w:line="520" w:lineRule="exact"/>
        <w:shd w:val="clear" w:color="auto"/>
        <w:widowControl/>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425"/>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﻿商务条款响应及偏离表</w:t>
      </w:r>
      <w:r/>
    </w:p>
    <w:tbl>
      <w:tblPr>
        <w:tblStyle w:val="1219"/>
        <w:tblW w:w="97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w:t>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招标文件要求</w:t>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是否响应</w:t>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425"/>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投标人的承诺或说明</w:t>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77"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1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785" w:type="dxa"/>
            <w:vAlign w:val="center"/>
            <w:textDirection w:val="lrTb"/>
            <w:noWrap w:val="false"/>
          </w:tcPr>
          <w:p>
            <w:pPr>
              <w:pStyle w:val="1489"/>
              <w:jc w:val="center"/>
              <w:shd w:val="clear" w:color="auto"/>
              <w:rPr>
                <w:rStyle w:val="1425"/>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90"/>
        <w:shd w:val="clear" w:color="auto"/>
        <w:rPr>
          <w:rStyle w:val="1425"/>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506"/>
        <w:spacing w:line="300" w:lineRule="auto"/>
        <w:rPr>
          <w:rFonts w:hint="eastAsia" w:ascii="宋体" w:hAnsi="宋体" w:eastAsia="宋体" w:cs="宋体"/>
          <w:color w:val="000000" w:themeColor="text1"/>
          <w:highlight w:val="none"/>
          <w14:textFill>
            <w14:solidFill>
              <w14:schemeClr w14:val="tx1"/>
            </w14:solidFill>
          </w14:textFill>
        </w:rPr>
        <w:outlineLvl w:val="1"/>
      </w:pPr>
      <w:r/>
      <w:bookmarkStart w:id="454" w:name="_Toc26627"/>
      <w:r/>
      <w:bookmarkStart w:id="455" w:name="_Toc2189"/>
      <w:r/>
      <w:bookmarkStart w:id="456" w:name="_Toc25839"/>
      <w:r/>
      <w:bookmarkStart w:id="457" w:name="_Toc6741"/>
      <w:r/>
      <w:bookmarkStart w:id="458" w:name="_Toc4791"/>
      <w:r/>
      <w:bookmarkStart w:id="459" w:name="_Toc9898"/>
      <w:r>
        <w:rPr>
          <w:rFonts w:hint="eastAsia" w:ascii="宋体" w:hAnsi="宋体" w:eastAsia="宋体" w:cs="宋体"/>
          <w:b/>
          <w:color w:val="000000" w:themeColor="text1"/>
          <w:sz w:val="32"/>
          <w:highlight w:val="none"/>
          <w14:textFill>
            <w14:solidFill>
              <w14:schemeClr w14:val="tx1"/>
            </w14:solidFill>
          </w14:textFill>
        </w:rPr>
        <w:t xml:space="preserve">十</w:t>
      </w:r>
      <w:r>
        <w:rPr>
          <w:rFonts w:hint="eastAsia" w:ascii="宋体" w:hAnsi="宋体" w:eastAsia="宋体" w:cs="宋体"/>
          <w:b/>
          <w:color w:val="000000" w:themeColor="text1"/>
          <w:sz w:val="32"/>
          <w:highlight w:val="none"/>
          <w:lang w:eastAsia="zh-CN"/>
          <w14:textFill>
            <w14:solidFill>
              <w14:schemeClr w14:val="tx1"/>
            </w14:solidFill>
          </w14:textFill>
        </w:rPr>
        <w:t xml:space="preserve">一</w:t>
      </w:r>
      <w:r>
        <w:rPr>
          <w:rFonts w:hint="eastAsia" w:ascii="宋体" w:hAnsi="宋体" w:eastAsia="宋体" w:cs="宋体"/>
          <w:b/>
          <w:color w:val="000000" w:themeColor="text1"/>
          <w:sz w:val="32"/>
          <w:highlight w:val="none"/>
          <w14:textFill>
            <w14:solidFill>
              <w14:schemeClr w14:val="tx1"/>
            </w14:solidFill>
          </w14:textFill>
        </w:rPr>
        <w:t xml:space="preserve">、关于符合本国产品标准的声明函</w:t>
      </w:r>
      <w:bookmarkEnd w:id="454"/>
      <w:r/>
      <w:bookmarkEnd w:id="455"/>
      <w:r/>
      <w:r/>
    </w:p>
    <w:p>
      <w:pPr>
        <w:pStyle w:val="1489"/>
        <w:spacing w:line="300" w:lineRule="auto"/>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r>
      <w:r/>
    </w:p>
    <w:p>
      <w:pPr>
        <w:pStyle w:val="1247"/>
        <w:ind w:left="0" w:right="0"/>
        <w:keepLines w:val="0"/>
        <w:keepNext w:val="0"/>
        <w:spacing w:before="15" w:beforeAutospacing="0" w:after="15" w:afterAutospacing="0"/>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hd w:val="clear" w:color="auto" w:fill="ffffff"/>
          <w14:textFill>
            <w14:solidFill>
              <w14:schemeClr w14:val="tx1"/>
            </w14:solidFill>
          </w14:textFill>
        </w:rPr>
        <w:t xml:space="preserve"> </w:t>
      </w:r>
      <w:r/>
    </w:p>
    <w:p>
      <w:pPr>
        <w:pStyle w:val="1247"/>
        <w:jc w:val="center"/>
        <w:keepLines w:val="0"/>
        <w:keepNext w:val="0"/>
        <w:spacing w:before="15" w:beforeAutospacing="0" w:after="15" w:afterAutospacing="0"/>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30"/>
          <w:szCs w:val="30"/>
          <w:shd w:val="clear" w:color="auto" w:fill="ffffff"/>
          <w14:textFill>
            <w14:solidFill>
              <w14:schemeClr w14:val="tx1"/>
            </w14:solidFill>
          </w14:textFill>
        </w:rPr>
        <w:t xml:space="preserve">关于符合本国产品标准的声明函</w:t>
      </w:r>
      <w:r/>
    </w:p>
    <w:p>
      <w:pPr>
        <w:pStyle w:val="1247"/>
        <w:ind w:left="0" w:firstLine="420"/>
        <w:keepLines w:val="0"/>
        <w:keepNext w:val="0"/>
        <w:spacing w:before="15" w:beforeAutospacing="0" w:after="15" w:afterAutospacing="0"/>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hd w:val="clear" w:color="auto" w:fill="ffffff"/>
          <w14:textFill>
            <w14:solidFill>
              <w14:schemeClr w14:val="tx1"/>
            </w14:solidFill>
          </w14:textFill>
        </w:rPr>
        <w:t xml:space="preserve"> </w:t>
      </w:r>
      <w:r/>
    </w:p>
    <w:p>
      <w:pPr>
        <w:pStyle w:val="1247"/>
        <w:ind w:left="0" w:firstLine="420"/>
        <w:keepLines w:val="0"/>
        <w:keepNext w:val="0"/>
        <w:spacing w:before="0" w:beforeAutospacing="0" w:after="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47"/>
        <w:ind w:left="0" w:firstLine="420"/>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在中国境内完成。</w:t>
      </w:r>
      <w:r/>
    </w:p>
    <w:p>
      <w:pPr>
        <w:pStyle w:val="1247"/>
        <w:ind w:left="0" w:firstLine="420"/>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在中国境内完成。</w:t>
      </w:r>
      <w:r/>
    </w:p>
    <w:p>
      <w:pPr>
        <w:pStyle w:val="1247"/>
        <w:ind w:left="0" w:firstLine="420"/>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pStyle w:val="1247"/>
        <w:ind w:left="0" w:firstLine="420"/>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1247"/>
        <w:keepLines w:val="0"/>
        <w:keepNext w:val="0"/>
        <w:spacing w:before="30" w:beforeAutospacing="0" w:after="30" w:afterAutospacing="0" w:line="0" w:lineRule="atLeast"/>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hd w:val="clear" w:color="auto" w:fill="ffffff"/>
          <w14:textFill>
            <w14:solidFill>
              <w14:schemeClr w14:val="tx1"/>
            </w14:solidFill>
          </w14:textFill>
        </w:rPr>
        <w:t xml:space="preserve"> </w:t>
      </w:r>
      <w:r/>
    </w:p>
    <w:p>
      <w:pPr>
        <w:pStyle w:val="1247"/>
        <w:jc w:val="right"/>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公司（单位）名称（加盖公章）：         </w:t>
      </w:r>
      <w:r/>
    </w:p>
    <w:p>
      <w:pPr>
        <w:pStyle w:val="1247"/>
        <w:jc w:val="center"/>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日期：      年   月   日    </w:t>
      </w:r>
      <w:r/>
    </w:p>
    <w:p>
      <w:pPr>
        <w:pStyle w:val="1247"/>
        <w:keepLines w:val="0"/>
        <w:keepNext w:val="0"/>
        <w:spacing w:before="30" w:beforeAutospacing="0" w:after="30" w:afterAutospacing="0" w:line="0" w:lineRule="atLeast"/>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hd w:val="clear" w:color="auto" w:fill="ffffff"/>
          <w14:textFill>
            <w14:solidFill>
              <w14:schemeClr w14:val="tx1"/>
            </w14:solidFill>
          </w14:textFill>
        </w:rPr>
        <w:t xml:space="preserve"> </w:t>
      </w:r>
      <w:r/>
    </w:p>
    <w:p>
      <w:pPr>
        <w:pStyle w:val="1247"/>
        <w:keepLines w:val="0"/>
        <w:keepNext w:val="0"/>
        <w:spacing w:before="30" w:beforeAutospacing="0" w:after="30" w:afterAutospacing="0" w:line="0" w:lineRule="atLeast"/>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shd w:val="clear" w:color="auto" w:fill="ffffff"/>
          <w14:textFill>
            <w14:solidFill>
              <w14:schemeClr w14:val="tx1"/>
            </w14:solidFill>
          </w14:textFill>
        </w:rPr>
        <w:t xml:space="preserve"> </w:t>
      </w:r>
      <w:r/>
    </w:p>
    <w:p>
      <w:pPr>
        <w:pStyle w:val="1247"/>
        <w:keepLines w:val="0"/>
        <w:keepNext w:val="0"/>
        <w:spacing w:before="30" w:beforeAutospacing="0" w:after="30" w:afterAutospacing="0" w:line="0" w:lineRule="atLeast"/>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_________________</w:t>
      </w:r>
      <w:r/>
    </w:p>
    <w:p>
      <w:pPr>
        <w:pStyle w:val="1247"/>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1.产品如有型号，请在“产品名称”栏一并填写。</w:t>
      </w:r>
      <w:r/>
    </w:p>
    <w:p>
      <w:pPr>
        <w:pStyle w:val="1247"/>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pStyle w:val="1247"/>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1247"/>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4.该产品的关键组件要求实施前，“关键组件”栏可不填，下同。</w:t>
      </w:r>
      <w:r/>
    </w:p>
    <w:p>
      <w:pPr>
        <w:pStyle w:val="1247"/>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5.该产品的关键工序要求实施前，“关键工序”栏可不填，下同。</w:t>
      </w:r>
      <w:r/>
    </w:p>
    <w:p>
      <w:pPr>
        <w:pStyle w:val="1247"/>
        <w:keepLines w:val="0"/>
        <w:keepNext w:val="0"/>
        <w:spacing w:before="30" w:beforeAutospacing="0" w:after="30" w:afterAutospacing="0" w:line="360" w:lineRule="auto"/>
        <w:shd w:val="clear" w:color="auto"/>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6.《声明函》中标注“</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”的地方无需填写。</w:t>
      </w:r>
      <w:r/>
    </w:p>
    <w:p>
      <w:pPr>
        <w:pStyle w:val="1247"/>
        <w:jc w:val="both"/>
        <w:keepLines w:val="0"/>
        <w:keepNext w:val="0"/>
        <w:spacing w:before="0" w:beforeAutospacing="0" w:after="0" w:afterAutospacing="0"/>
        <w:shd w:val="clear" w:color="auto"/>
        <w:widowControl w:val="off"/>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14:textFill>
            <w14:solidFill>
              <w14:schemeClr w14:val="tx1"/>
            </w14:solidFill>
          </w14:textFill>
        </w:rPr>
        <w:t xml:space="preserve"> </w:t>
      </w:r>
      <w:r/>
    </w:p>
    <w:p>
      <w:pPr>
        <w:pStyle w:val="1247"/>
        <w:ind w:firstLine="420"/>
        <w:spacing w:before="0" w:beforeAutospacing="0" w:after="156" w:afterAutospacing="0" w:line="30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490"/>
        <w:rPr>
          <w:rStyle w:val="1425"/>
          <w:rFonts w:hint="eastAsia" w:ascii="宋体" w:hAnsi="宋体" w:eastAsia="宋体" w:cs="宋体"/>
          <w:b/>
          <w:color w:val="000000" w:themeColor="text1"/>
          <w:sz w:val="32"/>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490"/>
        <w:shd w:val="clear" w:color="auto"/>
        <w:rPr>
          <w:rStyle w:val="1425"/>
          <w:rFonts w:hint="eastAsia" w:ascii="宋体" w:hAnsi="宋体" w:eastAsia="宋体" w:cs="宋体"/>
          <w:color w:val="000000" w:themeColor="text1"/>
          <w:spacing w:val="0"/>
          <w:highlight w:val="none"/>
          <w14:textFill>
            <w14:solidFill>
              <w14:schemeClr w14:val="tx1"/>
            </w14:solidFill>
          </w14:textFill>
        </w:rPr>
        <w:outlineLvl w:val="1"/>
      </w:pPr>
      <w:r/>
      <w:bookmarkStart w:id="460" w:name="_Toc19315"/>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十</w:t>
      </w:r>
      <w:r>
        <w:rPr>
          <w:rStyle w:val="1425"/>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 xml:space="preserve">二</w:t>
      </w:r>
      <w:r>
        <w:rPr>
          <w:rStyle w:val="1425"/>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、其他材料</w:t>
      </w:r>
      <w:bookmarkEnd w:id="2"/>
      <w:r/>
      <w:bookmarkEnd w:id="456"/>
      <w:r/>
      <w:bookmarkEnd w:id="457"/>
      <w:r/>
      <w:bookmarkEnd w:id="458"/>
      <w:r/>
      <w:bookmarkEnd w:id="459"/>
      <w:r/>
      <w:bookmarkEnd w:id="460"/>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2312">
    <w:panose1 w:val="020B0503020202020204"/>
  </w:font>
  <w:font w:name="黑体">
    <w:panose1 w:val="02010609060101010101"/>
  </w:font>
  <w:font w:name="等线">
    <w:panose1 w:val="02010600030101010101"/>
  </w:font>
  <w:font w:name="方正楷体_GB2312">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rPr>
        <w:rStyle w:val="1493"/>
      </w:rPr>
      <w:framePr w:wrap="around" w:vAnchor="text" w:hAnchor="margin" w:xAlign="center" w:y="1"/>
    </w:pPr>
    <w:r>
      <w:fldChar w:fldCharType="begin"/>
    </w:r>
    <w:r>
      <w:rPr>
        <w:rStyle w:val="1493"/>
      </w:rPr>
      <w:instrText xml:space="preserve">PAGE  </w:instrText>
    </w:r>
    <w:r>
      <w:fldChar w:fldCharType="end"/>
    </w:r>
    <w:r/>
  </w:p>
  <w:p>
    <w:pPr>
      <w:pStyle w:val="14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ind w:firstLine="360"/>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ind w:firstLine="360"/>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66</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7"/>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66</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rPr>
        <w:sz w:val="24"/>
        <w:szCs w:val="24"/>
      </w:rPr>
      <w:pBdr>
        <w:bottom w:val="single" w:color="000000"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pBdr>
        <w:bottom w:val="single" w:color="000000"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pBdr>
        <w:bottom w:val="none" w:color="000000" w:sz="0" w:space="0"/>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pBdr>
        <w:bottom w:val="none" w:color="000000" w:sz="0" w:space="1"/>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pBdr>
        <w:bottom w:val="none" w:color="000000" w:sz="0" w:space="0"/>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2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3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08" w:default="1">
    <w:name w:val="Normal"/>
    <w:next w:val="1220"/>
    <w:link w:val="1494"/>
    <w:uiPriority w:val="0"/>
    <w:qFormat/>
    <w:pPr>
      <w:jc w:val="both"/>
      <w:widowControl w:val="off"/>
    </w:pPr>
    <w:rPr>
      <w:rFonts w:hint="default" w:ascii="Calibri" w:hAnsi="Calibri" w:eastAsia="宋体" w:cs="Times New Roman"/>
      <w:sz w:val="21"/>
      <w:szCs w:val="22"/>
      <w:lang w:val="en-US" w:eastAsia="zh-CN" w:bidi="ar-SA"/>
    </w:rPr>
  </w:style>
  <w:style w:type="paragraph" w:styleId="1209">
    <w:name w:val="Heading 1"/>
    <w:basedOn w:val="1208"/>
    <w:next w:val="1208"/>
    <w:link w:val="1261"/>
    <w:uiPriority w:val="9"/>
    <w:qFormat/>
    <w:pPr>
      <w:keepLines/>
      <w:keepNext/>
      <w:spacing w:before="480" w:after="200"/>
      <w:outlineLvl w:val="0"/>
    </w:pPr>
    <w:rPr>
      <w:rFonts w:ascii="Arial" w:hAnsi="Arial" w:eastAsia="Arial" w:cs="Arial"/>
      <w:sz w:val="40"/>
      <w:szCs w:val="40"/>
    </w:rPr>
  </w:style>
  <w:style w:type="paragraph" w:styleId="1210">
    <w:name w:val="Heading 2"/>
    <w:basedOn w:val="1208"/>
    <w:next w:val="1208"/>
    <w:link w:val="1262"/>
    <w:uiPriority w:val="9"/>
    <w:unhideWhenUsed/>
    <w:qFormat/>
    <w:pPr>
      <w:keepLines/>
      <w:keepNext/>
      <w:spacing w:before="360" w:after="200"/>
      <w:outlineLvl w:val="1"/>
    </w:pPr>
    <w:rPr>
      <w:rFonts w:ascii="Arial" w:hAnsi="Arial" w:eastAsia="Arial" w:cs="Arial"/>
      <w:sz w:val="34"/>
    </w:rPr>
  </w:style>
  <w:style w:type="paragraph" w:styleId="1211">
    <w:name w:val="Heading 3"/>
    <w:basedOn w:val="1208"/>
    <w:next w:val="1208"/>
    <w:link w:val="1263"/>
    <w:uiPriority w:val="9"/>
    <w:unhideWhenUsed/>
    <w:qFormat/>
    <w:pPr>
      <w:keepLines/>
      <w:keepNext/>
      <w:spacing w:before="320" w:after="200"/>
      <w:outlineLvl w:val="2"/>
    </w:pPr>
    <w:rPr>
      <w:rFonts w:ascii="Arial" w:hAnsi="Arial" w:eastAsia="Arial" w:cs="Arial"/>
      <w:sz w:val="30"/>
      <w:szCs w:val="30"/>
    </w:rPr>
  </w:style>
  <w:style w:type="paragraph" w:styleId="1212">
    <w:name w:val="Heading 4"/>
    <w:basedOn w:val="1208"/>
    <w:next w:val="1208"/>
    <w:link w:val="1264"/>
    <w:uiPriority w:val="9"/>
    <w:unhideWhenUsed/>
    <w:qFormat/>
    <w:pPr>
      <w:keepLines/>
      <w:keepNext/>
      <w:spacing w:before="320" w:after="200"/>
      <w:outlineLvl w:val="3"/>
    </w:pPr>
    <w:rPr>
      <w:rFonts w:ascii="Arial" w:hAnsi="Arial" w:eastAsia="Arial" w:cs="Arial"/>
      <w:b/>
      <w:bCs/>
      <w:sz w:val="26"/>
      <w:szCs w:val="26"/>
    </w:rPr>
  </w:style>
  <w:style w:type="paragraph" w:styleId="1213">
    <w:name w:val="Heading 5"/>
    <w:basedOn w:val="1208"/>
    <w:next w:val="1208"/>
    <w:link w:val="1265"/>
    <w:uiPriority w:val="9"/>
    <w:unhideWhenUsed/>
    <w:qFormat/>
    <w:pPr>
      <w:keepLines/>
      <w:keepNext/>
      <w:spacing w:before="320" w:after="200"/>
      <w:outlineLvl w:val="4"/>
    </w:pPr>
    <w:rPr>
      <w:rFonts w:ascii="Arial" w:hAnsi="Arial" w:eastAsia="Arial" w:cs="Arial"/>
      <w:b/>
      <w:bCs/>
      <w:sz w:val="24"/>
      <w:szCs w:val="24"/>
    </w:rPr>
  </w:style>
  <w:style w:type="paragraph" w:styleId="1214">
    <w:name w:val="Heading 6"/>
    <w:basedOn w:val="1208"/>
    <w:next w:val="1208"/>
    <w:link w:val="1266"/>
    <w:uiPriority w:val="9"/>
    <w:unhideWhenUsed/>
    <w:qFormat/>
    <w:pPr>
      <w:keepLines/>
      <w:keepNext/>
      <w:spacing w:before="320" w:after="200"/>
      <w:outlineLvl w:val="5"/>
    </w:pPr>
    <w:rPr>
      <w:rFonts w:ascii="Arial" w:hAnsi="Arial" w:eastAsia="Arial" w:cs="Arial"/>
      <w:b/>
      <w:bCs/>
      <w:sz w:val="22"/>
      <w:szCs w:val="22"/>
    </w:rPr>
  </w:style>
  <w:style w:type="paragraph" w:styleId="1215">
    <w:name w:val="Heading 7"/>
    <w:basedOn w:val="1208"/>
    <w:next w:val="1208"/>
    <w:link w:val="1267"/>
    <w:uiPriority w:val="9"/>
    <w:unhideWhenUsed/>
    <w:qFormat/>
    <w:pPr>
      <w:keepLines/>
      <w:keepNext/>
      <w:spacing w:before="320" w:after="200"/>
      <w:outlineLvl w:val="6"/>
    </w:pPr>
    <w:rPr>
      <w:rFonts w:ascii="Arial" w:hAnsi="Arial" w:eastAsia="Arial" w:cs="Arial"/>
      <w:b/>
      <w:bCs/>
      <w:i/>
      <w:iCs/>
      <w:sz w:val="22"/>
      <w:szCs w:val="22"/>
    </w:rPr>
  </w:style>
  <w:style w:type="paragraph" w:styleId="1216">
    <w:name w:val="Heading 8"/>
    <w:basedOn w:val="1208"/>
    <w:next w:val="1208"/>
    <w:link w:val="1268"/>
    <w:uiPriority w:val="9"/>
    <w:unhideWhenUsed/>
    <w:qFormat/>
    <w:pPr>
      <w:keepLines/>
      <w:keepNext/>
      <w:spacing w:before="320" w:after="200"/>
      <w:outlineLvl w:val="7"/>
    </w:pPr>
    <w:rPr>
      <w:rFonts w:ascii="Arial" w:hAnsi="Arial" w:eastAsia="Arial" w:cs="Arial"/>
      <w:i/>
      <w:iCs/>
      <w:sz w:val="22"/>
      <w:szCs w:val="22"/>
    </w:rPr>
  </w:style>
  <w:style w:type="paragraph" w:styleId="1217">
    <w:name w:val="Heading 9"/>
    <w:basedOn w:val="1208"/>
    <w:next w:val="1208"/>
    <w:link w:val="1269"/>
    <w:uiPriority w:val="9"/>
    <w:unhideWhenUsed/>
    <w:qFormat/>
    <w:pPr>
      <w:keepLines/>
      <w:keepNext/>
      <w:spacing w:before="320" w:after="200"/>
      <w:outlineLvl w:val="8"/>
    </w:pPr>
    <w:rPr>
      <w:rFonts w:ascii="Arial" w:hAnsi="Arial" w:eastAsia="Arial" w:cs="Arial"/>
      <w:i/>
      <w:iCs/>
      <w:sz w:val="21"/>
      <w:szCs w:val="21"/>
    </w:rPr>
  </w:style>
  <w:style w:type="character" w:styleId="1218" w:default="1">
    <w:name w:val="Default Paragraph Font"/>
    <w:uiPriority w:val="1"/>
    <w:semiHidden/>
    <w:unhideWhenUsed/>
    <w:qFormat/>
  </w:style>
  <w:style w:type="table" w:styleId="1219" w:default="1">
    <w:name w:val="Normal Table"/>
    <w:uiPriority w:val="99"/>
    <w:semiHidden/>
    <w:unhideWhenUsed/>
    <w:qFormat/>
    <w:tblPr>
      <w:tblCellMar>
        <w:left w:w="108" w:type="dxa"/>
        <w:top w:w="0" w:type="dxa"/>
        <w:right w:w="108" w:type="dxa"/>
        <w:bottom w:w="0" w:type="dxa"/>
      </w:tblCellMar>
    </w:tblPr>
  </w:style>
  <w:style w:type="paragraph" w:styleId="1220" w:customStyle="1">
    <w:name w:val="首行缩进"/>
    <w:basedOn w:val="1208"/>
    <w:next w:val="1208"/>
    <w:uiPriority w:val="0"/>
    <w:qFormat/>
    <w:pPr>
      <w:ind w:firstLine="480"/>
      <w:jc w:val="left"/>
      <w:spacing w:line="360" w:lineRule="auto"/>
    </w:pPr>
    <w:rPr>
      <w:rFonts w:ascii="宋体" w:hAnsi="宋体"/>
      <w:sz w:val="24"/>
    </w:rPr>
  </w:style>
  <w:style w:type="paragraph" w:styleId="1221">
    <w:name w:val="toc 7"/>
    <w:basedOn w:val="1208"/>
    <w:next w:val="1208"/>
    <w:uiPriority w:val="39"/>
    <w:unhideWhenUsed/>
    <w:qFormat/>
    <w:pPr>
      <w:ind w:left="1701" w:right="0" w:firstLine="0"/>
      <w:spacing w:after="57"/>
    </w:pPr>
  </w:style>
  <w:style w:type="paragraph" w:styleId="1222">
    <w:name w:val="Note Heading"/>
    <w:basedOn w:val="1208"/>
    <w:next w:val="1208"/>
    <w:uiPriority w:val="0"/>
    <w:qFormat/>
    <w:pPr>
      <w:jc w:val="center"/>
    </w:pPr>
    <w:rPr>
      <w:rFonts w:hint="eastAsia"/>
    </w:rPr>
  </w:style>
  <w:style w:type="paragraph" w:styleId="1223">
    <w:name w:val="Caption"/>
    <w:basedOn w:val="1208"/>
    <w:next w:val="12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24">
    <w:name w:val="annotation text"/>
    <w:basedOn w:val="1208"/>
    <w:uiPriority w:val="99"/>
    <w:semiHidden/>
    <w:unhideWhenUsed/>
    <w:qFormat/>
    <w:pPr>
      <w:jc w:val="left"/>
    </w:pPr>
  </w:style>
  <w:style w:type="paragraph" w:styleId="1225">
    <w:name w:val="Body Text"/>
    <w:basedOn w:val="1208"/>
    <w:next w:val="1226"/>
    <w:uiPriority w:val="0"/>
    <w:qFormat/>
    <w:pPr>
      <w:spacing w:line="400" w:lineRule="exact"/>
    </w:pPr>
    <w:rPr>
      <w:rFonts w:ascii="方正楷体_GB2312" w:hAnsi="Times New Roman" w:cs="Times New Roman"/>
      <w:sz w:val="28"/>
    </w:rPr>
  </w:style>
  <w:style w:type="paragraph" w:styleId="1226">
    <w:name w:val="Body Text First Indent"/>
    <w:basedOn w:val="1225"/>
    <w:uiPriority w:val="0"/>
    <w:qFormat/>
    <w:pPr>
      <w:ind w:firstLine="420"/>
    </w:pPr>
  </w:style>
  <w:style w:type="paragraph" w:styleId="1227">
    <w:name w:val="Body Text Indent"/>
    <w:basedOn w:val="1208"/>
    <w:next w:val="1228"/>
    <w:uiPriority w:val="0"/>
    <w:qFormat/>
    <w:pPr>
      <w:ind w:firstLine="645"/>
    </w:pPr>
    <w:rPr>
      <w:rFonts w:ascii="方正楷体_GB2312" w:hAnsi="宋体" w:eastAsia="方正楷体_GB2312" w:cs="宋体"/>
      <w:sz w:val="32"/>
      <w:szCs w:val="32"/>
    </w:rPr>
  </w:style>
  <w:style w:type="paragraph" w:styleId="1228">
    <w:name w:val="envelope return"/>
    <w:basedOn w:val="1208"/>
    <w:uiPriority w:val="99"/>
    <w:qFormat/>
    <w:rPr>
      <w:rFonts w:ascii="Arial" w:hAnsi="Arial"/>
    </w:rPr>
  </w:style>
  <w:style w:type="paragraph" w:styleId="1229">
    <w:name w:val="List Number 3"/>
    <w:basedOn w:val="1209"/>
    <w:next w:val="1208"/>
    <w:uiPriority w:val="99"/>
    <w:semiHidden/>
    <w:unhideWhenUsed/>
    <w:qFormat/>
    <w:pPr>
      <w:numPr>
        <w:ilvl w:val="0"/>
        <w:numId w:val="1"/>
      </w:numPr>
    </w:pPr>
  </w:style>
  <w:style w:type="paragraph" w:styleId="1230">
    <w:name w:val="toc 5"/>
    <w:basedOn w:val="1208"/>
    <w:next w:val="1208"/>
    <w:uiPriority w:val="39"/>
    <w:unhideWhenUsed/>
    <w:qFormat/>
    <w:pPr>
      <w:ind w:left="1134" w:right="0" w:firstLine="0"/>
      <w:spacing w:after="57"/>
    </w:pPr>
  </w:style>
  <w:style w:type="paragraph" w:styleId="1231">
    <w:name w:val="toc 3"/>
    <w:basedOn w:val="1208"/>
    <w:next w:val="1208"/>
    <w:uiPriority w:val="39"/>
    <w:unhideWhenUsed/>
    <w:qFormat/>
    <w:pPr>
      <w:ind w:left="567" w:right="0" w:firstLine="0"/>
      <w:spacing w:after="57"/>
    </w:pPr>
  </w:style>
  <w:style w:type="paragraph" w:styleId="1232">
    <w:name w:val="List Bullet 5"/>
    <w:basedOn w:val="1209"/>
    <w:next w:val="1233"/>
    <w:uiPriority w:val="99"/>
    <w:semiHidden/>
    <w:unhideWhenUsed/>
    <w:qFormat/>
    <w:pPr>
      <w:numPr>
        <w:ilvl w:val="0"/>
        <w:numId w:val="2"/>
      </w:numPr>
    </w:pPr>
  </w:style>
  <w:style w:type="paragraph" w:styleId="1233" w:customStyle="1">
    <w:name w:val="正文首行缩进1"/>
    <w:basedOn w:val="1234"/>
    <w:next w:val="1229"/>
    <w:uiPriority w:val="0"/>
    <w:qFormat/>
    <w:pPr>
      <w:ind w:firstLine="420"/>
      <w:tabs>
        <w:tab w:val="left" w:pos="5250" w:leader="none"/>
      </w:tabs>
    </w:pPr>
  </w:style>
  <w:style w:type="paragraph" w:styleId="1234" w:customStyle="1">
    <w:name w:val="正文文本11"/>
    <w:basedOn w:val="1208"/>
    <w:next w:val="1233"/>
    <w:uiPriority w:val="0"/>
    <w:qFormat/>
    <w:pPr>
      <w:tabs>
        <w:tab w:val="left" w:pos="5250" w:leader="none"/>
      </w:tabs>
    </w:pPr>
    <w:rPr>
      <w:sz w:val="28"/>
    </w:rPr>
  </w:style>
  <w:style w:type="paragraph" w:styleId="1235">
    <w:name w:val="toc 8"/>
    <w:basedOn w:val="1208"/>
    <w:next w:val="1208"/>
    <w:uiPriority w:val="39"/>
    <w:unhideWhenUsed/>
    <w:qFormat/>
    <w:pPr>
      <w:ind w:left="1984" w:right="0" w:firstLine="0"/>
      <w:spacing w:after="57"/>
    </w:pPr>
  </w:style>
  <w:style w:type="paragraph" w:styleId="1236">
    <w:name w:val="endnote text"/>
    <w:basedOn w:val="1208"/>
    <w:link w:val="1407"/>
    <w:uiPriority w:val="99"/>
    <w:semiHidden/>
    <w:unhideWhenUsed/>
    <w:qFormat/>
    <w:pPr>
      <w:spacing w:after="0" w:line="240" w:lineRule="auto"/>
    </w:pPr>
    <w:rPr>
      <w:sz w:val="20"/>
    </w:rPr>
  </w:style>
  <w:style w:type="paragraph" w:styleId="1237">
    <w:name w:val="Footer"/>
    <w:basedOn w:val="1208"/>
    <w:link w:val="1280"/>
    <w:uiPriority w:val="99"/>
    <w:unhideWhenUsed/>
    <w:qFormat/>
    <w:pPr>
      <w:spacing w:after="0" w:line="240" w:lineRule="auto"/>
      <w:tabs>
        <w:tab w:val="center" w:pos="7143" w:leader="none"/>
        <w:tab w:val="right" w:pos="14287" w:leader="none"/>
      </w:tabs>
    </w:pPr>
  </w:style>
  <w:style w:type="paragraph" w:styleId="1238">
    <w:name w:val="Header"/>
    <w:basedOn w:val="1208"/>
    <w:link w:val="1278"/>
    <w:uiPriority w:val="99"/>
    <w:unhideWhenUsed/>
    <w:qFormat/>
    <w:pPr>
      <w:spacing w:after="0" w:line="240" w:lineRule="auto"/>
      <w:tabs>
        <w:tab w:val="center" w:pos="7143" w:leader="none"/>
        <w:tab w:val="right" w:pos="14287" w:leader="none"/>
      </w:tabs>
    </w:pPr>
  </w:style>
  <w:style w:type="paragraph" w:styleId="1239">
    <w:name w:val="toc 1"/>
    <w:basedOn w:val="1208"/>
    <w:next w:val="1208"/>
    <w:uiPriority w:val="39"/>
    <w:unhideWhenUsed/>
    <w:qFormat/>
    <w:pPr>
      <w:ind w:left="0" w:right="0" w:firstLine="0"/>
      <w:spacing w:after="57"/>
    </w:pPr>
  </w:style>
  <w:style w:type="paragraph" w:styleId="1240">
    <w:name w:val="toc 4"/>
    <w:basedOn w:val="1208"/>
    <w:next w:val="1208"/>
    <w:uiPriority w:val="39"/>
    <w:unhideWhenUsed/>
    <w:qFormat/>
    <w:pPr>
      <w:ind w:left="850" w:right="0" w:firstLine="0"/>
      <w:spacing w:after="57"/>
    </w:pPr>
  </w:style>
  <w:style w:type="paragraph" w:styleId="1241">
    <w:name w:val="Subtitle"/>
    <w:basedOn w:val="1208"/>
    <w:next w:val="1208"/>
    <w:link w:val="1273"/>
    <w:uiPriority w:val="11"/>
    <w:qFormat/>
    <w:pPr>
      <w:spacing w:before="200" w:after="200"/>
    </w:pPr>
    <w:rPr>
      <w:sz w:val="24"/>
      <w:szCs w:val="24"/>
    </w:rPr>
  </w:style>
  <w:style w:type="paragraph" w:styleId="1242">
    <w:name w:val="footnote text"/>
    <w:basedOn w:val="1208"/>
    <w:link w:val="1406"/>
    <w:uiPriority w:val="99"/>
    <w:semiHidden/>
    <w:unhideWhenUsed/>
    <w:qFormat/>
    <w:pPr>
      <w:spacing w:after="40" w:line="240" w:lineRule="auto"/>
    </w:pPr>
    <w:rPr>
      <w:sz w:val="18"/>
    </w:rPr>
  </w:style>
  <w:style w:type="paragraph" w:styleId="1243">
    <w:name w:val="toc 6"/>
    <w:basedOn w:val="1208"/>
    <w:next w:val="1208"/>
    <w:uiPriority w:val="39"/>
    <w:unhideWhenUsed/>
    <w:qFormat/>
    <w:pPr>
      <w:ind w:left="1417" w:right="0" w:firstLine="0"/>
      <w:spacing w:after="57"/>
    </w:pPr>
  </w:style>
  <w:style w:type="paragraph" w:styleId="1244">
    <w:name w:val="table of figures"/>
    <w:basedOn w:val="1208"/>
    <w:next w:val="1208"/>
    <w:uiPriority w:val="99"/>
    <w:unhideWhenUsed/>
    <w:qFormat/>
    <w:pPr>
      <w:spacing w:after="0" w:afterAutospacing="0"/>
    </w:pPr>
  </w:style>
  <w:style w:type="paragraph" w:styleId="1245">
    <w:name w:val="toc 2"/>
    <w:basedOn w:val="1208"/>
    <w:next w:val="1208"/>
    <w:uiPriority w:val="39"/>
    <w:unhideWhenUsed/>
    <w:qFormat/>
    <w:pPr>
      <w:ind w:left="283" w:right="0" w:firstLine="0"/>
      <w:spacing w:after="57"/>
    </w:pPr>
  </w:style>
  <w:style w:type="paragraph" w:styleId="1246">
    <w:name w:val="toc 9"/>
    <w:basedOn w:val="1208"/>
    <w:next w:val="1208"/>
    <w:uiPriority w:val="39"/>
    <w:unhideWhenUsed/>
    <w:qFormat/>
    <w:pPr>
      <w:ind w:left="2268" w:right="0" w:firstLine="0"/>
      <w:spacing w:after="57"/>
    </w:pPr>
  </w:style>
  <w:style w:type="paragraph" w:styleId="1247">
    <w:name w:val="Normal (Web)"/>
    <w:basedOn w:val="1208"/>
    <w:uiPriority w:val="0"/>
    <w:qFormat/>
    <w:pPr>
      <w:jc w:val="left"/>
      <w:spacing w:beforeAutospacing="1" w:afterAutospacing="1"/>
    </w:pPr>
    <w:rPr>
      <w:sz w:val="24"/>
    </w:rPr>
  </w:style>
  <w:style w:type="paragraph" w:styleId="1248">
    <w:name w:val="Title"/>
    <w:basedOn w:val="1208"/>
    <w:next w:val="1208"/>
    <w:link w:val="1272"/>
    <w:uiPriority w:val="10"/>
    <w:qFormat/>
    <w:pPr>
      <w:contextualSpacing/>
      <w:spacing w:before="300" w:after="200"/>
    </w:pPr>
    <w:rPr>
      <w:sz w:val="48"/>
      <w:szCs w:val="48"/>
    </w:rPr>
  </w:style>
  <w:style w:type="paragraph" w:styleId="1249">
    <w:name w:val="Body Text First Indent 2"/>
    <w:uiPriority w:val="0"/>
    <w:qFormat/>
    <w:pPr>
      <w:ind w:firstLine="200"/>
      <w:jc w:val="both"/>
      <w:spacing w:line="360" w:lineRule="auto"/>
      <w:widowControl w:val="off"/>
    </w:pPr>
    <w:rPr>
      <w:rFonts w:hint="default" w:ascii="宋体" w:hAnsi="宋体" w:eastAsia="宋体" w:cs="宋体"/>
      <w:sz w:val="21"/>
      <w:szCs w:val="20"/>
      <w:lang w:val="en-US" w:eastAsia="zh-CN" w:bidi="ar-SA"/>
    </w:rPr>
  </w:style>
  <w:style w:type="table" w:styleId="12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1">
    <w:name w:val="Strong"/>
    <w:basedOn w:val="1218"/>
    <w:uiPriority w:val="22"/>
    <w:qFormat/>
    <w:rPr>
      <w:b/>
    </w:rPr>
  </w:style>
  <w:style w:type="character" w:styleId="1252">
    <w:name w:val="endnote reference"/>
    <w:uiPriority w:val="99"/>
    <w:semiHidden/>
    <w:unhideWhenUsed/>
    <w:qFormat/>
    <w:rPr>
      <w:vertAlign w:val="superscript"/>
    </w:rPr>
  </w:style>
  <w:style w:type="character" w:styleId="1253">
    <w:name w:val="page number"/>
    <w:uiPriority w:val="0"/>
    <w:qFormat/>
  </w:style>
  <w:style w:type="character" w:styleId="1254">
    <w:name w:val="Emphasis"/>
    <w:basedOn w:val="1218"/>
    <w:uiPriority w:val="20"/>
    <w:qFormat/>
    <w:rPr>
      <w:i/>
    </w:rPr>
  </w:style>
  <w:style w:type="character" w:styleId="1255">
    <w:name w:val="Hyperlink"/>
    <w:uiPriority w:val="99"/>
    <w:unhideWhenUsed/>
    <w:qFormat/>
    <w:rPr>
      <w:color w:val="0000ff" w:themeColor="hyperlink"/>
      <w:u w:val="single"/>
      <w14:textFill>
        <w14:solidFill>
          <w14:schemeClr w14:val="hlink"/>
        </w14:solidFill>
      </w14:textFill>
    </w:rPr>
  </w:style>
  <w:style w:type="character" w:styleId="1256">
    <w:name w:val="footnote reference"/>
    <w:uiPriority w:val="99"/>
    <w:unhideWhenUsed/>
    <w:qFormat/>
    <w:rPr>
      <w:vertAlign w:val="superscript"/>
    </w:rPr>
  </w:style>
  <w:style w:type="paragraph" w:styleId="1257" w:customStyle="1">
    <w:name w:val="Default"/>
    <w:next w:val="1232"/>
    <w:uiPriority w:val="0"/>
    <w:qFormat/>
    <w:pPr>
      <w:widowControl w:val="off"/>
    </w:pPr>
    <w:rPr>
      <w:rFonts w:hint="default" w:ascii="宋体" w:hAnsi="Times New Roman" w:eastAsia="宋体" w:cs="宋体"/>
      <w:color w:val="000000"/>
      <w:sz w:val="24"/>
      <w:szCs w:val="24"/>
      <w:lang w:val="en-US" w:eastAsia="zh-CN" w:bidi="ar-SA"/>
    </w:rPr>
  </w:style>
  <w:style w:type="paragraph" w:styleId="1258" w:customStyle="1">
    <w:name w:val="段"/>
    <w:next w:val="125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59" w:customStyle="1">
    <w:name w:val="正文 A"/>
    <w:next w:val="1258"/>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260" w:customStyle="1">
    <w:name w:val="表格文字"/>
    <w:basedOn w:val="1225"/>
    <w:next w:val="1225"/>
    <w:uiPriority w:val="0"/>
    <w:qFormat/>
    <w:pPr>
      <w:jc w:val="left"/>
      <w:spacing w:line="420" w:lineRule="atLeast"/>
    </w:pPr>
    <w:rPr>
      <w:szCs w:val="20"/>
    </w:rPr>
  </w:style>
  <w:style w:type="character" w:styleId="1261" w:customStyle="1">
    <w:name w:val="Heading 1 Char"/>
    <w:link w:val="1209"/>
    <w:uiPriority w:val="9"/>
    <w:qFormat/>
    <w:rPr>
      <w:rFonts w:ascii="Arial" w:hAnsi="Arial" w:eastAsia="Arial" w:cs="Arial"/>
      <w:sz w:val="40"/>
      <w:szCs w:val="40"/>
    </w:rPr>
  </w:style>
  <w:style w:type="character" w:styleId="1262" w:customStyle="1">
    <w:name w:val="Heading 2 Char"/>
    <w:link w:val="1210"/>
    <w:uiPriority w:val="9"/>
    <w:qFormat/>
    <w:rPr>
      <w:rFonts w:ascii="Arial" w:hAnsi="Arial" w:eastAsia="Arial" w:cs="Arial"/>
      <w:sz w:val="34"/>
    </w:rPr>
  </w:style>
  <w:style w:type="character" w:styleId="1263" w:customStyle="1">
    <w:name w:val="Heading 3 Char"/>
    <w:link w:val="1211"/>
    <w:uiPriority w:val="9"/>
    <w:qFormat/>
    <w:rPr>
      <w:rFonts w:ascii="Arial" w:hAnsi="Arial" w:eastAsia="Arial" w:cs="Arial"/>
      <w:sz w:val="30"/>
      <w:szCs w:val="30"/>
    </w:rPr>
  </w:style>
  <w:style w:type="character" w:styleId="1264" w:customStyle="1">
    <w:name w:val="Heading 4 Char"/>
    <w:link w:val="1212"/>
    <w:uiPriority w:val="9"/>
    <w:qFormat/>
    <w:rPr>
      <w:rFonts w:ascii="Arial" w:hAnsi="Arial" w:eastAsia="Arial" w:cs="Arial"/>
      <w:b/>
      <w:bCs/>
      <w:sz w:val="26"/>
      <w:szCs w:val="26"/>
    </w:rPr>
  </w:style>
  <w:style w:type="character" w:styleId="1265" w:customStyle="1">
    <w:name w:val="Heading 5 Char"/>
    <w:link w:val="1213"/>
    <w:uiPriority w:val="9"/>
    <w:qFormat/>
    <w:rPr>
      <w:rFonts w:ascii="Arial" w:hAnsi="Arial" w:eastAsia="Arial" w:cs="Arial"/>
      <w:b/>
      <w:bCs/>
      <w:sz w:val="24"/>
      <w:szCs w:val="24"/>
    </w:rPr>
  </w:style>
  <w:style w:type="character" w:styleId="1266" w:customStyle="1">
    <w:name w:val="Heading 6 Char"/>
    <w:link w:val="1214"/>
    <w:uiPriority w:val="9"/>
    <w:qFormat/>
    <w:rPr>
      <w:rFonts w:ascii="Arial" w:hAnsi="Arial" w:eastAsia="Arial" w:cs="Arial"/>
      <w:b/>
      <w:bCs/>
      <w:sz w:val="22"/>
      <w:szCs w:val="22"/>
    </w:rPr>
  </w:style>
  <w:style w:type="character" w:styleId="1267" w:customStyle="1">
    <w:name w:val="Heading 7 Char"/>
    <w:link w:val="1215"/>
    <w:uiPriority w:val="9"/>
    <w:qFormat/>
    <w:rPr>
      <w:rFonts w:ascii="Arial" w:hAnsi="Arial" w:eastAsia="Arial" w:cs="Arial"/>
      <w:b/>
      <w:bCs/>
      <w:i/>
      <w:iCs/>
      <w:sz w:val="22"/>
      <w:szCs w:val="22"/>
    </w:rPr>
  </w:style>
  <w:style w:type="character" w:styleId="1268" w:customStyle="1">
    <w:name w:val="Heading 8 Char"/>
    <w:link w:val="1216"/>
    <w:uiPriority w:val="9"/>
    <w:qFormat/>
    <w:rPr>
      <w:rFonts w:ascii="Arial" w:hAnsi="Arial" w:eastAsia="Arial" w:cs="Arial"/>
      <w:i/>
      <w:iCs/>
      <w:sz w:val="22"/>
      <w:szCs w:val="22"/>
    </w:rPr>
  </w:style>
  <w:style w:type="character" w:styleId="1269" w:customStyle="1">
    <w:name w:val="Heading 9 Char"/>
    <w:link w:val="1217"/>
    <w:uiPriority w:val="9"/>
    <w:qFormat/>
    <w:rPr>
      <w:rFonts w:ascii="Arial" w:hAnsi="Arial" w:eastAsia="Arial" w:cs="Arial"/>
      <w:i/>
      <w:iCs/>
      <w:sz w:val="21"/>
      <w:szCs w:val="21"/>
    </w:rPr>
  </w:style>
  <w:style w:type="paragraph" w:styleId="1270">
    <w:name w:val="List Paragraph"/>
    <w:basedOn w:val="1208"/>
    <w:uiPriority w:val="34"/>
    <w:qFormat/>
    <w:pPr>
      <w:contextualSpacing/>
      <w:ind w:left="720"/>
    </w:pPr>
  </w:style>
  <w:style w:type="paragraph" w:styleId="1271">
    <w:name w:val="No Spacing"/>
    <w:uiPriority w:val="1"/>
    <w:qFormat/>
    <w:pPr>
      <w:spacing w:before="0" w:after="0" w:line="240" w:lineRule="auto"/>
    </w:pPr>
    <w:rPr>
      <w:rFonts w:hint="default" w:ascii="Times New Roman" w:hAnsi="Times New Roman" w:eastAsia="宋体" w:cs="Times New Roman"/>
    </w:rPr>
  </w:style>
  <w:style w:type="character" w:styleId="1272" w:customStyle="1">
    <w:name w:val="Title Char"/>
    <w:link w:val="1248"/>
    <w:uiPriority w:val="10"/>
    <w:qFormat/>
    <w:rPr>
      <w:sz w:val="48"/>
      <w:szCs w:val="48"/>
    </w:rPr>
  </w:style>
  <w:style w:type="character" w:styleId="1273" w:customStyle="1">
    <w:name w:val="Subtitle Char"/>
    <w:link w:val="1241"/>
    <w:uiPriority w:val="11"/>
    <w:qFormat/>
    <w:rPr>
      <w:sz w:val="24"/>
      <w:szCs w:val="24"/>
    </w:rPr>
  </w:style>
  <w:style w:type="paragraph" w:styleId="1274">
    <w:name w:val="Quote"/>
    <w:basedOn w:val="1208"/>
    <w:next w:val="1208"/>
    <w:link w:val="1275"/>
    <w:uiPriority w:val="29"/>
    <w:qFormat/>
    <w:pPr>
      <w:ind w:left="720" w:right="720"/>
    </w:pPr>
    <w:rPr>
      <w:i/>
    </w:rPr>
  </w:style>
  <w:style w:type="character" w:styleId="1275" w:customStyle="1">
    <w:name w:val="Quote Char"/>
    <w:link w:val="1274"/>
    <w:uiPriority w:val="29"/>
    <w:qFormat/>
    <w:rPr>
      <w:i/>
    </w:rPr>
  </w:style>
  <w:style w:type="paragraph" w:styleId="1276">
    <w:name w:val="Intense Quote"/>
    <w:basedOn w:val="1208"/>
    <w:next w:val="1208"/>
    <w:link w:val="12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7" w:customStyle="1">
    <w:name w:val="Intense Quote Char"/>
    <w:link w:val="1276"/>
    <w:uiPriority w:val="30"/>
    <w:qFormat/>
    <w:rPr>
      <w:i/>
    </w:rPr>
  </w:style>
  <w:style w:type="character" w:styleId="1278" w:customStyle="1">
    <w:name w:val="Header Char"/>
    <w:link w:val="1238"/>
    <w:uiPriority w:val="99"/>
    <w:qFormat/>
  </w:style>
  <w:style w:type="character" w:styleId="1279" w:customStyle="1">
    <w:name w:val="Footer Char"/>
    <w:link w:val="1237"/>
    <w:uiPriority w:val="99"/>
    <w:qFormat/>
  </w:style>
  <w:style w:type="character" w:styleId="1280" w:customStyle="1">
    <w:name w:val="Caption Char"/>
    <w:link w:val="1237"/>
    <w:uiPriority w:val="99"/>
    <w:qFormat/>
  </w:style>
  <w:style w:type="table" w:styleId="12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06" w:customStyle="1">
    <w:name w:val="Footnote Text Char"/>
    <w:link w:val="1242"/>
    <w:uiPriority w:val="99"/>
    <w:qFormat/>
    <w:rPr>
      <w:sz w:val="18"/>
    </w:rPr>
  </w:style>
  <w:style w:type="character" w:styleId="1407" w:customStyle="1">
    <w:name w:val="Endnote Text Char"/>
    <w:link w:val="1236"/>
    <w:uiPriority w:val="99"/>
    <w:qFormat/>
    <w:rPr>
      <w:sz w:val="20"/>
    </w:rPr>
  </w:style>
  <w:style w:type="paragraph" w:styleId="1408" w:customStyle="1">
    <w:name w:val="TOC Heading"/>
    <w:uiPriority w:val="39"/>
    <w:unhideWhenUsed/>
    <w:qFormat/>
    <w:rPr>
      <w:rFonts w:hint="default" w:ascii="Times New Roman" w:hAnsi="Times New Roman" w:eastAsia="宋体" w:cs="Times New Roman"/>
    </w:rPr>
  </w:style>
  <w:style w:type="character" w:styleId="1409" w:customStyle="1">
    <w:name w:val="默认段落字体11"/>
    <w:link w:val="1208"/>
    <w:uiPriority w:val="0"/>
    <w:semiHidden/>
    <w:qFormat/>
  </w:style>
  <w:style w:type="table" w:styleId="1410" w:customStyle="1">
    <w:name w:val="普通表格11"/>
    <w:uiPriority w:val="0"/>
    <w:semiHidden/>
    <w:qFormat/>
    <w:tblPr/>
  </w:style>
  <w:style w:type="paragraph" w:styleId="1411" w:customStyle="1">
    <w:name w:val="正文缩进1"/>
    <w:basedOn w:val="1208"/>
    <w:uiPriority w:val="0"/>
    <w:qFormat/>
    <w:pPr>
      <w:ind w:firstLine="420"/>
    </w:pPr>
    <w:rPr>
      <w:szCs w:val="21"/>
    </w:rPr>
  </w:style>
  <w:style w:type="paragraph" w:styleId="1412" w:customStyle="1">
    <w:name w:val="页脚11"/>
    <w:basedOn w:val="1208"/>
    <w:uiPriority w:val="99"/>
    <w:unhideWhenUsed/>
    <w:qFormat/>
    <w:pPr>
      <w:tabs>
        <w:tab w:val="center" w:pos="7143" w:leader="none"/>
        <w:tab w:val="right" w:pos="14287" w:leader="none"/>
      </w:tabs>
    </w:pPr>
  </w:style>
  <w:style w:type="paragraph" w:styleId="1413" w:customStyle="1">
    <w:name w:val="目录 11"/>
    <w:basedOn w:val="1208"/>
    <w:next w:val="1208"/>
    <w:uiPriority w:val="39"/>
    <w:unhideWhenUsed/>
    <w:qFormat/>
    <w:pPr>
      <w:spacing w:after="57"/>
    </w:pPr>
  </w:style>
  <w:style w:type="paragraph" w:styleId="1414" w:customStyle="1">
    <w:name w:val="目录 21"/>
    <w:basedOn w:val="1208"/>
    <w:next w:val="1208"/>
    <w:uiPriority w:val="39"/>
    <w:unhideWhenUsed/>
    <w:qFormat/>
    <w:pPr>
      <w:ind w:left="283"/>
      <w:spacing w:after="57"/>
    </w:pPr>
  </w:style>
  <w:style w:type="paragraph" w:styleId="1415" w:customStyle="1">
    <w:name w:val="普通(网站)1"/>
    <w:basedOn w:val="1208"/>
    <w:uiPriority w:val="0"/>
    <w:qFormat/>
    <w:pPr>
      <w:ind w:left="0" w:right="0"/>
      <w:jc w:val="left"/>
      <w:spacing w:before="100" w:beforeAutospacing="1" w:after="100" w:afterAutospacing="1"/>
    </w:pPr>
    <w:rPr>
      <w:sz w:val="24"/>
      <w:lang w:val="en-US" w:eastAsia="zh-CN" w:bidi="ar"/>
    </w:rPr>
  </w:style>
  <w:style w:type="character" w:styleId="1416" w:customStyle="1">
    <w:name w:val="强调1"/>
    <w:basedOn w:val="1409"/>
    <w:link w:val="1208"/>
    <w:uiPriority w:val="20"/>
    <w:qFormat/>
    <w:rPr>
      <w:i/>
    </w:rPr>
  </w:style>
  <w:style w:type="character" w:styleId="1417" w:customStyle="1">
    <w:name w:val="默认段落字体12"/>
    <w:link w:val="1208"/>
    <w:uiPriority w:val="1"/>
    <w:unhideWhenUsed/>
    <w:qFormat/>
  </w:style>
  <w:style w:type="paragraph" w:styleId="1418" w:customStyle="1">
    <w:name w:val="普通正文"/>
    <w:basedOn w:val="1208"/>
    <w:uiPriority w:val="0"/>
    <w:qFormat/>
    <w:pPr>
      <w:ind w:firstLine="480"/>
      <w:jc w:val="left"/>
      <w:spacing w:before="120" w:after="120" w:line="360" w:lineRule="auto"/>
    </w:pPr>
    <w:rPr>
      <w:rFonts w:ascii="Arial" w:hAnsi="Arial"/>
      <w:sz w:val="24"/>
    </w:rPr>
  </w:style>
  <w:style w:type="paragraph" w:styleId="1419" w:customStyle="1">
    <w:name w:val="正文文本1"/>
    <w:basedOn w:val="1208"/>
    <w:next w:val="1208"/>
    <w:uiPriority w:val="99"/>
    <w:qFormat/>
    <w:rPr>
      <w:rFonts w:ascii="方正楷体_GB2312" w:hAnsi="宋体" w:eastAsia="方正楷体_GB2312"/>
      <w:sz w:val="28"/>
      <w:szCs w:val="28"/>
    </w:rPr>
  </w:style>
  <w:style w:type="paragraph" w:styleId="1420" w:customStyle="1">
    <w:name w:val="标题11"/>
    <w:basedOn w:val="1208"/>
    <w:uiPriority w:val="0"/>
    <w:qFormat/>
    <w:pPr>
      <w:jc w:val="center"/>
      <w:spacing w:before="240" w:after="60"/>
      <w:outlineLvl w:val="0"/>
    </w:pPr>
    <w:rPr>
      <w:rFonts w:ascii="Arial" w:hAnsi="Arial" w:eastAsia="黑体"/>
      <w:b/>
      <w:bCs/>
      <w:sz w:val="44"/>
      <w:szCs w:val="32"/>
    </w:rPr>
  </w:style>
  <w:style w:type="table" w:styleId="1421" w:customStyle="1">
    <w:name w:val="网格型1"/>
    <w:basedOn w:val="1422"/>
    <w:uiPriority w:val="39"/>
    <w:qFormat/>
    <w:rPr>
      <w:rFonts w:ascii="Calibri" w:hAnsi="Calibri"/>
    </w:rPr>
    <w:tblPr/>
  </w:style>
  <w:style w:type="table" w:styleId="1422" w:customStyle="1">
    <w:name w:val="普通表格1"/>
    <w:uiPriority w:val="0"/>
    <w:semiHidden/>
    <w:qFormat/>
    <w:tblPr/>
  </w:style>
  <w:style w:type="paragraph" w:styleId="1423" w:customStyle="1">
    <w:name w:val="一级标题"/>
    <w:basedOn w:val="1208"/>
    <w:next w:val="1234"/>
    <w:uiPriority w:val="0"/>
    <w:qFormat/>
    <w:pPr>
      <w:outlineLvl w:val="0"/>
    </w:pPr>
    <w:rPr>
      <w:b/>
      <w:bCs/>
      <w:sz w:val="32"/>
    </w:rPr>
  </w:style>
  <w:style w:type="paragraph" w:styleId="1424"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425" w:customStyle="1">
    <w:name w:val="默认段落字体1"/>
    <w:link w:val="1208"/>
    <w:uiPriority w:val="1"/>
    <w:unhideWhenUsed/>
    <w:qFormat/>
    <w:rPr>
      <w:rFonts w:ascii="Calibri" w:hAnsi="Calibri" w:eastAsia="宋体" w:cs="Times New Roman"/>
      <w:sz w:val="21"/>
      <w:szCs w:val="22"/>
      <w:lang w:val="en-US" w:eastAsia="zh-CN" w:bidi="ar-SA"/>
    </w:rPr>
  </w:style>
  <w:style w:type="paragraph" w:styleId="1426"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427" w:customStyle="1">
    <w:name w:val="p0"/>
    <w:basedOn w:val="1208"/>
    <w:uiPriority w:val="99"/>
    <w:qFormat/>
    <w:pPr>
      <w:widowControl/>
    </w:pPr>
    <w:rPr>
      <w:rFonts w:cs="宋体"/>
      <w:szCs w:val="21"/>
    </w:rPr>
  </w:style>
  <w:style w:type="paragraph" w:styleId="142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42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43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43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3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435"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43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3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438" w:customStyle="1">
    <w:name w:val="Normal_0"/>
    <w:next w:val="1439"/>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439" w:customStyle="1">
    <w:name w:val="首行缩进_0"/>
    <w:basedOn w:val="1438"/>
    <w:uiPriority w:val="0"/>
    <w:qFormat/>
    <w:pPr>
      <w:ind w:firstLine="480"/>
      <w:jc w:val="left"/>
      <w:spacing w:line="360" w:lineRule="auto"/>
    </w:pPr>
    <w:rPr>
      <w:rFonts w:ascii="宋体" w:hAnsi="宋体"/>
      <w:sz w:val="24"/>
    </w:rPr>
  </w:style>
  <w:style w:type="paragraph" w:styleId="1440"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44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44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44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444"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44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446" w:customStyle="1">
    <w:name w:val="TableOfAuthoring1"/>
    <w:basedOn w:val="1208"/>
    <w:next w:val="1208"/>
    <w:uiPriority w:val="0"/>
    <w:qFormat/>
    <w:pPr>
      <w:ind w:left="420"/>
    </w:pPr>
    <w:rPr>
      <w:rFonts w:ascii="Calibri" w:hAnsi="Calibri" w:eastAsia="方正楷体_GB2312"/>
      <w:szCs w:val="24"/>
    </w:rPr>
  </w:style>
  <w:style w:type="paragraph" w:styleId="144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44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49"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45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45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52"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45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45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455"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456"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45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45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45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46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6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62"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463"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464"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465"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466"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467"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46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469"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470"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471"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472"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473"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47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475"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476"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477"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478" w:customStyle="1">
    <w:name w:val="正文_0_0"/>
    <w:next w:val="1479"/>
    <w:uiPriority w:val="0"/>
    <w:qFormat/>
    <w:pPr>
      <w:jc w:val="both"/>
      <w:widowControl w:val="off"/>
    </w:pPr>
    <w:rPr>
      <w:rFonts w:hint="default" w:ascii="Times New Roman" w:hAnsi="Times New Roman" w:eastAsia="宋体" w:cs="Times New Roman"/>
      <w:sz w:val="21"/>
      <w:lang w:val="en-US" w:eastAsia="zh-CN" w:bidi="ar-SA"/>
    </w:rPr>
  </w:style>
  <w:style w:type="paragraph" w:styleId="1479" w:customStyle="1">
    <w:name w:val="正文文本_0"/>
    <w:basedOn w:val="1478"/>
    <w:uiPriority w:val="0"/>
    <w:qFormat/>
    <w:pPr>
      <w:spacing w:line="400" w:lineRule="exact"/>
    </w:pPr>
    <w:rPr>
      <w:sz w:val="24"/>
    </w:rPr>
  </w:style>
  <w:style w:type="paragraph" w:styleId="148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48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48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48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484"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485"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486"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487"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88"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89"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90"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91" w:customStyle="1">
    <w:name w:val="页眉1"/>
    <w:basedOn w:val="1208"/>
    <w:uiPriority w:val="99"/>
    <w:qFormat/>
    <w:pPr>
      <w:jc w:val="center"/>
      <w:tabs>
        <w:tab w:val="center" w:pos="4153" w:leader="none"/>
        <w:tab w:val="right" w:pos="8306" w:leader="none"/>
      </w:tabs>
      <w:pBdr>
        <w:bottom w:val="single" w:color="000000" w:sz="6" w:space="1"/>
      </w:pBdr>
    </w:pPr>
    <w:rPr>
      <w:sz w:val="18"/>
      <w:szCs w:val="18"/>
    </w:rPr>
  </w:style>
  <w:style w:type="paragraph" w:styleId="1492" w:customStyle="1">
    <w:name w:val="页脚1"/>
    <w:basedOn w:val="1208"/>
    <w:uiPriority w:val="99"/>
    <w:qFormat/>
    <w:pPr>
      <w:jc w:val="left"/>
      <w:tabs>
        <w:tab w:val="center" w:pos="4153" w:leader="none"/>
        <w:tab w:val="right" w:pos="8306" w:leader="none"/>
      </w:tabs>
    </w:pPr>
    <w:rPr>
      <w:sz w:val="18"/>
      <w:szCs w:val="18"/>
    </w:rPr>
  </w:style>
  <w:style w:type="character" w:styleId="1493" w:customStyle="1">
    <w:name w:val="页码1"/>
    <w:link w:val="1208"/>
    <w:uiPriority w:val="0"/>
    <w:qFormat/>
  </w:style>
  <w:style w:type="character" w:styleId="1494" w:customStyle="1">
    <w:name w:val="fontstyle01"/>
    <w:link w:val="1208"/>
    <w:uiPriority w:val="0"/>
    <w:qFormat/>
    <w:rPr>
      <w:rFonts w:hint="eastAsia" w:ascii="宋体" w:hAnsi="宋体" w:eastAsia="宋体"/>
      <w:color w:val="000000"/>
      <w:sz w:val="24"/>
      <w:szCs w:val="24"/>
    </w:rPr>
  </w:style>
  <w:style w:type="character" w:styleId="1495" w:customStyle="1">
    <w:name w:val="font31"/>
    <w:basedOn w:val="1218"/>
    <w:uiPriority w:val="0"/>
    <w:qFormat/>
    <w:rPr>
      <w:rFonts w:hint="eastAsia" w:ascii="宋体" w:hAnsi="宋体" w:eastAsia="宋体" w:cs="宋体"/>
      <w:i/>
      <w:iCs/>
      <w:color w:val="c00000"/>
      <w:sz w:val="24"/>
      <w:szCs w:val="24"/>
      <w:u w:val="single"/>
    </w:rPr>
  </w:style>
  <w:style w:type="paragraph" w:styleId="1496" w:customStyle="1">
    <w:name w:val="Normal_16"/>
    <w:uiPriority w:val="0"/>
    <w:qFormat/>
    <w:rPr>
      <w:rFonts w:hint="default" w:ascii="Times New Roman" w:hAnsi="Times New Roman" w:eastAsia="Times New Roman" w:cs="Times New Roman"/>
      <w:sz w:val="24"/>
      <w:szCs w:val="24"/>
      <w:lang w:bidi="ar-SA"/>
    </w:rPr>
  </w:style>
  <w:style w:type="paragraph" w:styleId="1497" w:customStyle="1">
    <w:name w:val="Table Text"/>
    <w:basedOn w:val="1208"/>
    <w:uiPriority w:val="0"/>
    <w:semiHidden/>
    <w:qFormat/>
    <w:rPr>
      <w:rFonts w:ascii="宋体" w:hAnsi="宋体" w:eastAsia="宋体" w:cs="宋体"/>
      <w:sz w:val="24"/>
      <w:szCs w:val="24"/>
      <w:lang w:val="en-US" w:eastAsia="en-US" w:bidi="ar-SA"/>
    </w:rPr>
  </w:style>
  <w:style w:type="table" w:styleId="1498" w:customStyle="1">
    <w:name w:val="Table Normal"/>
    <w:uiPriority w:val="0"/>
    <w:semiHidden/>
    <w:unhideWhenUsed/>
    <w:qFormat/>
    <w:tblPr>
      <w:tblCellMar>
        <w:left w:w="0" w:type="dxa"/>
        <w:top w:w="0" w:type="dxa"/>
        <w:right w:w="0" w:type="dxa"/>
        <w:bottom w:w="0" w:type="dxa"/>
      </w:tblCellMar>
    </w:tblPr>
  </w:style>
  <w:style w:type="character" w:styleId="1499" w:customStyle="1">
    <w:name w:val="font11"/>
    <w:basedOn w:val="1218"/>
    <w:uiPriority w:val="0"/>
    <w:qFormat/>
    <w:rPr>
      <w:rFonts w:hint="eastAsia" w:ascii="宋体" w:hAnsi="宋体" w:eastAsia="宋体" w:cs="宋体"/>
      <w:color w:val="000000"/>
      <w:sz w:val="22"/>
      <w:szCs w:val="22"/>
      <w:u w:val="none"/>
      <w:vertAlign w:val="subscript"/>
    </w:rPr>
  </w:style>
  <w:style w:type="character" w:styleId="1500" w:customStyle="1">
    <w:name w:val="font01"/>
    <w:basedOn w:val="1218"/>
    <w:uiPriority w:val="0"/>
    <w:qFormat/>
    <w:rPr>
      <w:rFonts w:hint="eastAsia" w:ascii="宋体" w:hAnsi="宋体" w:eastAsia="宋体" w:cs="宋体"/>
      <w:color w:val="000000"/>
      <w:sz w:val="22"/>
      <w:szCs w:val="22"/>
      <w:u w:val="none"/>
    </w:rPr>
  </w:style>
  <w:style w:type="character" w:styleId="1501" w:customStyle="1">
    <w:name w:val="font21"/>
    <w:basedOn w:val="1218"/>
    <w:uiPriority w:val="0"/>
    <w:qFormat/>
    <w:rPr>
      <w:rFonts w:hint="eastAsia" w:ascii="宋体" w:hAnsi="宋体" w:eastAsia="宋体" w:cs="宋体"/>
      <w:color w:val="000000"/>
      <w:sz w:val="22"/>
      <w:szCs w:val="22"/>
      <w:u w:val="none"/>
      <w:vertAlign w:val="subscript"/>
    </w:rPr>
  </w:style>
  <w:style w:type="paragraph" w:styleId="1502" w:customStyle="1">
    <w:name w:val="投标文件正文"/>
    <w:basedOn w:val="1208"/>
    <w:uiPriority w:val="0"/>
    <w:qFormat/>
    <w:pPr>
      <w:ind w:firstLine="560"/>
      <w:spacing w:line="440" w:lineRule="exact"/>
    </w:pPr>
    <w:rPr>
      <w:rFonts w:ascii="方正仿宋_GB2312" w:eastAsia="方正仿宋_GB2312"/>
      <w:bCs/>
      <w:sz w:val="28"/>
      <w:szCs w:val="28"/>
    </w:rPr>
  </w:style>
  <w:style w:type="paragraph" w:styleId="1503" w:customStyle="1">
    <w:name w:val="Normal_18"/>
    <w:uiPriority w:val="0"/>
    <w:qFormat/>
    <w:rPr>
      <w:rFonts w:hint="default" w:ascii="Times New Roman" w:hAnsi="Times New Roman" w:eastAsia="Times New Roman" w:cs="Times New Roman"/>
      <w:sz w:val="24"/>
      <w:szCs w:val="24"/>
    </w:rPr>
  </w:style>
  <w:style w:type="paragraph" w:styleId="1504" w:customStyle="1">
    <w:name w:val="0.1正文"/>
    <w:basedOn w:val="1208"/>
    <w:uiPriority w:val="0"/>
    <w:qFormat/>
    <w:pPr>
      <w:ind w:left="0" w:right="0"/>
      <w:jc w:val="both"/>
      <w:keepLines w:val="0"/>
      <w:keepNext w:val="0"/>
      <w:spacing w:before="0" w:beforeAutospacing="0" w:after="0" w:afterAutospacing="0" w:line="360" w:lineRule="auto"/>
      <w:widowControl w:val="off"/>
      <w:suppressLineNumbers w:val="0"/>
    </w:pPr>
    <w:rPr>
      <w:rFonts w:hint="eastAsia" w:ascii="等线" w:hAnsi="等线" w:eastAsia="等线"/>
      <w:sz w:val="24"/>
      <w:szCs w:val="22"/>
    </w:rPr>
  </w:style>
  <w:style w:type="paragraph" w:styleId="1505" w:customStyle="1">
    <w:name w:val="Other|1"/>
    <w:basedOn w:val="1208"/>
    <w:uiPriority w:val="0"/>
    <w:qFormat/>
    <w:pPr>
      <w:ind w:left="0" w:right="0"/>
      <w:jc w:val="left"/>
      <w:keepLines w:val="0"/>
      <w:keepNext w:val="0"/>
      <w:spacing w:before="0" w:beforeAutospacing="0" w:after="0" w:afterAutospacing="0"/>
      <w:widowControl w:val="off"/>
      <w:suppressLineNumbers w:val="0"/>
    </w:pPr>
    <w:rPr>
      <w:rFonts w:hint="eastAsia" w:ascii="宋体" w:hAnsi="宋体" w:cs="宋体"/>
      <w:sz w:val="22"/>
      <w:szCs w:val="20"/>
      <w:lang w:val="zh-TW" w:eastAsia="zh-TW" w:bidi="zh-TW"/>
    </w:rPr>
  </w:style>
  <w:style w:type="paragraph" w:styleId="1506" w:customStyle="1">
    <w:name w:val="Normal_46"/>
    <w:uiPriority w:val="0"/>
    <w:qFormat/>
    <w:rPr>
      <w:rFonts w:hint="default" w:ascii="Calibri" w:hAnsi="Calibri" w:eastAsia="Times New Roman" w:cs="Times New Roman"/>
      <w:sz w:val="24"/>
      <w:szCs w:val="24"/>
      <w:lang w:eastAsia="zh-CN"/>
    </w:rPr>
  </w:style>
  <w:style w:type="numbering" w:styleId="15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footer" Target="footer9.xml" /><Relationship Id="rId33" Type="http://schemas.openxmlformats.org/officeDocument/2006/relationships/footer" Target="footer10.xml" /><Relationship Id="rId34" Type="http://schemas.openxmlformats.org/officeDocument/2006/relationships/footer" Target="footer11.xml" /><Relationship Id="rId35" Type="http://schemas.openxmlformats.org/officeDocument/2006/relationships/footer" Target="footer12.xml" /><Relationship Id="rId36" Type="http://schemas.openxmlformats.org/officeDocument/2006/relationships/customXml" Target="../customXml/item1.xml" /><Relationship Id="rId37" Type="http://schemas.openxmlformats.org/officeDocument/2006/relationships/image" Target="media/image1.wmf"/><Relationship Id="rId38" Type="http://schemas.openxmlformats.org/officeDocument/2006/relationships/image" Target="media/image2.wmf"/><Relationship Id="rId3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季阳丽</cp:lastModifiedBy>
  <cp:revision>10</cp:revision>
  <dcterms:created xsi:type="dcterms:W3CDTF">2024-12-17T07:45:00Z</dcterms:created>
  <dcterms:modified xsi:type="dcterms:W3CDTF">2026-10-28T03:24:55Z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eyJoZGlkIjoiNzYyOGNjYjNjMDQ5Y2I2OTk3ZDVkZjc3ZGE3NzE2NzYiLCJ1c2VySWQiOiIxNDQ0Njc2MzU2In0=</vt:lpwstr>
  </property>
  <property fmtid="{D5CDD505-2E9C-101B-9397-08002B2CF9AE}" pid="3" name="KSOProductBuildVer">
    <vt:lpwstr>2052-12.1.0.29158</vt:lpwstr>
  </property>
  <property fmtid="{D5CDD505-2E9C-101B-9397-08002B2CF9AE}" pid="4" name="ICV">
    <vt:lpwstr>D4EF1CA827A344E09504C6ED33AB81C0_13</vt:lpwstr>
  </property>
</Properties>
</file>