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eastAsia="黑体"/>
          <w:b/>
          <w:bCs/>
          <w:color w:val="auto"/>
          <w:sz w:val="84"/>
          <w:szCs w:val="24"/>
          <w:highlight w:val="none"/>
        </w:rPr>
        <w:t xml:space="preserve">招　标　文　件</w:t>
      </w:r>
      <w:r/>
    </w:p>
    <w:p>
      <w:pPr>
        <w:ind w:left="1470"/>
        <w:jc w:val="left"/>
        <w:spacing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w:t>
      </w:r>
      <w:r>
        <w:rPr>
          <w:rFonts w:hint="eastAsia" w:ascii="Arial" w:hAnsi="Arial"/>
          <w:b/>
          <w:bCs/>
          <w:color w:val="auto"/>
          <w:sz w:val="32"/>
          <w:szCs w:val="24"/>
          <w:highlight w:val="none"/>
          <w:lang w:eastAsia="zh-CN"/>
        </w:rPr>
        <w:t xml:space="preserve">江苏海洋大学分析测试中心单晶衍射仪设备采购</w:t>
      </w:r>
      <w:bookmarkStart w:id="568" w:name="_GoBack"/>
      <w:r/>
      <w:bookmarkEnd w:id="568"/>
      <w:r/>
      <w:r/>
    </w:p>
    <w:p>
      <w:pPr>
        <w:ind w:left="1470"/>
        <w:jc w:val="left"/>
        <w:spacing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JSZC-320000-HCCG-G2026-0075</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895"/>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95"/>
        <w:rPr>
          <w:color w:val="auto"/>
          <w:highlight w:val="none"/>
        </w:rPr>
      </w:pPr>
      <w:r>
        <w:rPr>
          <w:color w:val="auto"/>
          <w:highlight w:val="none"/>
        </w:rPr>
      </w:r>
      <w:r/>
    </w:p>
    <w:p>
      <w:pP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left="1470"/>
        <w:spacing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采   购   人：</w:t>
      </w:r>
      <w:r>
        <w:rPr>
          <w:rFonts w:hint="eastAsia" w:ascii="Arial" w:hAnsi="Arial"/>
          <w:b/>
          <w:bCs/>
          <w:color w:val="auto"/>
          <w:sz w:val="32"/>
          <w:szCs w:val="24"/>
          <w:highlight w:val="none"/>
          <w:lang w:eastAsia="zh-CN"/>
        </w:rPr>
        <w:t xml:space="preserve">江苏海洋大学</w:t>
      </w:r>
      <w:r/>
    </w:p>
    <w:p>
      <w:pPr>
        <w:ind w:left="1470"/>
        <w:spacing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采购代理机构：江苏鸿成工程项目管理有限公司</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u w:val="single"/>
        </w:rPr>
        <w:t xml:space="preserve">2026</w:t>
      </w:r>
      <w:r>
        <w:rPr>
          <w:rFonts w:hint="eastAsia" w:ascii="Arial" w:hAnsi="Arial"/>
          <w:b/>
          <w:bCs/>
          <w:color w:val="auto"/>
          <w:sz w:val="32"/>
          <w:szCs w:val="24"/>
          <w:highlight w:val="none"/>
        </w:rPr>
        <w:t xml:space="preserve">年</w:t>
      </w:r>
      <w:r>
        <w:rPr>
          <w:rFonts w:hint="eastAsia" w:ascii="Arial" w:hAnsi="Arial"/>
          <w:b/>
          <w:bCs/>
          <w:color w:val="auto"/>
          <w:sz w:val="32"/>
          <w:szCs w:val="24"/>
          <w:highlight w:val="none"/>
          <w:u w:val="single"/>
        </w:rPr>
        <w:t xml:space="preserve"> </w:t>
      </w:r>
      <w:r>
        <w:rPr>
          <w:rFonts w:hint="eastAsia" w:ascii="Arial" w:hAnsi="Arial"/>
          <w:b/>
          <w:bCs/>
          <w:color w:val="auto"/>
          <w:sz w:val="32"/>
          <w:szCs w:val="24"/>
          <w:highlight w:val="none"/>
          <w:u w:val="single"/>
          <w:lang w:val="en-US" w:eastAsia="zh-CN"/>
        </w:rPr>
        <w:t xml:space="preserve">10</w:t>
      </w:r>
      <w:r>
        <w:rPr>
          <w:rFonts w:hint="eastAsia" w:ascii="Arial" w:hAnsi="Arial"/>
          <w:b/>
          <w:bCs/>
          <w:color w:val="auto"/>
          <w:sz w:val="32"/>
          <w:szCs w:val="24"/>
          <w:highlight w:val="none"/>
          <w:u w:val="single"/>
        </w:rPr>
        <w:t xml:space="preserve"> </w:t>
      </w:r>
      <w:r>
        <w:rPr>
          <w:rFonts w:hint="eastAsia" w:ascii="Arial" w:hAnsi="Arial"/>
          <w:b/>
          <w:bCs/>
          <w:color w:val="auto"/>
          <w:sz w:val="32"/>
          <w:szCs w:val="24"/>
          <w:highlight w:val="none"/>
        </w:rPr>
        <w:t xml:space="preserve">月</w:t>
      </w:r>
      <w:r>
        <w:rPr>
          <w:rFonts w:hint="eastAsia" w:ascii="Arial" w:hAnsi="Arial"/>
          <w:b/>
          <w:bCs/>
          <w:color w:val="auto"/>
          <w:sz w:val="32"/>
          <w:szCs w:val="24"/>
          <w:highlight w:val="none"/>
          <w:u w:val="single"/>
        </w:rPr>
        <w:t xml:space="preserve"> 30</w:t>
      </w:r>
      <w:r>
        <w:rPr>
          <w:rFonts w:hint="eastAsia" w:ascii="Arial" w:hAnsi="Arial"/>
          <w:b/>
          <w:bCs/>
          <w:color w:val="auto"/>
          <w:sz w:val="32"/>
          <w:szCs w:val="24"/>
          <w:highlight w:val="none"/>
        </w:rPr>
        <w:t xml:space="preserve"> 日</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480" w:lineRule="auto"/>
        <w:rPr>
          <w:rFonts w:ascii="黑体" w:hAnsi="Arial" w:eastAsia="黑体"/>
          <w:b/>
          <w:color w:val="auto"/>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4150"/>
      <w:r/>
      <w:bookmarkStart w:id="1" w:name="_Toc120614210"/>
      <w:r/>
      <w:bookmarkStart w:id="2" w:name="_Toc523127445"/>
      <w:r/>
      <w:bookmarkStart w:id="3" w:name="_Toc16938516"/>
      <w:r/>
      <w:bookmarkStart w:id="4" w:name="_Toc479757206"/>
      <w:r/>
      <w:bookmarkStart w:id="5" w:name="_Toc513029200"/>
      <w:r/>
      <w:bookmarkStart w:id="6" w:name="_Toc20823272"/>
      <w:r/>
      <w:r/>
    </w:p>
    <w:p>
      <w:pPr>
        <w:jc w:val="center"/>
        <w:spacing w:line="360" w:lineRule="auto"/>
        <w:rPr>
          <w:color w:val="auto"/>
          <w:highlight w:val="none"/>
        </w:rPr>
      </w:pPr>
      <w:r>
        <w:rPr>
          <w:rFonts w:hint="eastAsia" w:ascii="黑体" w:hAnsi="Arial" w:eastAsia="黑体"/>
          <w:b/>
          <w:color w:val="auto"/>
          <w:sz w:val="44"/>
          <w:szCs w:val="21"/>
          <w:highlight w:val="none"/>
        </w:rPr>
        <w:t xml:space="preserve">总  目  录</w:t>
      </w:r>
      <w:bookmarkEnd w:id="0"/>
      <w:r/>
      <w:bookmarkStart w:id="7" w:name="_Toc28734"/>
      <w:r>
        <w:rPr>
          <w:color w:val="auto"/>
          <w:highlight w:val="none"/>
        </w:rPr>
        <w:fldChar w:fldCharType="begin"/>
      </w:r>
      <w:r>
        <w:rPr>
          <w:color w:val="auto"/>
          <w:highlight w:val="none"/>
        </w:rPr>
        <w:instrText xml:space="preserve">TOC \o "1-9" \h \u </w:instrText>
      </w:r>
      <w:r>
        <w:rPr>
          <w:color w:val="auto"/>
          <w:highlight w:val="none"/>
        </w:rPr>
        <w:fldChar w:fldCharType="separate"/>
      </w:r>
      <w:r/>
    </w:p>
    <w:p>
      <w:pPr>
        <w:pStyle w:val="907"/>
        <w:spacing w:after="0" w:line="360" w:lineRule="auto"/>
        <w:tabs>
          <w:tab w:val="right" w:pos="8953" w:leader="dot"/>
        </w:tabs>
        <w:rPr>
          <w:color w:val="auto"/>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color w:val="auto"/>
          <w:highlight w:val="none"/>
        </w:rPr>
        <w:instrText xml:space="preserve"> HYPERLINK \l "_Toc25962" </w:instrText>
      </w:r>
      <w:r>
        <w:rPr>
          <w:color w:val="auto"/>
          <w:highlight w:val="none"/>
        </w:rPr>
        <w:fldChar w:fldCharType="separate"/>
      </w:r>
      <w:r>
        <w:rPr>
          <w:rFonts w:hint="eastAsia" w:ascii="黑体" w:hAnsi="Times New Roman" w:eastAsia="黑体"/>
          <w:color w:val="auto"/>
          <w:szCs w:val="44"/>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_Toc25962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907"/>
        <w:spacing w:after="0" w:line="360" w:lineRule="auto"/>
        <w:tabs>
          <w:tab w:val="right" w:pos="8953" w:leader="dot"/>
        </w:tabs>
        <w:rPr>
          <w:color w:val="auto"/>
          <w:highlight w:val="none"/>
        </w:rPr>
      </w:pPr>
      <w:r>
        <w:rPr>
          <w:color w:val="auto"/>
          <w:highlight w:val="none"/>
        </w:rPr>
        <w:fldChar w:fldCharType="begin"/>
      </w:r>
      <w:r>
        <w:rPr>
          <w:color w:val="auto"/>
          <w:highlight w:val="none"/>
        </w:rPr>
        <w:instrText xml:space="preserve"> HYPERLINK \l "_Toc13014" </w:instrText>
      </w:r>
      <w:r>
        <w:rPr>
          <w:color w:val="auto"/>
          <w:highlight w:val="none"/>
        </w:rPr>
        <w:fldChar w:fldCharType="separate"/>
      </w:r>
      <w:r>
        <w:rPr>
          <w:rFonts w:hint="eastAsia" w:ascii="黑体" w:hAnsi="Arial" w:eastAsia="黑体" w:cs="Arial"/>
          <w:bCs/>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_Toc13014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907"/>
        <w:spacing w:after="0" w:line="360" w:lineRule="auto"/>
        <w:tabs>
          <w:tab w:val="right" w:pos="8953" w:leader="dot"/>
        </w:tabs>
        <w:rPr>
          <w:color w:val="auto"/>
          <w:highlight w:val="none"/>
        </w:rPr>
      </w:pPr>
      <w:r>
        <w:rPr>
          <w:color w:val="auto"/>
          <w:highlight w:val="none"/>
        </w:rPr>
        <w:fldChar w:fldCharType="begin"/>
      </w:r>
      <w:r>
        <w:rPr>
          <w:color w:val="auto"/>
          <w:highlight w:val="none"/>
        </w:rPr>
        <w:instrText xml:space="preserve"> HYPERLINK \l "_Toc21793" </w:instrText>
      </w:r>
      <w:r>
        <w:rPr>
          <w:color w:val="auto"/>
          <w:highlight w:val="none"/>
        </w:rPr>
        <w:fldChar w:fldCharType="separate"/>
      </w:r>
      <w:r>
        <w:rPr>
          <w:rFonts w:hint="eastAsia" w:ascii="黑体" w:hAnsi="Times New Roman" w:eastAsia="黑体"/>
          <w:bCs/>
          <w:color w:val="auto"/>
          <w:szCs w:val="28"/>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_Toc21793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907"/>
        <w:spacing w:after="0" w:line="360" w:lineRule="auto"/>
        <w:tabs>
          <w:tab w:val="right" w:pos="8953" w:leader="dot"/>
        </w:tabs>
        <w:rPr>
          <w:color w:val="auto"/>
          <w:highlight w:val="none"/>
        </w:rPr>
      </w:pPr>
      <w:r>
        <w:rPr>
          <w:color w:val="auto"/>
          <w:highlight w:val="none"/>
        </w:rPr>
        <w:fldChar w:fldCharType="begin"/>
      </w:r>
      <w:r>
        <w:rPr>
          <w:color w:val="auto"/>
          <w:highlight w:val="none"/>
        </w:rPr>
        <w:instrText xml:space="preserve"> HYPERLINK \l "_Toc546" </w:instrText>
      </w:r>
      <w:r>
        <w:rPr>
          <w:color w:val="auto"/>
          <w:highlight w:val="none"/>
        </w:rPr>
        <w:fldChar w:fldCharType="separate"/>
      </w:r>
      <w:r>
        <w:rPr>
          <w:rFonts w:hint="eastAsia" w:ascii="黑体" w:hAnsi="Courier New" w:eastAsia="黑体" w:cs="Courier New"/>
          <w:bCs/>
          <w:color w:val="auto"/>
          <w:szCs w:val="21"/>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_Toc546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907"/>
        <w:spacing w:after="0" w:line="360" w:lineRule="auto"/>
        <w:tabs>
          <w:tab w:val="right" w:pos="8953" w:leader="dot"/>
        </w:tabs>
        <w:rPr>
          <w:color w:val="auto"/>
          <w:highlight w:val="none"/>
        </w:rPr>
      </w:pPr>
      <w:r>
        <w:rPr>
          <w:color w:val="auto"/>
          <w:highlight w:val="none"/>
        </w:rPr>
        <w:fldChar w:fldCharType="begin"/>
      </w:r>
      <w:r>
        <w:rPr>
          <w:color w:val="auto"/>
          <w:highlight w:val="none"/>
        </w:rPr>
        <w:instrText xml:space="preserve"> HYPERLINK \l "_Toc14635" </w:instrText>
      </w:r>
      <w:r>
        <w:rPr>
          <w:color w:val="auto"/>
          <w:highlight w:val="none"/>
        </w:rPr>
        <w:fldChar w:fldCharType="separate"/>
      </w:r>
      <w:r>
        <w:rPr>
          <w:rFonts w:hint="eastAsia" w:ascii="黑体" w:hAnsi="Times New Roman" w:eastAsia="黑体"/>
          <w:bCs/>
          <w:color w:val="auto"/>
          <w:szCs w:val="28"/>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_Toc14635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907"/>
        <w:spacing w:after="0" w:line="360" w:lineRule="auto"/>
        <w:tabs>
          <w:tab w:val="right" w:pos="8953" w:leader="dot"/>
        </w:tabs>
        <w:rPr>
          <w:color w:val="auto"/>
          <w:highlight w:val="none"/>
        </w:rPr>
      </w:pPr>
      <w:r>
        <w:rPr>
          <w:color w:val="auto"/>
          <w:highlight w:val="none"/>
        </w:rPr>
        <w:fldChar w:fldCharType="begin"/>
      </w:r>
      <w:r>
        <w:rPr>
          <w:color w:val="auto"/>
          <w:highlight w:val="none"/>
        </w:rPr>
        <w:instrText xml:space="preserve"> HYPERLINK \l "_Toc11204" </w:instrText>
      </w:r>
      <w:r>
        <w:rPr>
          <w:color w:val="auto"/>
          <w:highlight w:val="none"/>
        </w:rPr>
        <w:fldChar w:fldCharType="separate"/>
      </w:r>
      <w:r>
        <w:rPr>
          <w:rFonts w:hint="eastAsia" w:ascii="黑体" w:hAnsi="Times New Roman" w:eastAsia="黑体"/>
          <w:bCs/>
          <w:color w:val="auto"/>
          <w:szCs w:val="28"/>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_Toc11204 \h </w:instrText>
      </w:r>
      <w:r>
        <w:rPr>
          <w:color w:val="auto"/>
          <w:highlight w:val="none"/>
        </w:rPr>
        <w:fldChar w:fldCharType="separate"/>
      </w:r>
      <w:r>
        <w:rPr>
          <w:color w:val="auto"/>
          <w:highlight w:val="none"/>
        </w:rPr>
        <w:t xml:space="preserve">38</w:t>
      </w:r>
      <w:r>
        <w:rPr>
          <w:color w:val="auto"/>
          <w:highlight w:val="none"/>
        </w:rPr>
        <w:fldChar w:fldCharType="end"/>
      </w:r>
      <w:r>
        <w:rPr>
          <w:color w:val="auto"/>
          <w:highlight w:val="none"/>
        </w:rPr>
        <w:fldChar w:fldCharType="end"/>
      </w:r>
      <w:r/>
    </w:p>
    <w:p>
      <w:pPr>
        <w:pStyle w:val="916"/>
        <w:ind w:left="0"/>
        <w:spacing w:after="0" w:line="360" w:lineRule="auto"/>
        <w:tabs>
          <w:tab w:val="right" w:pos="8953" w:leader="dot"/>
        </w:tabs>
        <w:rPr>
          <w:color w:val="auto"/>
          <w:highlight w:val="none"/>
        </w:rPr>
      </w:pPr>
      <w:r>
        <w:rPr>
          <w:color w:val="auto"/>
          <w:highlight w:val="none"/>
        </w:rPr>
      </w:r>
      <w:r/>
    </w:p>
    <w:p>
      <w:pPr>
        <w:spacing w:line="360" w:lineRule="auto"/>
        <w:rPr>
          <w:color w:val="auto"/>
          <w:highlight w:val="none"/>
        </w:rPr>
      </w:pPr>
      <w:r>
        <w:rPr>
          <w:color w:val="auto"/>
          <w:highlight w:val="none"/>
        </w:rPr>
        <w:fldChar w:fldCharType="end"/>
      </w:r>
      <w:r/>
    </w:p>
    <w:p>
      <w:pPr>
        <w:spacing w:line="360" w:lineRule="auto"/>
        <w:rPr>
          <w:color w:val="auto"/>
          <w:highlight w:val="none"/>
        </w:rPr>
      </w:pPr>
      <w:r>
        <w:rPr>
          <w:color w:val="auto"/>
          <w:highlight w:val="none"/>
        </w:rPr>
      </w:r>
      <w:r/>
    </w:p>
    <w:p>
      <w:pPr>
        <w:pStyle w:val="916"/>
        <w:ind w:left="0"/>
        <w:spacing w:after="0" w:line="360" w:lineRule="auto"/>
        <w:tabs>
          <w:tab w:val="right" w:pos="8953" w:leader="dot"/>
        </w:tabs>
        <w:rPr>
          <w:color w:val="auto"/>
          <w:highlight w:val="none"/>
        </w:rPr>
      </w:pPr>
      <w:r>
        <w:rPr>
          <w:color w:val="auto"/>
          <w:highlight w:val="none"/>
        </w:rPr>
      </w:r>
      <w:r/>
    </w:p>
    <w:p>
      <w:pPr>
        <w:spacing w:line="360" w:lineRule="auto"/>
        <w:rPr>
          <w:color w:val="auto"/>
          <w:highlight w:val="none"/>
        </w:rPr>
      </w:pPr>
      <w:r>
        <w:rPr>
          <w:color w:val="auto"/>
          <w:highlight w:val="none"/>
        </w:rPr>
        <w:fldChar w:fldCharType="end"/>
      </w:r>
      <w:r/>
    </w:p>
    <w:p>
      <w:pPr>
        <w:rPr>
          <w:color w:val="auto"/>
          <w:highlight w:val="none"/>
        </w:rPr>
      </w:pPr>
      <w:r>
        <w:rPr>
          <w:color w:val="auto"/>
          <w:highlight w:val="none"/>
        </w:rPr>
      </w:r>
      <w:bookmarkEnd w:id="7"/>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jc w:val="center"/>
        <w:keepNext/>
        <w:spacing w:line="360" w:lineRule="auto"/>
        <w:rPr>
          <w:rFonts w:hint="eastAsia" w:ascii="黑体" w:hAnsi="Times New Roman" w:eastAsia="黑体"/>
          <w:color w:val="auto"/>
          <w:sz w:val="44"/>
          <w:szCs w:val="44"/>
          <w:highlight w:val="none"/>
        </w:rPr>
        <w:sectPr>
          <w:footerReference w:type="default" r:id="rId12"/>
          <w:footnotePr/>
          <w:endnotePr/>
          <w:type w:val="nextPage"/>
          <w:pgSz w:w="11906" w:h="16838" w:orient="portrait"/>
          <w:pgMar w:top="1440" w:right="1797" w:bottom="1440" w:left="1797" w:header="851" w:footer="992" w:gutter="0"/>
          <w:pgNumType w:start="1"/>
          <w:cols w:num="1" w:sep="0" w:space="720" w:equalWidth="1"/>
          <w:docGrid w:linePitch="360"/>
        </w:sectPr>
        <w:outlineLvl w:val="0"/>
      </w:pPr>
      <w:r/>
      <w:bookmarkStart w:id="8" w:name="_Toc7561"/>
      <w:r/>
      <w:bookmarkStart w:id="9" w:name="_Toc29250"/>
      <w:r/>
      <w:bookmarkStart w:id="10" w:name="_Toc6734"/>
      <w:r/>
      <w:bookmarkStart w:id="11" w:name="_Toc25962"/>
      <w:r/>
      <w:bookmarkStart w:id="12" w:name="_Toc21192"/>
      <w:r/>
      <w:r/>
    </w:p>
    <w:p>
      <w:pPr>
        <w:jc w:val="center"/>
        <w:keepNext/>
        <w:spacing w:line="360" w:lineRule="auto"/>
        <w:rPr>
          <w:rFonts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w:t>
      </w:r>
      <w:bookmarkEnd w:id="1"/>
      <w:r>
        <w:rPr>
          <w:rFonts w:hint="eastAsia" w:ascii="黑体" w:hAnsi="Times New Roman" w:eastAsia="黑体"/>
          <w:color w:val="auto"/>
          <w:sz w:val="44"/>
          <w:szCs w:val="44"/>
          <w:highlight w:val="none"/>
        </w:rPr>
        <w:t xml:space="preserve">投标邀请</w:t>
      </w:r>
      <w:bookmarkEnd w:id="8"/>
      <w:r/>
      <w:bookmarkEnd w:id="9"/>
      <w:r/>
      <w:bookmarkEnd w:id="10"/>
      <w:r/>
      <w:bookmarkEnd w:id="11"/>
      <w:r/>
      <w:bookmarkEnd w:id="12"/>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江苏海洋大学</w:t>
      </w:r>
      <w:r>
        <w:rPr>
          <w:rFonts w:hint="eastAsia" w:ascii="宋体" w:hAnsi="宋体"/>
          <w:color w:val="auto"/>
          <w:sz w:val="24"/>
          <w:szCs w:val="24"/>
          <w:highlight w:val="none"/>
        </w:rPr>
        <w:t xml:space="preserve">]的委托，江苏鸿成工程项目管理有限公司就[</w:t>
      </w:r>
      <w:r>
        <w:rPr>
          <w:rFonts w:hint="eastAsia" w:ascii="宋体" w:hAnsi="宋体"/>
          <w:color w:val="auto"/>
          <w:sz w:val="24"/>
          <w:szCs w:val="24"/>
          <w:highlight w:val="none"/>
          <w:lang w:eastAsia="zh-CN"/>
        </w:rPr>
        <w:t xml:space="preserve">江苏海洋大学分析测试中心单晶衍射仪设备采购</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JSZC-320000-HCCG-G2026-0075</w:t>
      </w:r>
      <w:r>
        <w:rPr>
          <w:rFonts w:hint="eastAsia" w:ascii="宋体" w:hAnsi="宋体"/>
          <w:color w:val="auto"/>
          <w:sz w:val="24"/>
          <w:szCs w:val="24"/>
          <w:highlight w:val="none"/>
        </w:rPr>
        <w:t xml:space="preserve">])项目进行公开招标采购，欢迎符合条件的供应商投标。</w:t>
      </w:r>
      <w:r/>
    </w:p>
    <w:p>
      <w:pPr>
        <w:ind w:firstLine="482"/>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2"/>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江苏海洋大学分析测试中心单晶衍射仪设备采购</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color w:val="auto"/>
          <w:sz w:val="24"/>
          <w:szCs w:val="24"/>
          <w:highlight w:val="none"/>
          <w:u w:val="single"/>
        </w:rPr>
        <w:t xml:space="preserve">2026年</w:t>
      </w:r>
      <w:r>
        <w:rPr>
          <w:rFonts w:hint="eastAsia"/>
          <w:color w:val="auto"/>
          <w:sz w:val="24"/>
          <w:szCs w:val="24"/>
          <w:highlight w:val="none"/>
          <w:u w:val="single"/>
          <w:lang w:val="en-US" w:eastAsia="zh-CN"/>
        </w:rPr>
        <w:t xml:space="preserve">11</w:t>
      </w:r>
      <w:r>
        <w:rPr>
          <w:rFonts w:hint="eastAsia"/>
          <w:color w:val="auto"/>
          <w:sz w:val="24"/>
          <w:szCs w:val="24"/>
          <w:highlight w:val="none"/>
          <w:u w:val="single"/>
        </w:rPr>
        <w:t xml:space="preserve">月20日15点00分（北京时间）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643"/>
        <w:keepLines/>
        <w:keepNext/>
        <w:spacing w:line="360" w:lineRule="auto"/>
        <w:rPr>
          <w:rFonts w:ascii="Times New Roman" w:hAnsi="Times New Roman"/>
          <w:b/>
          <w:bCs/>
          <w:color w:val="auto"/>
          <w:sz w:val="32"/>
          <w:szCs w:val="32"/>
          <w:highlight w:val="none"/>
        </w:rPr>
        <w:outlineLvl w:val="0"/>
      </w:pPr>
      <w:r/>
      <w:bookmarkStart w:id="13" w:name="_Toc35393790"/>
      <w:r/>
      <w:bookmarkStart w:id="14" w:name="_Toc28359002"/>
      <w:r/>
      <w:bookmarkStart w:id="15" w:name="_Toc5763"/>
      <w:r/>
      <w:bookmarkStart w:id="16" w:name="_Toc35393621"/>
      <w:r/>
      <w:bookmarkStart w:id="17" w:name="_Toc1799"/>
      <w:r/>
      <w:bookmarkStart w:id="18" w:name="_Toc13202"/>
      <w:r/>
      <w:bookmarkStart w:id="19" w:name="_Toc28359079"/>
      <w:r/>
      <w:bookmarkStart w:id="20" w:name="_Toc38985263"/>
      <w:r/>
      <w:bookmarkStart w:id="21" w:name="_Toc26290"/>
      <w:r/>
      <w:bookmarkStart w:id="22" w:name="_Hlk24379207"/>
      <w:r>
        <w:rPr>
          <w:rFonts w:hint="eastAsia" w:ascii="Times New Roman" w:hAnsi="Times New Roman"/>
          <w:b/>
          <w:bCs/>
          <w:color w:val="auto"/>
          <w:sz w:val="32"/>
          <w:szCs w:val="32"/>
          <w:highlight w:val="none"/>
        </w:rPr>
        <w:t xml:space="preserve">一、项目基本情况</w:t>
      </w:r>
      <w:bookmarkEnd w:id="13"/>
      <w:r/>
      <w:bookmarkEnd w:id="14"/>
      <w:r/>
      <w:bookmarkEnd w:id="15"/>
      <w:r/>
      <w:bookmarkEnd w:id="16"/>
      <w:r/>
      <w:bookmarkEnd w:id="17"/>
      <w:r/>
      <w:bookmarkEnd w:id="18"/>
      <w:r/>
      <w:bookmarkEnd w:id="19"/>
      <w:r/>
      <w:bookmarkEnd w:id="20"/>
      <w:r/>
      <w:bookmarkEnd w:id="21"/>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JSZC-320000-HCCG-G2026-0075</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江苏海洋大学分析测试中心单晶衍射仪设备采购</w:t>
      </w:r>
      <w:bookmarkEnd w:id="22"/>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color w:val="auto"/>
          <w:sz w:val="24"/>
          <w:szCs w:val="24"/>
          <w:highlight w:val="none"/>
          <w:lang w:val="en-US" w:eastAsia="zh-CN"/>
        </w:rPr>
        <w:t xml:space="preserve">320</w:t>
      </w:r>
      <w:r>
        <w:rPr>
          <w:rFonts w:hint="eastAsia"/>
          <w:color w:val="auto"/>
          <w:sz w:val="24"/>
          <w:szCs w:val="24"/>
          <w:highlight w:val="none"/>
        </w:rPr>
        <w:t xml:space="preserve">万元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lang w:val="en-US" w:eastAsia="zh-CN"/>
        </w:rPr>
        <w:t xml:space="preserve">本项目</w:t>
      </w:r>
      <w:r>
        <w:rPr>
          <w:rFonts w:hint="eastAsia" w:ascii="宋体" w:hAnsi="宋体"/>
          <w:color w:val="auto"/>
          <w:sz w:val="24"/>
          <w:szCs w:val="24"/>
          <w:highlight w:val="none"/>
        </w:rPr>
        <w:t xml:space="preserve">最高限价</w:t>
      </w:r>
      <w:r>
        <w:rPr>
          <w:rFonts w:hint="eastAsia" w:ascii="宋体" w:hAnsi="宋体"/>
          <w:color w:val="auto"/>
          <w:sz w:val="24"/>
          <w:szCs w:val="24"/>
          <w:highlight w:val="none"/>
          <w:lang w:val="en-US" w:eastAsia="zh-CN"/>
        </w:rPr>
        <w:t xml:space="preserve">为320万元，</w:t>
      </w:r>
      <w:r>
        <w:rPr>
          <w:rFonts w:hint="eastAsia" w:ascii="宋体" w:hAnsi="宋体"/>
          <w:color w:val="auto"/>
          <w:sz w:val="24"/>
          <w:szCs w:val="24"/>
          <w:highlight w:val="none"/>
        </w:rPr>
        <w:t xml:space="preserve">投标人所报的投标报价超过最高限价的投标无效。</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采购需求(简介)：根据学校分析测试中心建设计划，拟采购单晶衍射仪1台。设备服务学校教学、科研和对外社会服务等活动，主要应用于单晶样品的晶体结构测定，支撑海洋新材料研发、海洋矿物表征、天然活性物质结构鉴定等领域研究工作，</w:t>
      </w:r>
      <w:r>
        <w:rPr>
          <w:rFonts w:hint="eastAsia" w:ascii="宋体" w:hAnsi="宋体" w:cs="宋体"/>
          <w:color w:val="auto"/>
          <w:sz w:val="24"/>
          <w:szCs w:val="24"/>
          <w:highlight w:val="none"/>
        </w:rPr>
        <w:t xml:space="preserve">详细内容见本招标文件第四章</w:t>
      </w:r>
      <w:r/>
    </w:p>
    <w:p>
      <w:pPr>
        <w:ind w:firstLine="482"/>
        <w:spacing w:line="360" w:lineRule="auto"/>
        <w:rPr>
          <w:rFonts w:ascii="宋体" w:hAnsi="宋体"/>
          <w:b/>
          <w:bCs/>
          <w:color w:val="auto"/>
          <w:sz w:val="24"/>
          <w:szCs w:val="24"/>
          <w:highlight w:val="none"/>
          <w:u w:val="single"/>
        </w:rPr>
      </w:pPr>
      <w:r>
        <w:rPr>
          <w:rFonts w:hint="eastAsia" w:ascii="宋体" w:hAnsi="宋体" w:cs="宋体"/>
          <w:b/>
          <w:bCs/>
          <w:color w:val="auto"/>
          <w:sz w:val="24"/>
          <w:szCs w:val="24"/>
          <w:highlight w:val="none"/>
        </w:rPr>
        <w:t xml:space="preserve">对项目采购需求部分的询问、质疑请与采购人联系，由采购人负责答复。</w:t>
      </w:r>
      <w:r/>
    </w:p>
    <w:p>
      <w:pPr>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6.合同履行期限：合同签订后</w:t>
      </w:r>
      <w:r>
        <w:rPr>
          <w:rFonts w:hint="eastAsia" w:ascii="宋体" w:hAnsi="宋体"/>
          <w:color w:val="auto"/>
          <w:sz w:val="24"/>
          <w:szCs w:val="24"/>
          <w:highlight w:val="none"/>
          <w:lang w:val="en-US" w:eastAsia="zh-CN"/>
        </w:rPr>
        <w:t xml:space="preserve">120</w:t>
      </w:r>
      <w:r>
        <w:rPr>
          <w:rFonts w:hint="eastAsia" w:ascii="宋体" w:hAnsi="宋体"/>
          <w:color w:val="auto"/>
          <w:sz w:val="24"/>
          <w:szCs w:val="24"/>
          <w:highlight w:val="none"/>
        </w:rPr>
        <w:t xml:space="preserve">天内完成安装调试，达到预期效果。</w:t>
      </w:r>
      <w:r/>
    </w:p>
    <w:p>
      <w:pPr>
        <w:ind w:firstLine="643"/>
        <w:keepLines/>
        <w:keepNext/>
        <w:spacing w:line="360" w:lineRule="auto"/>
        <w:rPr>
          <w:rFonts w:ascii="Times New Roman" w:hAnsi="Times New Roman"/>
          <w:b/>
          <w:bCs/>
          <w:color w:val="auto"/>
          <w:sz w:val="32"/>
          <w:szCs w:val="32"/>
          <w:highlight w:val="none"/>
        </w:rPr>
        <w:outlineLvl w:val="0"/>
      </w:pPr>
      <w:r/>
      <w:bookmarkStart w:id="23" w:name="_Toc35393791"/>
      <w:r/>
      <w:bookmarkStart w:id="24" w:name="_Toc14290"/>
      <w:r/>
      <w:bookmarkStart w:id="25" w:name="_Toc28359003"/>
      <w:r/>
      <w:bookmarkStart w:id="26" w:name="_Toc28359080"/>
      <w:r/>
      <w:bookmarkStart w:id="27" w:name="_Toc18300"/>
      <w:r/>
      <w:bookmarkStart w:id="28" w:name="_Toc30414"/>
      <w:r/>
      <w:bookmarkStart w:id="29" w:name="_Toc38985264"/>
      <w:r/>
      <w:bookmarkStart w:id="30" w:name="_Toc35393622"/>
      <w:r/>
      <w:bookmarkStart w:id="31" w:name="_Toc19177"/>
      <w:r>
        <w:rPr>
          <w:rFonts w:hint="eastAsia" w:ascii="Times New Roman" w:hAnsi="Times New Roman"/>
          <w:b/>
          <w:bCs/>
          <w:color w:val="auto"/>
          <w:sz w:val="32"/>
          <w:szCs w:val="32"/>
          <w:highlight w:val="none"/>
        </w:rPr>
        <w:t xml:space="preserve">二、申请人的资格要求：</w:t>
      </w:r>
      <w:bookmarkEnd w:id="23"/>
      <w:r/>
      <w:bookmarkEnd w:id="24"/>
      <w:r/>
      <w:bookmarkEnd w:id="25"/>
      <w:r/>
      <w:bookmarkEnd w:id="26"/>
      <w:r/>
      <w:bookmarkEnd w:id="27"/>
      <w:r/>
      <w:bookmarkEnd w:id="28"/>
      <w:r/>
      <w:bookmarkEnd w:id="29"/>
      <w:r/>
      <w:bookmarkEnd w:id="30"/>
      <w:r/>
      <w:bookmarkEnd w:id="31"/>
      <w:r/>
      <w:r/>
    </w:p>
    <w:p>
      <w:pPr>
        <w:ind w:firstLine="480"/>
        <w:spacing w:line="360" w:lineRule="auto"/>
        <w:rPr>
          <w:rFonts w:ascii="宋体" w:hAnsi="宋体"/>
          <w:color w:val="auto"/>
          <w:sz w:val="24"/>
          <w:szCs w:val="24"/>
          <w:highlight w:val="none"/>
        </w:rPr>
        <w:outlineLvl w:val="1"/>
      </w:pPr>
      <w:r/>
      <w:bookmarkStart w:id="32" w:name="_Toc29206"/>
      <w:r/>
      <w:bookmarkStart w:id="33" w:name="_Toc30471"/>
      <w:r/>
      <w:bookmarkStart w:id="34" w:name="_Toc18149"/>
      <w:r/>
      <w:bookmarkStart w:id="35" w:name="_Toc9631"/>
      <w:r/>
      <w:bookmarkStart w:id="36" w:name="_Toc38985265"/>
      <w:r/>
      <w:bookmarkStart w:id="37" w:name="_Toc35393792"/>
      <w:r/>
      <w:bookmarkStart w:id="38" w:name="_Toc28359004"/>
      <w:r/>
      <w:bookmarkStart w:id="39" w:name="_Toc35393623"/>
      <w:r/>
      <w:bookmarkStart w:id="40"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bookmarkEnd w:id="32"/>
      <w:r/>
      <w:bookmarkEnd w:id="33"/>
      <w:r/>
      <w:bookmarkEnd w:id="34"/>
      <w:r/>
      <w:bookmarkEnd w:id="35"/>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（1）法人或者其他组织的营业执照等证明文件，自然人的身份证明；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（2）具有良好的商业信誉和健全的财务会计制度（提供2025年度或2026年度经审计的财务审计报告，2026年新成立的可提供本公司近期的财务报表）；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（3）依法缴纳税收和社会保障资金的相关材料（提供提交投标文件截止时间前一年内至少</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个月依法缴纳税收及缴纳社会保障资金的证明材料。投标人依法享受缓缴、免缴税收、社会保障资金的提供证明材料。）；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（4）具备履行合同所必需的设备和专业技术能力的书面声明及证明材料；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（5）参加政府采购活动前3年内在经营活动中没有重大违法记录的书面声明。</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根据连财购〔2023〕4号、连财购〔2023〕9号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spacing w:line="360" w:lineRule="auto"/>
        <w:rPr>
          <w:rFonts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3.落实政府采购政策需满足的资格要求：无。</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b/>
          <w:bCs/>
          <w:color w:val="auto"/>
          <w:sz w:val="24"/>
          <w:szCs w:val="24"/>
          <w:highlight w:val="none"/>
          <w:u w:val="single"/>
        </w:rPr>
        <w:t xml:space="preserve"> 不接受 </w:t>
      </w:r>
      <w:r>
        <w:rPr>
          <w:rFonts w:hint="eastAsia" w:ascii="宋体" w:hAnsi="宋体"/>
          <w:color w:val="auto"/>
          <w:sz w:val="24"/>
          <w:szCs w:val="24"/>
          <w:highlight w:val="none"/>
        </w:rPr>
        <w:t xml:space="preserve">联合体投标。</w:t>
      </w:r>
      <w:r/>
    </w:p>
    <w:p>
      <w:pPr>
        <w:ind w:firstLine="480"/>
        <w:spacing w:line="360" w:lineRule="auto"/>
        <w:rPr>
          <w:rFonts w:ascii="宋体" w:hAnsi="宋体" w:cs="宋体"/>
          <w:color w:val="auto"/>
          <w:sz w:val="24"/>
          <w:szCs w:val="24"/>
          <w:highlight w:val="none"/>
        </w:rPr>
        <w:outlineLvl w:val="1"/>
      </w:pPr>
      <w:r/>
      <w:bookmarkStart w:id="41" w:name="_Toc19408"/>
      <w:r/>
      <w:bookmarkStart w:id="42" w:name="_Toc6462"/>
      <w:r/>
      <w:bookmarkStart w:id="43" w:name="_Toc22039"/>
      <w:r/>
      <w:bookmarkStart w:id="44" w:name="_Toc7457"/>
      <w:r>
        <w:rPr>
          <w:rFonts w:hint="eastAsia" w:ascii="宋体" w:hAnsi="宋体"/>
          <w:color w:val="auto"/>
          <w:sz w:val="24"/>
          <w:szCs w:val="24"/>
          <w:highlight w:val="none"/>
        </w:rPr>
        <w:t xml:space="preserve">（二）本项目的特定资格要求</w:t>
      </w:r>
      <w:bookmarkEnd w:id="41"/>
      <w:r/>
      <w:bookmarkEnd w:id="42"/>
      <w:r/>
      <w:bookmarkEnd w:id="43"/>
      <w:r>
        <w:rPr>
          <w:rFonts w:hint="eastAsia" w:ascii="宋体" w:hAnsi="宋体"/>
          <w:color w:val="auto"/>
          <w:sz w:val="24"/>
          <w:szCs w:val="24"/>
          <w:highlight w:val="none"/>
        </w:rPr>
        <w:t xml:space="preserve">：无。</w:t>
      </w:r>
      <w:bookmarkEnd w:id="44"/>
      <w:r/>
      <w:r/>
    </w:p>
    <w:p>
      <w:pPr>
        <w:ind w:firstLine="480"/>
        <w:spacing w:line="360" w:lineRule="auto"/>
        <w:rPr>
          <w:rFonts w:ascii="宋体" w:hAnsi="宋体" w:cs="宋体"/>
          <w:color w:val="auto"/>
          <w:sz w:val="24"/>
          <w:szCs w:val="24"/>
          <w:highlight w:val="none"/>
        </w:rPr>
        <w:outlineLvl w:val="1"/>
      </w:pPr>
      <w:r/>
      <w:bookmarkStart w:id="45" w:name="_Toc12604"/>
      <w:r/>
      <w:bookmarkStart w:id="46" w:name="_Toc14896"/>
      <w:r/>
      <w:bookmarkStart w:id="47" w:name="_Toc28299"/>
      <w:r/>
      <w:bookmarkStart w:id="48" w:name="_Toc16701"/>
      <w:r>
        <w:rPr>
          <w:rFonts w:hint="eastAsia" w:ascii="宋体" w:hAnsi="宋体" w:cs="宋体"/>
          <w:color w:val="auto"/>
          <w:sz w:val="24"/>
          <w:szCs w:val="24"/>
          <w:highlight w:val="none"/>
        </w:rPr>
        <w:t xml:space="preserve">（三）本项目的其他资格要求：</w:t>
      </w:r>
      <w:bookmarkEnd w:id="45"/>
      <w:r/>
      <w:r/>
    </w:p>
    <w:p>
      <w:pPr>
        <w:ind w:firstLine="480"/>
        <w:spacing w:line="360" w:lineRule="auto"/>
        <w:rPr>
          <w:rFonts w:ascii="宋体" w:hAnsi="宋体" w:cs="宋体"/>
          <w:color w:val="auto"/>
          <w:sz w:val="24"/>
          <w:szCs w:val="24"/>
          <w:highlight w:val="none"/>
        </w:rPr>
      </w:pPr>
      <w:r/>
      <w:bookmarkStart w:id="49" w:name="OLE_LINK1"/>
      <w:r>
        <w:rPr>
          <w:rFonts w:hint="eastAsia" w:ascii="宋体" w:hAnsi="宋体" w:cs="宋体"/>
          <w:color w:val="auto"/>
          <w:sz w:val="24"/>
          <w:szCs w:val="24"/>
          <w:highlight w:val="none"/>
        </w:rPr>
        <w:t xml:space="preserve">1.本项目接受进口产品(进口产品是指通过中国海关报关验放进入中国境内且产自关境外的产品)。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法律、法规规定的其他条件。</w:t>
      </w:r>
      <w:bookmarkEnd w:id="49"/>
      <w:r/>
      <w:r/>
    </w:p>
    <w:p>
      <w:pPr>
        <w:ind w:firstLine="643"/>
        <w:keepLines/>
        <w:keepNext/>
        <w:spacing w:line="360" w:lineRule="auto"/>
        <w:rPr>
          <w:rFonts w:ascii="Times New Roman" w:hAnsi="Times New Roman"/>
          <w:b/>
          <w:bCs/>
          <w:color w:val="auto"/>
          <w:sz w:val="32"/>
          <w:szCs w:val="32"/>
          <w:highlight w:val="none"/>
        </w:rPr>
        <w:outlineLvl w:val="0"/>
      </w:pPr>
      <w:r/>
      <w:bookmarkStart w:id="50" w:name="_Toc4195"/>
      <w:r>
        <w:rPr>
          <w:rFonts w:hint="eastAsia" w:ascii="Times New Roman" w:hAnsi="Times New Roman"/>
          <w:b/>
          <w:bCs/>
          <w:color w:val="auto"/>
          <w:sz w:val="32"/>
          <w:szCs w:val="32"/>
          <w:highlight w:val="none"/>
        </w:rPr>
        <w:t xml:space="preserve">三、获取招标文件</w:t>
      </w:r>
      <w:bookmarkEnd w:id="36"/>
      <w:r/>
      <w:bookmarkEnd w:id="37"/>
      <w:r/>
      <w:bookmarkEnd w:id="38"/>
      <w:r/>
      <w:bookmarkEnd w:id="39"/>
      <w:r/>
      <w:bookmarkEnd w:id="40"/>
      <w:r/>
      <w:bookmarkEnd w:id="46"/>
      <w:r/>
      <w:bookmarkEnd w:id="47"/>
      <w:r/>
      <w:bookmarkEnd w:id="48"/>
      <w:r/>
      <w:bookmarkEnd w:id="50"/>
      <w:r/>
      <w:r/>
    </w:p>
    <w:p>
      <w:pPr>
        <w:ind w:firstLine="480"/>
        <w:spacing w:line="360" w:lineRule="auto"/>
        <w:rPr>
          <w:rFonts w:ascii="宋体" w:hAnsi="宋体" w:cs="宋体"/>
          <w:color w:val="auto"/>
          <w:sz w:val="24"/>
          <w:szCs w:val="24"/>
          <w:highlight w:val="none"/>
        </w:rPr>
      </w:pPr>
      <w:r/>
      <w:bookmarkStart w:id="51" w:name="_Toc28359082"/>
      <w:r/>
      <w:bookmarkStart w:id="52" w:name="_Toc28359005"/>
      <w:r/>
      <w:bookmarkStart w:id="53" w:name="_Toc35393793"/>
      <w:r/>
      <w:bookmarkStart w:id="54" w:name="_Toc35393624"/>
      <w:r/>
      <w:bookmarkStart w:id="55" w:name="_Toc38985266"/>
      <w:r>
        <w:rPr>
          <w:rFonts w:hint="eastAsia" w:ascii="宋体" w:hAnsi="宋体" w:cs="宋体"/>
          <w:color w:val="auto"/>
          <w:sz w:val="24"/>
          <w:szCs w:val="24"/>
          <w:highlight w:val="none"/>
        </w:rPr>
        <w:t xml:space="preserve">1.时间：自招标文件公告发布之日起5个工作日。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2.方式：在“江苏政府采购网”自行免费下载招标文件。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（1）潜在投标人访问电子招标投标交易平台的网络地址和方法：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①登录http://jszfcg.jsczt.cn/ ，或进入江苏政府采购网，点击“苏采云”进入系统。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③潜在投标人访问“苏采云”系统的网络地址和方法：“苏采云”系统的网址:http://jszfcg.jsczt.cn/。</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⑥招标代理机构（采购代理机构）将数据电文形式的招标文件加载至“苏采云”系统，供潜在投标人下载或者查阅。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⑦请潜在投标人提前安装相应的控件（详见《江苏省政府采购管理交易系统（苏采云）供应商操作手册&gt;）并使用谷歌浏览器登录“苏采云”系统参与不见面开评标。</w:t>
      </w:r>
      <w:r/>
    </w:p>
    <w:p>
      <w:pPr>
        <w:ind w:firstLine="643"/>
        <w:keepLines/>
        <w:keepNext/>
        <w:spacing w:line="360" w:lineRule="auto"/>
        <w:rPr>
          <w:rFonts w:ascii="Times New Roman" w:hAnsi="Times New Roman"/>
          <w:b/>
          <w:bCs/>
          <w:color w:val="auto"/>
          <w:sz w:val="32"/>
          <w:szCs w:val="32"/>
          <w:highlight w:val="none"/>
        </w:rPr>
        <w:outlineLvl w:val="0"/>
      </w:pPr>
      <w:r/>
      <w:bookmarkStart w:id="56" w:name="_Toc8601"/>
      <w:r/>
      <w:bookmarkStart w:id="57" w:name="_Toc20213"/>
      <w:r/>
      <w:bookmarkStart w:id="58" w:name="_Toc31194"/>
      <w:r/>
      <w:bookmarkStart w:id="59" w:name="_Toc8505"/>
      <w:r>
        <w:rPr>
          <w:rFonts w:hint="eastAsia" w:ascii="Times New Roman" w:hAnsi="Times New Roman"/>
          <w:b/>
          <w:bCs/>
          <w:color w:val="auto"/>
          <w:sz w:val="32"/>
          <w:szCs w:val="32"/>
          <w:highlight w:val="none"/>
        </w:rPr>
        <w:t xml:space="preserve">四、提交投标文件</w:t>
      </w:r>
      <w:bookmarkEnd w:id="51"/>
      <w:r/>
      <w:bookmarkEnd w:id="52"/>
      <w:r>
        <w:rPr>
          <w:rFonts w:hint="eastAsia" w:ascii="Times New Roman" w:hAnsi="Times New Roman"/>
          <w:b/>
          <w:bCs/>
          <w:color w:val="auto"/>
          <w:sz w:val="32"/>
          <w:szCs w:val="32"/>
          <w:highlight w:val="none"/>
        </w:rPr>
        <w:t xml:space="preserve">截止时间、开标时间和地点</w:t>
      </w:r>
      <w:bookmarkEnd w:id="53"/>
      <w:r/>
      <w:bookmarkEnd w:id="54"/>
      <w:r/>
      <w:bookmarkEnd w:id="55"/>
      <w:r/>
      <w:bookmarkEnd w:id="56"/>
      <w:r/>
      <w:bookmarkEnd w:id="57"/>
      <w:r/>
      <w:bookmarkEnd w:id="58"/>
      <w:r/>
      <w:bookmarkEnd w:id="59"/>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1.投标文件接收截止时间（北京时间）：</w:t>
      </w:r>
      <w:r>
        <w:rPr>
          <w:rFonts w:hint="eastAsia" w:ascii="宋体" w:hAnsi="宋体"/>
          <w:bCs/>
          <w:color w:val="auto"/>
          <w:sz w:val="24"/>
          <w:szCs w:val="24"/>
          <w:highlight w:val="none"/>
          <w:u w:val="single"/>
        </w:rPr>
        <w:t xml:space="preserve">2026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11</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u w:val="single"/>
        </w:rPr>
        <w:t xml:space="preserve">20</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u w:val="single"/>
        </w:rPr>
        <w:t xml:space="preserve">15</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u w:val="single"/>
        </w:rPr>
        <w:t xml:space="preserve">00</w:t>
      </w:r>
      <w:r>
        <w:rPr>
          <w:rFonts w:hint="eastAsia" w:ascii="宋体" w:hAnsi="宋体"/>
          <w:bCs/>
          <w:color w:val="auto"/>
          <w:sz w:val="24"/>
          <w:szCs w:val="24"/>
          <w:highlight w:val="none"/>
        </w:rPr>
        <w:t xml:space="preserve">分。</w:t>
      </w:r>
      <w:r/>
    </w:p>
    <w:p>
      <w:pPr>
        <w:ind w:firstLine="480"/>
        <w:spacing w:line="360" w:lineRule="auto"/>
        <w:rPr>
          <w:rFonts w:ascii="宋体" w:hAnsi="宋体"/>
          <w:bCs/>
          <w:color w:val="auto"/>
          <w:sz w:val="24"/>
          <w:szCs w:val="24"/>
          <w:highlight w:val="none"/>
          <w:u w:val="single"/>
        </w:rPr>
      </w:pPr>
      <w:r>
        <w:rPr>
          <w:rFonts w:hint="eastAsia" w:ascii="宋体" w:hAnsi="宋体"/>
          <w:color w:val="auto"/>
          <w:sz w:val="24"/>
          <w:szCs w:val="24"/>
          <w:highlight w:val="none"/>
        </w:rPr>
        <w:t xml:space="preserve">2.地点：“苏采云”政府采购交易系统网上开标大厅。</w:t>
      </w:r>
      <w:r/>
    </w:p>
    <w:p>
      <w:pPr>
        <w:ind w:firstLine="643"/>
        <w:keepLines/>
        <w:keepNext/>
        <w:spacing w:line="360" w:lineRule="auto"/>
        <w:rPr>
          <w:rFonts w:ascii="Times New Roman" w:hAnsi="Times New Roman"/>
          <w:b/>
          <w:bCs/>
          <w:color w:val="auto"/>
          <w:sz w:val="32"/>
          <w:szCs w:val="32"/>
          <w:highlight w:val="none"/>
        </w:rPr>
        <w:outlineLvl w:val="0"/>
      </w:pPr>
      <w:r/>
      <w:bookmarkStart w:id="60" w:name="_Toc28359084"/>
      <w:r/>
      <w:bookmarkStart w:id="61" w:name="_Toc38985267"/>
      <w:r/>
      <w:bookmarkStart w:id="62" w:name="_Toc21157"/>
      <w:r/>
      <w:bookmarkStart w:id="63" w:name="_Toc32324"/>
      <w:r/>
      <w:bookmarkStart w:id="64" w:name="_Toc35393625"/>
      <w:r/>
      <w:bookmarkStart w:id="65" w:name="_Toc13279"/>
      <w:r/>
      <w:bookmarkStart w:id="66" w:name="_Toc5614"/>
      <w:r/>
      <w:bookmarkStart w:id="67" w:name="_Toc35393794"/>
      <w:r/>
      <w:bookmarkStart w:id="68" w:name="_Toc28359007"/>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spacing w:line="360" w:lineRule="auto"/>
        <w:rPr>
          <w:rFonts w:ascii="宋体" w:hAnsi="宋体" w:cs="宋体"/>
          <w:color w:val="auto"/>
          <w:sz w:val="24"/>
          <w:szCs w:val="24"/>
          <w:highlight w:val="none"/>
        </w:rPr>
      </w:pPr>
      <w:r/>
      <w:bookmarkStart w:id="69" w:name="_Toc35393795"/>
      <w:r/>
      <w:bookmarkStart w:id="70" w:name="_Toc35393626"/>
      <w:r/>
      <w:bookmarkStart w:id="71" w:name="_Toc38985268"/>
      <w:r>
        <w:rPr>
          <w:rFonts w:hint="eastAsia" w:ascii="宋体" w:hAnsi="宋体" w:cs="宋体"/>
          <w:color w:val="auto"/>
          <w:sz w:val="24"/>
          <w:szCs w:val="24"/>
          <w:highlight w:val="none"/>
        </w:rPr>
        <w:t xml:space="preserve">招标公告及招标文件公告期限为自本公告发布之日起5个工作日。</w:t>
      </w:r>
      <w:r/>
    </w:p>
    <w:p>
      <w:pPr>
        <w:ind w:firstLine="643"/>
        <w:keepLines/>
        <w:keepNext/>
        <w:spacing w:line="360" w:lineRule="auto"/>
        <w:rPr>
          <w:rFonts w:ascii="Times New Roman" w:hAnsi="Times New Roman"/>
          <w:b/>
          <w:bCs/>
          <w:color w:val="auto"/>
          <w:sz w:val="32"/>
          <w:szCs w:val="32"/>
          <w:highlight w:val="none"/>
        </w:rPr>
        <w:outlineLvl w:val="0"/>
      </w:pPr>
      <w:r/>
      <w:bookmarkStart w:id="72" w:name="_Toc17713"/>
      <w:r/>
      <w:bookmarkStart w:id="73" w:name="_Toc3150"/>
      <w:r/>
      <w:bookmarkStart w:id="74" w:name="_Toc12976"/>
      <w:r/>
      <w:bookmarkStart w:id="75" w:name="_Toc17168"/>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spacing w:line="360" w:lineRule="auto"/>
        <w:rPr>
          <w:rFonts w:ascii="宋体" w:hAnsi="宋体" w:cs="宋体"/>
          <w:color w:val="auto"/>
          <w:sz w:val="24"/>
          <w:szCs w:val="24"/>
          <w:highlight w:val="none"/>
        </w:rPr>
      </w:pPr>
      <w:r/>
      <w:bookmarkStart w:id="76" w:name="_Toc28359008"/>
      <w:r/>
      <w:bookmarkStart w:id="77" w:name="_Toc17112"/>
      <w:r/>
      <w:bookmarkStart w:id="78" w:name="_Toc38985269"/>
      <w:r/>
      <w:bookmarkStart w:id="79" w:name="_Toc35393627"/>
      <w:r/>
      <w:bookmarkStart w:id="80" w:name="_Toc9562"/>
      <w:r/>
      <w:bookmarkStart w:id="81" w:name="_Toc35393796"/>
      <w:r/>
      <w:bookmarkStart w:id="82" w:name="_Toc28359085"/>
      <w:r/>
      <w:bookmarkStart w:id="83" w:name="_Toc14680"/>
      <w:r>
        <w:rPr>
          <w:rFonts w:hint="eastAsia" w:ascii="宋体" w:hAnsi="宋体" w:cs="宋体"/>
          <w:color w:val="auto"/>
          <w:sz w:val="24"/>
          <w:szCs w:val="24"/>
          <w:highlight w:val="none"/>
        </w:rPr>
        <w:t xml:space="preserve">1.本招标文件中标注★的款项为实质性响应要求和条件，如不满足将按无效响应处理。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color w:val="auto"/>
          <w:sz w:val="24"/>
          <w:szCs w:val="24"/>
          <w:highlight w:val="none"/>
        </w:rPr>
        <w:t xml:space="preserve">江苏政府采购网</w:t>
      </w:r>
      <w:r>
        <w:rPr>
          <w:rFonts w:hint="eastAsia" w:ascii="宋体" w:hAnsi="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643"/>
        <w:keepLines/>
        <w:keepNext/>
        <w:spacing w:line="360" w:lineRule="auto"/>
        <w:rPr>
          <w:rFonts w:ascii="Times New Roman" w:hAnsi="Times New Roman"/>
          <w:b/>
          <w:bCs/>
          <w:color w:val="auto"/>
          <w:sz w:val="32"/>
          <w:szCs w:val="32"/>
          <w:highlight w:val="none"/>
        </w:rPr>
        <w:outlineLvl w:val="0"/>
      </w:pPr>
      <w:r/>
      <w:bookmarkStart w:id="84" w:name="_Toc11065"/>
      <w:r>
        <w:rPr>
          <w:rFonts w:hint="eastAsia" w:ascii="Times New Roman" w:hAnsi="Times New Roman"/>
          <w:b/>
          <w:bCs/>
          <w:color w:val="auto"/>
          <w:sz w:val="32"/>
          <w:szCs w:val="32"/>
          <w:highlight w:val="none"/>
        </w:rPr>
        <w:t xml:space="preserve">七、本次招标联系方式</w:t>
      </w:r>
      <w:bookmarkEnd w:id="76"/>
      <w:r/>
      <w:bookmarkEnd w:id="77"/>
      <w:r/>
      <w:bookmarkEnd w:id="78"/>
      <w:r/>
      <w:bookmarkEnd w:id="79"/>
      <w:r/>
      <w:bookmarkEnd w:id="80"/>
      <w:r/>
      <w:bookmarkEnd w:id="81"/>
      <w:r/>
      <w:bookmarkEnd w:id="82"/>
      <w:r/>
      <w:bookmarkEnd w:id="83"/>
      <w:r/>
      <w:bookmarkEnd w:id="84"/>
      <w:r/>
      <w:r/>
    </w:p>
    <w:p>
      <w:pPr>
        <w:ind w:firstLine="480"/>
        <w:jc w:val="left"/>
        <w:spacing w:line="360" w:lineRule="auto"/>
        <w:rPr>
          <w:rFonts w:ascii="宋体" w:hAnsi="宋体"/>
          <w:color w:val="auto"/>
          <w:sz w:val="24"/>
          <w:szCs w:val="24"/>
          <w:highlight w:val="none"/>
        </w:rPr>
        <w:outlineLvl w:val="1"/>
      </w:pPr>
      <w:r/>
      <w:bookmarkStart w:id="85" w:name="_Toc6167"/>
      <w:r/>
      <w:bookmarkStart w:id="86" w:name="_Toc9225"/>
      <w:r/>
      <w:bookmarkStart w:id="87" w:name="_Toc14507"/>
      <w:r/>
      <w:bookmarkStart w:id="88" w:name="_Toc23704"/>
      <w:r>
        <w:rPr>
          <w:rFonts w:hint="eastAsia" w:ascii="宋体" w:hAnsi="宋体"/>
          <w:color w:val="auto"/>
          <w:sz w:val="24"/>
          <w:szCs w:val="24"/>
          <w:highlight w:val="none"/>
        </w:rPr>
        <w:t xml:space="preserve">1.采购人信息</w:t>
      </w:r>
      <w:bookmarkEnd w:id="85"/>
      <w:r/>
      <w:bookmarkEnd w:id="86"/>
      <w:r/>
      <w:bookmarkEnd w:id="87"/>
      <w:r/>
      <w:bookmarkEnd w:id="88"/>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eastAsia="zh-CN"/>
        </w:rPr>
        <w:t xml:space="preserve">江苏海洋大学</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地址：</w:t>
      </w:r>
      <w:r>
        <w:rPr>
          <w:rFonts w:hint="eastAsia" w:ascii="宋体" w:hAnsi="宋体"/>
          <w:color w:val="auto"/>
          <w:sz w:val="24"/>
          <w:szCs w:val="24"/>
          <w:highlight w:val="none"/>
          <w:lang w:eastAsia="zh-CN"/>
        </w:rPr>
        <w:t xml:space="preserve">连云港市海州区苍梧路59号</w:t>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李剑</w:t>
      </w:r>
      <w:r>
        <w:rPr>
          <w:rFonts w:hint="eastAsia" w:ascii="宋体" w:hAnsi="宋体"/>
          <w:color w:val="auto"/>
          <w:sz w:val="24"/>
          <w:szCs w:val="24"/>
          <w:highlight w:val="none"/>
          <w:lang w:val="en-US" w:eastAsia="zh-CN"/>
        </w:rPr>
        <w:tab/>
      </w:r>
      <w:r/>
    </w:p>
    <w:p>
      <w:pPr>
        <w:ind w:firstLine="480"/>
        <w:jc w:val="left"/>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val="en-US" w:eastAsia="zh-CN"/>
        </w:rPr>
        <w:t xml:space="preserve">0518-85895262</w:t>
      </w:r>
      <w:r/>
    </w:p>
    <w:p>
      <w:pPr>
        <w:ind w:firstLine="480"/>
        <w:jc w:val="left"/>
        <w:spacing w:line="360" w:lineRule="auto"/>
        <w:rPr>
          <w:rFonts w:ascii="宋体" w:hAnsi="宋体"/>
          <w:color w:val="auto"/>
          <w:sz w:val="24"/>
          <w:szCs w:val="24"/>
          <w:highlight w:val="none"/>
        </w:rPr>
        <w:outlineLvl w:val="1"/>
      </w:pPr>
      <w:r/>
      <w:bookmarkStart w:id="89" w:name="_Toc11146"/>
      <w:r/>
      <w:bookmarkStart w:id="90" w:name="_Toc18887"/>
      <w:r/>
      <w:bookmarkStart w:id="91" w:name="_Toc15526"/>
      <w:r/>
      <w:bookmarkStart w:id="92" w:name="_Toc11908"/>
      <w:r>
        <w:rPr>
          <w:rFonts w:hint="eastAsia" w:ascii="宋体" w:hAnsi="宋体"/>
          <w:color w:val="auto"/>
          <w:sz w:val="24"/>
          <w:szCs w:val="24"/>
          <w:highlight w:val="none"/>
        </w:rPr>
        <w:t xml:space="preserve">2.代理机构信息</w:t>
      </w:r>
      <w:bookmarkEnd w:id="89"/>
      <w:r/>
      <w:bookmarkEnd w:id="90"/>
      <w:r/>
      <w:bookmarkEnd w:id="91"/>
      <w:r/>
      <w:bookmarkEnd w:id="92"/>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名称：江苏鸿成工程项目管理有限公司</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　址：连云港市海州区郁洲北路9号瀛洲大厦209室</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联系人：王工</w:t>
      </w:r>
      <w:r/>
    </w:p>
    <w:p>
      <w:pPr>
        <w:pStyle w:val="1168"/>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联系方式：0518-81061799</w:t>
      </w:r>
      <w:r/>
    </w:p>
    <w:p>
      <w:pPr>
        <w:pStyle w:val="1168"/>
        <w:ind w:left="0" w:firstLine="480"/>
        <w:spacing w:line="360" w:lineRule="auto"/>
        <w:rPr>
          <w:rFonts w:ascii="宋体" w:hAnsi="宋体"/>
          <w:color w:val="auto"/>
          <w:sz w:val="24"/>
          <w:szCs w:val="24"/>
          <w:highlight w:val="none"/>
        </w:rPr>
        <w:outlineLvl w:val="1"/>
      </w:pPr>
      <w:r/>
      <w:bookmarkStart w:id="93" w:name="_Toc15178"/>
      <w:r>
        <w:rPr>
          <w:rFonts w:hint="eastAsia" w:ascii="宋体" w:hAnsi="宋体"/>
          <w:color w:val="auto"/>
          <w:sz w:val="24"/>
          <w:szCs w:val="24"/>
          <w:highlight w:val="none"/>
        </w:rPr>
        <w:t xml:space="preserve">3.项目联系方式</w:t>
      </w:r>
      <w:bookmarkEnd w:id="93"/>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val="en-US" w:eastAsia="zh-CN"/>
        </w:rPr>
        <w:t xml:space="preserve">李剑</w:t>
      </w:r>
      <w:r/>
    </w:p>
    <w:p>
      <w:pPr>
        <w:ind w:firstLine="498"/>
        <w:keepLines/>
        <w:keepNext/>
        <w:spacing w:line="360" w:lineRule="auto"/>
        <w:rPr>
          <w:rFonts w:ascii="宋体" w:hAnsi="宋体"/>
          <w:color w:val="auto"/>
          <w:sz w:val="24"/>
          <w:szCs w:val="24"/>
          <w:highlight w:val="none"/>
        </w:rPr>
      </w:pPr>
      <w:r/>
      <w:bookmarkStart w:id="94" w:name="_Toc22886"/>
      <w:r>
        <w:rPr>
          <w:rFonts w:hint="eastAsia" w:ascii="宋体" w:hAnsi="宋体"/>
          <w:color w:val="auto"/>
          <w:sz w:val="24"/>
          <w:szCs w:val="24"/>
          <w:highlight w:val="none"/>
        </w:rPr>
        <w:t xml:space="preserve">电      话：</w:t>
      </w:r>
      <w:bookmarkEnd w:id="94"/>
      <w:r>
        <w:rPr>
          <w:rFonts w:hint="eastAsia" w:ascii="宋体" w:hAnsi="宋体"/>
          <w:color w:val="auto"/>
          <w:sz w:val="24"/>
          <w:szCs w:val="24"/>
          <w:highlight w:val="none"/>
          <w:lang w:val="en-US" w:eastAsia="zh-CN"/>
        </w:rPr>
        <w:t xml:space="preserve">0518-85895262</w:t>
      </w:r>
      <w:r/>
    </w:p>
    <w:p>
      <w:pPr>
        <w:ind w:firstLine="643"/>
        <w:keepLines/>
        <w:keepNext/>
        <w:spacing w:line="360" w:lineRule="auto"/>
        <w:rPr>
          <w:rFonts w:ascii="Times New Roman" w:hAnsi="Times New Roman"/>
          <w:b/>
          <w:bCs/>
          <w:color w:val="auto"/>
          <w:sz w:val="32"/>
          <w:szCs w:val="32"/>
          <w:highlight w:val="none"/>
        </w:rPr>
        <w:outlineLvl w:val="0"/>
      </w:pPr>
      <w:r/>
      <w:bookmarkStart w:id="95" w:name="_Toc11503"/>
      <w:r/>
      <w:bookmarkStart w:id="96" w:name="_Toc17598"/>
      <w:r/>
      <w:bookmarkStart w:id="97" w:name="_Toc13285"/>
      <w:r/>
      <w:bookmarkStart w:id="98" w:name="_Toc10927"/>
      <w:r>
        <w:rPr>
          <w:rFonts w:hint="eastAsia" w:ascii="Times New Roman" w:hAnsi="Times New Roman"/>
          <w:b/>
          <w:bCs/>
          <w:color w:val="auto"/>
          <w:sz w:val="32"/>
          <w:szCs w:val="32"/>
          <w:highlight w:val="none"/>
        </w:rPr>
        <w:t xml:space="preserve">八、其他</w:t>
      </w:r>
      <w:bookmarkEnd w:id="95"/>
      <w:r/>
      <w:bookmarkEnd w:id="96"/>
      <w:r/>
      <w:bookmarkEnd w:id="97"/>
      <w:r/>
      <w:bookmarkEnd w:id="98"/>
      <w:r/>
      <w:r/>
    </w:p>
    <w:p>
      <w:pPr>
        <w:ind w:firstLine="480"/>
        <w:spacing w:line="360" w:lineRule="auto"/>
        <w:tabs>
          <w:tab w:val="left" w:pos="900" w:leader="none"/>
        </w:tabs>
        <w:rPr>
          <w:rFonts w:ascii="宋体" w:hAnsi="宋体"/>
          <w:bCs/>
          <w:color w:val="auto"/>
          <w:sz w:val="24"/>
          <w:szCs w:val="24"/>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hint="eastAsia" w:ascii="宋体" w:hAnsi="宋体"/>
          <w:bCs/>
          <w:color w:val="auto"/>
          <w:sz w:val="24"/>
          <w:szCs w:val="24"/>
          <w:highlight w:val="none"/>
        </w:rPr>
        <w:t xml:space="preserve">有关本次招标的事项若存在变动或修改，敬请及时关注“江苏政府采购网”发布的更正公告。</w:t>
      </w:r>
      <w:r/>
    </w:p>
    <w:p>
      <w:pPr>
        <w:ind w:firstLine="480"/>
        <w:spacing w:line="360" w:lineRule="auto"/>
        <w:tabs>
          <w:tab w:val="left" w:pos="900" w:leader="none"/>
        </w:tabs>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本次招标不收取投标保证金。</w:t>
      </w:r>
      <w:r/>
    </w:p>
    <w:p>
      <w:pPr>
        <w:spacing w:line="360" w:lineRule="auto"/>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rPr>
          <w:rFonts w:ascii="黑体" w:hAnsi="Arial" w:eastAsia="黑体" w:cs="Arial"/>
          <w:color w:val="auto"/>
          <w:sz w:val="44"/>
          <w:szCs w:val="44"/>
          <w:highlight w:val="none"/>
        </w:rPr>
        <w:outlineLvl w:val="0"/>
      </w:pPr>
      <w:r>
        <w:rPr>
          <w:rFonts w:ascii="宋体" w:hAnsi="宋体"/>
          <w:color w:val="auto"/>
          <w:sz w:val="24"/>
          <w:szCs w:val="24"/>
          <w:highlight w:val="none"/>
        </w:rPr>
        <w:br w:type="page" w:clear="all"/>
      </w:r>
      <w:bookmarkStart w:id="99" w:name="_Toc120614211"/>
      <w:r/>
      <w:bookmarkStart w:id="100" w:name="_Toc416"/>
      <w:r/>
      <w:bookmarkStart w:id="101" w:name="_Toc13014"/>
      <w:r/>
      <w:bookmarkStart w:id="102" w:name="_Toc8078"/>
      <w:r/>
      <w:bookmarkStart w:id="103" w:name="_Toc13224"/>
      <w:r>
        <w:rPr>
          <w:rFonts w:hint="eastAsia" w:ascii="黑体" w:hAnsi="Arial" w:eastAsia="黑体" w:cs="Arial"/>
          <w:b/>
          <w:bCs/>
          <w:color w:val="auto"/>
          <w:sz w:val="44"/>
          <w:szCs w:val="44"/>
          <w:highlight w:val="none"/>
        </w:rPr>
        <w:t xml:space="preserve">第二章  </w:t>
      </w:r>
      <w:bookmarkEnd w:id="2"/>
      <w:r/>
      <w:bookmarkEnd w:id="3"/>
      <w:r/>
      <w:bookmarkEnd w:id="4"/>
      <w:r/>
      <w:bookmarkEnd w:id="5"/>
      <w:r/>
      <w:bookmarkEnd w:id="6"/>
      <w:r/>
      <w:bookmarkEnd w:id="99"/>
      <w:r/>
      <w:bookmarkStart w:id="104" w:name="_Toc20823274"/>
      <w:r/>
      <w:bookmarkStart w:id="105" w:name="_Toc120614213"/>
      <w:r/>
      <w:bookmarkStart w:id="106" w:name="_Toc16938518"/>
      <w:r/>
      <w:bookmarkStart w:id="107" w:name="_Toc513029202"/>
      <w:r>
        <w:rPr>
          <w:rFonts w:hint="eastAsia" w:ascii="黑体" w:hAnsi="Arial" w:eastAsia="黑体" w:cs="Arial"/>
          <w:b/>
          <w:bCs/>
          <w:color w:val="auto"/>
          <w:sz w:val="44"/>
          <w:szCs w:val="44"/>
          <w:highlight w:val="none"/>
        </w:rPr>
        <w:t xml:space="preserve">投标人须知</w:t>
      </w:r>
      <w:bookmarkEnd w:id="100"/>
      <w:r/>
      <w:bookmarkEnd w:id="101"/>
      <w:r/>
      <w:bookmarkEnd w:id="102"/>
      <w:r/>
      <w:bookmarkEnd w:id="103"/>
      <w:r/>
      <w:bookmarkEnd w:id="104"/>
      <w:r/>
      <w:bookmarkEnd w:id="105"/>
      <w:r/>
      <w:bookmarkEnd w:id="106"/>
      <w:r/>
      <w:bookmarkEnd w:id="107"/>
      <w:r/>
      <w:r/>
    </w:p>
    <w:p>
      <w:pPr>
        <w:ind w:firstLine="643"/>
        <w:keepLines/>
        <w:keepNext/>
        <w:pageBreakBefore w:val="0"/>
        <w:spacing w:line="360" w:lineRule="auto"/>
        <w:widowControl w:val="off"/>
        <w:rPr>
          <w:rFonts w:ascii="Times New Roman" w:hAnsi="Times New Roman"/>
          <w:b/>
          <w:bCs/>
          <w:color w:val="auto"/>
          <w:sz w:val="32"/>
          <w:szCs w:val="32"/>
          <w:highlight w:val="none"/>
        </w:rPr>
        <w:outlineLvl w:val="0"/>
      </w:pPr>
      <w:r/>
      <w:bookmarkStart w:id="108" w:name="_Toc9536"/>
      <w:r/>
      <w:bookmarkStart w:id="109" w:name="_Toc7136"/>
      <w:r/>
      <w:bookmarkStart w:id="110" w:name="_Toc513029203"/>
      <w:r/>
      <w:bookmarkStart w:id="111" w:name="_Toc120614214"/>
      <w:r/>
      <w:bookmarkStart w:id="112" w:name="_Toc28532"/>
      <w:r/>
      <w:bookmarkStart w:id="113" w:name="_Toc20823275"/>
      <w:r/>
      <w:bookmarkStart w:id="114" w:name="_Toc16938519"/>
      <w:r/>
      <w:bookmarkStart w:id="115" w:name="_Toc1786"/>
      <w:r>
        <w:rPr>
          <w:rFonts w:hint="eastAsia" w:ascii="Times New Roman" w:hAnsi="Times New Roman"/>
          <w:b/>
          <w:bCs/>
          <w:color w:val="auto"/>
          <w:sz w:val="32"/>
          <w:szCs w:val="32"/>
          <w:highlight w:val="none"/>
        </w:rPr>
        <w:t xml:space="preserve">一、总则</w:t>
      </w:r>
      <w:bookmarkEnd w:id="108"/>
      <w:r/>
      <w:bookmarkEnd w:id="109"/>
      <w:r/>
      <w:bookmarkEnd w:id="110"/>
      <w:r/>
      <w:bookmarkEnd w:id="111"/>
      <w:r/>
      <w:bookmarkEnd w:id="112"/>
      <w:r/>
      <w:bookmarkEnd w:id="113"/>
      <w:r/>
      <w:bookmarkEnd w:id="114"/>
      <w:r/>
      <w:bookmarkEnd w:id="115"/>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116" w:name="_Hlt16619475"/>
      <w:r/>
      <w:bookmarkEnd w:id="116"/>
      <w:r/>
      <w:bookmarkStart w:id="117" w:name="_Toc458694821"/>
      <w:r/>
      <w:bookmarkStart w:id="118" w:name="_Toc3775"/>
      <w:r/>
      <w:bookmarkStart w:id="119" w:name="_Toc16938520"/>
      <w:r/>
      <w:bookmarkStart w:id="120" w:name="_Toc17897"/>
      <w:r/>
      <w:bookmarkStart w:id="121" w:name="_Toc513029204"/>
      <w:r/>
      <w:bookmarkStart w:id="122" w:name="_Toc631"/>
      <w:r/>
      <w:bookmarkStart w:id="123" w:name="_Toc2077"/>
      <w:r/>
      <w:bookmarkStart w:id="124" w:name="_Toc20823276"/>
      <w:r>
        <w:rPr>
          <w:rFonts w:hint="eastAsia" w:ascii="Arial" w:hAnsi="Arial" w:eastAsia="黑体" w:cs="Arial"/>
          <w:color w:val="auto"/>
          <w:sz w:val="28"/>
          <w:szCs w:val="28"/>
          <w:highlight w:val="none"/>
        </w:rPr>
        <w:t xml:space="preserve">1</w:t>
      </w:r>
      <w:bookmarkEnd w:id="117"/>
      <w:r>
        <w:rPr>
          <w:rFonts w:hint="eastAsia" w:ascii="Arial" w:hAnsi="Arial" w:eastAsia="黑体" w:cs="Arial"/>
          <w:color w:val="auto"/>
          <w:sz w:val="28"/>
          <w:szCs w:val="28"/>
          <w:highlight w:val="none"/>
        </w:rPr>
        <w:t xml:space="preserve">、招标方式</w:t>
      </w:r>
      <w:bookmarkEnd w:id="118"/>
      <w:r/>
      <w:bookmarkEnd w:id="119"/>
      <w:r/>
      <w:bookmarkEnd w:id="120"/>
      <w:r/>
      <w:bookmarkEnd w:id="121"/>
      <w:r/>
      <w:bookmarkEnd w:id="122"/>
      <w:r/>
      <w:bookmarkEnd w:id="123"/>
      <w:r/>
      <w:bookmarkEnd w:id="124"/>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125" w:name="_Toc5214"/>
      <w:r/>
      <w:bookmarkStart w:id="126" w:name="_Toc20823277"/>
      <w:r/>
      <w:bookmarkStart w:id="127" w:name="_Toc10189"/>
      <w:r/>
      <w:bookmarkStart w:id="128" w:name="_Toc513029205"/>
      <w:r/>
      <w:bookmarkStart w:id="129" w:name="_Toc16938521"/>
      <w:r/>
      <w:bookmarkStart w:id="130" w:name="_Toc10602"/>
      <w:r/>
      <w:bookmarkStart w:id="131" w:name="_Toc12127"/>
      <w:r>
        <w:rPr>
          <w:rFonts w:hint="eastAsia" w:ascii="Arial" w:hAnsi="Arial" w:eastAsia="黑体" w:cs="Arial"/>
          <w:color w:val="auto"/>
          <w:sz w:val="28"/>
          <w:szCs w:val="28"/>
          <w:highlight w:val="none"/>
        </w:rPr>
        <w:t xml:space="preserve">2、合格的投标人</w:t>
      </w:r>
      <w:bookmarkEnd w:id="125"/>
      <w:r/>
      <w:bookmarkEnd w:id="126"/>
      <w:r/>
      <w:bookmarkEnd w:id="127"/>
      <w:r/>
      <w:bookmarkEnd w:id="128"/>
      <w:r/>
      <w:bookmarkEnd w:id="129"/>
      <w:r/>
      <w:bookmarkEnd w:id="130"/>
      <w:r/>
      <w:bookmarkEnd w:id="131"/>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132" w:name="_Toc11936"/>
      <w:r/>
      <w:bookmarkStart w:id="133" w:name="_Toc278"/>
      <w:r/>
      <w:bookmarkStart w:id="134" w:name="_Toc16938522"/>
      <w:r/>
      <w:bookmarkStart w:id="135" w:name="_Toc28736"/>
      <w:r/>
      <w:bookmarkStart w:id="136" w:name="_Toc20823278"/>
      <w:r/>
      <w:bookmarkStart w:id="137" w:name="_Toc513029206"/>
      <w:r/>
      <w:bookmarkStart w:id="138" w:name="_Toc21847"/>
      <w:r>
        <w:rPr>
          <w:rFonts w:hint="eastAsia" w:ascii="Arial" w:hAnsi="Arial" w:eastAsia="黑体" w:cs="Arial"/>
          <w:color w:val="auto"/>
          <w:sz w:val="28"/>
          <w:szCs w:val="28"/>
          <w:highlight w:val="none"/>
        </w:rPr>
        <w:t xml:space="preserve">3、适用法律</w:t>
      </w:r>
      <w:bookmarkEnd w:id="132"/>
      <w:r/>
      <w:bookmarkEnd w:id="133"/>
      <w:r/>
      <w:bookmarkEnd w:id="134"/>
      <w:r/>
      <w:bookmarkEnd w:id="135"/>
      <w:r/>
      <w:bookmarkEnd w:id="136"/>
      <w:r/>
      <w:bookmarkEnd w:id="137"/>
      <w:r/>
      <w:bookmarkEnd w:id="138"/>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139" w:name="_Toc16938523"/>
      <w:r/>
      <w:bookmarkStart w:id="140" w:name="_Toc25633"/>
      <w:r/>
      <w:bookmarkStart w:id="141" w:name="_Toc462564067"/>
      <w:r/>
      <w:bookmarkStart w:id="142" w:name="_Toc20823279"/>
      <w:r/>
      <w:bookmarkStart w:id="143" w:name="_Toc10059"/>
      <w:r/>
      <w:bookmarkStart w:id="144" w:name="_Toc27902"/>
      <w:r/>
      <w:bookmarkStart w:id="145" w:name="_Toc16398"/>
      <w:r/>
      <w:bookmarkStart w:id="146" w:name="_Toc513029207"/>
      <w:r>
        <w:rPr>
          <w:rFonts w:hint="eastAsia" w:ascii="Arial" w:hAnsi="Arial" w:eastAsia="黑体" w:cs="Arial"/>
          <w:color w:val="auto"/>
          <w:sz w:val="28"/>
          <w:szCs w:val="28"/>
          <w:highlight w:val="none"/>
        </w:rPr>
        <w:t xml:space="preserve">4、投标费用</w:t>
      </w:r>
      <w:bookmarkEnd w:id="139"/>
      <w:r/>
      <w:bookmarkEnd w:id="140"/>
      <w:r/>
      <w:bookmarkEnd w:id="141"/>
      <w:r/>
      <w:bookmarkEnd w:id="142"/>
      <w:r/>
      <w:bookmarkEnd w:id="143"/>
      <w:r/>
      <w:bookmarkEnd w:id="144"/>
      <w:r/>
      <w:bookmarkEnd w:id="145"/>
      <w:r/>
      <w:bookmarkEnd w:id="146"/>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投标人应自行承担所有与参加投标有关的费用，无论投标过程中的做法和结果如何，江苏鸿成工程项目管理有限公司（以下简称采购代理机构）在任何情况下均无义务和责任承担这些费用。</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4.2本次招标采购代理服务费及其他：</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（1）按照</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江苏省招标代理服务收费的指导意见</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的通知（苏招协</w:t>
      </w:r>
      <w:r>
        <w:rPr>
          <w:rFonts w:hint="eastAsia" w:ascii="宋体" w:hAnsi="宋体" w:eastAsia="宋体" w:cs="宋体"/>
          <w:color w:val="auto"/>
          <w:sz w:val="24"/>
          <w:szCs w:val="21"/>
          <w:highlight w:val="none"/>
          <w:lang w:val="en-US" w:eastAsia="zh-CN"/>
        </w:rPr>
        <w:t xml:space="preserve">〔2022〕002号）</w:t>
      </w:r>
      <w:r>
        <w:rPr>
          <w:rFonts w:hint="eastAsia" w:ascii="宋体" w:hAnsi="宋体"/>
          <w:color w:val="auto"/>
          <w:sz w:val="24"/>
          <w:szCs w:val="21"/>
          <w:highlight w:val="none"/>
          <w:lang w:val="en-US" w:eastAsia="zh-CN"/>
        </w:rPr>
        <w:t xml:space="preserve">规定的收费标准的32</w:t>
      </w:r>
      <w:r>
        <w:rPr>
          <w:rFonts w:hint="eastAsia" w:ascii="宋体" w:hAnsi="宋体"/>
          <w:color w:val="auto"/>
          <w:sz w:val="24"/>
          <w:szCs w:val="21"/>
          <w:highlight w:val="none"/>
        </w:rPr>
        <w:t xml:space="preserve">%计取；</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（2）涉及本采购项目的其他费用，按相关规定执行。</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以上费用最终由中标人在领取中标通知书时一次性支付，投标人须将此部分费用综合考虑在报价中，不得单列。</w:t>
      </w:r>
      <w:r/>
    </w:p>
    <w:p>
      <w:pPr>
        <w:ind w:firstLine="602"/>
        <w:keepLines/>
        <w:keepNext/>
        <w:pageBreakBefore w:val="0"/>
        <w:spacing w:line="360" w:lineRule="auto"/>
        <w:widowControl w:val="off"/>
        <w:rPr>
          <w:rFonts w:ascii="黑体" w:hAnsi="宋体" w:eastAsia="黑体" w:cs="Arial"/>
          <w:color w:val="auto"/>
          <w:sz w:val="28"/>
          <w:szCs w:val="28"/>
          <w:highlight w:val="none"/>
        </w:rPr>
        <w:outlineLvl w:val="1"/>
      </w:pPr>
      <w:r/>
      <w:bookmarkStart w:id="147" w:name="_Toc26935"/>
      <w:r/>
      <w:bookmarkStart w:id="148" w:name="_Toc13039"/>
      <w:r/>
      <w:bookmarkStart w:id="149" w:name="_Toc13484"/>
      <w:r/>
      <w:bookmarkStart w:id="150" w:name="_Toc14146"/>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bookmarkEnd w:id="147"/>
      <w:r/>
      <w:bookmarkEnd w:id="148"/>
      <w:r/>
      <w:bookmarkEnd w:id="149"/>
      <w:r/>
      <w:bookmarkEnd w:id="150"/>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643"/>
        <w:keepLines/>
        <w:keepNext/>
        <w:pageBreakBefore w:val="0"/>
        <w:spacing w:line="360" w:lineRule="auto"/>
        <w:widowControl w:val="off"/>
        <w:rPr>
          <w:rFonts w:ascii="Times New Roman" w:hAnsi="Times New Roman"/>
          <w:b/>
          <w:bCs/>
          <w:color w:val="auto"/>
          <w:sz w:val="32"/>
          <w:szCs w:val="32"/>
          <w:highlight w:val="none"/>
        </w:rPr>
        <w:outlineLvl w:val="0"/>
      </w:pPr>
      <w:r/>
      <w:bookmarkStart w:id="151" w:name="_Toc23770"/>
      <w:r/>
      <w:bookmarkStart w:id="152" w:name="_Toc16938525"/>
      <w:r/>
      <w:bookmarkStart w:id="153" w:name="_Toc120614215"/>
      <w:r/>
      <w:bookmarkStart w:id="154" w:name="_Toc6958"/>
      <w:r/>
      <w:bookmarkStart w:id="155" w:name="_Toc513029209"/>
      <w:r/>
      <w:bookmarkStart w:id="156" w:name="_Toc2553"/>
      <w:r/>
      <w:bookmarkStart w:id="157" w:name="_Toc20823281"/>
      <w:r/>
      <w:bookmarkStart w:id="158" w:name="_Toc31399"/>
      <w:r>
        <w:rPr>
          <w:rFonts w:hint="eastAsia" w:ascii="Times New Roman" w:hAnsi="Times New Roman"/>
          <w:b/>
          <w:bCs/>
          <w:color w:val="auto"/>
          <w:sz w:val="32"/>
          <w:szCs w:val="32"/>
          <w:highlight w:val="none"/>
        </w:rPr>
        <w:t xml:space="preserve">二、招标文件</w:t>
      </w:r>
      <w:bookmarkEnd w:id="151"/>
      <w:r/>
      <w:bookmarkEnd w:id="152"/>
      <w:r/>
      <w:bookmarkEnd w:id="153"/>
      <w:r/>
      <w:bookmarkEnd w:id="154"/>
      <w:r/>
      <w:bookmarkEnd w:id="155"/>
      <w:r/>
      <w:bookmarkEnd w:id="156"/>
      <w:r/>
      <w:bookmarkEnd w:id="157"/>
      <w:r/>
      <w:bookmarkEnd w:id="158"/>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159" w:name="_Toc17550"/>
      <w:r/>
      <w:bookmarkStart w:id="160" w:name="_Toc22366"/>
      <w:r/>
      <w:bookmarkStart w:id="161" w:name="_Toc16938526"/>
      <w:r/>
      <w:bookmarkStart w:id="162" w:name="_Toc513029210"/>
      <w:r/>
      <w:bookmarkStart w:id="163" w:name="_Toc22903"/>
      <w:r/>
      <w:bookmarkStart w:id="164" w:name="_Toc29450"/>
      <w:r/>
      <w:bookmarkStart w:id="165" w:name="_Toc20823282"/>
      <w:r>
        <w:rPr>
          <w:rFonts w:hint="eastAsia" w:ascii="Arial" w:hAnsi="Arial" w:eastAsia="黑体" w:cs="Arial"/>
          <w:color w:val="auto"/>
          <w:sz w:val="28"/>
          <w:szCs w:val="28"/>
          <w:highlight w:val="none"/>
        </w:rPr>
        <w:t xml:space="preserve">6、招标文件构成</w:t>
      </w:r>
      <w:bookmarkEnd w:id="159"/>
      <w:r/>
      <w:bookmarkEnd w:id="160"/>
      <w:r/>
      <w:bookmarkEnd w:id="161"/>
      <w:r/>
      <w:bookmarkEnd w:id="162"/>
      <w:r/>
      <w:bookmarkEnd w:id="163"/>
      <w:r/>
      <w:bookmarkEnd w:id="164"/>
      <w:r/>
      <w:bookmarkEnd w:id="165"/>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pageBreakBefore w:val="0"/>
        <w:spacing w:line="360" w:lineRule="auto"/>
        <w:widowControl w:val="off"/>
        <w:rPr>
          <w:rFonts w:ascii="Times New Roman" w:hAnsi="Times New Roman"/>
          <w:color w:val="auto"/>
          <w:sz w:val="24"/>
          <w:szCs w:val="24"/>
          <w:highlight w:val="none"/>
        </w:rPr>
      </w:pPr>
      <w:r>
        <w:rPr>
          <w:rFonts w:hint="eastAsia" w:ascii="宋体" w:hAnsi="宋体"/>
          <w:color w:val="auto"/>
          <w:sz w:val="24"/>
          <w:szCs w:val="24"/>
          <w:highlight w:val="none"/>
        </w:rPr>
        <w:t xml:space="preserve">（5）</w:t>
      </w:r>
      <w:r>
        <w:rPr>
          <w:rFonts w:hint="eastAsia" w:ascii="Times New Roman" w:hAnsi="宋体"/>
          <w:color w:val="auto"/>
          <w:sz w:val="24"/>
          <w:szCs w:val="24"/>
          <w:highlight w:val="none"/>
        </w:rPr>
        <w:t xml:space="preserve">评标方法与评标标准</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请仔细检查招标文件是否齐全，如有缺漏请立即与采购代理机构联系解决。</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166" w:name="_Toc462564070"/>
      <w:r/>
      <w:bookmarkStart w:id="167" w:name="_Toc513029211"/>
      <w:r/>
      <w:bookmarkStart w:id="168" w:name="_Toc5975"/>
      <w:r/>
      <w:bookmarkStart w:id="169" w:name="_Toc4869"/>
      <w:r/>
      <w:bookmarkStart w:id="170" w:name="_Toc26045"/>
      <w:r/>
      <w:bookmarkStart w:id="171" w:name="_Toc20823283"/>
      <w:r/>
      <w:bookmarkStart w:id="172" w:name="_Toc16938527"/>
      <w:r/>
      <w:bookmarkStart w:id="173" w:name="_Toc23873"/>
      <w:r>
        <w:rPr>
          <w:rFonts w:hint="eastAsia" w:ascii="Arial" w:hAnsi="Arial" w:eastAsia="黑体" w:cs="Arial"/>
          <w:color w:val="auto"/>
          <w:sz w:val="28"/>
          <w:szCs w:val="28"/>
          <w:highlight w:val="none"/>
        </w:rPr>
        <w:t xml:space="preserve">7、招标文件的澄清</w:t>
      </w:r>
      <w:bookmarkEnd w:id="166"/>
      <w:r/>
      <w:bookmarkEnd w:id="167"/>
      <w:r/>
      <w:bookmarkEnd w:id="168"/>
      <w:r/>
      <w:bookmarkEnd w:id="169"/>
      <w:r/>
      <w:bookmarkEnd w:id="170"/>
      <w:r/>
      <w:bookmarkEnd w:id="171"/>
      <w:r/>
      <w:bookmarkEnd w:id="172"/>
      <w:r/>
      <w:bookmarkEnd w:id="173"/>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bCs/>
          <w:color w:val="auto"/>
          <w:sz w:val="24"/>
          <w:szCs w:val="21"/>
          <w:highlight w:val="none"/>
        </w:rPr>
        <w:t xml:space="preserve">7.1</w:t>
      </w:r>
      <w:r>
        <w:rPr>
          <w:rFonts w:hint="eastAsia" w:ascii="宋体" w:hAnsi="宋体"/>
          <w:color w:val="auto"/>
          <w:sz w:val="24"/>
          <w:szCs w:val="21"/>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按招标公告中的通讯地址，以书面形式通知采购代理机构。</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174" w:name="_Toc17024"/>
      <w:r/>
      <w:bookmarkStart w:id="175" w:name="_Toc20823284"/>
      <w:r/>
      <w:bookmarkStart w:id="176" w:name="_Toc18994"/>
      <w:r/>
      <w:bookmarkStart w:id="177" w:name="_Toc513029212"/>
      <w:r/>
      <w:bookmarkStart w:id="178" w:name="_Toc462564071"/>
      <w:r/>
      <w:bookmarkStart w:id="179" w:name="_Toc30493"/>
      <w:r/>
      <w:bookmarkStart w:id="180" w:name="_Toc13596"/>
      <w:r/>
      <w:bookmarkStart w:id="181" w:name="_Toc16938528"/>
      <w:r>
        <w:rPr>
          <w:rFonts w:hint="eastAsia" w:ascii="Arial" w:hAnsi="Arial" w:eastAsia="黑体" w:cs="Arial"/>
          <w:color w:val="auto"/>
          <w:sz w:val="28"/>
          <w:szCs w:val="28"/>
          <w:highlight w:val="none"/>
        </w:rPr>
        <w:t xml:space="preserve">8、招标文件的修改</w:t>
      </w:r>
      <w:bookmarkEnd w:id="174"/>
      <w:r/>
      <w:bookmarkEnd w:id="175"/>
      <w:r/>
      <w:bookmarkEnd w:id="176"/>
      <w:r/>
      <w:bookmarkEnd w:id="177"/>
      <w:r/>
      <w:bookmarkEnd w:id="178"/>
      <w:r/>
      <w:bookmarkEnd w:id="179"/>
      <w:r/>
      <w:bookmarkEnd w:id="180"/>
      <w:r/>
      <w:bookmarkEnd w:id="181"/>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，采购代理机构可以对招标文件进行修改。</w:t>
      </w:r>
      <w:r/>
    </w:p>
    <w:p>
      <w:pPr>
        <w:ind w:firstLine="480"/>
        <w:pageBreakBefore w:val="0"/>
        <w:spacing w:line="360" w:lineRule="auto"/>
        <w:widowControl w:val="off"/>
        <w:rPr>
          <w:rFonts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采购代理机构</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643"/>
        <w:keepLines/>
        <w:keepNext/>
        <w:pageBreakBefore w:val="0"/>
        <w:spacing w:line="360" w:lineRule="auto"/>
        <w:widowControl w:val="off"/>
        <w:rPr>
          <w:rFonts w:ascii="Times New Roman" w:hAnsi="Times New Roman"/>
          <w:b/>
          <w:bCs/>
          <w:color w:val="auto"/>
          <w:sz w:val="32"/>
          <w:szCs w:val="32"/>
          <w:highlight w:val="none"/>
        </w:rPr>
        <w:outlineLvl w:val="0"/>
      </w:pPr>
      <w:r/>
      <w:bookmarkStart w:id="182" w:name="_Toc16938529"/>
      <w:r/>
      <w:bookmarkStart w:id="183" w:name="_Toc27956"/>
      <w:r/>
      <w:bookmarkStart w:id="184" w:name="_Toc15815"/>
      <w:r/>
      <w:bookmarkStart w:id="185" w:name="_Toc30598"/>
      <w:r/>
      <w:bookmarkStart w:id="186" w:name="_Toc20823285"/>
      <w:r/>
      <w:bookmarkStart w:id="187" w:name="_Toc120614216"/>
      <w:r/>
      <w:bookmarkStart w:id="188" w:name="_Toc462564072"/>
      <w:r/>
      <w:bookmarkStart w:id="189" w:name="_Toc513029213"/>
      <w:r/>
      <w:bookmarkStart w:id="190" w:name="_Toc3031"/>
      <w:r>
        <w:rPr>
          <w:rFonts w:hint="eastAsia" w:ascii="Times New Roman" w:hAnsi="Times New Roman"/>
          <w:b/>
          <w:bCs/>
          <w:color w:val="auto"/>
          <w:sz w:val="32"/>
          <w:szCs w:val="32"/>
          <w:highlight w:val="none"/>
        </w:rPr>
        <w:t xml:space="preserve">三、投标文件的编制</w:t>
      </w:r>
      <w:bookmarkEnd w:id="182"/>
      <w:r/>
      <w:bookmarkEnd w:id="183"/>
      <w:r/>
      <w:bookmarkEnd w:id="184"/>
      <w:r/>
      <w:bookmarkEnd w:id="185"/>
      <w:r/>
      <w:bookmarkEnd w:id="186"/>
      <w:r/>
      <w:bookmarkEnd w:id="187"/>
      <w:r/>
      <w:bookmarkEnd w:id="188"/>
      <w:r/>
      <w:bookmarkEnd w:id="189"/>
      <w:r/>
      <w:bookmarkEnd w:id="190"/>
      <w:r/>
      <w:r/>
    </w:p>
    <w:p>
      <w:pPr>
        <w:ind w:firstLine="560"/>
        <w:keepLines/>
        <w:keepNext/>
        <w:pageBreakBefore w:val="0"/>
        <w:spacing w:line="360" w:lineRule="auto"/>
        <w:widowControl w:val="off"/>
        <w:rPr>
          <w:rFonts w:ascii="Arial" w:hAnsi="Arial" w:eastAsia="黑体" w:cs="Arial"/>
          <w:b/>
          <w:color w:val="auto"/>
          <w:sz w:val="28"/>
          <w:szCs w:val="28"/>
          <w:highlight w:val="none"/>
        </w:rPr>
        <w:outlineLvl w:val="1"/>
      </w:pPr>
      <w:r/>
      <w:bookmarkStart w:id="191" w:name="_Toc30948"/>
      <w:r/>
      <w:bookmarkStart w:id="192" w:name="_Toc12620"/>
      <w:r/>
      <w:bookmarkStart w:id="193" w:name="_Toc20823286"/>
      <w:r/>
      <w:bookmarkStart w:id="194" w:name="_Toc20796"/>
      <w:r/>
      <w:bookmarkStart w:id="195" w:name="_Toc513029214"/>
      <w:r/>
      <w:bookmarkStart w:id="196" w:name="_Toc24661"/>
      <w:r/>
      <w:bookmarkStart w:id="197" w:name="_Toc16938530"/>
      <w:r/>
      <w:bookmarkStart w:id="198" w:name="_Toc462564073"/>
      <w:r>
        <w:rPr>
          <w:rFonts w:hint="eastAsia" w:ascii="Arial" w:hAnsi="Arial" w:eastAsia="黑体" w:cs="Arial"/>
          <w:color w:val="auto"/>
          <w:sz w:val="28"/>
          <w:szCs w:val="28"/>
          <w:highlight w:val="none"/>
        </w:rPr>
        <w:t xml:space="preserve">9、投标文件的语言及度量衡单位</w:t>
      </w:r>
      <w:bookmarkEnd w:id="191"/>
      <w:r/>
      <w:bookmarkEnd w:id="192"/>
      <w:r/>
      <w:bookmarkEnd w:id="193"/>
      <w:r/>
      <w:bookmarkEnd w:id="194"/>
      <w:r/>
      <w:bookmarkEnd w:id="195"/>
      <w:r/>
      <w:bookmarkEnd w:id="196"/>
      <w:r/>
      <w:bookmarkEnd w:id="197"/>
      <w:r/>
      <w:bookmarkEnd w:id="198"/>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199" w:name="_Toc27068"/>
      <w:r/>
      <w:bookmarkStart w:id="200" w:name="_Toc5665"/>
      <w:r/>
      <w:bookmarkStart w:id="201" w:name="_Toc462564074"/>
      <w:r/>
      <w:bookmarkStart w:id="202" w:name="_Toc16938531"/>
      <w:r/>
      <w:bookmarkStart w:id="203" w:name="_Toc20823287"/>
      <w:r/>
      <w:bookmarkStart w:id="204" w:name="_Toc513029215"/>
      <w:r/>
      <w:bookmarkStart w:id="205" w:name="_Toc13292"/>
      <w:r/>
      <w:bookmarkStart w:id="206" w:name="_Toc1965"/>
      <w:r>
        <w:rPr>
          <w:rFonts w:hint="eastAsia" w:ascii="Arial" w:hAnsi="Arial" w:eastAsia="黑体" w:cs="Arial"/>
          <w:color w:val="auto"/>
          <w:sz w:val="28"/>
          <w:szCs w:val="28"/>
          <w:highlight w:val="none"/>
        </w:rPr>
        <w:t xml:space="preserve">10、投标文件构成</w:t>
      </w:r>
      <w:bookmarkEnd w:id="199"/>
      <w:r/>
      <w:bookmarkEnd w:id="200"/>
      <w:r/>
      <w:bookmarkEnd w:id="201"/>
      <w:r/>
      <w:bookmarkEnd w:id="202"/>
      <w:r/>
      <w:bookmarkEnd w:id="203"/>
      <w:r/>
      <w:bookmarkEnd w:id="204"/>
      <w:r/>
      <w:bookmarkEnd w:id="205"/>
      <w:r/>
      <w:bookmarkEnd w:id="206"/>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如标书制作工具中格式和内容与“江苏政府采购网”发布的招标文件不一致，请以“江苏政府采购网”发布的招标文件为准。</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207" w:name="_Hlt26670360"/>
      <w:r/>
      <w:bookmarkEnd w:id="207"/>
      <w:r/>
      <w:bookmarkStart w:id="208" w:name="_Hlt26954838"/>
      <w:r/>
      <w:bookmarkEnd w:id="208"/>
      <w:r/>
      <w:bookmarkStart w:id="209" w:name="_Hlt26668975"/>
      <w:r/>
      <w:bookmarkEnd w:id="209"/>
      <w:r/>
      <w:bookmarkStart w:id="210" w:name="_Toc14577357"/>
      <w:r/>
      <w:bookmarkStart w:id="211" w:name="_Toc49090509"/>
      <w:r/>
      <w:bookmarkStart w:id="212" w:name="_Toc10166"/>
      <w:r/>
      <w:bookmarkStart w:id="213" w:name="_Toc513029219"/>
      <w:r/>
      <w:bookmarkStart w:id="214" w:name="_Toc17939"/>
      <w:r/>
      <w:bookmarkStart w:id="215" w:name="_Toc1563"/>
      <w:r/>
      <w:bookmarkStart w:id="216" w:name="_Toc15780"/>
      <w:r/>
      <w:bookmarkStart w:id="217" w:name="_Toc14577354"/>
      <w:r/>
      <w:bookmarkStart w:id="218" w:name="_Toc513029216"/>
      <w:r/>
      <w:bookmarkStart w:id="219" w:name="_Toc49090507"/>
      <w:r/>
      <w:bookmarkStart w:id="220" w:name="_Toc14577355"/>
      <w:r/>
      <w:bookmarkStart w:id="221" w:name="_Toc49090508"/>
      <w:r>
        <w:rPr>
          <w:rFonts w:hint="eastAsia" w:ascii="Arial" w:hAnsi="Arial" w:eastAsia="黑体" w:cs="Arial"/>
          <w:color w:val="auto"/>
          <w:sz w:val="28"/>
          <w:szCs w:val="28"/>
          <w:highlight w:val="none"/>
        </w:rPr>
        <w:t xml:space="preserve">11、证明投标人及投标标的符合招标文件规定的文件</w:t>
      </w:r>
      <w:bookmarkEnd w:id="210"/>
      <w:r/>
      <w:bookmarkEnd w:id="211"/>
      <w:r/>
      <w:bookmarkEnd w:id="212"/>
      <w:r/>
      <w:bookmarkEnd w:id="213"/>
      <w:r/>
      <w:bookmarkEnd w:id="214"/>
      <w:r/>
      <w:bookmarkEnd w:id="215"/>
      <w:r/>
      <w:bookmarkEnd w:id="216"/>
      <w:r/>
      <w:bookmarkEnd w:id="217"/>
      <w:r/>
      <w:bookmarkEnd w:id="218"/>
      <w:r/>
      <w:bookmarkEnd w:id="219"/>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11.1 投标人应按照招标文件要求提交证明文件，证明其及投标标的符合招标文件规定。</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220"/>
      <w:r/>
      <w:bookmarkEnd w:id="221"/>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222" w:name="_Toc8226"/>
      <w:r/>
      <w:bookmarkStart w:id="223" w:name="_Toc30824"/>
      <w:r/>
      <w:bookmarkStart w:id="224" w:name="_Toc12373"/>
      <w:r/>
      <w:bookmarkStart w:id="225" w:name="_Toc24538"/>
      <w:r>
        <w:rPr>
          <w:rFonts w:hint="eastAsia" w:ascii="Arial" w:hAnsi="Arial" w:eastAsia="黑体" w:cs="Arial"/>
          <w:color w:val="auto"/>
          <w:sz w:val="28"/>
          <w:szCs w:val="28"/>
          <w:highlight w:val="none"/>
        </w:rPr>
        <w:t xml:space="preserve">12、投标分项报价表</w:t>
      </w:r>
      <w:bookmarkEnd w:id="222"/>
      <w:r/>
      <w:bookmarkEnd w:id="223"/>
      <w:r/>
      <w:bookmarkEnd w:id="224"/>
      <w:r/>
      <w:bookmarkEnd w:id="225"/>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 投标人应按照招标文件规定格式填报投标分项报价表。</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12.2 </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226" w:name="_Hlt26954731"/>
      <w:r/>
      <w:bookmarkEnd w:id="226"/>
      <w:r/>
      <w:bookmarkStart w:id="227" w:name="_Hlt26670482"/>
      <w:r/>
      <w:bookmarkEnd w:id="227"/>
      <w:r/>
      <w:bookmarkStart w:id="228" w:name="_Hlt26670486"/>
      <w:r/>
      <w:bookmarkEnd w:id="228"/>
      <w:r/>
      <w:bookmarkStart w:id="229" w:name="_Hlt26954848"/>
      <w:r/>
      <w:bookmarkEnd w:id="229"/>
      <w:r/>
      <w:bookmarkStart w:id="230" w:name="_Hlt26954846"/>
      <w:r/>
      <w:bookmarkEnd w:id="230"/>
      <w:r/>
      <w:bookmarkStart w:id="231" w:name="_Toc31013"/>
      <w:r/>
      <w:bookmarkStart w:id="232" w:name="_Toc4358"/>
      <w:r/>
      <w:bookmarkStart w:id="233" w:name="_Toc31948"/>
      <w:r/>
      <w:bookmarkStart w:id="234" w:name="_Toc25844"/>
      <w:r>
        <w:rPr>
          <w:rFonts w:hint="eastAsia" w:ascii="Arial" w:hAnsi="Arial" w:eastAsia="黑体" w:cs="Arial"/>
          <w:color w:val="auto"/>
          <w:sz w:val="28"/>
          <w:szCs w:val="28"/>
          <w:highlight w:val="none"/>
        </w:rPr>
        <w:t xml:space="preserve">13、技术要求响应及偏离表、商务要求响应及偏离表</w:t>
      </w:r>
      <w:bookmarkEnd w:id="231"/>
      <w:r/>
      <w:bookmarkEnd w:id="232"/>
      <w:r/>
      <w:bookmarkEnd w:id="233"/>
      <w:r/>
      <w:bookmarkEnd w:id="234"/>
      <w:r/>
      <w:r/>
    </w:p>
    <w:p>
      <w:pPr>
        <w:ind w:firstLine="480"/>
        <w:pageBreakBefore w:val="0"/>
        <w:spacing w:line="360" w:lineRule="auto"/>
        <w:widowControl w:val="off"/>
        <w:rPr>
          <w:rFonts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 投标人可在投标文件中提供认为需要的其他技术文件或说明。</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235" w:name="_Toc17173"/>
      <w:r/>
      <w:bookmarkStart w:id="236" w:name="_Toc2745"/>
      <w:r/>
      <w:bookmarkStart w:id="237" w:name="_Toc30359"/>
      <w:r/>
      <w:bookmarkStart w:id="238" w:name="_Toc17573"/>
      <w:r>
        <w:rPr>
          <w:rFonts w:hint="eastAsia" w:ascii="Arial" w:hAnsi="Arial" w:eastAsia="黑体" w:cs="Arial"/>
          <w:color w:val="auto"/>
          <w:sz w:val="28"/>
          <w:szCs w:val="28"/>
          <w:highlight w:val="none"/>
        </w:rPr>
        <w:t xml:space="preserve">14、服务承诺、培训计划、人员安排及其他</w:t>
      </w:r>
      <w:bookmarkEnd w:id="235"/>
      <w:r/>
      <w:bookmarkEnd w:id="236"/>
      <w:r/>
      <w:bookmarkEnd w:id="237"/>
      <w:r/>
      <w:bookmarkEnd w:id="238"/>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14.1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14.2 投标人需根据招标文件要求提供培训计划。</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14.3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239" w:name="_Toc8778"/>
      <w:r/>
      <w:bookmarkStart w:id="240" w:name="_Toc17680"/>
      <w:r/>
      <w:bookmarkStart w:id="241" w:name="_Toc3415"/>
      <w:r/>
      <w:bookmarkStart w:id="242" w:name="_Toc26082"/>
      <w:r/>
      <w:bookmarkStart w:id="243" w:name="_Toc14577359"/>
      <w:r/>
      <w:bookmarkStart w:id="244" w:name="_Toc49090510"/>
      <w:r>
        <w:rPr>
          <w:rFonts w:hint="eastAsia" w:ascii="Arial" w:hAnsi="Arial" w:eastAsia="黑体" w:cs="Arial"/>
          <w:color w:val="auto"/>
          <w:sz w:val="28"/>
          <w:szCs w:val="28"/>
          <w:highlight w:val="none"/>
        </w:rPr>
        <w:t xml:space="preserve">15、投标函和开标一览表</w:t>
      </w:r>
      <w:bookmarkEnd w:id="239"/>
      <w:r/>
      <w:bookmarkEnd w:id="240"/>
      <w:r/>
      <w:bookmarkEnd w:id="241"/>
      <w:r/>
      <w:bookmarkEnd w:id="242"/>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 投标人应按照招标文件中提供的格式完整、正确填写投标函、开标一览表。</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243"/>
      <w:r/>
      <w:bookmarkEnd w:id="244"/>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245" w:name="_Toc26859"/>
      <w:r/>
      <w:bookmarkStart w:id="246" w:name="_Toc14577360"/>
      <w:r/>
      <w:bookmarkStart w:id="247" w:name="_Toc2574"/>
      <w:r/>
      <w:bookmarkStart w:id="248" w:name="_Toc25921"/>
      <w:r/>
      <w:bookmarkStart w:id="249" w:name="_Toc31751"/>
      <w:r/>
      <w:bookmarkStart w:id="250" w:name="_Toc49090511"/>
      <w:r>
        <w:rPr>
          <w:rFonts w:hint="eastAsia" w:ascii="Arial" w:hAnsi="Arial" w:eastAsia="黑体" w:cs="Arial"/>
          <w:color w:val="auto"/>
          <w:sz w:val="28"/>
          <w:szCs w:val="28"/>
          <w:highlight w:val="none"/>
        </w:rPr>
        <w:t xml:space="preserve">16、投标有效期</w:t>
      </w:r>
      <w:bookmarkEnd w:id="245"/>
      <w:r/>
      <w:bookmarkEnd w:id="246"/>
      <w:r/>
      <w:bookmarkEnd w:id="247"/>
      <w:r/>
      <w:bookmarkEnd w:id="248"/>
      <w:r/>
      <w:bookmarkEnd w:id="249"/>
      <w:r/>
      <w:bookmarkEnd w:id="250"/>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16.1投标有效期为采购代理机构规定的开标之日后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251" w:name="_Toc11289"/>
      <w:r/>
      <w:bookmarkStart w:id="252" w:name="_Toc11803"/>
      <w:r/>
      <w:bookmarkStart w:id="253" w:name="_Toc29039"/>
      <w:r/>
      <w:bookmarkStart w:id="254" w:name="_Toc5551"/>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bookmarkEnd w:id="251"/>
      <w:r/>
      <w:bookmarkEnd w:id="252"/>
      <w:r/>
      <w:bookmarkEnd w:id="253"/>
      <w:r/>
      <w:bookmarkEnd w:id="254"/>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firstLine="643"/>
        <w:keepLines/>
        <w:keepNext/>
        <w:pageBreakBefore w:val="0"/>
        <w:spacing w:line="360" w:lineRule="auto"/>
        <w:widowControl w:val="off"/>
        <w:rPr>
          <w:rFonts w:ascii="Times New Roman" w:hAnsi="Times New Roman"/>
          <w:b/>
          <w:bCs/>
          <w:color w:val="auto"/>
          <w:sz w:val="32"/>
          <w:szCs w:val="32"/>
          <w:highlight w:val="none"/>
        </w:rPr>
        <w:outlineLvl w:val="0"/>
      </w:pPr>
      <w:r/>
      <w:bookmarkStart w:id="255" w:name="_Hlt26954852"/>
      <w:r/>
      <w:bookmarkEnd w:id="255"/>
      <w:r/>
      <w:bookmarkStart w:id="256" w:name="_Hlt26954739"/>
      <w:r/>
      <w:bookmarkEnd w:id="256"/>
      <w:r/>
      <w:bookmarkStart w:id="257" w:name="_Toc16938540"/>
      <w:r/>
      <w:bookmarkStart w:id="258" w:name="_Toc513029224"/>
      <w:r/>
      <w:bookmarkStart w:id="259" w:name="_Toc10725"/>
      <w:r/>
      <w:bookmarkStart w:id="260" w:name="_Toc21371"/>
      <w:r/>
      <w:bookmarkStart w:id="261" w:name="_Toc11300"/>
      <w:r/>
      <w:bookmarkStart w:id="262" w:name="_Toc21332"/>
      <w:r/>
      <w:bookmarkStart w:id="263" w:name="_Toc120614217"/>
      <w:r/>
      <w:bookmarkStart w:id="264" w:name="_Toc20823296"/>
      <w:r>
        <w:rPr>
          <w:rFonts w:hint="eastAsia" w:ascii="Times New Roman" w:hAnsi="Times New Roman"/>
          <w:b/>
          <w:bCs/>
          <w:color w:val="auto"/>
          <w:sz w:val="32"/>
          <w:szCs w:val="32"/>
          <w:highlight w:val="none"/>
        </w:rPr>
        <w:t xml:space="preserve">四、投标文件的递交</w:t>
      </w:r>
      <w:bookmarkEnd w:id="257"/>
      <w:r/>
      <w:bookmarkEnd w:id="258"/>
      <w:r/>
      <w:bookmarkEnd w:id="259"/>
      <w:r/>
      <w:bookmarkEnd w:id="260"/>
      <w:r/>
      <w:bookmarkEnd w:id="261"/>
      <w:r/>
      <w:bookmarkEnd w:id="262"/>
      <w:r/>
      <w:bookmarkEnd w:id="263"/>
      <w:r/>
      <w:bookmarkEnd w:id="264"/>
      <w:r/>
      <w:r/>
    </w:p>
    <w:p>
      <w:pPr>
        <w:ind w:firstLine="560"/>
        <w:keepLines/>
        <w:keepNext/>
        <w:pageBreakBefore w:val="0"/>
        <w:spacing w:line="360" w:lineRule="auto"/>
        <w:widowControl w:val="off"/>
        <w:rPr>
          <w:rFonts w:ascii="黑体" w:hAnsi="Arial" w:eastAsia="黑体" w:cs="Arial"/>
          <w:color w:val="auto"/>
          <w:sz w:val="28"/>
          <w:szCs w:val="28"/>
          <w:highlight w:val="none"/>
        </w:rPr>
        <w:outlineLvl w:val="1"/>
      </w:pPr>
      <w:r/>
      <w:bookmarkStart w:id="265" w:name="_Toc20823297"/>
      <w:r/>
      <w:bookmarkStart w:id="266" w:name="_Toc513029225"/>
      <w:r/>
      <w:bookmarkStart w:id="267" w:name="_Toc462564084"/>
      <w:r/>
      <w:bookmarkStart w:id="268" w:name="_Toc16938541"/>
      <w:r/>
      <w:bookmarkStart w:id="269" w:name="_Toc31656"/>
      <w:r/>
      <w:bookmarkStart w:id="270" w:name="_Toc5063"/>
      <w:r/>
      <w:bookmarkStart w:id="271" w:name="_Toc25329"/>
      <w:r/>
      <w:bookmarkStart w:id="272" w:name="_Toc23746"/>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265"/>
      <w:r/>
      <w:bookmarkEnd w:id="266"/>
      <w:r/>
      <w:bookmarkEnd w:id="267"/>
      <w:r/>
      <w:bookmarkEnd w:id="268"/>
      <w:r>
        <w:rPr>
          <w:rFonts w:hint="eastAsia" w:ascii="黑体" w:hAnsi="Arial" w:eastAsia="黑体" w:cs="Arial"/>
          <w:color w:val="auto"/>
          <w:sz w:val="28"/>
          <w:szCs w:val="28"/>
          <w:highlight w:val="none"/>
        </w:rPr>
        <w:t xml:space="preserve">的递交</w:t>
      </w:r>
      <w:bookmarkEnd w:id="269"/>
      <w:r/>
      <w:bookmarkEnd w:id="270"/>
      <w:r/>
      <w:bookmarkEnd w:id="271"/>
      <w:r/>
      <w:bookmarkEnd w:id="272"/>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273" w:name="_Toc16938542"/>
      <w:r/>
      <w:bookmarkStart w:id="274" w:name="_Toc513029226"/>
      <w:r/>
      <w:bookmarkStart w:id="275" w:name="_Toc20823298"/>
      <w:r/>
      <w:r/>
    </w:p>
    <w:p>
      <w:pPr>
        <w:ind w:firstLine="560"/>
        <w:keepLines/>
        <w:keepNext/>
        <w:pageBreakBefore w:val="0"/>
        <w:spacing w:line="360" w:lineRule="auto"/>
        <w:widowControl w:val="off"/>
        <w:rPr>
          <w:rFonts w:ascii="宋体" w:hAnsi="宋体" w:eastAsia="黑体" w:cs="Arial"/>
          <w:bCs/>
          <w:color w:val="auto"/>
          <w:sz w:val="24"/>
          <w:szCs w:val="28"/>
          <w:highlight w:val="none"/>
        </w:rPr>
        <w:outlineLvl w:val="1"/>
      </w:pPr>
      <w:r/>
      <w:bookmarkStart w:id="276" w:name="_Toc7538"/>
      <w:r/>
      <w:bookmarkStart w:id="277" w:name="_Toc3098"/>
      <w:r/>
      <w:bookmarkStart w:id="278" w:name="_Toc1387"/>
      <w:r/>
      <w:bookmarkStart w:id="279" w:name="_Toc29627"/>
      <w:r>
        <w:rPr>
          <w:rFonts w:ascii="Arial" w:hAnsi="Arial" w:eastAsia="黑体" w:cs="Arial"/>
          <w:bCs/>
          <w:color w:val="auto"/>
          <w:sz w:val="28"/>
          <w:szCs w:val="28"/>
          <w:highlight w:val="none"/>
        </w:rPr>
        <w:t xml:space="preserve">19</w:t>
      </w:r>
      <w:r>
        <w:rPr>
          <w:rFonts w:hint="eastAsia" w:ascii="Arial" w:hAnsi="Arial" w:eastAsia="黑体" w:cs="Arial"/>
          <w:bCs/>
          <w:color w:val="auto"/>
          <w:sz w:val="28"/>
          <w:szCs w:val="28"/>
          <w:highlight w:val="none"/>
        </w:rPr>
        <w:t xml:space="preserve">、投标截止日期</w:t>
      </w:r>
      <w:bookmarkEnd w:id="273"/>
      <w:r/>
      <w:bookmarkEnd w:id="274"/>
      <w:r/>
      <w:bookmarkEnd w:id="275"/>
      <w:r/>
      <w:bookmarkEnd w:id="276"/>
      <w:r/>
      <w:bookmarkEnd w:id="277"/>
      <w:r/>
      <w:bookmarkEnd w:id="278"/>
      <w:r/>
      <w:bookmarkEnd w:id="279"/>
      <w:r/>
      <w:r/>
    </w:p>
    <w:p>
      <w:pPr>
        <w:ind w:firstLine="482"/>
        <w:pageBreakBefore w:val="0"/>
        <w:spacing w:line="360" w:lineRule="auto"/>
        <w:widowControl w:val="off"/>
        <w:rPr>
          <w:rFonts w:ascii="宋体" w:hAnsi="宋体"/>
          <w:b/>
          <w:bCs/>
          <w:iCs/>
          <w:color w:val="auto"/>
          <w:sz w:val="24"/>
          <w:szCs w:val="21"/>
          <w:highlight w:val="none"/>
        </w:rPr>
      </w:pPr>
      <w:r>
        <w:rPr>
          <w:rFonts w:ascii="宋体" w:hAnsi="宋体"/>
          <w:b/>
          <w:bCs/>
          <w:iCs/>
          <w:color w:val="auto"/>
          <w:sz w:val="24"/>
          <w:szCs w:val="21"/>
          <w:highlight w:val="none"/>
        </w:rPr>
        <w:t xml:space="preserve">19</w:t>
      </w:r>
      <w:r>
        <w:rPr>
          <w:rFonts w:hint="eastAsia" w:ascii="宋体" w:hAnsi="宋体"/>
          <w:b/>
          <w:bCs/>
          <w:iCs/>
          <w:color w:val="auto"/>
          <w:sz w:val="24"/>
          <w:szCs w:val="21"/>
          <w:highlight w:val="none"/>
        </w:rPr>
        <w:t xml:space="preserve">.1 投标人上传电子投标文件的时间不得迟于招标公告中规定的投标截止时间。</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投标人应充分考虑到网络环境、网络带宽等风险因素，如因投标人自身原因造成的电子投标文件上传不成功的按照本招标文件第二章第27.1.2条规定作无效投标处理。</w:t>
      </w:r>
      <w:r/>
    </w:p>
    <w:p>
      <w:pPr>
        <w:ind w:firstLine="480"/>
        <w:pageBreakBefore w:val="0"/>
        <w:spacing w:line="360" w:lineRule="auto"/>
        <w:widowControl w:val="off"/>
        <w:rPr>
          <w:rFonts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采购代理机构可以按照规定，通过修改招标文件酌情延长投标截止日期，在此情况下，投标人的所有权利和义务以及投标人受制的截止日期均应以延长后新的截止日期为准。</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280" w:name="_Toc513029227"/>
      <w:r/>
      <w:bookmarkStart w:id="281" w:name="_Toc16938543"/>
      <w:r/>
      <w:bookmarkStart w:id="282" w:name="_Toc20823299"/>
      <w:r/>
      <w:bookmarkStart w:id="283" w:name="_Toc13544"/>
      <w:r/>
      <w:bookmarkStart w:id="284" w:name="_Toc1574"/>
      <w:r/>
      <w:bookmarkStart w:id="285" w:name="_Toc16299"/>
      <w:r/>
      <w:bookmarkStart w:id="286" w:name="_Toc895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280"/>
      <w:r/>
      <w:bookmarkEnd w:id="281"/>
      <w:r/>
      <w:bookmarkEnd w:id="282"/>
      <w:r>
        <w:rPr>
          <w:rFonts w:hint="eastAsia" w:ascii="Arial" w:hAnsi="Arial" w:eastAsia="黑体" w:cs="Arial"/>
          <w:color w:val="auto"/>
          <w:sz w:val="28"/>
          <w:szCs w:val="28"/>
          <w:highlight w:val="none"/>
        </w:rPr>
        <w:t xml:space="preserve">的拒收</w:t>
      </w:r>
      <w:bookmarkEnd w:id="283"/>
      <w:r/>
      <w:bookmarkEnd w:id="284"/>
      <w:r/>
      <w:bookmarkEnd w:id="285"/>
      <w:r/>
      <w:bookmarkEnd w:id="286"/>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20.1 采购代理机构拒绝接收在其规定的投标截止时间后上传的任何投标文件。</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287" w:name="_Toc20823300"/>
      <w:r/>
      <w:bookmarkStart w:id="288" w:name="_Toc9365"/>
      <w:r/>
      <w:bookmarkStart w:id="289" w:name="_Toc7267"/>
      <w:r/>
      <w:bookmarkStart w:id="290" w:name="_Toc19523"/>
      <w:r/>
      <w:bookmarkStart w:id="291" w:name="_Toc16938544"/>
      <w:r/>
      <w:bookmarkStart w:id="292" w:name="_Toc16243"/>
      <w:r/>
      <w:bookmarkStart w:id="293"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287"/>
      <w:r/>
      <w:bookmarkEnd w:id="288"/>
      <w:r/>
      <w:bookmarkEnd w:id="289"/>
      <w:r/>
      <w:bookmarkEnd w:id="290"/>
      <w:r/>
      <w:bookmarkEnd w:id="291"/>
      <w:r/>
      <w:bookmarkEnd w:id="292"/>
      <w:r/>
      <w:bookmarkEnd w:id="293"/>
      <w:r/>
      <w:r/>
    </w:p>
    <w:p>
      <w:pPr>
        <w:ind w:firstLine="480"/>
        <w:pageBreakBefore w:val="0"/>
        <w:spacing w:line="360" w:lineRule="auto"/>
        <w:widowControl w:val="off"/>
        <w:rPr>
          <w:rFonts w:ascii="宋体" w:hAnsi="宋体"/>
          <w:color w:val="auto"/>
          <w:sz w:val="24"/>
          <w:szCs w:val="21"/>
          <w:highlight w:val="none"/>
        </w:rPr>
        <w:outlineLvl w:val="2"/>
      </w:pPr>
      <w:r/>
      <w:bookmarkStart w:id="294" w:name="_Toc7188"/>
      <w:r/>
      <w:bookmarkStart w:id="295" w:name="_Toc8719"/>
      <w:r/>
      <w:bookmarkStart w:id="296" w:name="_Toc12286"/>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bookmarkEnd w:id="294"/>
      <w:r/>
      <w:bookmarkEnd w:id="295"/>
      <w:r/>
      <w:bookmarkEnd w:id="296"/>
      <w:r/>
      <w:r/>
    </w:p>
    <w:p>
      <w:pPr>
        <w:ind w:firstLine="480"/>
        <w:pageBreakBefore w:val="0"/>
        <w:spacing w:line="360" w:lineRule="auto"/>
        <w:widowControl w:val="off"/>
        <w:rPr>
          <w:rFonts w:ascii="宋体" w:hAnsi="宋体"/>
          <w:color w:val="auto"/>
          <w:sz w:val="24"/>
          <w:szCs w:val="21"/>
          <w:highlight w:val="none"/>
        </w:rPr>
        <w:outlineLvl w:val="3"/>
      </w:pPr>
      <w:r/>
      <w:bookmarkStart w:id="297" w:name="_Toc26597"/>
      <w:r/>
      <w:bookmarkStart w:id="298" w:name="_Toc28208"/>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bookmarkEnd w:id="297"/>
      <w:r/>
      <w:bookmarkEnd w:id="298"/>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pageBreakBefore w:val="0"/>
        <w:spacing w:line="360" w:lineRule="auto"/>
        <w:widowControl w:val="off"/>
        <w:rPr>
          <w:rFonts w:ascii="宋体" w:hAnsi="宋体"/>
          <w:color w:val="auto"/>
          <w:sz w:val="24"/>
          <w:szCs w:val="24"/>
          <w:highlight w:val="none"/>
        </w:rPr>
        <w:outlineLvl w:val="3"/>
      </w:pPr>
      <w:r/>
      <w:bookmarkStart w:id="299" w:name="_Toc11637"/>
      <w:r/>
      <w:bookmarkStart w:id="300" w:name="_Toc32228"/>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bookmarkEnd w:id="299"/>
      <w:r/>
      <w:bookmarkEnd w:id="300"/>
      <w:r/>
      <w:r/>
    </w:p>
    <w:p>
      <w:pPr>
        <w:ind w:firstLine="480"/>
        <w:pageBreakBefore w:val="0"/>
        <w:spacing w:line="360" w:lineRule="auto"/>
        <w:widowControl w:val="off"/>
        <w:rPr>
          <w:rFonts w:ascii="宋体" w:hAnsi="宋体"/>
          <w:color w:val="auto"/>
          <w:sz w:val="24"/>
          <w:szCs w:val="24"/>
          <w:highlight w:val="none"/>
        </w:rPr>
        <w:outlineLvl w:val="2"/>
      </w:pPr>
      <w:r/>
      <w:bookmarkStart w:id="301" w:name="_Toc1985"/>
      <w:r/>
      <w:bookmarkStart w:id="302" w:name="_Toc17076"/>
      <w:r/>
      <w:bookmarkStart w:id="303" w:name="_Toc25071"/>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投标文件的修改</w:t>
      </w:r>
      <w:bookmarkEnd w:id="301"/>
      <w:r/>
      <w:bookmarkEnd w:id="302"/>
      <w:r/>
      <w:bookmarkEnd w:id="303"/>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pageBreakBefore w:val="0"/>
        <w:spacing w:line="360" w:lineRule="auto"/>
        <w:widowControl w:val="off"/>
        <w:rPr>
          <w:rFonts w:ascii="宋体" w:hAnsi="宋体"/>
          <w:bCs/>
          <w:color w:val="auto"/>
          <w:sz w:val="24"/>
          <w:szCs w:val="21"/>
          <w:highlight w:val="none"/>
        </w:rPr>
        <w:outlineLvl w:val="2"/>
      </w:pPr>
      <w:r/>
      <w:bookmarkStart w:id="304" w:name="_Toc21038"/>
      <w:r/>
      <w:bookmarkStart w:id="305" w:name="_Toc29813"/>
      <w:r/>
      <w:bookmarkStart w:id="306" w:name="_Toc26605"/>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bookmarkEnd w:id="304"/>
      <w:r/>
      <w:bookmarkEnd w:id="305"/>
      <w:r/>
      <w:bookmarkEnd w:id="306"/>
      <w:r/>
      <w:r/>
    </w:p>
    <w:p>
      <w:pPr>
        <w:ind w:firstLine="643"/>
        <w:keepLines/>
        <w:keepNext/>
        <w:pageBreakBefore w:val="0"/>
        <w:spacing w:line="360" w:lineRule="auto"/>
        <w:widowControl w:val="off"/>
        <w:rPr>
          <w:rFonts w:ascii="Times New Roman" w:hAnsi="Times New Roman"/>
          <w:b/>
          <w:bCs/>
          <w:color w:val="auto"/>
          <w:sz w:val="32"/>
          <w:szCs w:val="32"/>
          <w:highlight w:val="none"/>
        </w:rPr>
        <w:outlineLvl w:val="0"/>
      </w:pPr>
      <w:r/>
      <w:bookmarkStart w:id="307" w:name="_Toc16938545"/>
      <w:r/>
      <w:bookmarkStart w:id="308" w:name="_Toc120614218"/>
      <w:r/>
      <w:bookmarkStart w:id="309" w:name="_Toc28406"/>
      <w:r/>
      <w:bookmarkStart w:id="310" w:name="_Toc11957"/>
      <w:r/>
      <w:bookmarkStart w:id="311" w:name="_Toc513029229"/>
      <w:r/>
      <w:bookmarkStart w:id="312" w:name="_Toc8568"/>
      <w:r/>
      <w:bookmarkStart w:id="313" w:name="_Toc28323"/>
      <w:r/>
      <w:bookmarkStart w:id="314" w:name="_Toc20823301"/>
      <w:r>
        <w:rPr>
          <w:rFonts w:hint="eastAsia" w:ascii="Times New Roman" w:hAnsi="Times New Roman"/>
          <w:b/>
          <w:bCs/>
          <w:color w:val="auto"/>
          <w:sz w:val="32"/>
          <w:szCs w:val="32"/>
          <w:highlight w:val="none"/>
        </w:rPr>
        <w:t xml:space="preserve">五、开标与评标</w:t>
      </w:r>
      <w:bookmarkEnd w:id="307"/>
      <w:r/>
      <w:bookmarkEnd w:id="308"/>
      <w:r/>
      <w:bookmarkEnd w:id="309"/>
      <w:r/>
      <w:bookmarkEnd w:id="310"/>
      <w:r/>
      <w:bookmarkEnd w:id="311"/>
      <w:r/>
      <w:bookmarkEnd w:id="312"/>
      <w:r/>
      <w:bookmarkEnd w:id="313"/>
      <w:r/>
      <w:bookmarkEnd w:id="314"/>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315" w:name="_Toc20823302"/>
      <w:r/>
      <w:bookmarkStart w:id="316" w:name="_Toc130"/>
      <w:r/>
      <w:bookmarkStart w:id="317" w:name="_Toc25967"/>
      <w:r/>
      <w:bookmarkStart w:id="318" w:name="_Toc513029230"/>
      <w:r/>
      <w:bookmarkStart w:id="319" w:name="_Toc16938546"/>
      <w:r/>
      <w:bookmarkStart w:id="320" w:name="_Toc31962"/>
      <w:r/>
      <w:bookmarkStart w:id="321" w:name="_Toc16555"/>
      <w:r>
        <w:rPr>
          <w:rFonts w:hint="eastAsia" w:ascii="Arial" w:hAnsi="Arial" w:eastAsia="黑体" w:cs="Arial"/>
          <w:color w:val="auto"/>
          <w:sz w:val="28"/>
          <w:szCs w:val="28"/>
          <w:highlight w:val="none"/>
        </w:rPr>
        <w:t xml:space="preserve">22、开标</w:t>
      </w:r>
      <w:bookmarkEnd w:id="315"/>
      <w:r/>
      <w:bookmarkEnd w:id="316"/>
      <w:r/>
      <w:bookmarkEnd w:id="317"/>
      <w:r/>
      <w:bookmarkEnd w:id="318"/>
      <w:r/>
      <w:bookmarkEnd w:id="319"/>
      <w:r/>
      <w:bookmarkEnd w:id="320"/>
      <w:r/>
      <w:bookmarkEnd w:id="321"/>
      <w:r/>
      <w:r/>
    </w:p>
    <w:p>
      <w:pPr>
        <w:ind w:firstLine="480"/>
        <w:pageBreakBefore w:val="0"/>
        <w:spacing w:line="360" w:lineRule="auto"/>
        <w:widowControl w:val="off"/>
        <w:rPr>
          <w:rFonts w:ascii="Times New Roman" w:hAnsi="Times New Roman"/>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开标仪式由采购代理机构组织。苏采云系统将自动对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.4投标人如果对开标过程和开标记录有疑义，应当根据《操作手册》规定提出，如 苏采云系统中《开标记录表》宣布后5分钟内未提出的，视同认可开标结果。</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322" w:name="_Toc30290"/>
      <w:r/>
      <w:bookmarkStart w:id="323" w:name="_Toc20518"/>
      <w:r/>
      <w:bookmarkStart w:id="324" w:name="_Toc8195"/>
      <w:r/>
      <w:bookmarkStart w:id="325" w:name="_Toc11159"/>
      <w:r/>
      <w:bookmarkStart w:id="326" w:name="_Toc513029231"/>
      <w:r/>
      <w:bookmarkStart w:id="327" w:name="_Toc20823303"/>
      <w:r/>
      <w:bookmarkStart w:id="328" w:name="_Toc1693854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bookmarkEnd w:id="322"/>
      <w:r/>
      <w:bookmarkEnd w:id="323"/>
      <w:r/>
      <w:bookmarkEnd w:id="324"/>
      <w:r/>
      <w:bookmarkEnd w:id="325"/>
      <w:r/>
      <w:r/>
    </w:p>
    <w:p>
      <w:pPr>
        <w:ind w:firstLine="482"/>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开标后，采购代理机构将立即组织评标委员会（以下简称评委会）进行评标。</w:t>
      </w:r>
      <w:r/>
    </w:p>
    <w:p>
      <w:pPr>
        <w:ind w:firstLine="482"/>
        <w:pageBreakBefore w:val="0"/>
        <w:spacing w:line="360" w:lineRule="auto"/>
        <w:widowControl w:val="off"/>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ind w:firstLine="482"/>
        <w:pageBreakBefore w:val="0"/>
        <w:spacing w:line="360" w:lineRule="auto"/>
        <w:widowControl w:val="off"/>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.3评委会独立工作，负责评审所有投标文件并确定中标候选人。</w:t>
      </w:r>
      <w:r/>
    </w:p>
    <w:p>
      <w:pPr>
        <w:ind w:firstLine="560"/>
        <w:keepLines/>
        <w:keepNext/>
        <w:pageBreakBefore w:val="0"/>
        <w:spacing w:line="360" w:lineRule="auto"/>
        <w:widowControl w:val="off"/>
        <w:rPr>
          <w:rFonts w:ascii="黑体" w:hAnsi="Arial" w:eastAsia="黑体" w:cs="Arial"/>
          <w:color w:val="auto"/>
          <w:sz w:val="28"/>
          <w:szCs w:val="28"/>
          <w:highlight w:val="none"/>
        </w:rPr>
        <w:outlineLvl w:val="1"/>
      </w:pPr>
      <w:r/>
      <w:bookmarkStart w:id="329" w:name="_Toc8789"/>
      <w:r/>
      <w:bookmarkStart w:id="330" w:name="_Toc26223"/>
      <w:r/>
      <w:bookmarkStart w:id="331" w:name="_Toc30587"/>
      <w:r/>
      <w:bookmarkStart w:id="332" w:name="_Toc25904"/>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329"/>
      <w:r/>
      <w:bookmarkEnd w:id="330"/>
      <w:r/>
      <w:bookmarkEnd w:id="331"/>
      <w:r/>
      <w:bookmarkEnd w:id="332"/>
      <w:r/>
      <w:bookmarkEnd w:id="326"/>
      <w:r/>
      <w:bookmarkEnd w:id="327"/>
      <w:r/>
      <w:bookmarkEnd w:id="328"/>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采购代理机构和评标委员会不向未中标的投标人解释未中标原因，也不公布评标过程中的相关细节。</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333" w:name="_Toc12553"/>
      <w:r/>
      <w:bookmarkStart w:id="334" w:name="_Toc14684"/>
      <w:r/>
      <w:bookmarkStart w:id="335" w:name="_Toc16938548"/>
      <w:r/>
      <w:bookmarkStart w:id="336" w:name="_Toc26197"/>
      <w:r/>
      <w:bookmarkStart w:id="337" w:name="_Toc20823304"/>
      <w:r/>
      <w:bookmarkStart w:id="338" w:name="_Toc4673"/>
      <w:r/>
      <w:bookmarkStart w:id="339"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333"/>
      <w:r/>
      <w:bookmarkEnd w:id="334"/>
      <w:r/>
      <w:bookmarkEnd w:id="335"/>
      <w:r/>
      <w:bookmarkEnd w:id="336"/>
      <w:r/>
      <w:bookmarkEnd w:id="337"/>
      <w:r/>
      <w:bookmarkEnd w:id="338"/>
      <w:r/>
      <w:bookmarkEnd w:id="339"/>
      <w:r/>
      <w:r/>
    </w:p>
    <w:p>
      <w:pPr>
        <w:ind w:firstLine="480"/>
        <w:pageBreakBefore w:val="0"/>
        <w:spacing w:line="360" w:lineRule="auto"/>
        <w:widowControl w:val="off"/>
        <w:rPr>
          <w:rFonts w:ascii="宋体" w:hAnsi="宋体"/>
          <w:color w:val="auto"/>
          <w:sz w:val="24"/>
          <w:szCs w:val="24"/>
          <w:highlight w:val="none"/>
        </w:rPr>
      </w:pPr>
      <w:r/>
      <w:bookmarkStart w:id="340" w:name="_Toc16938549"/>
      <w:r/>
      <w:bookmarkStart w:id="341" w:name="_Toc513029233"/>
      <w:r/>
      <w:bookmarkStart w:id="342" w:name="_Toc20823305"/>
      <w:r>
        <w:rPr>
          <w:rFonts w:ascii="宋体" w:hAnsi="宋体"/>
          <w:color w:val="auto"/>
          <w:sz w:val="24"/>
          <w:szCs w:val="24"/>
          <w:highlight w:val="none"/>
        </w:rPr>
        <w:t xml:space="preserve">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接到评委会澄清、说明和补正要求的投标人如未按规定作出澄清、说明和补正，其风险由投标人自行承担。</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343" w:name="_Toc30903"/>
      <w:r/>
      <w:bookmarkStart w:id="344" w:name="_Toc28423"/>
      <w:r/>
      <w:bookmarkStart w:id="345" w:name="_Toc10236"/>
      <w:r/>
      <w:bookmarkStart w:id="346" w:name="_Toc2968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340"/>
      <w:r/>
      <w:bookmarkEnd w:id="341"/>
      <w:r/>
      <w:bookmarkEnd w:id="342"/>
      <w:r/>
      <w:bookmarkEnd w:id="343"/>
      <w:r/>
      <w:bookmarkEnd w:id="344"/>
      <w:r/>
      <w:bookmarkEnd w:id="345"/>
      <w:r/>
      <w:bookmarkEnd w:id="346"/>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2"/>
        <w:pageBreakBefore w:val="0"/>
        <w:spacing w:line="360" w:lineRule="auto"/>
        <w:widowControl w:val="off"/>
        <w:rPr>
          <w:rFonts w:ascii="宋体" w:hAnsi="宋体"/>
          <w:b/>
          <w:color w:val="auto"/>
          <w:sz w:val="24"/>
          <w:szCs w:val="21"/>
          <w:highlight w:val="none"/>
        </w:rPr>
      </w:pPr>
      <w:r>
        <w:rPr>
          <w:rFonts w:hint="eastAsia" w:ascii="宋体" w:hAnsi="宋体"/>
          <w:b/>
          <w:color w:val="auto"/>
          <w:sz w:val="24"/>
          <w:szCs w:val="21"/>
          <w:highlight w:val="none"/>
        </w:rPr>
        <w:t xml:space="preserve">26.1.3政府采购异常低价审查：</w:t>
      </w:r>
      <w:r/>
    </w:p>
    <w:p>
      <w:pPr>
        <w:ind w:firstLine="482"/>
        <w:pageBreakBefore w:val="0"/>
        <w:spacing w:line="360" w:lineRule="auto"/>
        <w:widowControl w:val="off"/>
        <w:rPr>
          <w:rFonts w:ascii="宋体" w:hAnsi="宋体"/>
          <w:b/>
          <w:color w:val="auto"/>
          <w:sz w:val="24"/>
          <w:szCs w:val="21"/>
          <w:highlight w:val="none"/>
        </w:rPr>
      </w:pPr>
      <w:r>
        <w:rPr>
          <w:rFonts w:hint="eastAsia" w:ascii="宋体" w:hAnsi="宋体"/>
          <w:b/>
          <w:color w:val="auto"/>
          <w:sz w:val="24"/>
          <w:szCs w:val="21"/>
          <w:highlight w:val="none"/>
        </w:rPr>
        <w:t xml:space="preserve">（一）政府采购评审中出现下列情形之一的，评审委员会应当启动异常低价投标审查程序：</w:t>
      </w:r>
      <w:r/>
    </w:p>
    <w:p>
      <w:pPr>
        <w:ind w:firstLine="482"/>
        <w:pageBreakBefore w:val="0"/>
        <w:spacing w:line="360" w:lineRule="auto"/>
        <w:widowControl w:val="off"/>
        <w:rPr>
          <w:rFonts w:ascii="宋体" w:hAnsi="宋体"/>
          <w:b/>
          <w:color w:val="auto"/>
          <w:sz w:val="24"/>
          <w:szCs w:val="21"/>
          <w:highlight w:val="none"/>
        </w:rPr>
      </w:pPr>
      <w:r>
        <w:rPr>
          <w:rFonts w:hint="eastAsia" w:ascii="宋体" w:hAnsi="宋体"/>
          <w:b/>
          <w:color w:val="auto"/>
          <w:sz w:val="24"/>
          <w:szCs w:val="21"/>
          <w:highlight w:val="none"/>
        </w:rPr>
        <w:t xml:space="preserve">1.投标报价低于全部通过符合性审查供应商投标报价平均值65%的，即投标报价&lt;全部通过符合性审查供应商投标报价平均值×65%； </w:t>
      </w:r>
      <w:r/>
    </w:p>
    <w:p>
      <w:pPr>
        <w:ind w:firstLine="482"/>
        <w:pageBreakBefore w:val="0"/>
        <w:spacing w:line="360" w:lineRule="auto"/>
        <w:widowControl w:val="off"/>
        <w:rPr>
          <w:rFonts w:ascii="宋体" w:hAnsi="宋体"/>
          <w:b/>
          <w:color w:val="auto"/>
          <w:sz w:val="24"/>
          <w:szCs w:val="21"/>
          <w:highlight w:val="none"/>
        </w:rPr>
      </w:pPr>
      <w:r>
        <w:rPr>
          <w:rFonts w:hint="eastAsia" w:ascii="宋体" w:hAnsi="宋体"/>
          <w:b/>
          <w:color w:val="auto"/>
          <w:sz w:val="24"/>
          <w:szCs w:val="21"/>
          <w:highlight w:val="none"/>
        </w:rPr>
        <w:t xml:space="preserve">2.投标报价低于通过符合性审查的次低报价供应商投标报价65%的，即投标报价&lt;通过符合性审查的次低报价供应商投标报价×65%； </w:t>
      </w:r>
      <w:r/>
    </w:p>
    <w:p>
      <w:pPr>
        <w:ind w:firstLine="482"/>
        <w:pageBreakBefore w:val="0"/>
        <w:spacing w:line="360" w:lineRule="auto"/>
        <w:widowControl w:val="off"/>
        <w:rPr>
          <w:rFonts w:ascii="宋体" w:hAnsi="宋体"/>
          <w:b/>
          <w:color w:val="auto"/>
          <w:sz w:val="24"/>
          <w:szCs w:val="21"/>
          <w:highlight w:val="none"/>
        </w:rPr>
      </w:pPr>
      <w:r>
        <w:rPr>
          <w:rFonts w:hint="eastAsia" w:ascii="宋体" w:hAnsi="宋体"/>
          <w:b/>
          <w:color w:val="auto"/>
          <w:sz w:val="24"/>
          <w:szCs w:val="21"/>
          <w:highlight w:val="none"/>
        </w:rPr>
        <w:t xml:space="preserve">3.投标报价低于采购项目最高限价65%的，即投标报价&lt;采购项目最高限价×65%； </w:t>
      </w:r>
      <w:r/>
    </w:p>
    <w:p>
      <w:pPr>
        <w:ind w:firstLine="482"/>
        <w:pageBreakBefore w:val="0"/>
        <w:spacing w:line="360" w:lineRule="auto"/>
        <w:widowControl w:val="off"/>
        <w:rPr>
          <w:rFonts w:ascii="宋体" w:hAnsi="宋体"/>
          <w:b/>
          <w:color w:val="auto"/>
          <w:sz w:val="24"/>
          <w:szCs w:val="21"/>
          <w:highlight w:val="none"/>
        </w:rPr>
      </w:pPr>
      <w:r>
        <w:rPr>
          <w:rFonts w:hint="eastAsia" w:ascii="宋体" w:hAnsi="宋体"/>
          <w:b/>
          <w:color w:val="auto"/>
          <w:sz w:val="24"/>
          <w:szCs w:val="21"/>
          <w:highlight w:val="none"/>
        </w:rPr>
        <w:t xml:space="preserve">4.评审委员会基于专业判断，认为供应商报价过低，有可能影响产品质量或者不能诚信履约的其他情形。 </w:t>
      </w:r>
      <w:r/>
    </w:p>
    <w:p>
      <w:pPr>
        <w:ind w:firstLine="482"/>
        <w:pageBreakBefore w:val="0"/>
        <w:spacing w:line="360" w:lineRule="auto"/>
        <w:widowControl w:val="off"/>
        <w:rPr>
          <w:rFonts w:ascii="宋体" w:hAnsi="宋体"/>
          <w:b/>
          <w:color w:val="auto"/>
          <w:sz w:val="24"/>
          <w:szCs w:val="21"/>
          <w:highlight w:val="none"/>
        </w:rPr>
      </w:pPr>
      <w:r>
        <w:rPr>
          <w:rFonts w:hint="eastAsia" w:ascii="宋体" w:hAnsi="宋体"/>
          <w:b/>
          <w:color w:val="auto"/>
          <w:sz w:val="24"/>
          <w:szCs w:val="21"/>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b/>
          <w:color w:val="auto"/>
          <w:sz w:val="24"/>
          <w:szCs w:val="21"/>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color w:val="auto"/>
          <w:sz w:val="24"/>
          <w:szCs w:val="21"/>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.1.4未通过资格审查或符合性审查的投标人，采购代理机构将在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2"/>
        <w:pageBreakBefore w:val="0"/>
        <w:spacing w:line="360" w:lineRule="auto"/>
        <w:widowControl w:val="off"/>
        <w:rPr>
          <w:rFonts w:ascii="宋体" w:hAnsi="宋体"/>
          <w:bCs/>
          <w:color w:val="auto"/>
          <w:sz w:val="24"/>
          <w:szCs w:val="21"/>
          <w:highlight w:val="none"/>
        </w:rPr>
      </w:pPr>
      <w:r>
        <w:rPr>
          <w:rFonts w:hint="eastAsia" w:ascii="宋体" w:hAnsi="宋体"/>
          <w:b/>
          <w:bCs/>
          <w:color w:val="auto"/>
          <w:sz w:val="24"/>
          <w:szCs w:val="24"/>
          <w:highlight w:val="none"/>
        </w:rPr>
        <w:t xml:space="preserve">所谓重大偏离或保留是指</w:t>
      </w:r>
      <w:r>
        <w:rPr>
          <w:rFonts w:hint="eastAsia" w:ascii="宋体" w:hAnsi="宋体"/>
          <w:color w:val="auto"/>
          <w:sz w:val="24"/>
          <w:szCs w:val="24"/>
          <w:highlight w:val="none"/>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pageBreakBefore w:val="0"/>
        <w:spacing w:line="360" w:lineRule="auto"/>
        <w:widowControl w:val="off"/>
        <w:rPr>
          <w:rFonts w:ascii="宋体" w:hAnsi="宋体"/>
          <w:color w:val="auto"/>
          <w:sz w:val="24"/>
          <w:szCs w:val="21"/>
          <w:highlight w:val="none"/>
        </w:rPr>
      </w:pPr>
      <w:r/>
      <w:bookmarkStart w:id="347" w:name="_Toc20823306"/>
      <w:r/>
      <w:bookmarkStart w:id="348" w:name="_Toc16938550"/>
      <w:r/>
      <w:bookmarkStart w:id="349"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pageBreakBefore w:val="0"/>
        <w:spacing w:line="360" w:lineRule="auto"/>
        <w:widowControl w:val="off"/>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80"/>
        <w:pageBreakBefore w:val="0"/>
        <w:spacing w:line="360" w:lineRule="auto"/>
        <w:widowControl w:val="off"/>
        <w:rPr>
          <w:rFonts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并安排专人与采购代理机构及评标委员会联系。</w:t>
      </w:r>
      <w:r/>
    </w:p>
    <w:p>
      <w:pPr>
        <w:ind w:firstLine="560"/>
        <w:keepLines/>
        <w:keepNext/>
        <w:pageBreakBefore w:val="0"/>
        <w:spacing w:line="360" w:lineRule="auto"/>
        <w:widowControl w:val="off"/>
        <w:rPr>
          <w:rFonts w:ascii="Arial" w:hAnsi="Arial" w:eastAsia="黑体" w:cs="Arial"/>
          <w:color w:val="auto"/>
          <w:sz w:val="28"/>
          <w:szCs w:val="28"/>
          <w:highlight w:val="none"/>
        </w:rPr>
        <w:outlineLvl w:val="1"/>
      </w:pPr>
      <w:r/>
      <w:bookmarkStart w:id="350" w:name="_Toc30788"/>
      <w:r/>
      <w:bookmarkStart w:id="351" w:name="_Toc17132"/>
      <w:r/>
      <w:bookmarkStart w:id="352" w:name="_Toc29510"/>
      <w:r/>
      <w:bookmarkStart w:id="353" w:name="_Toc9821"/>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347"/>
      <w:r/>
      <w:bookmarkEnd w:id="348"/>
      <w:r/>
      <w:bookmarkEnd w:id="349"/>
      <w:r>
        <w:rPr>
          <w:rFonts w:hint="eastAsia" w:ascii="Arial" w:hAnsi="Arial" w:eastAsia="黑体" w:cs="Arial"/>
          <w:color w:val="auto"/>
          <w:sz w:val="28"/>
          <w:szCs w:val="28"/>
          <w:highlight w:val="none"/>
        </w:rPr>
        <w:t xml:space="preserve">无效投标条款和废标条款</w:t>
      </w:r>
      <w:bookmarkEnd w:id="350"/>
      <w:r/>
      <w:bookmarkEnd w:id="351"/>
      <w:r/>
      <w:bookmarkEnd w:id="352"/>
      <w:r/>
      <w:bookmarkEnd w:id="353"/>
      <w:r/>
      <w:r/>
    </w:p>
    <w:p>
      <w:pPr>
        <w:ind w:firstLine="480"/>
        <w:pageBreakBefore w:val="0"/>
        <w:spacing w:line="360" w:lineRule="auto"/>
        <w:widowControl w:val="off"/>
        <w:rPr>
          <w:rFonts w:ascii="宋体" w:hAnsi="宋体"/>
          <w:bCs/>
          <w:color w:val="auto"/>
          <w:sz w:val="24"/>
          <w:szCs w:val="21"/>
          <w:highlight w:val="none"/>
        </w:rPr>
        <w:outlineLvl w:val="2"/>
      </w:pPr>
      <w:r/>
      <w:bookmarkStart w:id="354" w:name="_Toc30276"/>
      <w:r/>
      <w:bookmarkStart w:id="355" w:name="_Toc9344"/>
      <w:r/>
      <w:bookmarkStart w:id="356" w:name="_Toc17838"/>
      <w:r/>
      <w:bookmarkStart w:id="357" w:name="_Toc16938551"/>
      <w:r/>
      <w:bookmarkStart w:id="358" w:name="_Toc513029235"/>
      <w:r/>
      <w:bookmarkStart w:id="359" w:name="_Toc20823307"/>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.1无效投标条款</w:t>
      </w:r>
      <w:bookmarkEnd w:id="354"/>
      <w:r/>
      <w:bookmarkEnd w:id="355"/>
      <w:r/>
      <w:bookmarkEnd w:id="356"/>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.1.1投标人在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投标人未按照招标文件要求上传电子投标文件的。</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pageBreakBefore w:val="0"/>
        <w:spacing w:line="360" w:lineRule="auto"/>
        <w:widowControl w:val="off"/>
        <w:rPr>
          <w:rFonts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480"/>
        <w:pageBreakBefore w:val="0"/>
        <w:spacing w:line="360" w:lineRule="auto"/>
        <w:widowControl w:val="off"/>
        <w:rPr>
          <w:rFonts w:ascii="宋体" w:hAnsi="宋体"/>
          <w:bCs/>
          <w:i/>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不符合招标文件中规定的实质性要求和条件的（</w:t>
      </w:r>
      <w:r>
        <w:rPr>
          <w:rFonts w:hint="eastAsia" w:ascii="宋体" w:hAnsi="宋体"/>
          <w:bCs/>
          <w:color w:val="auto"/>
          <w:sz w:val="24"/>
          <w:szCs w:val="21"/>
          <w:highlight w:val="none"/>
          <w:u w:val="single"/>
        </w:rPr>
        <w:t xml:space="preserve">本招标文件中标注“★”的条款为实质性要求和条件）</w:t>
      </w:r>
      <w:r>
        <w:rPr>
          <w:rFonts w:hint="eastAsia" w:ascii="宋体" w:hAnsi="宋体"/>
          <w:bCs/>
          <w:color w:val="auto"/>
          <w:sz w:val="24"/>
          <w:szCs w:val="21"/>
          <w:highlight w:val="none"/>
          <w:u w:val="none"/>
        </w:rPr>
        <w:t xml:space="preserve">。</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其他法律、法规及本招标文件规定的属于无效投标的情形。</w:t>
      </w:r>
      <w:r/>
    </w:p>
    <w:p>
      <w:pPr>
        <w:ind w:firstLine="480"/>
        <w:pageBreakBefore w:val="0"/>
        <w:spacing w:line="360" w:lineRule="auto"/>
        <w:widowControl w:val="off"/>
        <w:rPr>
          <w:rFonts w:ascii="宋体" w:hAnsi="宋体"/>
          <w:bCs/>
          <w:color w:val="auto"/>
          <w:sz w:val="24"/>
          <w:szCs w:val="21"/>
          <w:highlight w:val="none"/>
        </w:rPr>
        <w:outlineLvl w:val="2"/>
      </w:pPr>
      <w:r/>
      <w:bookmarkStart w:id="360" w:name="_Toc13304"/>
      <w:r/>
      <w:bookmarkStart w:id="361" w:name="_Toc24516"/>
      <w:r/>
      <w:bookmarkStart w:id="362" w:name="_Toc10487"/>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.2废标条款</w:t>
      </w:r>
      <w:bookmarkEnd w:id="360"/>
      <w:r/>
      <w:bookmarkEnd w:id="361"/>
      <w:r/>
      <w:bookmarkEnd w:id="362"/>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.2.1符合专业条件的供应商或者对招标文件作实质响应的供应商不足三家的。</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.2.2出现影响采购公正的违法、违规行为的。</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.2.3因重大变故，采购任务取消的。</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.2.4评标委员会认定招标文件存在歧义、重大缺陷导致评审工作无法进行。</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苏采云系统故障</w:t>
      </w:r>
      <w:r>
        <w:rPr>
          <w:rFonts w:ascii="宋体" w:hAnsi="宋体"/>
          <w:bCs/>
          <w:color w:val="auto"/>
          <w:sz w:val="24"/>
          <w:szCs w:val="21"/>
          <w:highlight w:val="none"/>
        </w:rPr>
        <w:t xml:space="preserve">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firstLine="480"/>
        <w:pageBreakBefore w:val="0"/>
        <w:spacing w:line="360" w:lineRule="auto"/>
        <w:widowControl w:val="off"/>
        <w:rPr>
          <w:rFonts w:ascii="宋体" w:hAnsi="宋体"/>
          <w:bCs/>
          <w:color w:val="auto"/>
          <w:sz w:val="24"/>
          <w:szCs w:val="21"/>
          <w:highlight w:val="none"/>
        </w:rPr>
        <w:outlineLvl w:val="2"/>
      </w:pPr>
      <w:r/>
      <w:bookmarkStart w:id="363" w:name="_Toc19806"/>
      <w:r/>
      <w:bookmarkStart w:id="364" w:name="_Toc9926"/>
      <w:r/>
      <w:bookmarkStart w:id="365" w:name="_Toc18941"/>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投标截止时间结束后参加投标的供应商不足三家的处理：</w:t>
      </w:r>
      <w:bookmarkEnd w:id="363"/>
      <w:r/>
      <w:bookmarkEnd w:id="364"/>
      <w:r/>
      <w:bookmarkEnd w:id="365"/>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643"/>
        <w:keepLines/>
        <w:keepNext/>
        <w:pageBreakBefore w:val="0"/>
        <w:spacing w:line="360" w:lineRule="auto"/>
        <w:widowControl w:val="off"/>
        <w:rPr>
          <w:rFonts w:ascii="Times New Roman" w:hAnsi="Times New Roman"/>
          <w:b/>
          <w:bCs/>
          <w:color w:val="auto"/>
          <w:sz w:val="32"/>
          <w:szCs w:val="32"/>
          <w:highlight w:val="none"/>
        </w:rPr>
        <w:outlineLvl w:val="0"/>
      </w:pPr>
      <w:r/>
      <w:bookmarkStart w:id="366" w:name="_Toc27006"/>
      <w:r/>
      <w:bookmarkStart w:id="367" w:name="_Toc659"/>
      <w:r/>
      <w:bookmarkStart w:id="368" w:name="_Toc30678"/>
      <w:r/>
      <w:bookmarkStart w:id="369" w:name="_Toc30314"/>
      <w:r/>
      <w:bookmarkStart w:id="370" w:name="_Toc120614219"/>
      <w:r>
        <w:rPr>
          <w:rFonts w:hint="eastAsia" w:ascii="Times New Roman" w:hAnsi="Times New Roman"/>
          <w:b/>
          <w:bCs/>
          <w:color w:val="auto"/>
          <w:sz w:val="32"/>
          <w:szCs w:val="32"/>
          <w:highlight w:val="none"/>
        </w:rPr>
        <w:t xml:space="preserve">六、</w:t>
      </w:r>
      <w:bookmarkEnd w:id="357"/>
      <w:r/>
      <w:bookmarkEnd w:id="358"/>
      <w:r/>
      <w:bookmarkEnd w:id="359"/>
      <w:r>
        <w:rPr>
          <w:rFonts w:hint="eastAsia" w:ascii="Times New Roman" w:hAnsi="Times New Roman"/>
          <w:b/>
          <w:bCs/>
          <w:color w:val="auto"/>
          <w:sz w:val="32"/>
          <w:szCs w:val="32"/>
          <w:highlight w:val="none"/>
        </w:rPr>
        <w:t xml:space="preserve">定标</w:t>
      </w:r>
      <w:bookmarkEnd w:id="366"/>
      <w:r/>
      <w:bookmarkEnd w:id="367"/>
      <w:r/>
      <w:bookmarkEnd w:id="368"/>
      <w:r/>
      <w:bookmarkEnd w:id="369"/>
      <w:r/>
      <w:bookmarkEnd w:id="370"/>
      <w:r/>
      <w:r/>
    </w:p>
    <w:p>
      <w:pPr>
        <w:ind w:firstLine="600"/>
        <w:keepLines/>
        <w:keepNext/>
        <w:pageBreakBefore w:val="0"/>
        <w:spacing w:line="360" w:lineRule="auto"/>
        <w:widowControl w:val="off"/>
        <w:rPr>
          <w:rFonts w:ascii="黑体" w:hAnsi="宋体" w:eastAsia="黑体"/>
          <w:bCs/>
          <w:color w:val="auto"/>
          <w:sz w:val="30"/>
          <w:szCs w:val="30"/>
          <w:highlight w:val="none"/>
        </w:rPr>
        <w:outlineLvl w:val="1"/>
      </w:pPr>
      <w:r/>
      <w:bookmarkStart w:id="371" w:name="_Toc513029238"/>
      <w:r/>
      <w:bookmarkStart w:id="372" w:name="_Toc16938554"/>
      <w:r/>
      <w:bookmarkStart w:id="373" w:name="_Toc20823310"/>
      <w:r/>
      <w:bookmarkStart w:id="374" w:name="_Toc5155"/>
      <w:r/>
      <w:bookmarkStart w:id="375" w:name="_Toc19441"/>
      <w:r/>
      <w:bookmarkStart w:id="376" w:name="_Toc9988"/>
      <w:r/>
      <w:bookmarkStart w:id="377" w:name="_Toc28031"/>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8</w:t>
      </w:r>
      <w:r>
        <w:rPr>
          <w:rFonts w:hint="eastAsia" w:ascii="黑体" w:hAnsi="宋体" w:eastAsia="黑体"/>
          <w:bCs/>
          <w:color w:val="auto"/>
          <w:sz w:val="30"/>
          <w:szCs w:val="30"/>
          <w:highlight w:val="none"/>
        </w:rPr>
        <w:t xml:space="preserve">、</w:t>
      </w:r>
      <w:bookmarkEnd w:id="371"/>
      <w:r>
        <w:rPr>
          <w:rFonts w:hint="eastAsia" w:ascii="黑体" w:hAnsi="宋体" w:eastAsia="黑体"/>
          <w:bCs/>
          <w:color w:val="auto"/>
          <w:sz w:val="30"/>
          <w:szCs w:val="30"/>
          <w:highlight w:val="none"/>
        </w:rPr>
        <w:t xml:space="preserve">确定</w:t>
      </w:r>
      <w:bookmarkEnd w:id="372"/>
      <w:r/>
      <w:bookmarkEnd w:id="373"/>
      <w:r>
        <w:rPr>
          <w:rFonts w:hint="eastAsia" w:ascii="黑体" w:hAnsi="宋体" w:eastAsia="黑体"/>
          <w:bCs/>
          <w:color w:val="auto"/>
          <w:sz w:val="30"/>
          <w:szCs w:val="30"/>
          <w:highlight w:val="none"/>
        </w:rPr>
        <w:t xml:space="preserve">中标单位</w:t>
      </w:r>
      <w:bookmarkEnd w:id="374"/>
      <w:r/>
      <w:bookmarkEnd w:id="375"/>
      <w:r/>
      <w:bookmarkEnd w:id="376"/>
      <w:r/>
      <w:bookmarkEnd w:id="377"/>
      <w:r/>
      <w:r/>
    </w:p>
    <w:p>
      <w:pPr>
        <w:ind w:firstLine="480"/>
        <w:pageBreakBefore w:val="0"/>
        <w:spacing w:line="360" w:lineRule="auto"/>
        <w:widowControl w:val="off"/>
        <w:rPr>
          <w:rFonts w:ascii="宋体" w:hAnsi="宋体"/>
          <w:bCs/>
          <w:color w:val="auto"/>
          <w:sz w:val="24"/>
          <w:szCs w:val="21"/>
          <w:highlight w:val="none"/>
        </w:rPr>
      </w:pPr>
      <w:r/>
      <w:bookmarkStart w:id="378" w:name="_Toc5627"/>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.1中标候选人的选取原则和数量见招标文件第五章规定。</w:t>
      </w:r>
      <w:bookmarkEnd w:id="378"/>
      <w:r>
        <w:rPr>
          <w:rFonts w:hint="eastAsia" w:ascii="宋体" w:hAnsi="宋体"/>
          <w:bCs/>
          <w:color w:val="auto"/>
          <w:sz w:val="24"/>
          <w:szCs w:val="21"/>
          <w:highlight w:val="none"/>
        </w:rPr>
        <w:t xml:space="preserve"> </w:t>
      </w:r>
      <w:r/>
    </w:p>
    <w:p>
      <w:pPr>
        <w:ind w:firstLine="480"/>
        <w:pageBreakBefore w:val="0"/>
        <w:spacing w:line="360" w:lineRule="auto"/>
        <w:widowControl w:val="off"/>
        <w:rPr>
          <w:rFonts w:ascii="宋体" w:hAnsi="宋体"/>
          <w:bCs/>
          <w:color w:val="auto"/>
          <w:sz w:val="24"/>
          <w:szCs w:val="21"/>
          <w:highlight w:val="none"/>
        </w:rPr>
      </w:pPr>
      <w:r/>
      <w:bookmarkStart w:id="379" w:name="_Toc8063"/>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 采购人应根据评委会推荐的中标候选人确定中标人。</w:t>
      </w:r>
      <w:bookmarkEnd w:id="379"/>
      <w:r/>
      <w:r/>
    </w:p>
    <w:p>
      <w:pPr>
        <w:ind w:firstLine="480"/>
        <w:pageBreakBefore w:val="0"/>
        <w:spacing w:line="360" w:lineRule="auto"/>
        <w:widowControl w:val="off"/>
        <w:rPr>
          <w:rFonts w:ascii="宋体" w:hAnsi="宋体"/>
          <w:color w:val="auto"/>
          <w:sz w:val="24"/>
          <w:szCs w:val="24"/>
          <w:highlight w:val="none"/>
        </w:rPr>
      </w:pPr>
      <w:r/>
      <w:bookmarkStart w:id="380" w:name="_Toc23527"/>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.3 </w:t>
      </w:r>
      <w:r>
        <w:rPr>
          <w:rFonts w:hint="eastAsia" w:ascii="宋体" w:hAnsi="宋体"/>
          <w:color w:val="auto"/>
          <w:sz w:val="24"/>
          <w:szCs w:val="24"/>
          <w:highlight w:val="none"/>
        </w:rPr>
        <w:t xml:space="preserve">采购代理机构将在“江苏政府采购网”发布中标公告，公告期限为1个工作日。</w:t>
      </w:r>
      <w:bookmarkEnd w:id="380"/>
      <w:r/>
      <w:r/>
    </w:p>
    <w:p>
      <w:pPr>
        <w:ind w:firstLine="480"/>
        <w:pageBreakBefore w:val="0"/>
        <w:spacing w:line="360" w:lineRule="auto"/>
        <w:widowControl w:val="off"/>
        <w:rPr>
          <w:rFonts w:ascii="宋体" w:hAnsi="宋体"/>
          <w:color w:val="auto"/>
          <w:sz w:val="24"/>
          <w:szCs w:val="24"/>
          <w:highlight w:val="none"/>
        </w:rPr>
      </w:pPr>
      <w:r/>
      <w:bookmarkStart w:id="381" w:name="_Toc18243"/>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  若有充分证据证明，中标人出现下列情况之一的，一经查实，将被取消中标资格：</w:t>
      </w:r>
      <w:bookmarkEnd w:id="381"/>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.4.1提供虚假材料谋取中标的。</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.4.2向采购人、采购代理机构行贿或者提供其他不正当利益的。</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.4.3属于本文件规定的无效条件，但在评标过程中又未被评委会发现的。</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.4.4与采购人或者其他供应商恶意串通的。</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.4.5采取不正当手段诋毁、排挤其他供应商的。</w:t>
      </w:r>
      <w:r/>
    </w:p>
    <w:p>
      <w:pPr>
        <w:ind w:firstLine="480"/>
        <w:pageBreakBefore w:val="0"/>
        <w:spacing w:line="360" w:lineRule="auto"/>
        <w:widowControl w:val="off"/>
        <w:rPr>
          <w:rFonts w:ascii="宋体" w:hAnsi="宋体"/>
          <w:color w:val="auto"/>
          <w:sz w:val="24"/>
          <w:szCs w:val="24"/>
          <w:highlight w:val="none"/>
        </w:rPr>
      </w:pPr>
      <w:r/>
      <w:bookmarkStart w:id="382" w:name="_Toc24868"/>
      <w:r/>
      <w:bookmarkStart w:id="383" w:name="_Toc200451960"/>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w:t>
      </w:r>
      <w:r>
        <w:rPr>
          <w:rFonts w:hint="eastAsia" w:ascii="Times New Roman" w:hAnsi="Times New Roman"/>
          <w:color w:val="auto"/>
          <w:szCs w:val="21"/>
          <w:highlight w:val="none"/>
        </w:rPr>
        <w:t xml:space="preserve"> </w:t>
      </w:r>
      <w:r>
        <w:rPr>
          <w:rFonts w:ascii="Times New Roman" w:hAnsi="宋体" w:cs="宋体"/>
          <w:color w:val="auto"/>
          <w:sz w:val="24"/>
          <w:szCs w:val="24"/>
          <w:highlight w:val="none"/>
        </w:rPr>
        <w:t xml:space="preserve">有下列情形之一的，</w:t>
      </w:r>
      <w:r>
        <w:rPr>
          <w:rFonts w:hint="eastAsia" w:ascii="Times New Roman" w:hAnsi="宋体" w:cs="宋体"/>
          <w:color w:val="auto"/>
          <w:sz w:val="24"/>
          <w:szCs w:val="24"/>
          <w:highlight w:val="none"/>
        </w:rPr>
        <w:t xml:space="preserve">视为投标人</w:t>
      </w:r>
      <w:r>
        <w:rPr>
          <w:rFonts w:ascii="Times New Roman" w:hAnsi="宋体" w:cs="宋体"/>
          <w:color w:val="auto"/>
          <w:sz w:val="24"/>
          <w:szCs w:val="24"/>
          <w:highlight w:val="none"/>
        </w:rPr>
        <w:t xml:space="preserve">串通</w:t>
      </w:r>
      <w:r>
        <w:rPr>
          <w:rFonts w:hint="eastAsia" w:ascii="Times New Roman" w:hAnsi="宋体" w:cs="宋体"/>
          <w:color w:val="auto"/>
          <w:sz w:val="24"/>
          <w:szCs w:val="24"/>
          <w:highlight w:val="none"/>
        </w:rPr>
        <w:t xml:space="preserve">投标，投标无效：</w:t>
      </w:r>
      <w:bookmarkEnd w:id="382"/>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.5.1不同投标人的投标文件由同一单位或者个人编制；</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.5.2不同投标人委托同一单位或者个人办理投标事宜；</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.5.3 不同投标人的投标文件载明的项目管理成员或者联系人员为同一人；</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8</w:t>
      </w:r>
      <w:r>
        <w:rPr>
          <w:rFonts w:hint="eastAsia" w:ascii="宋体" w:hAnsi="宋体"/>
          <w:color w:val="auto"/>
          <w:sz w:val="24"/>
          <w:szCs w:val="24"/>
          <w:highlight w:val="none"/>
        </w:rPr>
        <w:t xml:space="preserve">.5.4不同投标人的投标文件异常一致或者投标报价呈规律性差异；</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28.5.5不同投标人的投标文件相互混装；</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28.5.6不同投标人的投标保证金从同一单位或者个人的账户转出。</w:t>
      </w:r>
      <w:r/>
    </w:p>
    <w:p>
      <w:pPr>
        <w:ind w:firstLine="600"/>
        <w:keepLines/>
        <w:keepNext/>
        <w:pageBreakBefore w:val="0"/>
        <w:spacing w:line="360" w:lineRule="auto"/>
        <w:widowControl w:val="off"/>
        <w:rPr>
          <w:rFonts w:ascii="黑体" w:hAnsi="宋体" w:eastAsia="黑体"/>
          <w:bCs/>
          <w:color w:val="auto"/>
          <w:sz w:val="30"/>
          <w:szCs w:val="30"/>
          <w:highlight w:val="none"/>
        </w:rPr>
        <w:outlineLvl w:val="1"/>
      </w:pPr>
      <w:r/>
      <w:bookmarkStart w:id="384" w:name="_Toc17050"/>
      <w:r/>
      <w:bookmarkStart w:id="385" w:name="_Toc9909"/>
      <w:r/>
      <w:bookmarkStart w:id="386" w:name="_Toc8384"/>
      <w:r/>
      <w:bookmarkStart w:id="387" w:name="_Toc1683"/>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、质疑处理</w:t>
      </w:r>
      <w:bookmarkEnd w:id="383"/>
      <w:r/>
      <w:bookmarkEnd w:id="384"/>
      <w:r/>
      <w:bookmarkEnd w:id="385"/>
      <w:r/>
      <w:bookmarkEnd w:id="386"/>
      <w:r/>
      <w:bookmarkEnd w:id="387"/>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360" w:lineRule="auto"/>
        <w:widowControl w:val="off"/>
        <w:rPr>
          <w:rFonts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对中标或者成交结果提出质疑的，为中标或者成交结果公告期限届满之日。</w:t>
      </w:r>
      <w:r/>
    </w:p>
    <w:p>
      <w:pPr>
        <w:ind w:firstLine="480"/>
        <w:pageBreakBefore w:val="0"/>
        <w:spacing w:line="360" w:lineRule="auto"/>
        <w:widowControl w:val="off"/>
        <w:rPr>
          <w:rFonts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widowControl w:val="off"/>
        <w:rPr>
          <w:rFonts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w:t>
      </w:r>
      <w:r>
        <w:rPr>
          <w:rFonts w:hint="eastAsia" w:ascii="宋体" w:hAnsi="宋体"/>
          <w:color w:val="auto"/>
          <w:sz w:val="24"/>
          <w:szCs w:val="24"/>
          <w:highlight w:val="none"/>
        </w:rPr>
        <w:t xml:space="preserve">采购代理机构</w:t>
      </w:r>
      <w:r>
        <w:rPr>
          <w:rFonts w:ascii="宋体" w:hAnsi="宋体"/>
          <w:color w:val="auto"/>
          <w:sz w:val="24"/>
          <w:szCs w:val="24"/>
          <w:highlight w:val="none"/>
        </w:rPr>
        <w:t xml:space="preserve">提出，由</w:t>
      </w:r>
      <w:r>
        <w:rPr>
          <w:rFonts w:hint="eastAsia" w:ascii="宋体" w:hAnsi="宋体"/>
          <w:color w:val="auto"/>
          <w:sz w:val="24"/>
          <w:szCs w:val="24"/>
          <w:highlight w:val="none"/>
        </w:rPr>
        <w:t xml:space="preserve">采购代理机构负责</w:t>
      </w:r>
      <w:r>
        <w:rPr>
          <w:rFonts w:ascii="宋体" w:hAnsi="宋体"/>
          <w:color w:val="auto"/>
          <w:sz w:val="24"/>
          <w:szCs w:val="24"/>
          <w:highlight w:val="none"/>
        </w:rPr>
        <w:t xml:space="preserve">答复。</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采购人及采购代理机构只接收以纸质原件形式送达的质疑,建议供应商尽量通过邮寄方式提交质疑（采购人和采购代理机构不接受未填写快递运单的快件）。</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采购代理机构质疑接收部门为招标代理部（快递运单上的收件人填写“招标代理部209室”即可），联系地址：连云港市海州区郁洲北路9号瀛洲大厦209室，联系电话：0518-81061799。</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ascii="黑体" w:hAnsi="宋体" w:eastAsia="黑体"/>
          <w:bCs/>
          <w:color w:val="auto"/>
          <w:sz w:val="30"/>
          <w:szCs w:val="30"/>
          <w:highlight w:val="none"/>
        </w:rPr>
        <w:outlineLvl w:val="1"/>
      </w:pPr>
      <w:r/>
      <w:bookmarkStart w:id="388" w:name="_Toc27058"/>
      <w:r/>
      <w:bookmarkStart w:id="389" w:name="_Toc4826"/>
      <w:r/>
      <w:bookmarkStart w:id="390" w:name="_Toc26690"/>
      <w:r/>
      <w:bookmarkStart w:id="391" w:name="_Toc19025"/>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、中标通知书</w:t>
      </w:r>
      <w:bookmarkEnd w:id="388"/>
      <w:r/>
      <w:bookmarkEnd w:id="389"/>
      <w:r/>
      <w:bookmarkEnd w:id="390"/>
      <w:r/>
      <w:bookmarkEnd w:id="391"/>
      <w:r/>
      <w:r/>
    </w:p>
    <w:p>
      <w:pPr>
        <w:ind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30</w:t>
      </w:r>
      <w:r>
        <w:rPr>
          <w:rFonts w:hint="eastAsia" w:ascii="宋体" w:hAnsi="宋体"/>
          <w:color w:val="auto"/>
          <w:sz w:val="24"/>
          <w:szCs w:val="24"/>
          <w:highlight w:val="none"/>
        </w:rPr>
        <w:t xml:space="preserve">.l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pageBreakBefore w:val="0"/>
        <w:spacing w:line="360" w:lineRule="auto"/>
        <w:widowControl w:val="off"/>
        <w:rPr>
          <w:rFonts w:ascii="Times New Roman" w:hAnsi="Times New Roman"/>
          <w:b/>
          <w:bCs/>
          <w:color w:val="auto"/>
          <w:sz w:val="32"/>
          <w:szCs w:val="32"/>
          <w:highlight w:val="none"/>
        </w:rPr>
        <w:outlineLvl w:val="0"/>
      </w:pPr>
      <w:r/>
      <w:bookmarkStart w:id="392" w:name="_Toc12795"/>
      <w:r/>
      <w:bookmarkStart w:id="393" w:name="_Toc2338"/>
      <w:r/>
      <w:bookmarkStart w:id="394" w:name="_Toc31722"/>
      <w:r/>
      <w:bookmarkStart w:id="395" w:name="_Toc120614220"/>
      <w:r/>
      <w:bookmarkStart w:id="396" w:name="_Toc2990"/>
      <w:r/>
      <w:bookmarkStart w:id="397" w:name="_Toc16938552"/>
      <w:r/>
      <w:bookmarkStart w:id="398" w:name="_Toc20823308"/>
      <w:r/>
      <w:bookmarkStart w:id="399" w:name="_Toc513029236"/>
      <w:r>
        <w:rPr>
          <w:rFonts w:hint="eastAsia" w:ascii="Times New Roman" w:hAnsi="Times New Roman"/>
          <w:b/>
          <w:bCs/>
          <w:color w:val="auto"/>
          <w:sz w:val="32"/>
          <w:szCs w:val="32"/>
          <w:highlight w:val="none"/>
        </w:rPr>
        <w:t xml:space="preserve">七、授予合同</w:t>
      </w:r>
      <w:bookmarkEnd w:id="392"/>
      <w:r/>
      <w:bookmarkEnd w:id="393"/>
      <w:r/>
      <w:bookmarkEnd w:id="394"/>
      <w:r/>
      <w:bookmarkEnd w:id="395"/>
      <w:r/>
      <w:bookmarkEnd w:id="396"/>
      <w:r/>
      <w:bookmarkEnd w:id="397"/>
      <w:r/>
      <w:bookmarkEnd w:id="398"/>
      <w:r/>
      <w:bookmarkEnd w:id="399"/>
      <w:r/>
      <w:r/>
    </w:p>
    <w:p>
      <w:pPr>
        <w:ind w:firstLine="600"/>
        <w:keepLines/>
        <w:keepNext/>
        <w:pageBreakBefore w:val="0"/>
        <w:spacing w:line="360" w:lineRule="auto"/>
        <w:widowControl w:val="off"/>
        <w:rPr>
          <w:rFonts w:ascii="黑体" w:hAnsi="宋体" w:eastAsia="黑体"/>
          <w:bCs/>
          <w:color w:val="auto"/>
          <w:sz w:val="30"/>
          <w:szCs w:val="30"/>
          <w:highlight w:val="none"/>
        </w:rPr>
        <w:outlineLvl w:val="1"/>
      </w:pPr>
      <w:r/>
      <w:bookmarkStart w:id="400" w:name="_Toc19630"/>
      <w:r/>
      <w:bookmarkStart w:id="401" w:name="_Toc6612"/>
      <w:r/>
      <w:bookmarkStart w:id="402" w:name="_Toc30959"/>
      <w:r/>
      <w:bookmarkStart w:id="403" w:name="_Toc10267"/>
      <w:r/>
      <w:bookmarkStart w:id="404" w:name="_Toc513029237"/>
      <w:r/>
      <w:bookmarkStart w:id="405" w:name="_Toc16938553"/>
      <w:r/>
      <w:bookmarkStart w:id="406" w:name="_Toc20823309"/>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 签订合同</w:t>
      </w:r>
      <w:bookmarkEnd w:id="400"/>
      <w:r/>
      <w:bookmarkEnd w:id="401"/>
      <w:r/>
      <w:bookmarkEnd w:id="402"/>
      <w:r/>
      <w:bookmarkEnd w:id="403"/>
      <w:r/>
      <w:r/>
    </w:p>
    <w:p>
      <w:pPr>
        <w:ind w:firstLine="480"/>
        <w:pageBreakBefore w:val="0"/>
        <w:spacing w:line="360" w:lineRule="auto"/>
        <w:widowControl w:val="off"/>
        <w:rPr>
          <w:rFonts w:ascii="宋体" w:hAnsi="宋体"/>
          <w:color w:val="auto"/>
          <w:sz w:val="24"/>
          <w:szCs w:val="24"/>
          <w:highlight w:val="none"/>
        </w:rPr>
        <w:outlineLvl w:val="2"/>
      </w:pPr>
      <w:r/>
      <w:bookmarkStart w:id="407" w:name="_Toc14805"/>
      <w:r/>
      <w:bookmarkStart w:id="408" w:name="_Toc24840"/>
      <w:r/>
      <w:bookmarkStart w:id="409" w:name="_Toc2535"/>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bookmarkEnd w:id="407"/>
      <w:r/>
      <w:bookmarkEnd w:id="408"/>
      <w:r/>
      <w:bookmarkEnd w:id="409"/>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31.3 签订合同后，</w:t>
      </w:r>
      <w:r>
        <w:rPr>
          <w:rFonts w:hint="eastAsia" w:ascii="宋体" w:hAnsi="宋体"/>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360" w:lineRule="auto"/>
        <w:widowControl w:val="off"/>
        <w:rPr>
          <w:rFonts w:ascii="黑体" w:hAnsi="宋体" w:eastAsia="黑体"/>
          <w:bCs/>
          <w:color w:val="auto"/>
          <w:sz w:val="30"/>
          <w:szCs w:val="30"/>
          <w:highlight w:val="none"/>
        </w:rPr>
        <w:outlineLvl w:val="1"/>
      </w:pPr>
      <w:r/>
      <w:bookmarkStart w:id="410" w:name="_Toc18038"/>
      <w:r/>
      <w:bookmarkStart w:id="411" w:name="_Toc3105"/>
      <w:r/>
      <w:bookmarkStart w:id="412" w:name="_Toc2982"/>
      <w:r/>
      <w:bookmarkStart w:id="413" w:name="_Toc12082"/>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、货物（包含与货物相关的服务）的追加</w:t>
      </w:r>
      <w:bookmarkEnd w:id="410"/>
      <w:r/>
      <w:bookmarkEnd w:id="411"/>
      <w:r/>
      <w:bookmarkEnd w:id="412"/>
      <w:r/>
      <w:bookmarkEnd w:id="413"/>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404"/>
      <w:r/>
      <w:bookmarkEnd w:id="405"/>
      <w:r/>
      <w:bookmarkEnd w:id="406"/>
      <w:r/>
      <w:r/>
    </w:p>
    <w:p>
      <w:pPr>
        <w:ind w:firstLine="600"/>
        <w:keepLines/>
        <w:keepNext/>
        <w:pageBreakBefore w:val="0"/>
        <w:spacing w:line="360" w:lineRule="auto"/>
        <w:widowControl w:val="off"/>
        <w:rPr>
          <w:rFonts w:ascii="黑体" w:hAnsi="宋体" w:eastAsia="黑体"/>
          <w:bCs/>
          <w:color w:val="auto"/>
          <w:sz w:val="30"/>
          <w:szCs w:val="30"/>
          <w:highlight w:val="none"/>
        </w:rPr>
        <w:outlineLvl w:val="1"/>
      </w:pPr>
      <w:r/>
      <w:bookmarkStart w:id="414" w:name="_Toc2406"/>
      <w:r/>
      <w:bookmarkStart w:id="415" w:name="_Toc29301"/>
      <w:r/>
      <w:bookmarkStart w:id="416" w:name="_Toc8087"/>
      <w:r/>
      <w:bookmarkStart w:id="417" w:name="_Toc1741"/>
      <w:r/>
      <w:bookmarkStart w:id="418" w:name="_Toc479757207"/>
      <w:r/>
      <w:bookmarkStart w:id="419" w:name="_Toc16938558"/>
      <w:r/>
      <w:bookmarkStart w:id="420" w:name="_Toc120614221"/>
      <w:r/>
      <w:bookmarkStart w:id="421" w:name="_Toc20823314"/>
      <w:r/>
      <w:bookmarkStart w:id="422" w:name="_Toc513029242"/>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3</w:t>
      </w:r>
      <w:r>
        <w:rPr>
          <w:rFonts w:hint="eastAsia" w:ascii="黑体" w:hAnsi="宋体" w:eastAsia="黑体"/>
          <w:bCs/>
          <w:color w:val="auto"/>
          <w:sz w:val="30"/>
          <w:szCs w:val="30"/>
          <w:highlight w:val="none"/>
        </w:rPr>
        <w:t xml:space="preserve">、政府采购履约资金扶持政策</w:t>
      </w:r>
      <w:bookmarkEnd w:id="414"/>
      <w:r/>
      <w:bookmarkEnd w:id="415"/>
      <w:r/>
      <w:bookmarkEnd w:id="416"/>
      <w:r/>
      <w:bookmarkEnd w:id="417"/>
      <w:r/>
      <w:r/>
    </w:p>
    <w:p>
      <w:pPr>
        <w:ind w:firstLine="48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ind w:firstLine="600"/>
        <w:keepLines/>
        <w:keepNext/>
        <w:pageBreakBefore w:val="0"/>
        <w:spacing w:line="360" w:lineRule="auto"/>
        <w:widowControl w:val="off"/>
        <w:rPr>
          <w:rFonts w:ascii="Times New Roman" w:hAnsi="Times New Roman"/>
          <w:color w:val="auto"/>
          <w:szCs w:val="21"/>
          <w:highlight w:val="none"/>
        </w:rPr>
        <w:outlineLvl w:val="1"/>
      </w:pPr>
      <w:r/>
      <w:bookmarkStart w:id="423" w:name="_Toc4149"/>
      <w:r>
        <w:rPr>
          <w:rFonts w:hint="eastAsia" w:ascii="黑体" w:hAnsi="宋体" w:eastAsia="黑体"/>
          <w:bCs/>
          <w:color w:val="auto"/>
          <w:sz w:val="30"/>
          <w:szCs w:val="30"/>
          <w:highlight w:val="none"/>
        </w:rPr>
        <w:t xml:space="preserve">34、政府采购政策功能</w:t>
      </w:r>
      <w:bookmarkEnd w:id="423"/>
      <w:r/>
      <w:r/>
    </w:p>
    <w:p>
      <w:pPr>
        <w:ind w:firstLine="480"/>
        <w:pageBreakBefore w:val="0"/>
        <w:spacing w:line="360" w:lineRule="auto"/>
        <w:widowControl w:val="off"/>
        <w:rPr>
          <w:rFonts w:ascii="宋体" w:hAnsi="宋体"/>
          <w:bCs/>
          <w:color w:val="auto"/>
          <w:sz w:val="24"/>
          <w:szCs w:val="24"/>
          <w:highlight w:val="none"/>
        </w:rPr>
        <w:outlineLvl w:val="2"/>
      </w:pPr>
      <w:r/>
      <w:bookmarkStart w:id="424" w:name="_Toc645"/>
      <w:r>
        <w:rPr>
          <w:rFonts w:hint="eastAsia" w:ascii="宋体" w:hAnsi="宋体"/>
          <w:bCs/>
          <w:color w:val="auto"/>
          <w:sz w:val="24"/>
          <w:szCs w:val="24"/>
          <w:highlight w:val="none"/>
        </w:rPr>
        <w:t xml:space="preserve">34.1支持绿色发展</w:t>
      </w:r>
      <w:bookmarkEnd w:id="424"/>
      <w:r/>
      <w:r/>
    </w:p>
    <w:p>
      <w:pPr>
        <w:ind w:firstLine="48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pageBreakBefore w:val="0"/>
        <w:spacing w:line="360" w:lineRule="auto"/>
        <w:widowControl w:val="off"/>
        <w:rPr>
          <w:rFonts w:ascii="宋体" w:hAnsi="宋体"/>
          <w:bCs/>
          <w:color w:val="auto"/>
          <w:sz w:val="24"/>
          <w:szCs w:val="24"/>
          <w:highlight w:val="none"/>
        </w:rPr>
        <w:outlineLvl w:val="2"/>
      </w:pPr>
      <w:r/>
      <w:bookmarkStart w:id="425" w:name="_Toc20068"/>
      <w:r>
        <w:rPr>
          <w:rFonts w:hint="eastAsia" w:ascii="宋体" w:hAnsi="宋体"/>
          <w:bCs/>
          <w:color w:val="auto"/>
          <w:sz w:val="24"/>
          <w:szCs w:val="24"/>
          <w:highlight w:val="none"/>
        </w:rPr>
        <w:t xml:space="preserve">34.2政府采购需求标准</w:t>
      </w:r>
      <w:bookmarkEnd w:id="425"/>
      <w:r/>
      <w:r/>
    </w:p>
    <w:p>
      <w:pPr>
        <w:ind w:firstLine="48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本项目执行《绿色数据中</w:t>
      </w:r>
      <w:r>
        <w:rPr>
          <w:rFonts w:hint="eastAsia" w:ascii="宋体" w:hAnsi="宋体"/>
          <w:bCs/>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spacing w:line="500" w:lineRule="exact"/>
        <w:rPr>
          <w:rFonts w:ascii="宋体" w:hAnsi="宋体"/>
          <w:bCs/>
          <w:color w:val="auto"/>
          <w:sz w:val="24"/>
          <w:szCs w:val="24"/>
          <w:highlight w:val="none"/>
        </w:rPr>
        <w:sectPr>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bCs/>
          <w:color w:val="auto"/>
          <w:sz w:val="24"/>
          <w:szCs w:val="24"/>
          <w:highlight w:val="none"/>
        </w:rPr>
      </w:r>
      <w:r/>
    </w:p>
    <w:p>
      <w:pPr>
        <w:jc w:val="center"/>
        <w:keepNext/>
        <w:spacing w:line="360" w:lineRule="auto"/>
        <w:rPr>
          <w:rFonts w:ascii="黑体" w:hAnsi="Times New Roman" w:eastAsia="黑体"/>
          <w:bCs/>
          <w:color w:val="auto"/>
          <w:sz w:val="44"/>
          <w:szCs w:val="28"/>
          <w:highlight w:val="none"/>
        </w:rPr>
        <w:outlineLvl w:val="0"/>
      </w:pPr>
      <w:r/>
      <w:bookmarkStart w:id="426" w:name="_Toc27990"/>
      <w:r/>
      <w:bookmarkStart w:id="427" w:name="_Toc29380"/>
      <w:r/>
      <w:bookmarkStart w:id="428" w:name="_Toc27788"/>
      <w:r/>
      <w:bookmarkStart w:id="429" w:name="_Toc12487"/>
      <w:r/>
      <w:bookmarkStart w:id="430" w:name="_Toc21793"/>
      <w:r>
        <w:rPr>
          <w:rFonts w:hint="eastAsia" w:ascii="黑体" w:hAnsi="Times New Roman" w:eastAsia="黑体"/>
          <w:bCs/>
          <w:color w:val="auto"/>
          <w:sz w:val="44"/>
          <w:szCs w:val="28"/>
          <w:highlight w:val="none"/>
        </w:rPr>
        <w:t xml:space="preserve">第三章  合同</w:t>
      </w:r>
      <w:bookmarkEnd w:id="418"/>
      <w:r/>
      <w:bookmarkEnd w:id="419"/>
      <w:r/>
      <w:bookmarkEnd w:id="420"/>
      <w:r/>
      <w:bookmarkEnd w:id="421"/>
      <w:r/>
      <w:bookmarkEnd w:id="422"/>
      <w:r>
        <w:rPr>
          <w:rFonts w:hint="eastAsia" w:ascii="黑体" w:hAnsi="Times New Roman" w:eastAsia="黑体"/>
          <w:bCs/>
          <w:color w:val="auto"/>
          <w:sz w:val="44"/>
          <w:szCs w:val="28"/>
          <w:highlight w:val="none"/>
        </w:rPr>
        <w:t xml:space="preserve">文本</w:t>
      </w:r>
      <w:bookmarkEnd w:id="426"/>
      <w:r/>
      <w:bookmarkEnd w:id="427"/>
      <w:r/>
      <w:bookmarkEnd w:id="428"/>
      <w:r/>
      <w:bookmarkEnd w:id="429"/>
      <w:r/>
      <w:bookmarkEnd w:id="430"/>
      <w:r/>
      <w:r/>
    </w:p>
    <w:p>
      <w:pPr>
        <w:jc w:val="center"/>
        <w:rPr>
          <w:rFonts w:ascii="黑体" w:eastAsia="黑体"/>
          <w:b/>
          <w:bCs/>
          <w:color w:val="auto"/>
          <w:sz w:val="28"/>
          <w:szCs w:val="28"/>
          <w:highlight w:val="none"/>
        </w:rPr>
      </w:pPr>
      <w:r/>
      <w:bookmarkStart w:id="431" w:name="_Toc6055"/>
      <w:r/>
      <w:bookmarkStart w:id="432" w:name="_Toc120614244"/>
      <w:r/>
      <w:bookmarkStart w:id="433" w:name="_Hlt16619350"/>
      <w:r/>
      <w:bookmarkStart w:id="434" w:name="_Toc16938590"/>
      <w:r/>
      <w:bookmarkStart w:id="435" w:name="_Toc20823346"/>
      <w:r/>
      <w:bookmarkStart w:id="436" w:name="_Toc479757211"/>
      <w:r/>
      <w:bookmarkStart w:id="437" w:name="_Toc462564139"/>
      <w:r>
        <w:rPr>
          <w:rFonts w:hint="eastAsia" w:ascii="黑体" w:eastAsia="黑体" w:cs="黑体"/>
          <w:b/>
          <w:bCs/>
          <w:color w:val="auto"/>
          <w:sz w:val="28"/>
          <w:szCs w:val="28"/>
          <w:highlight w:val="none"/>
        </w:rPr>
        <w:t xml:space="preserve">江苏海洋大学教研设备采购合同</w:t>
      </w:r>
      <w:r/>
    </w:p>
    <w:tbl>
      <w:tblPr>
        <w:tblStyle w:val="81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18"/>
        <w:gridCol w:w="4601"/>
      </w:tblGrid>
      <w:tr>
        <w:trPr>
          <w:jc w:val="center"/>
          <w:trHeight w:val="580"/>
        </w:trPr>
        <w:tc>
          <w:tcPr>
            <w:tcBorders>
              <w:top w:val="none" w:color="000000" w:sz="4" w:space="0"/>
              <w:left w:val="none" w:color="000000" w:sz="4" w:space="0"/>
              <w:bottom w:val="none" w:color="000000" w:sz="4" w:space="0"/>
              <w:right w:val="none" w:color="000000" w:sz="4" w:space="0"/>
            </w:tcBorders>
            <w:tcW w:w="4518" w:type="dxa"/>
            <w:vAlign w:val="center"/>
            <w:textDirection w:val="lrTb"/>
            <w:noWrap w:val="false"/>
          </w:tcPr>
          <w:p>
            <w:pPr>
              <w:spacing w:line="460" w:lineRule="exact"/>
              <w:rPr>
                <w:color w:val="auto"/>
                <w:highlight w:val="none"/>
              </w:rPr>
            </w:pPr>
            <w:r>
              <w:rPr>
                <w:rFonts w:hint="eastAsia" w:cs="宋体"/>
                <w:color w:val="auto"/>
                <w:highlight w:val="none"/>
              </w:rPr>
              <w:t xml:space="preserve">甲方：江苏海洋大学</w:t>
            </w:r>
            <w:r/>
          </w:p>
        </w:tc>
        <w:tc>
          <w:tcPr>
            <w:tcBorders>
              <w:top w:val="none" w:color="000000" w:sz="4" w:space="0"/>
              <w:left w:val="none" w:color="000000" w:sz="4" w:space="0"/>
              <w:bottom w:val="none" w:color="000000" w:sz="4" w:space="0"/>
              <w:right w:val="none" w:color="000000" w:sz="4" w:space="0"/>
            </w:tcBorders>
            <w:tcW w:w="4601" w:type="dxa"/>
            <w:vAlign w:val="center"/>
            <w:textDirection w:val="lrTb"/>
            <w:noWrap w:val="false"/>
          </w:tcPr>
          <w:p>
            <w:pPr>
              <w:ind w:right="844"/>
              <w:spacing w:line="460" w:lineRule="exact"/>
              <w:tabs>
                <w:tab w:val="left" w:pos="-200" w:leader="none"/>
              </w:tabs>
              <w:rPr>
                <w:color w:val="auto"/>
                <w:highlight w:val="none"/>
              </w:rPr>
            </w:pPr>
            <w:r>
              <w:rPr>
                <w:rFonts w:hint="eastAsia" w:cs="宋体"/>
                <w:color w:val="auto"/>
                <w:highlight w:val="none"/>
              </w:rPr>
              <w:t xml:space="preserve">合同编号：</w:t>
            </w:r>
            <w:r/>
          </w:p>
        </w:tc>
      </w:tr>
      <w:tr>
        <w:trPr>
          <w:jc w:val="center"/>
          <w:trHeight w:val="861"/>
        </w:trPr>
        <w:tc>
          <w:tcPr>
            <w:tcBorders>
              <w:top w:val="none" w:color="000000" w:sz="4" w:space="0"/>
              <w:left w:val="none" w:color="000000" w:sz="4" w:space="0"/>
              <w:bottom w:val="none" w:color="000000" w:sz="4" w:space="0"/>
              <w:right w:val="none" w:color="000000" w:sz="4" w:space="0"/>
            </w:tcBorders>
            <w:tcW w:w="4518" w:type="dxa"/>
            <w:vAlign w:val="center"/>
            <w:textDirection w:val="lrTb"/>
            <w:noWrap w:val="false"/>
          </w:tcPr>
          <w:p>
            <w:pPr>
              <w:spacing w:line="460" w:lineRule="exact"/>
              <w:rPr>
                <w:color w:val="auto"/>
                <w:highlight w:val="none"/>
              </w:rPr>
            </w:pPr>
            <w:r>
              <w:rPr>
                <w:rFonts w:hint="eastAsia" w:cs="宋体"/>
                <w:color w:val="auto"/>
                <w:highlight w:val="none"/>
              </w:rPr>
              <w:t xml:space="preserve">乙方：     </w:t>
            </w:r>
            <w:r/>
          </w:p>
          <w:p>
            <w:pPr>
              <w:spacing w:line="460" w:lineRule="exact"/>
              <w:rPr>
                <w:color w:val="auto"/>
                <w:highlight w:val="none"/>
              </w:rPr>
            </w:pPr>
            <w:r>
              <w:rPr>
                <w:rFonts w:hint="eastAsia" w:cs="宋体"/>
                <w:color w:val="auto"/>
                <w:highlight w:val="none"/>
              </w:rPr>
              <w:t xml:space="preserve">签订时间：    年    月    日</w:t>
            </w:r>
            <w:r/>
          </w:p>
        </w:tc>
        <w:tc>
          <w:tcPr>
            <w:tcBorders>
              <w:top w:val="none" w:color="000000" w:sz="4" w:space="0"/>
              <w:left w:val="none" w:color="000000" w:sz="4" w:space="0"/>
              <w:bottom w:val="none" w:color="000000" w:sz="4" w:space="0"/>
              <w:right w:val="none" w:color="000000" w:sz="4" w:space="0"/>
            </w:tcBorders>
            <w:tcW w:w="4601" w:type="dxa"/>
            <w:vAlign w:val="center"/>
            <w:textDirection w:val="lrTb"/>
            <w:noWrap w:val="false"/>
          </w:tcPr>
          <w:p>
            <w:pPr>
              <w:ind w:right="737"/>
              <w:spacing w:line="460" w:lineRule="exact"/>
              <w:rPr>
                <w:color w:val="auto"/>
                <w:highlight w:val="none"/>
              </w:rPr>
            </w:pPr>
            <w:r>
              <w:rPr>
                <w:rFonts w:hint="eastAsia" w:cs="宋体"/>
                <w:color w:val="auto"/>
                <w:highlight w:val="none"/>
              </w:rPr>
              <w:t xml:space="preserve">合同签订地：江苏省连云港市</w:t>
            </w:r>
            <w:r/>
          </w:p>
        </w:tc>
      </w:tr>
    </w:tbl>
    <w:p>
      <w:pPr>
        <w:pStyle w:val="1182"/>
        <w:numPr>
          <w:ilvl w:val="0"/>
          <w:numId w:val="0"/>
        </w:numPr>
        <w:ind w:left="0" w:firstLine="480"/>
        <w:keepLines w:val="0"/>
        <w:keepNext w:val="0"/>
        <w:pageBreakBefore w:val="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一、甲乙双方根据</w:t>
      </w:r>
      <w:bookmarkStart w:id="438" w:name="OLE_LINK8"/>
      <w:r/>
      <w:bookmarkStart w:id="439" w:name="OLE_LINK7"/>
      <w:r>
        <w:rPr>
          <w:rFonts w:hint="eastAsia" w:ascii="宋体" w:hAnsi="宋体" w:cs="宋体"/>
          <w:color w:val="auto"/>
          <w:sz w:val="24"/>
          <w:szCs w:val="24"/>
          <w:highlight w:val="none"/>
        </w:rPr>
        <w:t xml:space="preserve">《中华人民共和国民法典》</w:t>
      </w:r>
      <w:bookmarkEnd w:id="438"/>
      <w:r/>
      <w:bookmarkEnd w:id="439"/>
      <w:r>
        <w:rPr>
          <w:rFonts w:hint="eastAsia" w:ascii="宋体" w:hAnsi="宋体" w:cs="宋体"/>
          <w:color w:val="auto"/>
          <w:sz w:val="24"/>
          <w:szCs w:val="24"/>
          <w:highlight w:val="none"/>
        </w:rPr>
        <w:t xml:space="preserve">等有关法律规定，遵循自愿、公平、诚实信用的原则，订立本合同。</w:t>
      </w:r>
      <w:r/>
    </w:p>
    <w:p>
      <w:pPr>
        <w:pStyle w:val="1182"/>
        <w:numPr>
          <w:ilvl w:val="0"/>
          <w:numId w:val="0"/>
        </w:numPr>
        <w:ind w:left="0" w:firstLine="480"/>
        <w:keepLines w:val="0"/>
        <w:keepNext w:val="0"/>
        <w:pageBreakBefore w:val="0"/>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二、本合同标的物为下表所列货物及其运输、安装调试和基本操作培训等所有相关服务</w:t>
      </w:r>
      <w:r/>
    </w:p>
    <w:p>
      <w:pPr>
        <w:pStyle w:val="826"/>
        <w:numPr>
          <w:ilvl w:val="0"/>
          <w:numId w:val="0"/>
        </w:numPr>
        <w:ind w:left="0" w:firstLine="480"/>
        <w:keepLines w:val="0"/>
        <w:keepNext w:val="0"/>
        <w:pageBreakBefore w:val="0"/>
        <w:spacing w:after="0"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（具体配置清单及参数见附件）</w:t>
      </w:r>
      <w:r/>
    </w:p>
    <w:tbl>
      <w:tblPr>
        <w:tblStyle w:val="819"/>
        <w:tblW w:w="4894"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977"/>
        <w:gridCol w:w="884"/>
        <w:gridCol w:w="933"/>
        <w:gridCol w:w="922"/>
        <w:gridCol w:w="842"/>
        <w:gridCol w:w="1012"/>
        <w:gridCol w:w="844"/>
        <w:gridCol w:w="842"/>
        <w:gridCol w:w="897"/>
      </w:tblGrid>
      <w:tr>
        <w:trPr>
          <w:jc w:val="center"/>
          <w:trHeight w:val="1052"/>
        </w:trPr>
        <w:tc>
          <w:tcPr>
            <w:tcW w:w="82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7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w:t>
            </w:r>
            <w:r/>
          </w:p>
        </w:tc>
        <w:tc>
          <w:tcPr>
            <w:tcW w:w="884"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品牌</w:t>
            </w:r>
            <w:r/>
          </w:p>
        </w:tc>
        <w:tc>
          <w:tcPr>
            <w:tcW w:w="933"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规格型号</w:t>
            </w:r>
            <w:r/>
          </w:p>
        </w:tc>
        <w:tc>
          <w:tcPr>
            <w:tcW w:w="92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技术参数</w:t>
            </w:r>
            <w:r/>
          </w:p>
        </w:tc>
        <w:tc>
          <w:tcPr>
            <w:tcW w:w="84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国别产地</w:t>
            </w:r>
            <w:r/>
          </w:p>
        </w:tc>
        <w:tc>
          <w:tcPr>
            <w:tcW w:w="101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生产厂家</w:t>
            </w:r>
            <w:r/>
          </w:p>
        </w:tc>
        <w:tc>
          <w:tcPr>
            <w:tcW w:w="844"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单价</w:t>
            </w:r>
            <w:r/>
          </w:p>
        </w:tc>
        <w:tc>
          <w:tcPr>
            <w:tcW w:w="842"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897"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总价</w:t>
            </w:r>
            <w:r/>
          </w:p>
        </w:tc>
      </w:tr>
      <w:tr>
        <w:trPr>
          <w:jc w:val="center"/>
          <w:trHeight w:val="672"/>
        </w:trPr>
        <w:tc>
          <w:tcPr>
            <w:tcW w:w="82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97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84"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4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44"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4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97" w:type="dxa"/>
            <w:vAlign w:val="center"/>
            <w:textDirection w:val="lrTb"/>
            <w:noWrap w:val="false"/>
          </w:tcPr>
          <w:p>
            <w:pP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72"/>
        </w:trPr>
        <w:tc>
          <w:tcPr>
            <w:tcW w:w="82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97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84"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33"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92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4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101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44"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42"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897" w:type="dxa"/>
            <w:vAlign w:val="center"/>
            <w:textDirection w:val="lrTb"/>
            <w:noWrap w:val="false"/>
          </w:tcPr>
          <w:p>
            <w:pPr>
              <w:jc w:val="center"/>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618"/>
        </w:trPr>
        <w:tc>
          <w:tcPr>
            <w:gridSpan w:val="2"/>
            <w:tcW w:w="179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合计</w:t>
            </w:r>
            <w:r/>
          </w:p>
        </w:tc>
        <w:tc>
          <w:tcPr>
            <w:gridSpan w:val="8"/>
            <w:tcW w:w="7176"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人民币大写： 万 仟 佰 拾 元整(￥   .00)</w:t>
            </w:r>
            <w:r/>
          </w:p>
        </w:tc>
      </w:tr>
    </w:tbl>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三、产品质量要求、乙方对质量负责的条件和期限</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乙方提供的货物必须为符合甲方要求的全新原包装产品，贴有符合国家标准的铭牌，所有权完全属于乙方且无任何抵押、查封等产权瑕疵，不会侵犯任何第三方的专利权、商标权或著作权（特殊情况另行说明）。</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产品质保</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年，终身维护，质保期自甲方验收合格之日起开始计算。质保期内乙方免费上门服务，免费提供产品维护保养、安检、故障维修、配件更换等技术支持服务，质保期外可收取成本费用。</w:t>
      </w:r>
      <w:r/>
    </w:p>
    <w:p>
      <w:pPr>
        <w:ind w:firstLine="480"/>
        <w:keepLines w:val="0"/>
        <w:keepNext w:val="0"/>
        <w:pageBreakBefore w:val="0"/>
        <w:spacing w:line="360" w:lineRule="auto"/>
        <w:widowControl w:val="off"/>
        <w:rPr>
          <w:color w:val="auto"/>
          <w:sz w:val="24"/>
          <w:highlight w:val="none"/>
          <w:shd w:val="clear" w:color="auto" w:fill="ffffff"/>
        </w:rPr>
      </w:pPr>
      <w:r>
        <w:rPr>
          <w:rFonts w:ascii="宋体" w:hAnsi="宋体" w:cs="宋体"/>
          <w:color w:val="auto"/>
          <w:sz w:val="24"/>
          <w:highlight w:val="none"/>
        </w:rPr>
        <w:t xml:space="preserve">3.</w:t>
      </w:r>
      <w:r>
        <w:rPr>
          <w:rFonts w:hint="eastAsia" w:ascii="宋体" w:hAnsi="宋体" w:cs="宋体"/>
          <w:color w:val="auto"/>
          <w:sz w:val="24"/>
          <w:highlight w:val="none"/>
        </w:rPr>
        <w:t xml:space="preserve">乙方</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小时内响应甲方的维修要求，</w:t>
      </w:r>
      <w:r>
        <w:rPr>
          <w:rFonts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小时内解决，</w:t>
      </w:r>
      <w:r>
        <w:rPr>
          <w:color w:val="auto"/>
          <w:sz w:val="24"/>
          <w:highlight w:val="none"/>
          <w:shd w:val="clear" w:color="auto" w:fill="ffffff"/>
        </w:rPr>
        <w:t xml:space="preserve">如不能按时解决，投标人应提供性能不低于故障产品的备用产品，或免费提供故障产品所承担分析测试等检测服务替代方案。</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乙方义务中如有涉及第三方提供的，由乙方负责协调。</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所有运输（含上、下力）及安装调试和培训工作由乙方负责，所有费用由乙方承担，合同总价中已包含该部分费用。</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如安装调试过程中涉及施工，乙方须文明施工，做到工完场清。</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四、交付时间、地点</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交付时间：合同签订生效后</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天内。</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交付地点：江苏海洋大学指定地点。</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五、资料交付及培训</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乙方应在交付货物时向甲方提供货物的所有相关资料，其中使用说明书需提供电子与纸质版，并向甲方指定人员提供培训至其能熟练操作，并可完成基本维护与保养工作。</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六、</w:t>
      </w:r>
      <w:bookmarkStart w:id="440" w:name="OLE_LINK18"/>
      <w:r/>
      <w:bookmarkStart w:id="441" w:name="OLE_LINK17"/>
      <w:r>
        <w:rPr>
          <w:rFonts w:hint="eastAsia" w:ascii="宋体" w:hAnsi="宋体" w:cs="宋体"/>
          <w:color w:val="auto"/>
          <w:sz w:val="24"/>
          <w:highlight w:val="none"/>
        </w:rPr>
        <w:t xml:space="preserve">价款支付</w:t>
      </w:r>
      <w:bookmarkEnd w:id="440"/>
      <w:r/>
      <w:bookmarkEnd w:id="441"/>
      <w:r>
        <w:rPr>
          <w:rFonts w:hint="eastAsia" w:ascii="宋体" w:hAnsi="宋体" w:cs="宋体"/>
          <w:color w:val="auto"/>
          <w:sz w:val="24"/>
          <w:highlight w:val="none"/>
        </w:rPr>
        <w:t xml:space="preserve">及履约担保</w:t>
      </w:r>
      <w:r/>
    </w:p>
    <w:p>
      <w:pPr>
        <w:ind w:firstLine="480"/>
        <w:keepLines w:val="0"/>
        <w:keepNext w:val="0"/>
        <w:pageBreakBefore w:val="0"/>
        <w:spacing w:line="360" w:lineRule="auto"/>
        <w:widowControl w:val="off"/>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1）价款支付</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所有设备到货后，设备经相关管理机构检验检疫、安装调试、操作培训、试运行，且按合同约定全部履约完毕后，中标人要及时出具全额增值税专用发票，如属于进口免税设备，中标人提供结算发票和全套进口通关资料，并书面告知采购人提请验收，采购人收到通知后及时组织验收，自验收合格之日起20个日历天后支付合同总额的100%。</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（2）免税进口设备包干价及责任约定</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免税进口设备合同价款为人民币包干价，包括但不限于货值、运输和保险（到采购人指定地点）、付汇（含汇率变动风险）、减免税申请、单证制作、报关、商检、仓储、进口代理服务费、进口监管要求的其他配套申报资料编制及办理费用（含强制性产品认证免办证明申报资料编制及办理费用等），以及因中标人任何原因造成海关滞报、堆存、查验等产生的衍生费用。</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免税申报、通关由中标人全权负责。中标人知晓科教用品减免税规则与准入条件。因申报资料错误、资料不全、迟报漏报、商品归类偏差、设备参数不满足免税清单要求、申报流程瑕疵等，造成减免税不通过、撤销或失效的，产生的全部税费、滞纳金、罚款等费用均含在包干价内，由中标人自行承担，采购人不再额外付费。</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中标人可自行或委托外贸代理办理进口手续，中标人为总责任主体，外贸代理纠纷由中标人自行处理，与采购人无关。采购人仅配合提供自身基础资质材料，不承担免税审批结果责任。中标人对申报资料真实性、合规性负全责。</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海关监管期内稽查核查，中标人须无偿配合提供全套资料；因中标人资料缺失、不配合导致采购人被海关处罚、补税的，全部损失由中标人赔偿。</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（3）违约责任 </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非免税设备：设备全部齐套到货视为交货完成。非不可抗力情形下乙方未正常履约的，甲方有权扣除履约保证金作为履约惩戒；乙方逾期供货、合同可继续履行的，按合同总额每日2‰计收逾期违约金，总额不超合同总价10%，甲方可在货款中直接抵扣；逾期超过10个工作日仍无法供货的，甲方有权终止合同。</w:t>
      </w:r>
      <w:r/>
    </w:p>
    <w:p>
      <w:pPr>
        <w:ind w:firstLine="480"/>
        <w:keepLines w:val="0"/>
        <w:keepNext w:val="0"/>
        <w:pageBreakBefore w:val="0"/>
        <w:spacing w:line="360" w:lineRule="auto"/>
        <w:widowControl w:val="off"/>
        <w:rPr>
          <w:rFonts w:ascii="Times New Roman" w:hAnsi="Times New Roman" w:cs="Times New Roman"/>
          <w:color w:val="auto"/>
          <w:sz w:val="24"/>
          <w:highlight w:val="none"/>
        </w:rPr>
      </w:pPr>
      <w:r>
        <w:rPr>
          <w:rFonts w:hint="eastAsia" w:ascii="宋体" w:hAnsi="宋体" w:cs="宋体"/>
          <w:color w:val="auto"/>
          <w:sz w:val="24"/>
          <w:highlight w:val="none"/>
          <w:lang w:val="en-US" w:eastAsia="zh-CN"/>
        </w:rPr>
        <w:t xml:space="preserve">2）免税进口设备：设备全部齐套到货视为交货完成。非不可抗力情形下乙方未正常履约的，甲方有权扣除履约保证金作为履约惩戒；乙方逾期供货、合同可继续履行的，按合同总额每日2‰计收逾期违约金，总额不超合同总价10%，甲方可在货款中直接抵扣；逾期超过</w:t>
      </w:r>
      <w:r>
        <w:rPr>
          <w:rFonts w:hint="eastAsia" w:ascii="宋体" w:hAnsi="宋体" w:cs="宋体"/>
          <w:color w:val="auto"/>
          <w:sz w:val="24"/>
          <w:highlight w:val="none"/>
          <w:lang w:val="en-US" w:eastAsia="zh-CN"/>
        </w:rPr>
        <w:t xml:space="preserve">10个工作日仍无法供货的，甲方有权终止合同。此外，因乙方（含其委托代理）责任，同一进口事项（减免税申请、报关申报等）被海关要求补材料或退单，乙方应于2个工作日内书面报备并提交整改方案，同一事项发生2次及以上的，按对应货值1‰计收专项违约金；专项违约金与逾期违约金合并计取，上限为合同总价10%，不足弥补损失的，甲方有权继续追偿。因申报审核期间新出台海关政策调整、海关系统故障等非乙方原因造成补件、退单，不计收该项专项违约金，乙方仍须及时报备推进；申报前已公开生效政策，乙方负有预判及合规申报义务，不适用该免责约定</w:t>
      </w: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付款方式：通过银行转账支付。</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开票信息：</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购买方名称：</w:t>
      </w:r>
      <w:r>
        <w:rPr>
          <w:rFonts w:ascii="宋体" w:hAnsi="宋体" w:cs="宋体"/>
          <w:color w:val="auto"/>
          <w:sz w:val="24"/>
          <w:highlight w:val="none"/>
        </w:rPr>
        <w:t xml:space="preserve"> </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地址：</w:t>
      </w:r>
      <w:r>
        <w:rPr>
          <w:rFonts w:ascii="宋体" w:hAnsi="宋体" w:cs="宋体"/>
          <w:color w:val="auto"/>
          <w:sz w:val="24"/>
          <w:highlight w:val="none"/>
        </w:rPr>
        <w:t xml:space="preserve"> </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电话：</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开户行：</w:t>
      </w:r>
      <w:r>
        <w:rPr>
          <w:rFonts w:ascii="宋体" w:hAnsi="宋体" w:cs="宋体"/>
          <w:color w:val="auto"/>
          <w:sz w:val="24"/>
          <w:highlight w:val="none"/>
        </w:rPr>
        <w:t xml:space="preserve"> </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帐号：</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开户行行号：</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履约保证金。本合同签订前乙方提交人民币</w:t>
      </w:r>
      <w:r>
        <w:rPr>
          <w:rFonts w:ascii="宋体" w:hAnsi="宋体" w:cs="宋体"/>
          <w:color w:val="auto"/>
          <w:sz w:val="24"/>
          <w:highlight w:val="none"/>
        </w:rPr>
        <w:t xml:space="preserve">_________</w:t>
      </w:r>
      <w:r>
        <w:rPr>
          <w:rFonts w:hint="eastAsia" w:ascii="宋体" w:hAnsi="宋体" w:cs="宋体"/>
          <w:color w:val="auto"/>
          <w:sz w:val="24"/>
          <w:highlight w:val="none"/>
        </w:rPr>
        <w:t xml:space="preserve">元（合同金额的</w:t>
      </w:r>
      <w:r>
        <w:rPr>
          <w:rFonts w:ascii="宋体" w:hAnsi="宋体" w:cs="宋体"/>
          <w:color w:val="auto"/>
          <w:sz w:val="24"/>
          <w:highlight w:val="none"/>
        </w:rPr>
        <w:t xml:space="preserve">5%</w:t>
      </w:r>
      <w:r>
        <w:rPr>
          <w:rFonts w:hint="eastAsia" w:ascii="宋体" w:hAnsi="宋体" w:cs="宋体"/>
          <w:color w:val="auto"/>
          <w:sz w:val="24"/>
          <w:highlight w:val="none"/>
        </w:rPr>
        <w:t xml:space="preserve">）作为本合同的履约保证金。</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4.1 </w:t>
      </w:r>
      <w:r>
        <w:rPr>
          <w:rFonts w:hint="eastAsia" w:ascii="宋体" w:hAnsi="宋体" w:cs="宋体"/>
          <w:color w:val="auto"/>
          <w:sz w:val="24"/>
          <w:highlight w:val="none"/>
        </w:rPr>
        <w:t xml:space="preserve">履约保证金应当以支票、汇票、本票或者金融机构出具的保函（保函出具银行为国有银行或全国性商业银行，要求等同预付款保函）等非现金形式提交。</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4.2 </w:t>
      </w:r>
      <w:r>
        <w:rPr>
          <w:rFonts w:hint="eastAsia" w:ascii="宋体" w:hAnsi="宋体" w:cs="宋体"/>
          <w:color w:val="auto"/>
          <w:sz w:val="24"/>
          <w:highlight w:val="none"/>
        </w:rPr>
        <w:t xml:space="preserve">履约保证金在乙方合同义务履行完毕后由甲方退还（不计利息）。</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4.3 </w:t>
      </w:r>
      <w:r>
        <w:rPr>
          <w:rFonts w:hint="eastAsia" w:ascii="宋体" w:hAnsi="宋体" w:cs="宋体"/>
          <w:color w:val="auto"/>
          <w:sz w:val="24"/>
          <w:highlight w:val="none"/>
        </w:rPr>
        <w:t xml:space="preserve">乙方违约的，甲方将扣除其全部或部分履约保证金。如乙方违约给甲方造成的损失超过履约保证金的，应当依法赔偿超过部分的损失。</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七、违约责任</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乙方所交的货物品种、型号规格、技术参数、生产厂家、质量等不符合合同及招标文件规定标准的，甲方有权拒收，因拒收而延误时间并造成交货逾期的，按乙方逾期交货处理。乙方拒绝更换货物的，甲方可单方面解除合同，产生的费用与损失由乙方负责。</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甲方无正当理由拒收货物、拒付货款的，甲方向乙方偿付货款余额</w:t>
      </w:r>
      <w:r>
        <w:rPr>
          <w:rFonts w:ascii="宋体" w:hAnsi="宋体" w:cs="宋体"/>
          <w:color w:val="auto"/>
          <w:sz w:val="24"/>
          <w:highlight w:val="none"/>
        </w:rPr>
        <w:t xml:space="preserve">3%</w:t>
      </w:r>
      <w:r>
        <w:rPr>
          <w:rFonts w:hint="eastAsia" w:ascii="宋体" w:hAnsi="宋体" w:cs="宋体"/>
          <w:color w:val="auto"/>
          <w:sz w:val="24"/>
          <w:highlight w:val="none"/>
        </w:rPr>
        <w:t xml:space="preserve">的违约金。</w:t>
      </w:r>
      <w:r/>
    </w:p>
    <w:p>
      <w:pPr>
        <w:ind w:firstLine="480"/>
        <w:keepLines w:val="0"/>
        <w:keepNext w:val="0"/>
        <w:pageBreakBefore w:val="0"/>
        <w:spacing w:line="360" w:lineRule="auto"/>
        <w:widowControl w:val="off"/>
        <w:rPr>
          <w:color w:val="auto"/>
          <w:sz w:val="24"/>
          <w:highlight w:val="none"/>
        </w:rPr>
      </w:pPr>
      <w:r>
        <w:rPr>
          <w:rFonts w:ascii="宋体" w:hAnsi="宋体" w:cs="宋体"/>
          <w:color w:val="auto"/>
          <w:sz w:val="24"/>
          <w:highlight w:val="none"/>
        </w:rPr>
        <w:t xml:space="preserve">3.</w:t>
      </w:r>
      <w:r>
        <w:rPr>
          <w:color w:val="auto"/>
          <w:sz w:val="24"/>
          <w:highlight w:val="none"/>
        </w:rPr>
        <w:t xml:space="preserve"> </w:t>
      </w:r>
      <w:r>
        <w:rPr>
          <w:rFonts w:hint="eastAsia"/>
          <w:color w:val="auto"/>
          <w:sz w:val="24"/>
          <w:highlight w:val="none"/>
        </w:rPr>
        <w:t xml:space="preserve">违约责任</w:t>
      </w:r>
      <w:r>
        <w:rPr>
          <w:color w:val="auto"/>
          <w:sz w:val="24"/>
          <w:highlight w:val="none"/>
        </w:rPr>
        <w:t xml:space="preserve"> </w:t>
      </w:r>
      <w:r/>
    </w:p>
    <w:p>
      <w:pPr>
        <w:ind w:firstLine="480"/>
        <w:keepLines w:val="0"/>
        <w:keepNext w:val="0"/>
        <w:pageBreakBefore w:val="0"/>
        <w:spacing w:line="360" w:lineRule="auto"/>
        <w:widowControl w:val="off"/>
        <w:rPr>
          <w:color w:val="auto"/>
          <w:sz w:val="24"/>
          <w:highlight w:val="none"/>
        </w:rPr>
      </w:pPr>
      <w:r>
        <w:rPr>
          <w:rFonts w:hint="eastAsia"/>
          <w:color w:val="auto"/>
          <w:sz w:val="24"/>
          <w:highlight w:val="none"/>
        </w:rPr>
        <w:t xml:space="preserve">（1）非免税设备：设备全部齐套到货视为交货完成。非不可抗力情形下乙方未正常履约的，甲方有权扣除履约保证金作为履约惩戒；乙方逾期供货、合同可继续履行的，按合同总额每日2‰计收逾期违约金，总额不超合同总价10%，甲方可在货款中直接抵扣；逾期超过10个工作日仍无法供货的，甲方有权终止合同。</w:t>
      </w:r>
      <w:r/>
    </w:p>
    <w:p>
      <w:pPr>
        <w:ind w:firstLine="480"/>
        <w:keepLines w:val="0"/>
        <w:keepNext w:val="0"/>
        <w:pageBreakBefore w:val="0"/>
        <w:spacing w:line="360" w:lineRule="auto"/>
        <w:widowControl w:val="off"/>
        <w:rPr>
          <w:color w:val="auto"/>
          <w:sz w:val="24"/>
          <w:highlight w:val="none"/>
        </w:rPr>
      </w:pPr>
      <w:r>
        <w:rPr>
          <w:rFonts w:hint="eastAsia"/>
          <w:color w:val="auto"/>
          <w:sz w:val="24"/>
          <w:highlight w:val="none"/>
        </w:rPr>
        <w:t xml:space="preserve">（2）免税进口设备：设备全部齐套到货视为交货完成。非不可抗力情形下乙方未正常履约的，甲方有权扣除履约保证金作为履约惩戒；乙方逾期供货、合同可继续履行的，按合同总额每日2‰计收逾期违约金，总额不超合同总价10%，甲方可在货款中直接抵扣；逾期超过1</w:t>
      </w:r>
      <w:r>
        <w:rPr>
          <w:rFonts w:hint="eastAsia"/>
          <w:color w:val="auto"/>
          <w:sz w:val="24"/>
          <w:highlight w:val="none"/>
        </w:rPr>
        <w:t xml:space="preserve">0个工作日仍无法供货的，甲方有权终止合同。此外，因乙方（含其委托代理）责任，同一进口事项（减免税申请、报关申报等）被海关要求补材料或退单，乙方应于2个工作日内书面报备并提交整改方案，同一事项发生2次及以上的，按对应货值1‰计收专项违约金；专项违约金与逾期违约金合并计取，上限为合同总价10%，不足弥补损失的，甲方有权继续追偿。因申报审核期间新出台海关政策调整、海关系统故障等非乙方原因造成补件、退单，不计收该项专项违约金，乙方仍须及时报备推进；申报前已公开生效政策，乙方负有预判及合规申报义务，不适用该免责约定。</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八、不可抗力</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在执行合同期限内，任何一方因不可抗力事件造成合同不能履行时，应立即以书面形式通知对方，并附有关权威机构出具的证明，经对方同意后可延长合同履行期，其延长期与不可抗力影响期相同。不可抗力事件延续</w:t>
      </w:r>
      <w:r>
        <w:rPr>
          <w:rFonts w:ascii="宋体" w:hAnsi="宋体" w:cs="宋体"/>
          <w:color w:val="auto"/>
          <w:sz w:val="24"/>
          <w:highlight w:val="none"/>
        </w:rPr>
        <w:t xml:space="preserve">7</w:t>
      </w:r>
      <w:r>
        <w:rPr>
          <w:rFonts w:hint="eastAsia" w:ascii="宋体" w:hAnsi="宋体" w:cs="宋体"/>
          <w:color w:val="auto"/>
          <w:sz w:val="24"/>
          <w:highlight w:val="none"/>
        </w:rPr>
        <w:t xml:space="preserve">天及以上时，双方应通过友好协商，决定是否继续履行合同。合同执行过程中的所有非甲方责任造成的问题，由乙方承担并负责协调解决。</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九、合同附件</w:t>
      </w:r>
      <w:r/>
    </w:p>
    <w:p>
      <w:pPr>
        <w:ind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甲乙双方的招投标文件作为本合同附件，与合同具有同等法律效力，双方应严格遵守招标文件和投标文件及本合同约定的权利、义务。</w:t>
      </w:r>
      <w:r/>
    </w:p>
    <w:p>
      <w:pPr>
        <w:pStyle w:val="859"/>
        <w:numPr>
          <w:ilvl w:val="0"/>
          <w:numId w:val="0"/>
        </w:num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十、争议解决</w:t>
      </w:r>
      <w:r/>
    </w:p>
    <w:p>
      <w:pPr>
        <w:pStyle w:val="859"/>
        <w:numPr>
          <w:ilvl w:val="0"/>
          <w:numId w:val="0"/>
        </w:num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本合同未尽事宜，双方按《中华人民共和国民法典》有关规定协商处理。协商不成的，提请合同签订地人民法院通过诉讼解决。</w:t>
      </w:r>
      <w:r/>
    </w:p>
    <w:p>
      <w:pPr>
        <w:pStyle w:val="859"/>
        <w:numPr>
          <w:ilvl w:val="0"/>
          <w:numId w:val="0"/>
        </w:num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十一、合同附件及生效</w:t>
      </w:r>
      <w:r/>
    </w:p>
    <w:p>
      <w:pPr>
        <w:pStyle w:val="859"/>
        <w:numPr>
          <w:ilvl w:val="0"/>
          <w:numId w:val="0"/>
        </w:num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本合同一式六份，甲方执五份，乙方执一份，具有同等法律效力，经甲乙双方签字并加盖公章后生效。</w:t>
      </w:r>
      <w:r/>
    </w:p>
    <w:p>
      <w:pPr>
        <w:pStyle w:val="859"/>
        <w:numPr>
          <w:ilvl w:val="0"/>
          <w:numId w:val="0"/>
        </w:num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859"/>
        <w:numPr>
          <w:ilvl w:val="0"/>
          <w:numId w:val="0"/>
        </w:num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859"/>
        <w:numPr>
          <w:ilvl w:val="0"/>
          <w:numId w:val="0"/>
        </w:num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859"/>
        <w:numPr>
          <w:ilvl w:val="0"/>
          <w:numId w:val="0"/>
        </w:num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859"/>
        <w:numPr>
          <w:ilvl w:val="0"/>
          <w:numId w:val="0"/>
        </w:num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859"/>
        <w:numPr>
          <w:ilvl w:val="0"/>
          <w:numId w:val="0"/>
        </w:num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859"/>
        <w:numPr>
          <w:ilvl w:val="0"/>
          <w:numId w:val="0"/>
        </w:numPr>
        <w:ind w:lef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1088"/>
        <w:rPr>
          <w:color w:val="auto"/>
          <w:highlight w:val="none"/>
          <w:lang w:eastAsia="zh-CN"/>
        </w:rPr>
      </w:pPr>
      <w:r>
        <w:rPr>
          <w:color w:val="auto"/>
          <w:highlight w:val="none"/>
          <w:lang w:eastAsia="zh-CN"/>
        </w:rPr>
      </w:r>
      <w:bookmarkEnd w:id="431"/>
      <w:r/>
      <w:bookmarkEnd w:id="432"/>
      <w:r/>
      <w:bookmarkEnd w:id="433"/>
      <w:r/>
      <w:bookmarkEnd w:id="434"/>
      <w:r/>
      <w:bookmarkEnd w:id="435"/>
      <w:r/>
      <w:r/>
    </w:p>
    <w:p>
      <w:pPr>
        <w:jc w:val="center"/>
        <w:spacing w:before="120" w:after="120" w:line="0" w:lineRule="atLeast"/>
        <w:rPr>
          <w:rFonts w:hint="eastAsia" w:ascii="黑体" w:hAnsi="Courier New" w:eastAsia="黑体" w:cs="Courier New"/>
          <w:bCs/>
          <w:color w:val="auto"/>
          <w:sz w:val="44"/>
          <w:szCs w:val="21"/>
          <w:highlight w:val="none"/>
        </w:rPr>
        <w:outlineLvl w:val="0"/>
      </w:pPr>
      <w:r/>
      <w:bookmarkStart w:id="442" w:name="_Toc546"/>
      <w:r/>
      <w:bookmarkStart w:id="443" w:name="_Toc49090575"/>
      <w:r/>
      <w:bookmarkStart w:id="444" w:name="_Toc120614281"/>
      <w:r/>
      <w:bookmarkStart w:id="445" w:name="_Toc26554093"/>
      <w:r/>
      <w:r/>
    </w:p>
    <w:p>
      <w:pPr>
        <w:pStyle w:val="820"/>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pStyle w:val="820"/>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rPr>
          <w:rFonts w:hint="eastAsia"/>
        </w:rPr>
      </w:pPr>
      <w:r>
        <w:rPr>
          <w:rFonts w:hint="eastAsia"/>
        </w:rPr>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hint="eastAsia" w:ascii="黑体" w:hAnsi="Courier New" w:eastAsia="黑体" w:cs="Courier New"/>
          <w:bCs/>
          <w:color w:val="auto"/>
          <w:sz w:val="44"/>
          <w:szCs w:val="21"/>
          <w:highlight w:val="none"/>
        </w:rPr>
      </w:r>
      <w:r/>
    </w:p>
    <w:p>
      <w:pPr>
        <w:jc w:val="center"/>
        <w:spacing w:before="120" w:after="120" w:line="0" w:lineRule="atLeast"/>
        <w:rPr>
          <w:rFonts w:ascii="宋体" w:hAnsi="宋体" w:cs="Courier New"/>
          <w:color w:val="auto"/>
          <w:sz w:val="24"/>
          <w:szCs w:val="24"/>
          <w:highlight w:val="none"/>
        </w:rPr>
        <w:outlineLvl w:val="0"/>
      </w:pPr>
      <w:r>
        <w:rPr>
          <w:rFonts w:hint="eastAsia" w:ascii="黑体" w:hAnsi="Courier New" w:eastAsia="黑体" w:cs="Courier New"/>
          <w:bCs/>
          <w:color w:val="auto"/>
          <w:sz w:val="44"/>
          <w:szCs w:val="21"/>
          <w:highlight w:val="none"/>
        </w:rPr>
        <w:t xml:space="preserve">第四章 采购需求</w:t>
      </w:r>
      <w:bookmarkEnd w:id="442"/>
      <w:r/>
      <w:r/>
    </w:p>
    <w:p>
      <w:pPr>
        <w:ind w:firstLine="480"/>
        <w:spacing w:line="360" w:lineRule="auto"/>
        <w:rPr>
          <w:rFonts w:ascii="宋体" w:hAnsi="宋体"/>
          <w:color w:val="auto"/>
          <w:sz w:val="24"/>
          <w:szCs w:val="24"/>
          <w:highlight w:val="none"/>
        </w:rPr>
        <w:outlineLvl w:val="0"/>
      </w:pPr>
      <w:r/>
      <w:bookmarkStart w:id="446" w:name="_Toc31908"/>
      <w:r>
        <w:rPr>
          <w:rFonts w:hint="eastAsia" w:ascii="宋体" w:hAnsi="宋体"/>
          <w:color w:val="auto"/>
          <w:sz w:val="24"/>
          <w:szCs w:val="24"/>
          <w:highlight w:val="none"/>
        </w:rPr>
        <w:t xml:space="preserve">一、项目属性</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货物类项目。采购标的对应的中小企业划分标准所属行业详见货物采购清单。</w:t>
      </w:r>
      <w:bookmarkEnd w:id="446"/>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1、本项目需求中标注★号的部分为实质性要求和条件，投标人必须作出满足或者优于原要求和条件的响应，否则投标无效。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color w:val="auto"/>
          <w:sz w:val="24"/>
          <w:szCs w:val="24"/>
          <w:highlight w:val="none"/>
          <w:lang w:val="en-US" w:eastAsia="zh-CN"/>
        </w:rPr>
        <w:outlineLvl w:val="0"/>
      </w:pPr>
      <w:r/>
      <w:bookmarkStart w:id="447" w:name="_Toc13634"/>
      <w:r/>
      <w:bookmarkStart w:id="448" w:name="_Toc103953737"/>
      <w:r>
        <w:rPr>
          <w:rFonts w:hint="eastAsia" w:ascii="宋体" w:hAnsi="宋体"/>
          <w:color w:val="auto"/>
          <w:sz w:val="24"/>
          <w:szCs w:val="24"/>
          <w:highlight w:val="none"/>
        </w:rPr>
        <w:t xml:space="preserve">二、项目</w:t>
      </w:r>
      <w:bookmarkEnd w:id="447"/>
      <w:r/>
      <w:bookmarkEnd w:id="448"/>
      <w:r>
        <w:rPr>
          <w:rFonts w:hint="eastAsia" w:ascii="宋体" w:hAnsi="宋体"/>
          <w:color w:val="auto"/>
          <w:sz w:val="24"/>
          <w:szCs w:val="24"/>
          <w:highlight w:val="none"/>
          <w:lang w:val="en-US" w:eastAsia="zh-CN"/>
        </w:rPr>
        <w:t xml:space="preserve">概况</w:t>
      </w:r>
      <w:r/>
    </w:p>
    <w:p>
      <w:pPr>
        <w:ind w:firstLine="480"/>
        <w:spacing w:line="360" w:lineRule="auto"/>
        <w:rPr>
          <w:rFonts w:hint="eastAsia" w:ascii="宋体" w:hAnsi="宋体"/>
          <w:color w:val="auto"/>
          <w:sz w:val="24"/>
          <w:szCs w:val="24"/>
          <w:highlight w:val="none"/>
        </w:rPr>
        <w:outlineLvl w:val="0"/>
      </w:pPr>
      <w:r/>
      <w:bookmarkStart w:id="449" w:name="_Toc10284"/>
      <w:r>
        <w:rPr>
          <w:rFonts w:hint="eastAsia" w:ascii="宋体" w:hAnsi="宋体"/>
          <w:color w:val="auto"/>
          <w:sz w:val="24"/>
          <w:szCs w:val="24"/>
          <w:highlight w:val="none"/>
        </w:rPr>
        <w:t xml:space="preserve">根据学校分析测试中心建设计划，拟采购单晶衍射仪1台。设备服务学校教学、科研和对外社会服务等活动，主要应用于单晶样品的晶体结构测定，支撑海洋新材料研发、海洋矿物表征、天然活性物质结构鉴定等领域研究工作。</w:t>
      </w:r>
      <w:r/>
    </w:p>
    <w:p>
      <w:pPr>
        <w:ind w:firstLine="480"/>
        <w:spacing w:line="360" w:lineRule="auto"/>
        <w:rPr>
          <w:rFonts w:hint="eastAsia" w:ascii="宋体" w:hAnsi="宋体" w:eastAsia="宋体"/>
          <w:color w:val="auto"/>
          <w:sz w:val="24"/>
          <w:szCs w:val="24"/>
          <w:highlight w:val="none"/>
          <w:lang w:eastAsia="zh-CN"/>
        </w:rPr>
        <w:outlineLvl w:val="0"/>
      </w:pPr>
      <w:r>
        <w:rPr>
          <w:rFonts w:hint="eastAsia" w:ascii="宋体" w:hAnsi="宋体"/>
          <w:color w:val="auto"/>
          <w:sz w:val="24"/>
          <w:szCs w:val="24"/>
          <w:highlight w:val="none"/>
        </w:rPr>
        <w:t xml:space="preserve">设备主要应用于化学结晶学领域，能够准确、快速测定晶体结构，区分和确定晶体的手征性及空间结构。仪器包括：Mo光管及发生器、Cu光管及发生器、探测器、高精度光学编码器测角仪、高稳定性X射线发生器、液氮低温系统、计算机控制系统以及控制、数据收集和分析处理、维护等软件，单晶解结构软件及样品测试所需外围辅助设备</w:t>
      </w:r>
      <w:r>
        <w:rPr>
          <w:rFonts w:hint="eastAsia" w:ascii="宋体" w:hAnsi="宋体"/>
          <w:color w:val="auto"/>
          <w:sz w:val="24"/>
          <w:szCs w:val="24"/>
          <w:highlight w:val="none"/>
          <w:lang w:eastAsia="zh-CN"/>
        </w:rPr>
        <w:t xml:space="preserve">。</w:t>
      </w:r>
      <w:r/>
    </w:p>
    <w:p>
      <w:pPr>
        <w:ind w:firstLine="480"/>
        <w:spacing w:line="360" w:lineRule="auto"/>
        <w:rPr>
          <w:rFonts w:ascii="宋体" w:hAnsi="宋体"/>
          <w:color w:val="auto"/>
          <w:sz w:val="24"/>
          <w:szCs w:val="24"/>
          <w:highlight w:val="none"/>
        </w:rPr>
        <w:outlineLvl w:val="0"/>
      </w:pPr>
      <w:r>
        <w:rPr>
          <w:rFonts w:hint="eastAsia" w:ascii="宋体" w:hAnsi="宋体"/>
          <w:color w:val="auto"/>
          <w:sz w:val="24"/>
          <w:szCs w:val="24"/>
          <w:highlight w:val="none"/>
        </w:rPr>
        <w:t xml:space="preserve">三、货物清单及需要满足的技术要求</w:t>
      </w:r>
      <w:bookmarkEnd w:id="449"/>
      <w:r/>
      <w:r/>
    </w:p>
    <w:p>
      <w:pPr>
        <w:ind w:firstLine="480"/>
        <w:spacing w:line="360" w:lineRule="auto"/>
        <w:rPr>
          <w:rFonts w:ascii="宋体" w:hAnsi="宋体"/>
          <w:color w:val="auto"/>
          <w:sz w:val="24"/>
          <w:szCs w:val="24"/>
          <w:highlight w:val="none"/>
        </w:rPr>
        <w:outlineLvl w:val="1"/>
      </w:pPr>
      <w:r/>
      <w:bookmarkStart w:id="450" w:name="_Toc31117"/>
      <w:r>
        <w:rPr>
          <w:rFonts w:hint="eastAsia" w:ascii="宋体" w:hAnsi="宋体"/>
          <w:color w:val="auto"/>
          <w:sz w:val="24"/>
          <w:szCs w:val="24"/>
          <w:highlight w:val="none"/>
        </w:rPr>
        <w:t xml:space="preserve">（一）采购清单</w:t>
      </w:r>
      <w:bookmarkEnd w:id="450"/>
      <w:r/>
      <w:r/>
    </w:p>
    <w:tbl>
      <w:tblPr>
        <w:tblStyle w:val="819"/>
        <w:tblW w:w="8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13" w:type="dxa"/>
          <w:right w:w="108" w:type="dxa"/>
          <w:bottom w:w="0" w:type="dxa"/>
        </w:tblCellMar>
        <w:tblLook w:val="04A0" w:firstRow="1" w:lastRow="0" w:firstColumn="1" w:lastColumn="0" w:noHBand="0" w:noVBand="1"/>
      </w:tblPr>
      <w:tblGrid>
        <w:gridCol w:w="866"/>
        <w:gridCol w:w="2441"/>
        <w:gridCol w:w="1089"/>
        <w:gridCol w:w="806"/>
        <w:gridCol w:w="3536"/>
      </w:tblGrid>
      <w:tr>
        <w:trPr>
          <w:jc w:val="center"/>
          <w:trHeight w:val="991" w:hRule="exact"/>
        </w:trPr>
        <w:tc>
          <w:tcPr>
            <w:tcW w:w="86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44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货物（标的）名称</w:t>
            </w:r>
            <w:r/>
          </w:p>
        </w:tc>
        <w:tc>
          <w:tcPr>
            <w:tcW w:w="10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806" w:type="dxa"/>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单位</w:t>
            </w:r>
            <w:r/>
          </w:p>
        </w:tc>
        <w:tc>
          <w:tcPr>
            <w:tcW w:w="35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中小企业划分标准所属行业</w:t>
            </w:r>
            <w:r/>
          </w:p>
        </w:tc>
      </w:tr>
      <w:tr>
        <w:trPr>
          <w:jc w:val="center"/>
          <w:trHeight w:val="756" w:hRule="exact"/>
        </w:trPr>
        <w:tc>
          <w:tcPr>
            <w:tcW w:w="866" w:type="dxa"/>
            <w:vAlign w:val="center"/>
            <w:textDirection w:val="lrTb"/>
            <w:noWrap w:val="false"/>
          </w:tcPr>
          <w:p>
            <w:pPr>
              <w:jc w:val="center"/>
              <w:spacing w:line="360" w:lineRule="auto"/>
              <w:rPr>
                <w:rFonts w:ascii="宋体" w:hAnsi="宋体"/>
                <w:color w:val="auto"/>
                <w:sz w:val="24"/>
                <w:szCs w:val="24"/>
                <w:highlight w:val="none"/>
              </w:rPr>
            </w:pPr>
            <w:r/>
            <w:bookmarkStart w:id="451" w:name="_Toc17850"/>
            <w:r>
              <w:rPr>
                <w:rFonts w:hint="eastAsia" w:ascii="宋体" w:hAnsi="宋体"/>
                <w:color w:val="auto"/>
                <w:sz w:val="24"/>
                <w:szCs w:val="24"/>
                <w:highlight w:val="none"/>
              </w:rPr>
              <w:t xml:space="preserve">1</w:t>
            </w:r>
            <w:r/>
          </w:p>
        </w:tc>
        <w:tc>
          <w:tcPr>
            <w:tcW w:w="2441"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单晶衍射仪</w:t>
            </w:r>
            <w:r/>
          </w:p>
        </w:tc>
        <w:tc>
          <w:tcPr>
            <w:tcW w:w="108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06" w:type="dxa"/>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台</w:t>
            </w:r>
            <w:r/>
          </w:p>
        </w:tc>
        <w:tc>
          <w:tcPr>
            <w:tcW w:w="353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工业</w:t>
            </w:r>
            <w:r/>
          </w:p>
        </w:tc>
      </w:tr>
    </w:tbl>
    <w:p>
      <w:pPr>
        <w:ind w:firstLine="482"/>
        <w:keepLines w:val="0"/>
        <w:keepNext w:val="0"/>
        <w:pageBreakBefore w:val="0"/>
        <w:spacing w:line="360" w:lineRule="auto"/>
        <w:widowControl w:val="off"/>
        <w:rPr>
          <w:rFonts w:hint="eastAsia" w:ascii="宋体" w:hAnsi="宋体"/>
          <w:b/>
          <w:bCs/>
          <w:color w:val="auto"/>
          <w:sz w:val="24"/>
          <w:szCs w:val="24"/>
          <w:highlight w:val="none"/>
          <w:lang w:val="en-US" w:eastAsia="zh-CN"/>
        </w:rPr>
        <w:outlineLvl w:val="1"/>
      </w:pPr>
      <w:r>
        <w:rPr>
          <w:rFonts w:hint="eastAsia" w:ascii="宋体" w:hAnsi="宋体"/>
          <w:b/>
          <w:bCs/>
          <w:color w:val="auto"/>
          <w:sz w:val="24"/>
          <w:szCs w:val="24"/>
          <w:highlight w:val="none"/>
          <w:lang w:val="en-US" w:eastAsia="zh-CN"/>
        </w:rPr>
        <w:t xml:space="preserve">注：根据关于印发中小企业划型标准规定的通知（工信部联企业〔2011〕300号）（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keepLines w:val="0"/>
        <w:keepNext w:val="0"/>
        <w:pageBreakBefore w:val="0"/>
        <w:spacing w:line="360" w:lineRule="auto"/>
        <w:widowControl w:val="off"/>
        <w:rPr>
          <w:rFonts w:ascii="宋体" w:hAnsi="宋体"/>
          <w:b/>
          <w:bCs/>
          <w:color w:val="auto"/>
          <w:sz w:val="24"/>
          <w:szCs w:val="24"/>
          <w:highlight w:val="none"/>
        </w:rPr>
        <w:outlineLvl w:val="1"/>
      </w:pPr>
      <w:r>
        <w:rPr>
          <w:rFonts w:hint="eastAsia" w:ascii="宋体" w:hAnsi="宋体"/>
          <w:b/>
          <w:bCs/>
          <w:color w:val="auto"/>
          <w:sz w:val="24"/>
          <w:szCs w:val="24"/>
          <w:highlight w:val="none"/>
        </w:rPr>
        <w:t xml:space="preserve">（二）技术性能及功能参数指标</w:t>
      </w:r>
      <w:bookmarkEnd w:id="451"/>
      <w:r/>
      <w:r/>
    </w:p>
    <w:p>
      <w:pPr>
        <w:ind w:firstLine="482"/>
        <w:keepLines w:val="0"/>
        <w:keepNext w:val="0"/>
        <w:pageBreakBefore w:val="0"/>
        <w:spacing w:line="360" w:lineRule="auto"/>
        <w:widowControl w:val="off"/>
        <w:rPr>
          <w:rFonts w:ascii="宋体" w:hAnsi="宋体"/>
          <w:b/>
          <w:bCs/>
          <w:color w:val="auto"/>
          <w:sz w:val="24"/>
          <w:szCs w:val="24"/>
          <w:highlight w:val="none"/>
        </w:rPr>
        <w:outlineLvl w:val="2"/>
      </w:pPr>
      <w:r>
        <w:rPr>
          <w:rFonts w:hint="eastAsia" w:ascii="宋体" w:hAnsi="宋体"/>
          <w:b/>
          <w:bCs/>
          <w:color w:val="auto"/>
          <w:sz w:val="24"/>
          <w:szCs w:val="24"/>
          <w:highlight w:val="none"/>
        </w:rPr>
        <w:t xml:space="preserve">单晶衍射仪</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bookmarkStart w:id="452" w:name="_Toc25474"/>
      <w:r>
        <w:rPr>
          <w:rFonts w:hint="eastAsia" w:ascii="宋体" w:hAnsi="宋体" w:cs="Times New Roman"/>
          <w:color w:val="auto"/>
          <w:sz w:val="24"/>
          <w:szCs w:val="24"/>
          <w:highlight w:val="none"/>
          <w:lang w:val="en-US" w:eastAsia="zh-CN" w:bidi="ar-SA"/>
        </w:rPr>
        <w:t xml:space="preserve">1、工作条件</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1.1 工作电压：AC 220V(±15%)，50Hz，单相或AC 380V(±15%)，50Hz，三相</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1.2 环境温度：18～28℃</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1.3 相对湿度：20%~80%</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1.4 仪器运行持久性：可连续运行</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2、X射线发生器及光路：Mo光源</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★2.1功率≥70W</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2.2最大管电压：≥50kV</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2.3最大管电流：≥1.4mA</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▲2.4 Mo靶类型：微焦斑Mo靶</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▲2.5 辐射豁免：设备具备国家生态环境部的辐射豁免公告，提供公告网址，并提供辐射豁免办理单位的授权。</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3、X射线发生器及光路：Cu光源</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★3.1功率 ≥55W</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3.2 最大管电压：≥50kV</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3.3 最大管电流：≥1.1mA</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▲3.4 Cu靶类型：微焦斑Cu靶</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4、测角仪</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4.1 测角仪采用光学编码器方式</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4.2 φ轴：360°旋转，重复精度≤0.001°</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4.3 ω轴/2θ：360°旋转，重复精度≤0.0002°</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▲4.4 探测器移动距离：优于30mm~230mm°</w:t>
      </w:r>
      <w:r/>
    </w:p>
    <w:p>
      <w:pPr>
        <w:ind w:left="0" w:firstLine="480"/>
        <w:pageBreakBefore w:val="0"/>
        <w:spacing w:line="360" w:lineRule="auto"/>
        <w:widowControl w:val="off"/>
        <w:rPr>
          <w:rFonts w:hint="default"/>
          <w:color w:val="auto"/>
          <w:highlight w:val="none"/>
          <w:lang w:val="en-US" w:eastAsia="zh-CN"/>
        </w:rPr>
        <w:outlineLvl w:val="2"/>
      </w:pPr>
      <w:r>
        <w:rPr>
          <w:rFonts w:hint="eastAsia" w:ascii="宋体" w:hAnsi="宋体" w:cs="Times New Roman"/>
          <w:color w:val="auto"/>
          <w:sz w:val="24"/>
          <w:szCs w:val="24"/>
          <w:highlight w:val="none"/>
          <w:lang w:val="en-US" w:eastAsia="zh-CN" w:bidi="ar-SA"/>
        </w:rPr>
        <w:t xml:space="preserve">▲4.5 2θ：-148°-159°旋转，重复精度≤0.0002°</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5、探测器</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5.1探测器类型：CPAD单晶面探仪</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★5.2 窗口直径尺寸：≥145×110mm</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▲5.3 CMOS探测器移动距离范围：35～240 mm </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★5.4 CMOS芯片尺寸：145mm×110mm</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5.5 制冷方式：风冷</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▲5.6 读出时间，帧与帧之间无停顿，连续扫描，shutterless技术</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6、工作站及软件</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6.1 配套数据采集工作站配置不低于：10核处理器、4.1GHz主频、8G内存、2TB硬盘、26寸显示器</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6.2 配套晶体结构解析工作站配置不低于：20核28线程处理器、5.5GHz主频、16G内存、512G SSD、2TB 机械硬盘、4G独立显卡、27寸4K显示器</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6.3 配套主机控制、维护基本软件</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6.4 配套使用图形用户界面的单晶帧数据获取和成像软件</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6.5 配套面探测器数据收集整体方案最优化组织软件</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▲6.6 配套正版的商业版晶体结构最新分析SHELXTL软件包，具备晶体结构解析及精修所需要的所有功能</w:t>
      </w:r>
      <w:r/>
    </w:p>
    <w:p>
      <w:pPr>
        <w:ind w:left="0" w:firstLine="480"/>
        <w:pageBreakBefore w:val="0"/>
        <w:spacing w:line="360" w:lineRule="auto"/>
        <w:widowControl w:val="off"/>
        <w:rPr>
          <w:rFonts w:hint="eastAsia"/>
          <w:color w:val="auto"/>
          <w:highlight w:val="none"/>
          <w:lang w:val="en-US" w:eastAsia="zh-CN"/>
        </w:rPr>
        <w:outlineLvl w:val="2"/>
      </w:pPr>
      <w:r>
        <w:rPr>
          <w:rFonts w:hint="eastAsia" w:ascii="宋体" w:hAnsi="宋体" w:cs="Times New Roman"/>
          <w:color w:val="auto"/>
          <w:sz w:val="24"/>
          <w:szCs w:val="24"/>
          <w:highlight w:val="none"/>
          <w:lang w:val="en-US" w:eastAsia="zh-CN" w:bidi="ar-SA"/>
        </w:rPr>
        <w:t xml:space="preserve">▲6.7 软件需具备孪晶分析能力，最高支持8重孪晶</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7、显微镜</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7.1 提供符合设备需求的偏光显微镜以满足样品筛选</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8、液氮低温装置</w:t>
      </w:r>
      <w:bookmarkEnd w:id="452"/>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bookmarkStart w:id="453" w:name="_Toc11221"/>
      <w:r>
        <w:rPr>
          <w:rFonts w:hint="eastAsia" w:ascii="宋体" w:hAnsi="宋体" w:cs="Times New Roman"/>
          <w:color w:val="auto"/>
          <w:sz w:val="24"/>
          <w:szCs w:val="24"/>
          <w:highlight w:val="none"/>
          <w:lang w:val="en-US" w:eastAsia="zh-CN" w:bidi="ar-SA"/>
        </w:rPr>
        <w:t xml:space="preserve">▲8.1 降温范围：100K~400K</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8.2 控温精度：±0.1℃</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8.3 降温介质：液氮</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9、工具耗材</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9.1 晶体挑选和上样套装：包括晶体挑选上样工具包（包含10、20、30、50、75、100、150和200 μm loop环各5只）、测角头底座20只</w:t>
      </w:r>
      <w:r/>
    </w:p>
    <w:p>
      <w:pPr>
        <w:ind w:left="0" w:firstLine="480"/>
        <w:pageBreakBefore w:val="0"/>
        <w:spacing w:line="360" w:lineRule="auto"/>
        <w:widowControl w:val="off"/>
        <w:rPr>
          <w:rFonts w:hint="eastAsia"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9.2 设备配套维护工具1套（含扳手、螺丝刀等）</w:t>
      </w:r>
      <w:r/>
    </w:p>
    <w:p>
      <w:pPr>
        <w:ind w:left="0" w:firstLine="480"/>
        <w:pageBreakBefore w:val="0"/>
        <w:spacing w:line="360" w:lineRule="auto"/>
        <w:widowControl w:val="off"/>
        <w:rPr>
          <w:rFonts w:hint="default" w:ascii="宋体" w:hAnsi="宋体" w:cs="Times New Roman"/>
          <w:color w:val="auto"/>
          <w:sz w:val="24"/>
          <w:szCs w:val="24"/>
          <w:highlight w:val="none"/>
          <w:lang w:val="en-US" w:eastAsia="zh-CN" w:bidi="ar-SA"/>
        </w:rPr>
        <w:outlineLvl w:val="2"/>
      </w:pPr>
      <w:r>
        <w:rPr>
          <w:rFonts w:hint="eastAsia" w:ascii="宋体" w:hAnsi="宋体" w:cs="Times New Roman"/>
          <w:color w:val="auto"/>
          <w:sz w:val="24"/>
          <w:szCs w:val="24"/>
          <w:highlight w:val="none"/>
          <w:lang w:val="en-US" w:eastAsia="zh-CN" w:bidi="ar-SA"/>
        </w:rPr>
        <w:t xml:space="preserve">9.3 低温保护油2瓶</w:t>
      </w:r>
      <w:r/>
    </w:p>
    <w:p>
      <w:pPr>
        <w:ind w:firstLine="482"/>
        <w:spacing w:line="360" w:lineRule="auto"/>
        <w:rPr>
          <w:rFonts w:ascii="宋体" w:hAnsi="宋体"/>
          <w:b/>
          <w:bCs/>
          <w:color w:val="auto"/>
          <w:sz w:val="24"/>
          <w:szCs w:val="24"/>
          <w:highlight w:val="none"/>
        </w:rPr>
        <w:outlineLvl w:val="0"/>
      </w:pPr>
      <w:r>
        <w:rPr>
          <w:rFonts w:hint="eastAsia" w:ascii="宋体" w:hAnsi="宋体"/>
          <w:b/>
          <w:bCs/>
          <w:color w:val="auto"/>
          <w:sz w:val="24"/>
          <w:szCs w:val="24"/>
          <w:highlight w:val="none"/>
        </w:rPr>
        <w:t xml:space="preserve">四、商务要求</w:t>
      </w:r>
      <w:bookmarkEnd w:id="453"/>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★1、交货期：合同签订后</w:t>
      </w:r>
      <w:r>
        <w:rPr>
          <w:rFonts w:hint="eastAsia" w:ascii="宋体" w:hAnsi="宋体"/>
          <w:color w:val="auto"/>
          <w:sz w:val="24"/>
          <w:szCs w:val="24"/>
          <w:highlight w:val="none"/>
          <w:lang w:val="en-US" w:eastAsia="zh-CN"/>
        </w:rPr>
        <w:t xml:space="preserve">120</w:t>
      </w:r>
      <w:r>
        <w:rPr>
          <w:rFonts w:hint="eastAsia" w:ascii="宋体" w:hAnsi="宋体"/>
          <w:color w:val="auto"/>
          <w:sz w:val="24"/>
          <w:szCs w:val="24"/>
          <w:highlight w:val="none"/>
        </w:rPr>
        <w:t xml:space="preserve">天内完成安装调试，达到预期效果。</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★2、交货方式</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（1）中标人在采购人指定地点交货，并完成安装、调试。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由中标人负责办理运输和装卸等，费用由中标人负责。采购人组织验收，检验不合格或不符合质量要求，中标人除无条件退货、返工外，还应承担采购人由此造成的一切损失。进口产品需随货提供报关单。初步验收不合格的不予签收货物。</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（3）按照国家现行行业规范标准进行安装，符合国家或行业质量检验评定标准，没有行业标准的产品，中标人应提供相关制造商标准。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3、交货地点：采购人指定地点。</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★4、质保期</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整机质保期≥1年，探测器和微焦斑Mo/Cu光源核心部件质保期≥3年，提供承诺书原件加盖公章。时间自采购人验收合格，签署验收报告之日起计算。产品须为全新、未使用过的原装合格正品。不得以已停产或样机等类型设备响应本项目。以到货设备铭牌标识为准，作为验收条件之一。安装质量符合各项现行技术规范和强制性标准。</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（2）质保期内发生任何设备损坏，所需要的维修费用（包括上门费、零部件费用、维修费用）均由中标人承担（人为操作不当造成的损坏除外）。</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（3）交付使用前发生的产品硬件损坏和不合格，一律退换新品。在质保期开始前三个月内，若发生产品损坏和性能不合格（非使用不当原因造成），除采购人同意修理者外，亦应退换新品。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、安装调试要求</w:t>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中标人需提供专业安装调试团队，团队成员涵盖精通相关技术的工程师以及具备良好协调能力的项目管理人员。在项目启动初期，依据项目规模与复杂程度，制定详尽周全的安装调试计划，明确各阶段的时间节点并合理配置人力、物力与技术资源，充分考虑可能出现的风险，如技术难题、设备兼容性问题以及外部环境干扰等，制定相应的风险应对预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）安装调试工作全部结束后，在质保期内提供的咨询与全面的技术支持服务，确保</w:t>
      </w:r>
      <w:r>
        <w:rPr>
          <w:rFonts w:hint="eastAsia" w:ascii="宋体" w:hAnsi="宋体"/>
          <w:color w:val="auto"/>
          <w:sz w:val="24"/>
          <w:szCs w:val="24"/>
          <w:highlight w:val="none"/>
          <w:lang w:val="en-US" w:eastAsia="zh-CN"/>
        </w:rPr>
        <w:t xml:space="preserve">设备</w:t>
      </w:r>
      <w:r>
        <w:rPr>
          <w:rFonts w:hint="eastAsia" w:ascii="宋体" w:hAnsi="宋体"/>
          <w:color w:val="auto"/>
          <w:sz w:val="24"/>
          <w:szCs w:val="24"/>
          <w:highlight w:val="none"/>
        </w:rPr>
        <w:t xml:space="preserve">始终处于</w:t>
      </w:r>
      <w:r>
        <w:rPr>
          <w:rFonts w:hint="eastAsia" w:ascii="宋体" w:hAnsi="宋体"/>
          <w:color w:val="auto"/>
          <w:sz w:val="24"/>
          <w:szCs w:val="24"/>
          <w:highlight w:val="none"/>
          <w:lang w:val="en-US" w:eastAsia="zh-CN"/>
        </w:rPr>
        <w:t xml:space="preserve">正常</w:t>
      </w:r>
      <w:r>
        <w:rPr>
          <w:rFonts w:hint="eastAsia" w:ascii="宋体" w:hAnsi="宋体"/>
          <w:color w:val="auto"/>
          <w:sz w:val="24"/>
          <w:szCs w:val="24"/>
          <w:highlight w:val="none"/>
        </w:rPr>
        <w:t xml:space="preserve">运行状态，满足采购人的业务需求与使用期望。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、国家或行业相关规范标准</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执行</w:t>
      </w:r>
      <w:r>
        <w:rPr>
          <w:rFonts w:hint="eastAsia" w:ascii="宋体" w:hAnsi="宋体"/>
          <w:color w:val="auto"/>
          <w:sz w:val="24"/>
          <w:szCs w:val="24"/>
          <w:highlight w:val="none"/>
        </w:rPr>
        <w:t xml:space="preserve">国家现行</w:t>
      </w:r>
      <w:r>
        <w:rPr>
          <w:rFonts w:hint="eastAsia" w:ascii="宋体" w:hAnsi="宋体"/>
          <w:color w:val="auto"/>
          <w:sz w:val="24"/>
          <w:szCs w:val="24"/>
          <w:highlight w:val="none"/>
          <w:lang w:val="en-US" w:eastAsia="zh-CN"/>
        </w:rPr>
        <w:t xml:space="preserve">标准，没有国家标准的执行</w:t>
      </w:r>
      <w:r>
        <w:rPr>
          <w:rFonts w:hint="eastAsia" w:ascii="宋体" w:hAnsi="宋体"/>
          <w:color w:val="auto"/>
          <w:sz w:val="24"/>
          <w:szCs w:val="24"/>
          <w:highlight w:val="none"/>
        </w:rPr>
        <w:t xml:space="preserve">行业规范标准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没有行业标准的参照制造商企业标准执行。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、人员配备要求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投标人须为本项目配备安装人员，投标人须为采购人免费提供人员培训，配备人员不得少于一人。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、履约验收要求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中标人严格按约定时间供货，提供的货物必须符合我国最新颁布的与之相关的技术规范与标准，成品货物的到货验收包括但不限于：品名、品牌、尺码、数量、质量、铭牌、产品外观及外包装完整无破损。</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中标人在交货前应对所有货物初步检查，并列出清单，作为采购人收货验收和使用的技术条件依据，清单应随货物一起交付采购人。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采购人试运行合格两周内依法组织验收工作。采购人在组织履约验收前，将根据项目特点制定验</w:t>
      </w:r>
      <w:r>
        <w:rPr>
          <w:rFonts w:hint="eastAsia" w:ascii="宋体" w:hAnsi="宋体"/>
          <w:color w:val="auto"/>
          <w:sz w:val="24"/>
          <w:szCs w:val="24"/>
          <w:highlight w:val="none"/>
        </w:rPr>
        <w:t xml:space="preserve">收方案，明确履约验收的时间、方式、程序等内容，中标人应根据验收方案内容做好相应配合工作。如有必要，采购人邀请参加本项目的其他投标人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、培训要求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中标人提供详细技术资料对采购人相关人员进行</w:t>
      </w:r>
      <w:r>
        <w:rPr>
          <w:rFonts w:hint="eastAsia" w:ascii="宋体" w:hAnsi="宋体"/>
          <w:color w:val="auto"/>
          <w:sz w:val="24"/>
          <w:szCs w:val="24"/>
          <w:highlight w:val="none"/>
          <w:lang w:val="en-US" w:eastAsia="zh-CN"/>
        </w:rPr>
        <w:t xml:space="preserve">设备</w:t>
      </w:r>
      <w:r>
        <w:rPr>
          <w:rFonts w:hint="eastAsia" w:ascii="宋体" w:hAnsi="宋体"/>
          <w:color w:val="auto"/>
          <w:sz w:val="24"/>
          <w:szCs w:val="24"/>
          <w:highlight w:val="none"/>
        </w:rPr>
        <w:t xml:space="preserve">操作培训，</w:t>
      </w:r>
      <w:r>
        <w:rPr>
          <w:rFonts w:hint="eastAsia" w:ascii="宋体" w:hAnsi="宋体"/>
          <w:color w:val="auto"/>
          <w:sz w:val="24"/>
          <w:szCs w:val="24"/>
          <w:highlight w:val="none"/>
          <w:lang w:val="en-US" w:eastAsia="zh-CN"/>
        </w:rPr>
        <w:t xml:space="preserve">必要时制作操作视频，</w:t>
      </w:r>
      <w:r>
        <w:rPr>
          <w:rFonts w:hint="eastAsia" w:ascii="宋体" w:hAnsi="宋体"/>
          <w:color w:val="auto"/>
          <w:sz w:val="24"/>
          <w:szCs w:val="24"/>
          <w:highlight w:val="none"/>
        </w:rPr>
        <w:t xml:space="preserve">确保使用人员熟练掌握</w:t>
      </w:r>
      <w:r>
        <w:rPr>
          <w:rFonts w:hint="eastAsia" w:ascii="宋体" w:hAnsi="宋体"/>
          <w:color w:val="auto"/>
          <w:sz w:val="24"/>
          <w:szCs w:val="24"/>
          <w:highlight w:val="none"/>
          <w:lang w:val="en-US" w:eastAsia="zh-CN"/>
        </w:rPr>
        <w:t xml:space="preserve">设备</w:t>
      </w:r>
      <w:r>
        <w:rPr>
          <w:rFonts w:hint="eastAsia" w:ascii="宋体" w:hAnsi="宋体"/>
          <w:color w:val="auto"/>
          <w:sz w:val="24"/>
          <w:szCs w:val="24"/>
          <w:highlight w:val="none"/>
        </w:rPr>
        <w:t xml:space="preserve">的使用方法、操作要领以及小故障排除办法。培训的内容、地点及频次应由双方协商制定，培训的相关费用均包含在本次投标报价中。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、售后</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highlight w:val="none"/>
        </w:rPr>
        <w:t xml:space="preserve">服务要求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bookmarkStart w:id="454" w:name="OLE_LINK2"/>
      <w:r>
        <w:rPr>
          <w:rFonts w:hint="eastAsia" w:ascii="宋体" w:hAnsi="宋体"/>
          <w:color w:val="auto"/>
          <w:sz w:val="24"/>
          <w:szCs w:val="24"/>
          <w:highlight w:val="none"/>
        </w:rPr>
        <w:t xml:space="preserve">投标人应配备相应的售后服务和技术人员、工具和备件并保证提供的联系方式畅通。投标人应在收到采购人通知后2小时内作出响应，48小时之内解决。如需投标人到合同货物现场，投标人应在收到采购人通知后24小时内到达，重大紧急情况12小时以内应到位，3个工作日内解决合同货物的故障（重大故障除外）。如不能按时解决，投标人应提供性能不低于故障产品的备用产品，或免费提供故障产品所承担分析测试等检测服务替代方案。</w:t>
      </w:r>
      <w:bookmarkEnd w:id="454"/>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（2）投标人承诺保证设备所需易损易耗件、备附件和配套工具等零部件的供应和保障。更换部件时须保证与原有产品的规格、型号、颜色和结构的一致性，并不得影响已使用场所正常工作的开展。</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（3）质保期满后，需提供充足的备品、备件，且提供工程师免费上门服务，终身维修。</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（4）免费提供技术人员对采购人操作技术培训，并提供相关技术培训资料。现场培训时间不低于3天。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（5）质保期内，安排技术人员每年对设备进行两次定期巡检（上门免费维护和保养）。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、投标报价要求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报价包括货物生产（含所有配件、备品备件、专用工具等）、包装、运输（运抵现场）、保险、检测检验、安装、管理费、产品保护、技术服务、相关税费、利润、相关部门验收、不可预见及其他相关所有费用。除合同价款外，采购人不支付其他任何费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特别提醒投标人：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、付款方式与履约保证金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（1）付款方式：</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所有设备到货后，设备经相关管理机构检验检疫、安装调试、操作培训、试运行，且按合同约定全部履约完毕后，中标人要及时出具全额增值税专用发票，如属于进口免税设备，中标人提供结算发票和全套进口通关资料，并书面告知采购人提请验收，采购人收到通知后及时组织验收，自验收合格之日起20个日历天后支付合同总额的100%。</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（2）免税进口设备包干价及责任约定</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免税进口设备合同价款为人民币包干价，包括但不限于货值、运输和保险（到采购人指定地点）、付汇（含汇率变动风险）、减免税申请、单证制作、报关、商检、仓储、进口代理服务费、进口监管要求的其他配套申报资料编制及办理费用（含强制性产品认证免办证明申报资料编制及办理费用等），以及因中标人任何原因造成海关滞报、堆存、查验等产生的衍生费用。</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免税申报、通关由中标人全权负责。中标人知晓科教用品减免税规则与准入条件。因申报资料错误、资料不全、迟报漏报、商品归类偏差、设备参数不满足免税清单要求、申报流程瑕疵等，造成减免税不通过、撤销或失效的，产生的全部税费、滞纳金、罚款等费用均含在包干价内，由中标人自行承担，采购人不再额外付费。</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中标人可自行或委托外贸代理办理进口手续，中标人为总责任主体，外贸代理纠纷由中标人自行处理，与采购人无关。采购人仅配合提供自身基础资质材料，不承担免税审批结果责任。中标人对申报资料真实性、合规性负全责。</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海关监管期内稽查核查，中标人须无偿配合提供全套资料；因中标人资料缺失、不配合导致采购人被海关处罚、补税的，全部损失由中标人赔偿。</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（3）违约责任 </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非免税设备：设备全部齐套到货视为交货完成。非不可抗力情形下乙方未正常履约的，甲方有权扣除履约保证金作为履约惩戒；乙方逾期供货、合同可继续履行的，按合同总额每日2‰计收逾期违约金，总额不超合同总价10%，甲方可在货款中直接抵扣；逾期超过10个工作日仍无法供货的，甲方有权终止合同。</w:t>
      </w:r>
      <w:r/>
    </w:p>
    <w:p>
      <w:pPr>
        <w:ind w:firstLine="480"/>
        <w:spacing w:line="360" w:lineRule="auto"/>
        <w:rPr>
          <w:rFonts w:hint="eastAsia" w:ascii="宋体" w:hAnsi="宋体"/>
          <w:color w:val="auto"/>
          <w:sz w:val="24"/>
          <w:szCs w:val="24"/>
          <w:highlight w:val="none"/>
          <w:lang w:val="en-US" w:eastAsia="zh-CN"/>
        </w:rPr>
      </w:pPr>
      <w:r/>
      <w:bookmarkStart w:id="455" w:name="OLE_LINK9"/>
      <w:r/>
      <w:bookmarkStart w:id="456" w:name="OLE_LINK10"/>
      <w:r>
        <w:rPr>
          <w:rFonts w:hint="eastAsia" w:ascii="宋体" w:hAnsi="宋体"/>
          <w:color w:val="auto"/>
          <w:sz w:val="24"/>
          <w:szCs w:val="24"/>
          <w:highlight w:val="none"/>
          <w:lang w:val="en-US" w:eastAsia="zh-CN"/>
        </w:rPr>
        <w:t xml:space="preserve">2）免税进口设备：设备全部齐套到货视为交货完成。非不可抗力情形下乙方未正常履约的，甲方有权扣除履约保证金作为履约惩戒；乙方逾期供货、合同可继续履行的，按合同总额每日2‰计收逾期违约金，总额不超合同总价10%，甲方可在货款中直接抵扣；逾期超过</w:t>
      </w:r>
      <w:r>
        <w:rPr>
          <w:rFonts w:hint="eastAsia" w:ascii="宋体" w:hAnsi="宋体"/>
          <w:color w:val="auto"/>
          <w:sz w:val="24"/>
          <w:szCs w:val="24"/>
          <w:highlight w:val="none"/>
          <w:lang w:val="en-US" w:eastAsia="zh-CN"/>
        </w:rPr>
        <w:t xml:space="preserve">10个工作日仍无法供货的，甲方有权终止合同。此外，因乙方（含其委托代理）责任，同一进口事项（减免税申请、报关申报等）被海关要求补材料或退单，乙方应于2个工作日内书面报备并提交整改方案，同一事项发生2次及以上的，按对应货值1‰计收专项违约金；专项违约金与逾期违约金合并计取，上限为合同总价10%，不足弥补损失的，甲方有权继续追偿。因申报审核期间新出台海关政策调整、海关系统故障等非乙方原因造成补件、退单，不计收该项专项违约金，乙方仍须及时报备推进；申报前已公开生效政策，乙方负有预判及合规申报义务，不适用该免责约定</w:t>
      </w:r>
      <w:bookmarkEnd w:id="455"/>
      <w:r/>
      <w:bookmarkEnd w:id="456"/>
      <w:r>
        <w:rPr>
          <w:rFonts w:hint="eastAsia" w:ascii="宋体" w:hAnsi="宋体"/>
          <w:color w:val="auto"/>
          <w:sz w:val="24"/>
          <w:szCs w:val="24"/>
          <w:highlight w:val="none"/>
          <w:lang w:val="en-US" w:eastAsia="zh-CN"/>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）履约保证金：本项目收取履约保证金</w:t>
      </w:r>
      <w:r>
        <w:rPr>
          <w:rFonts w:hint="eastAsia" w:ascii="宋体" w:hAnsi="宋体"/>
          <w:color w:val="auto"/>
          <w:sz w:val="24"/>
          <w:szCs w:val="24"/>
          <w:highlight w:val="none"/>
          <w:lang w:eastAsia="zh-CN"/>
        </w:rPr>
        <w:t xml:space="preserve">，金额为合同金额的</w:t>
      </w:r>
      <w:r>
        <w:rPr>
          <w:rFonts w:hint="eastAsia" w:ascii="宋体" w:hAnsi="宋体"/>
          <w:color w:val="auto"/>
          <w:sz w:val="24"/>
          <w:szCs w:val="24"/>
          <w:highlight w:val="none"/>
          <w:u w:val="single"/>
          <w:lang w:eastAsia="zh-CN"/>
        </w:rPr>
        <w:t xml:space="preserve"> 5 </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中标人应当以支票、汇票、本票或者金融机构出具的保函（保函出具银行为国有银行或全国性商业银行）等非现金形式在合同签订前提交。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履约保证金自合同生效之日起至合同约定的中标人义务履行完毕止，采购人按合同约定退还履约保证金。中标人违约的，采购人将按照合同约定扣除其全部或部分履约保证金。如中标人违约给采购人造成的损失超过履约保证金的，应当依法赔偿超过部分的损失。</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知识产权要求</w:t>
      </w:r>
      <w:r>
        <w:rPr>
          <w:rFonts w:hint="eastAsia" w:ascii="宋体" w:hAnsi="宋体"/>
          <w:color w:val="auto"/>
          <w:sz w:val="24"/>
          <w:szCs w:val="24"/>
          <w:highlight w:val="none"/>
        </w:rPr>
        <w:t xml:space="preserve">：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pStyle w:val="82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2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20"/>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center"/>
        <w:keepNext/>
        <w:spacing w:line="360" w:lineRule="auto"/>
        <w:rPr>
          <w:rFonts w:ascii="Times New Roman" w:hAnsi="Times New Roman"/>
          <w:color w:val="auto"/>
          <w:szCs w:val="21"/>
          <w:highlight w:val="none"/>
        </w:rPr>
        <w:outlineLvl w:val="0"/>
      </w:pPr>
      <w:r/>
      <w:bookmarkStart w:id="457" w:name="_Toc23116"/>
      <w:r/>
      <w:bookmarkStart w:id="458" w:name="_Toc10394"/>
      <w:r/>
      <w:bookmarkStart w:id="459" w:name="_Toc23911"/>
      <w:r/>
      <w:bookmarkStart w:id="460" w:name="_Toc19917"/>
      <w:r/>
      <w:bookmarkStart w:id="461" w:name="_Toc14635"/>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评标方法与评标标准</w:t>
      </w:r>
      <w:bookmarkEnd w:id="457"/>
      <w:r/>
      <w:bookmarkEnd w:id="458"/>
      <w:r/>
      <w:bookmarkEnd w:id="459"/>
      <w:r/>
      <w:bookmarkEnd w:id="460"/>
      <w:r/>
      <w:bookmarkEnd w:id="461"/>
      <w:r/>
      <w:r/>
    </w:p>
    <w:p>
      <w:pPr>
        <w:ind w:firstLine="439"/>
        <w:jc w:val="left"/>
        <w:spacing w:line="360" w:lineRule="auto"/>
        <w:rPr>
          <w:rFonts w:ascii="Arial" w:hAnsi="Arial" w:cs="Arial"/>
          <w:color w:val="auto"/>
          <w:sz w:val="24"/>
          <w:szCs w:val="24"/>
          <w:highlight w:val="none"/>
        </w:rPr>
      </w:pPr>
      <w:r>
        <w:rPr>
          <w:rFonts w:hint="eastAsia" w:ascii="Arial" w:hAnsi="Arial" w:cs="Arial"/>
          <w:color w:val="auto"/>
          <w:sz w:val="24"/>
          <w:szCs w:val="24"/>
          <w:highlight w:val="none"/>
        </w:rPr>
        <w:t xml:space="preserve">本项目</w:t>
      </w:r>
      <w:r>
        <w:rPr>
          <w:rFonts w:ascii="Arial" w:hAnsi="Arial" w:cs="Arial"/>
          <w:color w:val="auto"/>
          <w:sz w:val="24"/>
          <w:szCs w:val="24"/>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auto"/>
          <w:sz w:val="24"/>
          <w:szCs w:val="24"/>
          <w:highlight w:val="none"/>
        </w:rPr>
        <w:t xml:space="preserve">。本项目选取3名中标候选人。</w:t>
      </w:r>
      <w:r/>
    </w:p>
    <w:p>
      <w:pPr>
        <w:spacing w:line="360" w:lineRule="auto"/>
        <w:rPr>
          <w:rFonts w:ascii="宋体" w:hAnsi="宋体"/>
          <w:b/>
          <w:color w:val="auto"/>
          <w:sz w:val="24"/>
          <w:szCs w:val="24"/>
          <w:highlight w:val="none"/>
        </w:rPr>
      </w:pPr>
      <w:r/>
      <w:bookmarkStart w:id="462" w:name="_Toc22145"/>
      <w:r/>
      <w:bookmarkStart w:id="463" w:name="_Toc2560"/>
      <w:r/>
      <w:bookmarkStart w:id="464" w:name="_Toc28841"/>
      <w:r/>
      <w:r/>
    </w:p>
    <w:p>
      <w:pPr>
        <w:ind w:firstLine="442"/>
        <w:jc w:val="center"/>
        <w:spacing w:line="480" w:lineRule="auto"/>
        <w:rPr>
          <w:rFonts w:ascii="宋体" w:hAnsi="宋体"/>
          <w:b/>
          <w:color w:val="auto"/>
          <w:sz w:val="24"/>
          <w:szCs w:val="24"/>
          <w:highlight w:val="none"/>
        </w:rPr>
      </w:pPr>
      <w:r>
        <w:rPr>
          <w:rFonts w:hint="eastAsia" w:ascii="宋体" w:hAnsi="宋体"/>
          <w:b/>
          <w:color w:val="auto"/>
          <w:sz w:val="24"/>
          <w:szCs w:val="24"/>
          <w:highlight w:val="none"/>
        </w:rPr>
        <w:t xml:space="preserve">政府采购政策功能落实</w:t>
      </w:r>
      <w:bookmarkEnd w:id="462"/>
      <w:r/>
      <w:bookmarkEnd w:id="463"/>
      <w:r/>
      <w:bookmarkEnd w:id="464"/>
      <w:r/>
      <w:r/>
    </w:p>
    <w:p>
      <w:pPr>
        <w:ind w:firstLine="480"/>
        <w:jc w:val="left"/>
        <w:spacing w:line="360" w:lineRule="auto"/>
        <w:rPr>
          <w:rFonts w:ascii="宋体" w:hAnsi="宋体"/>
          <w:color w:val="auto"/>
          <w:sz w:val="24"/>
          <w:szCs w:val="24"/>
          <w:highlight w:val="none"/>
        </w:rPr>
      </w:pPr>
      <w:r/>
      <w:bookmarkStart w:id="465" w:name="_Toc23678"/>
      <w:r>
        <w:rPr>
          <w:rFonts w:hint="eastAsia" w:ascii="宋体" w:hAnsi="宋体"/>
          <w:color w:val="auto"/>
          <w:sz w:val="24"/>
          <w:szCs w:val="24"/>
          <w:highlight w:val="none"/>
        </w:rPr>
        <w:t xml:space="preserve">1、小微型企业价格扣除</w:t>
      </w:r>
      <w:bookmarkEnd w:id="465"/>
      <w:r/>
      <w:r/>
    </w:p>
    <w:p>
      <w:pPr>
        <w:ind w:firstLine="360"/>
        <w:jc w:val="left"/>
        <w:spacing w:line="360" w:lineRule="auto"/>
        <w:rPr>
          <w:rFonts w:ascii="宋体" w:hAnsi="宋体"/>
          <w:color w:val="auto"/>
          <w:spacing w:val="-6"/>
          <w:sz w:val="24"/>
          <w:szCs w:val="24"/>
          <w:highlight w:val="none"/>
        </w:rPr>
      </w:pPr>
      <w:r>
        <w:rPr>
          <w:rFonts w:hint="eastAsia" w:ascii="宋体" w:hAnsi="宋体"/>
          <w:color w:val="auto"/>
          <w:sz w:val="24"/>
          <w:szCs w:val="24"/>
          <w:highlight w:val="none"/>
        </w:rPr>
        <w:t xml:space="preserve">（1）本</w:t>
      </w:r>
      <w:r>
        <w:rPr>
          <w:rFonts w:hint="eastAsia" w:ascii="宋体" w:hAnsi="宋体"/>
          <w:color w:val="auto"/>
          <w:spacing w:val="-6"/>
          <w:sz w:val="24"/>
          <w:szCs w:val="24"/>
          <w:highlight w:val="none"/>
        </w:rPr>
        <w:t xml:space="preserve">项目对小型和微型企业产品给予</w:t>
      </w:r>
      <w:r>
        <w:rPr>
          <w:rFonts w:hint="eastAsia" w:ascii="宋体" w:hAnsi="宋体"/>
          <w:color w:val="auto"/>
          <w:spacing w:val="-6"/>
          <w:sz w:val="24"/>
          <w:szCs w:val="24"/>
          <w:highlight w:val="none"/>
          <w:u w:val="single"/>
        </w:rPr>
        <w:t xml:space="preserve">10%</w:t>
      </w:r>
      <w:r>
        <w:rPr>
          <w:rFonts w:hint="eastAsia" w:ascii="宋体" w:hAnsi="宋体"/>
          <w:color w:val="auto"/>
          <w:spacing w:val="-6"/>
          <w:sz w:val="24"/>
          <w:szCs w:val="24"/>
          <w:highlight w:val="none"/>
        </w:rPr>
        <w:t xml:space="preserve">的扣除价格，用扣除后的价格参与评审。</w:t>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（2）供应商需按照采购文件的要求提供相应的《小微企业声明函》。</w:t>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360" w:lineRule="auto"/>
        <w:rPr>
          <w:rFonts w:ascii="宋体" w:hAnsi="宋体"/>
          <w:color w:val="auto"/>
          <w:sz w:val="24"/>
          <w:szCs w:val="24"/>
          <w:highlight w:val="none"/>
        </w:rPr>
      </w:pPr>
      <w:r/>
      <w:bookmarkStart w:id="466" w:name="_Toc3954"/>
      <w:r>
        <w:rPr>
          <w:rFonts w:hint="eastAsia" w:ascii="宋体" w:hAnsi="宋体"/>
          <w:color w:val="auto"/>
          <w:sz w:val="24"/>
          <w:szCs w:val="24"/>
          <w:highlight w:val="none"/>
        </w:rPr>
        <w:t xml:space="preserve">2、残疾人福利单位价格扣除</w:t>
      </w:r>
      <w:bookmarkEnd w:id="466"/>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的价格扣除，用扣除后的价格参与评审。</w:t>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firstLine="36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line="360" w:lineRule="auto"/>
        <w:rPr>
          <w:rFonts w:ascii="宋体" w:hAnsi="宋体"/>
          <w:color w:val="auto"/>
          <w:sz w:val="24"/>
          <w:szCs w:val="24"/>
          <w:highlight w:val="none"/>
        </w:rPr>
      </w:pPr>
      <w:r/>
      <w:bookmarkStart w:id="467" w:name="_Toc30762"/>
      <w:r>
        <w:rPr>
          <w:rFonts w:hint="eastAsia" w:ascii="宋体" w:hAnsi="宋体"/>
          <w:color w:val="auto"/>
          <w:sz w:val="24"/>
          <w:szCs w:val="24"/>
          <w:highlight w:val="none"/>
        </w:rPr>
        <w:t xml:space="preserve">3、监狱和戒毒企业价格扣除</w:t>
      </w:r>
      <w:bookmarkEnd w:id="467"/>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的价格扣除，用扣除后的价格参与评审。</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w:t>
      </w:r>
      <w:r>
        <w:rPr>
          <w:rFonts w:hint="eastAsia" w:ascii="宋体" w:hAnsi="宋体"/>
          <w:color w:val="auto"/>
          <w:sz w:val="24"/>
          <w:szCs w:val="24"/>
          <w:highlight w:val="none"/>
        </w:rPr>
        <w:t xml:space="preserve">〔2014〕68号）。</w:t>
      </w:r>
      <w:r/>
    </w:p>
    <w:p>
      <w:pPr>
        <w:ind w:firstLine="480"/>
        <w:jc w:val="left"/>
        <w:spacing w:line="360" w:lineRule="auto"/>
        <w:rPr>
          <w:rFonts w:ascii="宋体" w:hAnsi="宋体"/>
          <w:color w:val="auto"/>
          <w:sz w:val="24"/>
          <w:szCs w:val="24"/>
          <w:highlight w:val="none"/>
        </w:rPr>
      </w:pPr>
      <w:r/>
      <w:bookmarkStart w:id="468" w:name="_Toc19065"/>
      <w:r>
        <w:rPr>
          <w:rFonts w:hint="eastAsia" w:ascii="宋体" w:hAnsi="宋体"/>
          <w:color w:val="auto"/>
          <w:sz w:val="24"/>
          <w:szCs w:val="24"/>
          <w:highlight w:val="none"/>
        </w:rPr>
        <w:t xml:space="preserve">4、残疾人福利单位、监狱企业属于小型、微型企业的，不重复享受政策。</w:t>
      </w:r>
      <w:bookmarkEnd w:id="468"/>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5、采购本国产品的支持政策</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pacing w:val="-6"/>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hint="eastAsia" w:ascii="宋体" w:hAnsi="宋体"/>
          <w:color w:val="auto"/>
          <w:sz w:val="24"/>
          <w:szCs w:val="24"/>
          <w:highlight w:val="none"/>
        </w:rPr>
        <w:t xml:space="preserve"> </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（2）当采购项目或者采购包中含有多种产品，供应商为该采购项目或者采购包提供的符合本国产品标准的产品成本之和占该供应商提供的全部产品成本之和的比例达到80%以上时（投标人需在“第六章 投标文件格式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（3）投标人需按照招标文件的要求提供《关于符合本国产品标准的声明函》（以下简称《声明函》），如不提供将不享受本国产品价格评审优惠。</w:t>
      </w:r>
      <w:r/>
    </w:p>
    <w:p>
      <w:pPr>
        <w:ind w:firstLine="480"/>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（5）政府采购中的本国产品标准及其他未尽事宜详见《国务院办公厅关于在政府采购中实施本国产品标准及相关政策的通知》（国办发〔2025〕34号）。</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469" w:name="_Toc11139"/>
      <w:r/>
      <w:bookmarkStart w:id="470" w:name="_Toc4451"/>
      <w:r/>
      <w:bookmarkStart w:id="471" w:name="_Toc14997"/>
      <w:r/>
      <w:r/>
    </w:p>
    <w:p>
      <w:pPr>
        <w:ind w:firstLine="482"/>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482"/>
        <w:jc w:val="center"/>
        <w:spacing w:line="480" w:lineRule="auto"/>
        <w:rPr>
          <w:rFonts w:ascii="宋体" w:hAnsi="宋体"/>
          <w:b/>
          <w:color w:val="auto"/>
          <w:sz w:val="24"/>
          <w:szCs w:val="24"/>
          <w:highlight w:val="none"/>
        </w:rPr>
      </w:pPr>
      <w:r>
        <w:rPr>
          <w:rFonts w:hint="eastAsia" w:ascii="宋体" w:hAnsi="宋体"/>
          <w:b/>
          <w:color w:val="auto"/>
          <w:sz w:val="24"/>
          <w:szCs w:val="24"/>
          <w:highlight w:val="none"/>
        </w:rPr>
        <w:t xml:space="preserve">评标方法与评标标准</w:t>
      </w:r>
      <w:bookmarkEnd w:id="469"/>
      <w:r/>
      <w:bookmarkEnd w:id="470"/>
      <w:r/>
      <w:bookmarkEnd w:id="471"/>
      <w:r/>
      <w:r/>
    </w:p>
    <w:p>
      <w:pPr>
        <w:ind w:firstLine="480"/>
        <w:spacing w:line="360" w:lineRule="auto"/>
        <w:rPr>
          <w:rFonts w:ascii="Arial" w:hAnsi="Arial"/>
          <w:color w:val="auto"/>
          <w:sz w:val="24"/>
          <w:szCs w:val="24"/>
          <w:highlight w:val="none"/>
        </w:rPr>
      </w:pPr>
      <w:r>
        <w:rPr>
          <w:rFonts w:hint="eastAsia" w:ascii="Arial" w:hAnsi="Arial"/>
          <w:color w:val="auto"/>
          <w:sz w:val="24"/>
          <w:szCs w:val="24"/>
          <w:highlight w:val="none"/>
        </w:rPr>
        <w:t xml:space="preserve"> （一）评标时，评标委员会以招标文件为评标依据，评标委员会各成员独立对每个投标人的投标文件进行评价，并汇总每个投标人的得分。评标过程中，不得去掉报价中的最高报价和最低报价。</w:t>
      </w:r>
      <w:r/>
    </w:p>
    <w:p>
      <w:pPr>
        <w:ind w:firstLine="480"/>
        <w:spacing w:line="360" w:lineRule="auto"/>
        <w:rPr>
          <w:rFonts w:ascii="Arial" w:hAnsi="Arial"/>
          <w:color w:val="auto"/>
          <w:sz w:val="24"/>
          <w:szCs w:val="24"/>
          <w:highlight w:val="none"/>
        </w:rPr>
      </w:pPr>
      <w:r>
        <w:rPr>
          <w:rFonts w:hint="eastAsia" w:ascii="Arial" w:hAnsi="Arial"/>
          <w:color w:val="auto"/>
          <w:sz w:val="24"/>
          <w:szCs w:val="24"/>
          <w:highlight w:val="none"/>
        </w:rPr>
        <w:t xml:space="preserve">（二）本项目评分总分为100分，按四舍五入取至小数点后两位。</w:t>
      </w:r>
      <w:r/>
    </w:p>
    <w:p>
      <w:pPr>
        <w:ind w:firstLine="480"/>
        <w:spacing w:line="360" w:lineRule="auto"/>
        <w:rPr>
          <w:rFonts w:ascii="Arial" w:hAnsi="Arial"/>
          <w:color w:val="auto"/>
          <w:sz w:val="24"/>
          <w:szCs w:val="24"/>
          <w:highlight w:val="none"/>
        </w:rPr>
      </w:pPr>
      <w:r>
        <w:rPr>
          <w:rFonts w:hint="eastAsia" w:ascii="Arial" w:hAnsi="Arial"/>
          <w:color w:val="auto"/>
          <w:sz w:val="24"/>
          <w:szCs w:val="24"/>
          <w:highlight w:val="none"/>
        </w:rPr>
        <w:t xml:space="preserve">（三）总得分=价格分+商务技术分。</w:t>
      </w:r>
      <w:r/>
    </w:p>
    <w:p>
      <w:pPr>
        <w:ind w:firstLine="480"/>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综合评分法</w:t>
      </w:r>
      <w:r/>
    </w:p>
    <w:p>
      <w:pPr>
        <w:ind w:firstLine="480"/>
        <w:spacing w:line="360" w:lineRule="auto"/>
        <w:rPr>
          <w:rFonts w:ascii="Arial" w:hAnsi="Arial"/>
          <w:color w:val="auto"/>
          <w:sz w:val="24"/>
          <w:szCs w:val="24"/>
          <w:highlight w:val="none"/>
        </w:rPr>
      </w:pPr>
      <w:r>
        <w:rPr>
          <w:rFonts w:hint="eastAsia" w:ascii="Arial" w:hAnsi="Arial"/>
          <w:color w:val="auto"/>
          <w:sz w:val="24"/>
          <w:szCs w:val="24"/>
          <w:highlight w:val="none"/>
        </w:rPr>
        <w:t xml:space="preserve">1.价格分（30分）  </w:t>
      </w:r>
      <w:r/>
    </w:p>
    <w:p>
      <w:pPr>
        <w:ind w:firstLine="480"/>
        <w:spacing w:line="360" w:lineRule="auto"/>
        <w:rPr>
          <w:rFonts w:ascii="Arial" w:hAnsi="Arial"/>
          <w:color w:val="auto"/>
          <w:sz w:val="24"/>
          <w:szCs w:val="24"/>
          <w:highlight w:val="none"/>
        </w:rPr>
      </w:pPr>
      <w:r>
        <w:rPr>
          <w:rFonts w:hint="eastAsia" w:ascii="Arial" w:hAnsi="Arial"/>
          <w:color w:val="auto"/>
          <w:sz w:val="24"/>
          <w:szCs w:val="24"/>
          <w:highlight w:val="none"/>
        </w:rPr>
        <w:t xml:space="preserve">采用低价优先法计算，即满足招标文件要求且投标价格最低的投标报价（指投标综合单价）为评标基准价，其价格分为满分。其他投标人的价格分统一按照下列公式计算：        </w:t>
      </w:r>
      <w:r/>
    </w:p>
    <w:p>
      <w:pPr>
        <w:ind w:firstLine="480"/>
        <w:spacing w:line="360" w:lineRule="auto"/>
        <w:rPr>
          <w:rFonts w:ascii="Arial" w:hAnsi="Arial"/>
          <w:color w:val="auto"/>
          <w:sz w:val="24"/>
          <w:szCs w:val="24"/>
          <w:highlight w:val="none"/>
        </w:rPr>
      </w:pPr>
      <w:r>
        <w:rPr>
          <w:rFonts w:hint="eastAsia" w:ascii="Arial" w:hAnsi="Arial"/>
          <w:color w:val="auto"/>
          <w:sz w:val="24"/>
          <w:szCs w:val="24"/>
          <w:highlight w:val="none"/>
        </w:rPr>
        <w:t xml:space="preserve">投标报价得分=（评标基准价/投标报价）×30分</w:t>
      </w:r>
      <w:r/>
    </w:p>
    <w:p>
      <w:pPr>
        <w:ind w:firstLine="480"/>
        <w:spacing w:line="360" w:lineRule="auto"/>
        <w:rPr>
          <w:rFonts w:ascii="Arial" w:hAnsi="Arial"/>
          <w:color w:val="auto"/>
          <w:sz w:val="24"/>
          <w:szCs w:val="24"/>
          <w:highlight w:val="none"/>
        </w:rPr>
      </w:pPr>
      <w:r>
        <w:rPr>
          <w:rFonts w:hint="eastAsia" w:ascii="Arial" w:hAnsi="Arial"/>
          <w:color w:val="auto"/>
          <w:sz w:val="24"/>
          <w:szCs w:val="24"/>
          <w:highlight w:val="none"/>
        </w:rPr>
        <w:t xml:space="preserve">因落实政府采购政策进行价格调整的，以调整后的价格计算评标基准价和投标报价，小数点后保留两位。评标过程中，不得去掉报价中的最高报价和最低报价。</w:t>
      </w:r>
      <w:r/>
    </w:p>
    <w:p>
      <w:pPr>
        <w:ind w:firstLine="480"/>
        <w:spacing w:line="360" w:lineRule="auto"/>
        <w:rPr>
          <w:rFonts w:ascii="Arial" w:hAnsi="Arial"/>
          <w:color w:val="auto"/>
          <w:sz w:val="24"/>
          <w:szCs w:val="24"/>
          <w:highlight w:val="none"/>
        </w:rPr>
      </w:pPr>
      <w:r>
        <w:rPr>
          <w:rFonts w:hint="eastAsia" w:ascii="Arial" w:hAnsi="Arial"/>
          <w:color w:val="auto"/>
          <w:sz w:val="24"/>
          <w:szCs w:val="24"/>
          <w:highlight w:val="none"/>
        </w:rPr>
        <w:t xml:space="preserve">2.商务技术分（70分）</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57" w:type="dxa"/>
          <w:right w:w="57" w:type="dxa"/>
          <w:bottom w:w="0" w:type="dxa"/>
        </w:tblCellMar>
        <w:tblLook w:val="04A0" w:firstRow="1" w:lastRow="0" w:firstColumn="1" w:lastColumn="0" w:noHBand="0" w:noVBand="1"/>
      </w:tblPr>
      <w:tblGrid>
        <w:gridCol w:w="1750"/>
        <w:gridCol w:w="7109"/>
      </w:tblGrid>
      <w:tr>
        <w:trPr>
          <w:jc w:val="center"/>
          <w:trHeight w:val="451"/>
        </w:trPr>
        <w:tc>
          <w:tcPr>
            <w:tcW w:w="1750" w:type="dxa"/>
            <w:vAlign w:val="center"/>
            <w:textDirection w:val="lrTb"/>
            <w:noWrap w:val="false"/>
          </w:tcPr>
          <w:p>
            <w:pPr>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评审因素</w:t>
            </w:r>
            <w:r/>
          </w:p>
        </w:tc>
        <w:tc>
          <w:tcPr>
            <w:tcW w:w="7109" w:type="dxa"/>
            <w:vAlign w:val="center"/>
            <w:textDirection w:val="lrTb"/>
            <w:noWrap w:val="false"/>
          </w:tcPr>
          <w:p>
            <w:pPr>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评审标准</w:t>
            </w:r>
            <w:r/>
          </w:p>
        </w:tc>
      </w:tr>
      <w:tr>
        <w:trPr>
          <w:jc w:val="center"/>
          <w:trHeight w:val="395"/>
        </w:trPr>
        <w:tc>
          <w:tcPr>
            <w:tcW w:w="1750" w:type="dxa"/>
            <w:vAlign w:val="center"/>
            <w:textDirection w:val="lrTb"/>
            <w:noWrap w:val="false"/>
          </w:tcPr>
          <w:p>
            <w:pPr>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技术参数响应（</w:t>
            </w:r>
            <w:r>
              <w:rPr>
                <w:rFonts w:hint="eastAsia" w:ascii="Arial" w:hAnsi="Arial"/>
                <w:color w:val="auto"/>
                <w:sz w:val="24"/>
                <w:szCs w:val="24"/>
                <w:highlight w:val="none"/>
                <w:lang w:val="en-US" w:eastAsia="zh-CN"/>
              </w:rPr>
              <w:t xml:space="preserve">32</w:t>
            </w:r>
            <w:r>
              <w:rPr>
                <w:rFonts w:hint="eastAsia" w:ascii="Arial" w:hAnsi="Arial"/>
                <w:color w:val="auto"/>
                <w:sz w:val="24"/>
                <w:szCs w:val="24"/>
                <w:highlight w:val="none"/>
              </w:rPr>
              <w:t xml:space="preserve">分）</w:t>
            </w:r>
            <w:r/>
          </w:p>
        </w:tc>
        <w:tc>
          <w:tcPr>
            <w:tcW w:w="7109" w:type="dxa"/>
            <w:vAlign w:val="center"/>
            <w:textDirection w:val="lrTb"/>
            <w:noWrap w:val="false"/>
          </w:tcPr>
          <w:p>
            <w:pPr>
              <w:spacing w:line="360" w:lineRule="auto"/>
              <w:rPr>
                <w:rFonts w:ascii="Arial" w:hAnsi="Arial"/>
                <w:color w:val="auto"/>
                <w:sz w:val="24"/>
                <w:szCs w:val="24"/>
                <w:highlight w:val="none"/>
              </w:rPr>
            </w:pPr>
            <w:r>
              <w:rPr>
                <w:rFonts w:ascii="Arial" w:hAnsi="Arial"/>
                <w:color w:val="auto"/>
                <w:sz w:val="24"/>
                <w:szCs w:val="24"/>
                <w:highlight w:val="none"/>
              </w:rPr>
              <w:t xml:space="preserve">所投产品完全满足招标文件第四章《采购需求》“</w:t>
            </w:r>
            <w:r>
              <w:rPr>
                <w:rFonts w:hint="eastAsia" w:ascii="Arial" w:hAnsi="Arial"/>
                <w:color w:val="auto"/>
                <w:sz w:val="24"/>
                <w:szCs w:val="24"/>
                <w:highlight w:val="none"/>
              </w:rPr>
              <w:t xml:space="preserve">（二）技术性能及功能参数指标</w:t>
            </w:r>
            <w:r>
              <w:rPr>
                <w:rFonts w:ascii="Arial" w:hAnsi="Arial"/>
                <w:color w:val="auto"/>
                <w:sz w:val="24"/>
                <w:szCs w:val="24"/>
                <w:highlight w:val="none"/>
              </w:rPr>
              <w:t xml:space="preserve">”的得3</w:t>
            </w:r>
            <w:r>
              <w:rPr>
                <w:rFonts w:hint="eastAsia" w:ascii="Arial" w:hAnsi="Arial"/>
                <w:color w:val="auto"/>
                <w:sz w:val="24"/>
                <w:szCs w:val="24"/>
                <w:highlight w:val="none"/>
                <w:lang w:val="en-US" w:eastAsia="zh-CN"/>
              </w:rPr>
              <w:t xml:space="preserve">2</w:t>
            </w:r>
            <w:r>
              <w:rPr>
                <w:rFonts w:ascii="Arial" w:hAnsi="Arial"/>
                <w:color w:val="auto"/>
                <w:sz w:val="24"/>
                <w:szCs w:val="24"/>
                <w:highlight w:val="none"/>
              </w:rPr>
              <w:t xml:space="preserve">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（1）标“★”的条款为实质性要求和条件，如不满足按无效投标处理；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（2）标“▲”的条款为重要技术指标，如标“▲”条款存在负偏离，负偏离1项扣2分；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（3）其他技术指标，每负偏离1项扣0.5分。（2）-（3）条分数扣完为止。</w:t>
            </w:r>
            <w:r/>
          </w:p>
          <w:p>
            <w:pPr>
              <w:spacing w:line="360" w:lineRule="auto"/>
              <w:rPr>
                <w:rFonts w:ascii="Arial" w:hAnsi="Arial"/>
                <w:color w:val="auto"/>
                <w:sz w:val="24"/>
                <w:szCs w:val="24"/>
                <w:highlight w:val="none"/>
              </w:rPr>
            </w:pPr>
            <w:r>
              <w:rPr>
                <w:rFonts w:hint="eastAsia" w:ascii="Arial" w:hAnsi="Arial"/>
                <w:color w:val="auto"/>
                <w:sz w:val="24"/>
                <w:szCs w:val="24"/>
                <w:highlight w:val="none"/>
                <w:lang w:val="en-US" w:eastAsia="zh-CN"/>
              </w:rPr>
              <w:t xml:space="preserve">注：投标人在《技术要求响应及偏离表》中逐条填写响应情况，其中标注“★”和“▲”须同时提供证明材料（</w:t>
            </w:r>
            <w:r>
              <w:rPr>
                <w:rFonts w:hint="eastAsia" w:ascii="宋体" w:hAnsi="宋体" w:eastAsia="宋体" w:cs="仿宋_GB2312"/>
                <w:bCs/>
                <w:color w:val="auto"/>
                <w:sz w:val="24"/>
                <w:szCs w:val="28"/>
                <w:highlight w:val="none"/>
              </w:rPr>
              <w:t xml:space="preserve">明确说明该技术内容，</w:t>
            </w:r>
            <w:r>
              <w:rPr>
                <w:rFonts w:hint="eastAsia" w:ascii="宋体" w:hAnsi="宋体" w:cs="仿宋_GB2312"/>
                <w:bCs/>
                <w:color w:val="auto"/>
                <w:sz w:val="24"/>
                <w:szCs w:val="28"/>
                <w:highlight w:val="none"/>
                <w:lang w:val="en-US" w:eastAsia="zh-CN"/>
              </w:rPr>
              <w:t xml:space="preserve">包括</w:t>
            </w:r>
            <w:r>
              <w:rPr>
                <w:rFonts w:hint="eastAsia" w:ascii="Arial" w:hAnsi="Arial"/>
                <w:color w:val="auto"/>
                <w:sz w:val="24"/>
                <w:szCs w:val="24"/>
                <w:highlight w:val="none"/>
                <w:lang w:val="en-US" w:eastAsia="zh-CN"/>
              </w:rPr>
              <w:t xml:space="preserve">公开发行的产品说明书、产品彩页、产品技术手册、官方应用说明书、官网截图等任意一种或多种并加盖公章，不得仅以网站等动态电子信息截图作为唯一证明材料。如“（二）技术性能及功能参数指标”中对技术参数的证明材料有具体要求的，以技术参数要求提供的证明材料为准）。</w:t>
            </w:r>
            <w:r>
              <w:rPr>
                <w:rFonts w:ascii="Arial" w:hAnsi="Arial"/>
                <w:color w:val="auto"/>
                <w:sz w:val="24"/>
                <w:szCs w:val="24"/>
                <w:highlight w:val="none"/>
              </w:rPr>
              <w:t xml:space="preserve">未提供有效资料或证明材料由评标委员会认为不能佐证技术指标的有效性的，则视为负偏离。标注证明资料页码，未对证明材料标注或标注不明确视为未提供证明材料，自行承诺符合要求不予认可。</w:t>
            </w:r>
            <w:r/>
          </w:p>
        </w:tc>
      </w:tr>
      <w:tr>
        <w:trPr>
          <w:jc w:val="center"/>
          <w:trHeight w:val="423"/>
        </w:trPr>
        <w:tc>
          <w:tcPr>
            <w:tcW w:w="1750" w:type="dxa"/>
            <w:vAlign w:val="center"/>
            <w:textDirection w:val="lrTb"/>
            <w:noWrap w:val="false"/>
          </w:tcPr>
          <w:p>
            <w:pPr>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业绩</w:t>
            </w:r>
            <w:r/>
          </w:p>
          <w:p>
            <w:pPr>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w:t>
            </w:r>
            <w:r>
              <w:rPr>
                <w:rFonts w:hint="eastAsia" w:ascii="Arial" w:hAnsi="Arial"/>
                <w:color w:val="auto"/>
                <w:sz w:val="24"/>
                <w:szCs w:val="24"/>
                <w:highlight w:val="none"/>
                <w:lang w:val="en-US" w:eastAsia="zh-CN"/>
              </w:rPr>
              <w:t xml:space="preserve">8</w:t>
            </w:r>
            <w:r>
              <w:rPr>
                <w:rFonts w:hint="eastAsia" w:ascii="Arial" w:hAnsi="Arial"/>
                <w:color w:val="auto"/>
                <w:sz w:val="24"/>
                <w:szCs w:val="24"/>
                <w:highlight w:val="none"/>
              </w:rPr>
              <w:t xml:space="preserve">分）</w:t>
            </w:r>
            <w:r/>
          </w:p>
        </w:tc>
        <w:tc>
          <w:tcPr>
            <w:tcW w:w="7109" w:type="dxa"/>
            <w:vAlign w:val="center"/>
            <w:textDirection w:val="lrTb"/>
            <w:noWrap w:val="false"/>
          </w:tcPr>
          <w:p>
            <w:pPr>
              <w:spacing w:line="360" w:lineRule="auto"/>
              <w:rPr>
                <w:rFonts w:hint="eastAsia" w:ascii="Arial" w:hAnsi="Arial"/>
                <w:color w:val="auto"/>
                <w:sz w:val="24"/>
                <w:szCs w:val="24"/>
                <w:highlight w:val="none"/>
              </w:rPr>
            </w:pPr>
            <w:r>
              <w:rPr>
                <w:rFonts w:hint="eastAsia" w:ascii="Arial" w:hAnsi="Arial"/>
                <w:color w:val="auto"/>
                <w:sz w:val="24"/>
                <w:szCs w:val="24"/>
                <w:highlight w:val="none"/>
              </w:rPr>
              <w:t xml:space="preserve">自202</w:t>
            </w:r>
            <w:r>
              <w:rPr>
                <w:rFonts w:hint="eastAsia" w:ascii="Arial" w:hAnsi="Arial"/>
                <w:color w:val="auto"/>
                <w:sz w:val="24"/>
                <w:szCs w:val="24"/>
                <w:highlight w:val="none"/>
                <w:lang w:val="en-US" w:eastAsia="zh-CN"/>
              </w:rPr>
              <w:t xml:space="preserve">3</w:t>
            </w:r>
            <w:r>
              <w:rPr>
                <w:rFonts w:hint="eastAsia" w:ascii="Arial" w:hAnsi="Arial"/>
                <w:color w:val="auto"/>
                <w:sz w:val="24"/>
                <w:szCs w:val="24"/>
                <w:highlight w:val="none"/>
              </w:rPr>
              <w:t xml:space="preserve">年9月1日（以合同签订时间为准）至今，投标人承担过与本项目类似业绩的（成功案例中为所投类似产品或同系列产品），每提供一个得2分，最高得8分。</w:t>
            </w:r>
            <w:r/>
          </w:p>
          <w:p>
            <w:pPr>
              <w:spacing w:line="360" w:lineRule="auto"/>
              <w:rPr>
                <w:rFonts w:ascii="Arial" w:hAnsi="Arial"/>
                <w:color w:val="auto"/>
                <w:sz w:val="24"/>
                <w:szCs w:val="24"/>
                <w:highlight w:val="none"/>
              </w:rPr>
            </w:pPr>
            <w:r>
              <w:rPr>
                <w:rFonts w:hint="eastAsia" w:ascii="Arial" w:hAnsi="Arial"/>
                <w:color w:val="auto"/>
                <w:sz w:val="24"/>
                <w:szCs w:val="24"/>
                <w:highlight w:val="none"/>
              </w:rPr>
              <w:t xml:space="preserve">注：</w:t>
            </w:r>
            <w:r>
              <w:rPr>
                <w:rFonts w:hint="eastAsia" w:ascii="Arial" w:hAnsi="Arial"/>
                <w:color w:val="auto"/>
                <w:sz w:val="24"/>
                <w:szCs w:val="24"/>
                <w:highlight w:val="none"/>
                <w:lang w:val="zh-CN"/>
              </w:rPr>
              <w:t xml:space="preserve">投标文件中提供完整合同</w:t>
            </w:r>
            <w:r>
              <w:rPr>
                <w:rFonts w:hint="eastAsia" w:ascii="Arial" w:hAnsi="Arial"/>
                <w:color w:val="auto"/>
                <w:sz w:val="24"/>
                <w:szCs w:val="24"/>
                <w:highlight w:val="none"/>
                <w:lang w:val="en-US" w:eastAsia="zh-CN"/>
              </w:rPr>
              <w:t xml:space="preserve">扫描</w:t>
            </w:r>
            <w:r>
              <w:rPr>
                <w:rFonts w:hint="eastAsia" w:ascii="Arial" w:hAnsi="Arial"/>
                <w:color w:val="auto"/>
                <w:sz w:val="24"/>
                <w:szCs w:val="24"/>
                <w:highlight w:val="none"/>
                <w:lang w:val="zh-CN"/>
              </w:rPr>
              <w:t xml:space="preserve">件并加盖投标人公章，否则不得分。时间、采购标的、内容以合同为准，需直接体现相关内容，未体现不得分</w:t>
            </w:r>
            <w:r>
              <w:rPr>
                <w:rFonts w:hint="eastAsia" w:ascii="Arial" w:hAnsi="Arial"/>
                <w:color w:val="auto"/>
                <w:sz w:val="24"/>
                <w:szCs w:val="24"/>
                <w:highlight w:val="none"/>
              </w:rPr>
              <w:t xml:space="preserve">。</w:t>
            </w:r>
            <w:r/>
          </w:p>
        </w:tc>
      </w:tr>
      <w:tr>
        <w:trPr>
          <w:jc w:val="center"/>
          <w:trHeight w:val="461"/>
        </w:trPr>
        <w:tc>
          <w:tcPr>
            <w:tcW w:w="1750" w:type="dxa"/>
            <w:vAlign w:val="center"/>
            <w:textDirection w:val="lrTb"/>
            <w:noWrap w:val="false"/>
          </w:tcPr>
          <w:p>
            <w:pPr>
              <w:jc w:val="center"/>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产品综合性能</w:t>
            </w:r>
            <w:r/>
          </w:p>
          <w:p>
            <w:pPr>
              <w:jc w:val="center"/>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（6分）</w:t>
            </w:r>
            <w:r/>
          </w:p>
        </w:tc>
        <w:tc>
          <w:tcPr>
            <w:tcW w:w="7109" w:type="dxa"/>
            <w:vAlign w:val="center"/>
            <w:textDirection w:val="lrTb"/>
            <w:noWrap w:val="false"/>
          </w:tcPr>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根据投标人所提供关于产品先进性、易用性、可靠稳定性的描述和佐证材料进行综合评分。</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1、提供关于产品先进性的描述和佐证材料，包括产品的技术规格、性能指标以及创新性。</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描述详细并提供了佐证材料，能充分证明产品先进性的得2分；</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提供了部分描述，提供了佐证材料但不足以证明产品的先进性的得1分；</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未提供得0分。</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2、提供关于产品易用性的描述和佐证材料，包括详细的用户操作指南、界面设计图例以及实际使用案例。</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描述详细并提供了佐证材料，能充分证明产品操作简便得2分；</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提供了部分描述，提供了佐证材料但不足以证明产品的易用性得1分；</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未提供得0分。</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3、提供关于产品可靠性和稳定性的描述和佐证材料，包括产品的质量检测报告、测试数据以及故障率统计等。</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描述详细并提供了佐证材料，能充分证明产品可靠性高、稳定性高、故障率低得2分；</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提供了部分描述，提供了佐证材料但不足以证明产品的可靠性、稳定性得1分；</w:t>
            </w:r>
            <w:r/>
          </w:p>
          <w:p>
            <w:pPr>
              <w:jc w:val="both"/>
              <w:spacing w:line="360" w:lineRule="auto"/>
              <w:rPr>
                <w:rFonts w:hint="eastAsia" w:ascii="Arial" w:hAnsi="Arial"/>
                <w:color w:val="auto"/>
                <w:sz w:val="24"/>
                <w:szCs w:val="24"/>
                <w:highlight w:val="none"/>
                <w:lang w:val="en-US" w:eastAsia="zh-CN"/>
              </w:rPr>
            </w:pPr>
            <w:r>
              <w:rPr>
                <w:rFonts w:hint="eastAsia" w:ascii="Arial" w:hAnsi="Arial"/>
                <w:color w:val="auto"/>
                <w:sz w:val="24"/>
                <w:szCs w:val="24"/>
                <w:highlight w:val="none"/>
                <w:lang w:val="en-US" w:eastAsia="zh-CN"/>
              </w:rPr>
              <w:t xml:space="preserve">未提供得0分。</w:t>
            </w:r>
            <w:r/>
          </w:p>
        </w:tc>
      </w:tr>
      <w:tr>
        <w:trPr>
          <w:jc w:val="center"/>
          <w:trHeight w:val="90"/>
        </w:trPr>
        <w:tc>
          <w:tcPr>
            <w:tcW w:w="1750" w:type="dxa"/>
            <w:vAlign w:val="center"/>
            <w:textDirection w:val="lrTb"/>
            <w:noWrap w:val="false"/>
          </w:tcPr>
          <w:p>
            <w:pPr>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项目实施方案（</w:t>
            </w:r>
            <w:r>
              <w:rPr>
                <w:rFonts w:hint="eastAsia" w:ascii="Arial" w:hAnsi="Arial"/>
                <w:color w:val="auto"/>
                <w:sz w:val="24"/>
                <w:szCs w:val="24"/>
                <w:highlight w:val="none"/>
                <w:lang w:val="en-US" w:eastAsia="zh-CN"/>
              </w:rPr>
              <w:t xml:space="preserve">6</w:t>
            </w:r>
            <w:r>
              <w:rPr>
                <w:rFonts w:hint="eastAsia" w:ascii="Arial" w:hAnsi="Arial"/>
                <w:color w:val="auto"/>
                <w:sz w:val="24"/>
                <w:szCs w:val="24"/>
                <w:highlight w:val="none"/>
              </w:rPr>
              <w:t xml:space="preserve">分）</w:t>
            </w:r>
            <w:r/>
          </w:p>
        </w:tc>
        <w:tc>
          <w:tcPr>
            <w:tcW w:w="7109" w:type="dxa"/>
            <w:vAlign w:val="center"/>
            <w:textDirection w:val="lrTb"/>
            <w:noWrap w:val="false"/>
          </w:tcPr>
          <w:p>
            <w:pPr>
              <w:spacing w:line="360" w:lineRule="auto"/>
              <w:rPr>
                <w:rFonts w:ascii="Arial" w:hAnsi="Arial"/>
                <w:color w:val="auto"/>
                <w:sz w:val="24"/>
                <w:szCs w:val="24"/>
                <w:highlight w:val="none"/>
              </w:rPr>
            </w:pPr>
            <w:r>
              <w:rPr>
                <w:rFonts w:ascii="Arial" w:hAnsi="Arial"/>
                <w:color w:val="auto"/>
                <w:sz w:val="24"/>
                <w:szCs w:val="24"/>
                <w:highlight w:val="none"/>
              </w:rPr>
              <w:t xml:space="preserve">投标人针对本项目提供详细项目实施方案，包括但不限于供货计划、安装调试计划、项目实施人员等内容，根据所提供项目实施方案进行综合评分。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方案内容详细，针对性强，安装调试措施完善，流程清晰，人员安排合理，能完全满足本项目需求，具有可实施性的得6分；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方案内容较详细，针对性较强，安装调试措施较完善，流程较清晰，人员安排较合理，能基本满足本项目需求，较具有可实施性的得4分；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方案内容简单，有针对性，有对应措施，措施及人员安排可实施性一般的得2分；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方案内容较差，难以满足项目需求，可实施性差的，得1分；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该项未见阐述的，不得分。</w:t>
            </w:r>
            <w:r/>
          </w:p>
        </w:tc>
      </w:tr>
      <w:tr>
        <w:trPr>
          <w:jc w:val="center"/>
          <w:trHeight w:val="3227"/>
        </w:trPr>
        <w:tc>
          <w:tcPr>
            <w:tcW w:w="1750" w:type="dxa"/>
            <w:vAlign w:val="center"/>
            <w:textDirection w:val="lrTb"/>
            <w:noWrap w:val="false"/>
          </w:tcPr>
          <w:p>
            <w:pPr>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培训方案</w:t>
            </w:r>
            <w:r/>
          </w:p>
          <w:p>
            <w:pPr>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w:t>
            </w:r>
            <w:r>
              <w:rPr>
                <w:rFonts w:hint="eastAsia" w:ascii="Arial" w:hAnsi="Arial"/>
                <w:color w:val="auto"/>
                <w:sz w:val="24"/>
                <w:szCs w:val="24"/>
                <w:highlight w:val="none"/>
                <w:lang w:val="en-US" w:eastAsia="zh-CN"/>
              </w:rPr>
              <w:t xml:space="preserve">6</w:t>
            </w:r>
            <w:r>
              <w:rPr>
                <w:rFonts w:hint="eastAsia" w:ascii="Arial" w:hAnsi="Arial"/>
                <w:color w:val="auto"/>
                <w:sz w:val="24"/>
                <w:szCs w:val="24"/>
                <w:highlight w:val="none"/>
              </w:rPr>
              <w:t xml:space="preserve">分）</w:t>
            </w:r>
            <w:r/>
          </w:p>
        </w:tc>
        <w:tc>
          <w:tcPr>
            <w:tcW w:w="7109" w:type="dxa"/>
            <w:vAlign w:val="center"/>
            <w:textDirection w:val="lrTb"/>
            <w:noWrap w:val="false"/>
          </w:tcPr>
          <w:p>
            <w:pPr>
              <w:spacing w:line="360" w:lineRule="auto"/>
              <w:rPr>
                <w:rFonts w:ascii="Arial" w:hAnsi="Arial"/>
                <w:color w:val="auto"/>
                <w:sz w:val="24"/>
                <w:szCs w:val="24"/>
                <w:highlight w:val="none"/>
              </w:rPr>
            </w:pPr>
            <w:r>
              <w:rPr>
                <w:rFonts w:ascii="Arial" w:hAnsi="Arial"/>
                <w:color w:val="auto"/>
                <w:sz w:val="24"/>
                <w:szCs w:val="24"/>
                <w:highlight w:val="none"/>
              </w:rPr>
              <w:t xml:space="preserve">投标人针对本项目提供技术培训方案，包括但不限于培训方案的方式、内容、人数及培训后的效果等内容，根据所提供培训方案进行综合评分。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对项目需求中的培训项有对应的培训内容，方案内容详细，培训方式丰富多样的得6分；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对项目需求中的培训项有对应的培训内容，方案内容较为详细，培训方式较丰富多样的得4分；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培训内容与项目需求中的培训项不对应，有缺项，方案内容简单，培训方式单一的得2分；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该项未见阐述的，不得分。</w:t>
            </w:r>
            <w:r/>
          </w:p>
        </w:tc>
      </w:tr>
      <w:tr>
        <w:trPr>
          <w:jc w:val="center"/>
          <w:trHeight w:val="362"/>
        </w:trPr>
        <w:tc>
          <w:tcPr>
            <w:tcW w:w="1750" w:type="dxa"/>
            <w:vAlign w:val="center"/>
            <w:textDirection w:val="lrTb"/>
            <w:noWrap w:val="false"/>
          </w:tcPr>
          <w:p>
            <w:pPr>
              <w:jc w:val="center"/>
              <w:spacing w:line="360" w:lineRule="auto"/>
              <w:rPr>
                <w:rFonts w:ascii="Arial" w:hAnsi="Arial"/>
                <w:color w:val="auto"/>
                <w:sz w:val="24"/>
                <w:szCs w:val="24"/>
                <w:highlight w:val="none"/>
              </w:rPr>
            </w:pPr>
            <w:r>
              <w:rPr>
                <w:rFonts w:hint="eastAsia" w:ascii="Arial" w:hAnsi="Arial"/>
                <w:color w:val="auto"/>
                <w:sz w:val="24"/>
                <w:szCs w:val="24"/>
                <w:highlight w:val="none"/>
              </w:rPr>
              <w:t xml:space="preserve">售后服务方案（</w:t>
            </w:r>
            <w:r>
              <w:rPr>
                <w:rFonts w:hint="eastAsia" w:ascii="Arial" w:hAnsi="Arial"/>
                <w:color w:val="auto"/>
                <w:sz w:val="24"/>
                <w:szCs w:val="24"/>
                <w:highlight w:val="none"/>
                <w:lang w:val="en-US" w:eastAsia="zh-CN"/>
              </w:rPr>
              <w:t xml:space="preserve">6</w:t>
            </w:r>
            <w:r>
              <w:rPr>
                <w:rFonts w:hint="eastAsia" w:ascii="Arial" w:hAnsi="Arial"/>
                <w:color w:val="auto"/>
                <w:sz w:val="24"/>
                <w:szCs w:val="24"/>
                <w:highlight w:val="none"/>
              </w:rPr>
              <w:t xml:space="preserve">分）</w:t>
            </w:r>
            <w:r/>
          </w:p>
        </w:tc>
        <w:tc>
          <w:tcPr>
            <w:tcW w:w="7109" w:type="dxa"/>
            <w:vAlign w:val="center"/>
            <w:textDirection w:val="lrTb"/>
            <w:noWrap w:val="false"/>
          </w:tcPr>
          <w:p>
            <w:pPr>
              <w:spacing w:line="360" w:lineRule="auto"/>
              <w:rPr>
                <w:rFonts w:ascii="Arial" w:hAnsi="Arial"/>
                <w:color w:val="auto"/>
                <w:sz w:val="24"/>
                <w:szCs w:val="24"/>
                <w:highlight w:val="none"/>
              </w:rPr>
            </w:pPr>
            <w:r>
              <w:rPr>
                <w:rFonts w:ascii="Arial" w:hAnsi="Arial"/>
                <w:color w:val="auto"/>
                <w:sz w:val="24"/>
                <w:szCs w:val="24"/>
                <w:highlight w:val="none"/>
              </w:rPr>
              <w:t xml:space="preserve">投标人针对本项目提供售后服务方案，包括但不限于解决质量或操作问题的响应时间、形式、维修时间、地点、人员等内容，根据所提供售后服务方案进行综合评分。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内容详尽完善，响应维修时间及时，切合售后服务需求，人员安排合理，可实施性强的得6分；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内容较详细全面，响应维修时间较及时，比较切合售后服务需求，人员安排较合理，可实施性较强的得4分；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方案内容简单粗糙，基本符合售后服务需求，可实施性一般的得2分；</w:t>
            </w:r>
            <w:r/>
          </w:p>
          <w:p>
            <w:pPr>
              <w:spacing w:line="360" w:lineRule="auto"/>
              <w:rPr>
                <w:rFonts w:ascii="Arial" w:hAnsi="Arial"/>
                <w:color w:val="auto"/>
                <w:sz w:val="24"/>
                <w:szCs w:val="24"/>
                <w:highlight w:val="none"/>
              </w:rPr>
            </w:pPr>
            <w:r>
              <w:rPr>
                <w:rFonts w:ascii="Arial" w:hAnsi="Arial"/>
                <w:color w:val="auto"/>
                <w:sz w:val="24"/>
                <w:szCs w:val="24"/>
                <w:highlight w:val="none"/>
              </w:rPr>
              <w:t xml:space="preserve">该项未见阐述的，不得分。</w:t>
            </w:r>
            <w:r/>
          </w:p>
        </w:tc>
      </w:tr>
      <w:tr>
        <w:trPr>
          <w:jc w:val="center"/>
          <w:trHeight w:val="362"/>
        </w:trPr>
        <w:tc>
          <w:tcPr>
            <w:tcW w:w="1750" w:type="dxa"/>
            <w:vAlign w:val="center"/>
            <w:textDirection w:val="lrTb"/>
            <w:noWrap w:val="false"/>
          </w:tcPr>
          <w:p>
            <w:pPr>
              <w:jc w:val="center"/>
              <w:spacing w:line="360" w:lineRule="auto"/>
              <w:rPr>
                <w:rFonts w:hint="eastAsia" w:ascii="Arial" w:hAnsi="Arial"/>
                <w:color w:val="auto"/>
                <w:sz w:val="24"/>
                <w:szCs w:val="24"/>
                <w:highlight w:val="none"/>
              </w:rPr>
            </w:pPr>
            <w:r>
              <w:rPr>
                <w:rFonts w:hint="eastAsia" w:ascii="Arial" w:hAnsi="Arial"/>
                <w:color w:val="auto"/>
                <w:sz w:val="24"/>
                <w:szCs w:val="24"/>
                <w:highlight w:val="none"/>
              </w:rPr>
              <w:t xml:space="preserve">兼容性与后续成本</w:t>
            </w:r>
            <w:r/>
          </w:p>
          <w:p>
            <w:pPr>
              <w:jc w:val="center"/>
              <w:spacing w:line="360" w:lineRule="auto"/>
              <w:rPr>
                <w:rFonts w:hint="eastAsia" w:ascii="Arial" w:hAnsi="Arial"/>
                <w:color w:val="auto"/>
                <w:sz w:val="24"/>
                <w:szCs w:val="24"/>
                <w:highlight w:val="none"/>
              </w:rPr>
            </w:pPr>
            <w:r>
              <w:rPr>
                <w:rFonts w:hint="eastAsia" w:ascii="Arial" w:hAnsi="Arial"/>
                <w:color w:val="auto"/>
                <w:sz w:val="24"/>
                <w:szCs w:val="24"/>
                <w:highlight w:val="none"/>
              </w:rPr>
              <w:t xml:space="preserve">（6分）</w:t>
            </w:r>
            <w:r/>
          </w:p>
        </w:tc>
        <w:tc>
          <w:tcPr>
            <w:tcW w:w="7109" w:type="dxa"/>
            <w:vAlign w:val="center"/>
            <w:textDirection w:val="lrTb"/>
            <w:noWrap w:val="false"/>
          </w:tcPr>
          <w:p>
            <w:pPr>
              <w:spacing w:line="360" w:lineRule="auto"/>
              <w:rPr>
                <w:rFonts w:hint="eastAsia" w:ascii="Arial" w:hAnsi="Arial"/>
                <w:color w:val="auto"/>
                <w:sz w:val="24"/>
                <w:szCs w:val="24"/>
                <w:highlight w:val="none"/>
              </w:rPr>
            </w:pPr>
            <w:r>
              <w:rPr>
                <w:rFonts w:hint="eastAsia" w:ascii="Arial" w:hAnsi="Arial"/>
                <w:color w:val="auto"/>
                <w:sz w:val="24"/>
                <w:szCs w:val="24"/>
                <w:highlight w:val="none"/>
              </w:rPr>
              <w:t xml:space="preserve">投标人应提供本项目涉及的全生命周期成本报价方案，包括不限于必要耗材或配件费用、兼容性成本、使用期间能源费、废弃处置费等，并提供易损件、耗材等报价单和设备运行使用期间供货承诺函。</w:t>
            </w:r>
            <w:r/>
          </w:p>
          <w:p>
            <w:pPr>
              <w:spacing w:line="360" w:lineRule="auto"/>
              <w:rPr>
                <w:rFonts w:hint="eastAsia" w:ascii="Arial" w:hAnsi="Arial"/>
                <w:color w:val="auto"/>
                <w:sz w:val="24"/>
                <w:szCs w:val="24"/>
                <w:highlight w:val="none"/>
              </w:rPr>
            </w:pPr>
            <w:r>
              <w:rPr>
                <w:rFonts w:hint="eastAsia" w:ascii="Arial" w:hAnsi="Arial"/>
                <w:color w:val="auto"/>
                <w:sz w:val="24"/>
                <w:szCs w:val="24"/>
                <w:highlight w:val="none"/>
              </w:rPr>
              <w:t xml:space="preserve">方案完善，针对性强，兼容性与后续成本可控的得6分；</w:t>
            </w:r>
            <w:r/>
          </w:p>
          <w:p>
            <w:pPr>
              <w:spacing w:line="360" w:lineRule="auto"/>
              <w:rPr>
                <w:rFonts w:hint="eastAsia" w:ascii="Arial" w:hAnsi="Arial"/>
                <w:color w:val="auto"/>
                <w:sz w:val="24"/>
                <w:szCs w:val="24"/>
                <w:highlight w:val="none"/>
              </w:rPr>
            </w:pPr>
            <w:r>
              <w:rPr>
                <w:rFonts w:hint="eastAsia" w:ascii="Arial" w:hAnsi="Arial"/>
                <w:color w:val="auto"/>
                <w:sz w:val="24"/>
                <w:szCs w:val="24"/>
                <w:highlight w:val="none"/>
              </w:rPr>
              <w:t xml:space="preserve">方案主要内容完善，针对性略有不足，兼容性与后续成本不理想的得4分；</w:t>
            </w:r>
            <w:r/>
          </w:p>
          <w:p>
            <w:pPr>
              <w:spacing w:line="360" w:lineRule="auto"/>
              <w:rPr>
                <w:rFonts w:hint="eastAsia" w:ascii="Arial" w:hAnsi="Arial"/>
                <w:color w:val="auto"/>
                <w:sz w:val="24"/>
                <w:szCs w:val="24"/>
                <w:highlight w:val="none"/>
              </w:rPr>
            </w:pPr>
            <w:r>
              <w:rPr>
                <w:rFonts w:hint="eastAsia" w:ascii="Arial" w:hAnsi="Arial"/>
                <w:color w:val="auto"/>
                <w:sz w:val="24"/>
                <w:szCs w:val="24"/>
                <w:highlight w:val="none"/>
              </w:rPr>
              <w:t xml:space="preserve">方案内容有缺陷，针对性不足，兼容性与后续成本不理想的得2分；</w:t>
            </w:r>
            <w:r/>
          </w:p>
          <w:p>
            <w:pPr>
              <w:spacing w:line="360" w:lineRule="auto"/>
              <w:rPr>
                <w:rFonts w:hint="eastAsia" w:ascii="Arial" w:hAnsi="Arial"/>
                <w:color w:val="auto"/>
                <w:sz w:val="24"/>
                <w:szCs w:val="24"/>
                <w:highlight w:val="none"/>
              </w:rPr>
            </w:pPr>
            <w:r>
              <w:rPr>
                <w:rFonts w:hint="eastAsia" w:ascii="Arial" w:hAnsi="Arial"/>
                <w:color w:val="auto"/>
                <w:sz w:val="24"/>
                <w:szCs w:val="24"/>
                <w:highlight w:val="none"/>
              </w:rPr>
              <w:t xml:space="preserve">方案有重大缺陷的得0分。</w:t>
            </w:r>
            <w:r/>
          </w:p>
          <w:p>
            <w:pPr>
              <w:spacing w:line="360" w:lineRule="auto"/>
              <w:rPr>
                <w:rFonts w:hint="eastAsia" w:ascii="Arial" w:hAnsi="Arial"/>
                <w:color w:val="auto"/>
                <w:sz w:val="24"/>
                <w:szCs w:val="24"/>
                <w:highlight w:val="none"/>
              </w:rPr>
            </w:pPr>
            <w:r>
              <w:rPr>
                <w:rFonts w:hint="eastAsia" w:ascii="Arial" w:hAnsi="Arial"/>
                <w:color w:val="auto"/>
                <w:sz w:val="24"/>
                <w:szCs w:val="24"/>
                <w:highlight w:val="none"/>
              </w:rPr>
              <w:t xml:space="preserve">该项未见阐述的，不得分。</w:t>
            </w:r>
            <w:r/>
          </w:p>
        </w:tc>
      </w:tr>
    </w:tbl>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jc w:val="center"/>
        <w:keepNext/>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20"/>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20"/>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rPr>
          <w:rFonts w:ascii="黑体" w:hAnsi="Times New Roman" w:eastAsia="黑体"/>
          <w:bCs/>
          <w:color w:val="auto"/>
          <w:sz w:val="44"/>
          <w:szCs w:val="28"/>
          <w:highlight w:val="none"/>
        </w:rPr>
      </w:pPr>
      <w:r>
        <w:rPr>
          <w:rFonts w:ascii="黑体" w:hAnsi="Times New Roman" w:eastAsia="黑体"/>
          <w:bCs/>
          <w:color w:val="auto"/>
          <w:sz w:val="44"/>
          <w:szCs w:val="28"/>
          <w:highlight w:val="none"/>
        </w:rPr>
      </w:r>
      <w:r/>
    </w:p>
    <w:p>
      <w:pPr>
        <w:pStyle w:val="820"/>
        <w:rPr>
          <w:color w:val="auto"/>
          <w:highlight w:val="none"/>
        </w:rPr>
      </w:pPr>
      <w:r>
        <w:rPr>
          <w:color w:val="auto"/>
          <w:highlight w:val="none"/>
        </w:rPr>
      </w:r>
      <w:r/>
    </w:p>
    <w:p>
      <w:pPr>
        <w:jc w:val="center"/>
        <w:keepNext/>
        <w:rPr>
          <w:rFonts w:ascii="黑体" w:hAnsi="Times New Roman" w:eastAsia="黑体"/>
          <w:bCs/>
          <w:color w:val="auto"/>
          <w:sz w:val="44"/>
          <w:szCs w:val="28"/>
          <w:highlight w:val="none"/>
        </w:rPr>
        <w:outlineLvl w:val="0"/>
      </w:pPr>
      <w:r/>
      <w:bookmarkStart w:id="472" w:name="_Toc20963"/>
      <w:r/>
      <w:bookmarkStart w:id="473" w:name="_Toc20444"/>
      <w:r/>
      <w:bookmarkStart w:id="474" w:name="_Toc14448"/>
      <w:r/>
      <w:bookmarkStart w:id="475" w:name="_Toc11204"/>
      <w:r/>
      <w:bookmarkStart w:id="476" w:name="_Toc17090"/>
      <w:r>
        <w:rPr>
          <w:rFonts w:hint="eastAsia" w:ascii="黑体" w:hAnsi="Times New Roman" w:eastAsia="黑体"/>
          <w:bCs/>
          <w:color w:val="auto"/>
          <w:sz w:val="44"/>
          <w:szCs w:val="28"/>
          <w:highlight w:val="none"/>
        </w:rPr>
        <w:t xml:space="preserve">第六章  投标</w:t>
      </w:r>
      <w:bookmarkEnd w:id="443"/>
      <w:r/>
      <w:bookmarkEnd w:id="444"/>
      <w:r/>
      <w:bookmarkEnd w:id="445"/>
      <w:r>
        <w:rPr>
          <w:rFonts w:hint="eastAsia" w:ascii="黑体" w:hAnsi="Times New Roman" w:eastAsia="黑体"/>
          <w:bCs/>
          <w:color w:val="auto"/>
          <w:sz w:val="44"/>
          <w:szCs w:val="28"/>
          <w:highlight w:val="none"/>
        </w:rPr>
        <w:t xml:space="preserve">文件格式</w:t>
      </w:r>
      <w:bookmarkEnd w:id="472"/>
      <w:r/>
      <w:bookmarkEnd w:id="473"/>
      <w:r/>
      <w:bookmarkEnd w:id="474"/>
      <w:r/>
      <w:bookmarkEnd w:id="475"/>
      <w:r/>
      <w:bookmarkEnd w:id="476"/>
      <w:r/>
      <w:r/>
    </w:p>
    <w:p>
      <w:pPr>
        <w:jc w:val="center"/>
        <w:rPr>
          <w:rFonts w:ascii="宋体" w:hAnsi="宋体"/>
          <w:b/>
          <w:color w:val="auto"/>
          <w:sz w:val="72"/>
          <w:szCs w:val="21"/>
          <w:highlight w:val="none"/>
        </w:rPr>
      </w:pPr>
      <w:r/>
      <w:bookmarkStart w:id="477" w:name="_Hlt26671244"/>
      <w:r/>
      <w:bookmarkEnd w:id="477"/>
      <w:r/>
      <w:bookmarkStart w:id="478" w:name="_Hlt26955039"/>
      <w:r/>
      <w:bookmarkEnd w:id="478"/>
      <w:r/>
      <w:bookmarkStart w:id="479" w:name="_Toc49090576"/>
      <w:r/>
      <w:bookmarkStart w:id="480" w:name="_Toc120614282"/>
      <w:r/>
      <w:bookmarkStart w:id="481" w:name="_Toc26554094"/>
      <w:r/>
      <w:r/>
    </w:p>
    <w:p>
      <w:pPr>
        <w:jc w:val="center"/>
        <w:rPr>
          <w:rFonts w:ascii="宋体" w:hAnsi="宋体"/>
          <w:b/>
          <w:color w:val="auto"/>
          <w:sz w:val="72"/>
          <w:szCs w:val="21"/>
          <w:highlight w:val="none"/>
        </w:rPr>
      </w:pPr>
      <w:r/>
      <w:bookmarkStart w:id="482" w:name="_Toc20259"/>
      <w:r/>
      <w:bookmarkStart w:id="483" w:name="_Toc23832"/>
      <w:r/>
      <w:bookmarkStart w:id="484" w:name="_Toc28513"/>
      <w:r>
        <w:rPr>
          <w:rFonts w:hint="eastAsia" w:ascii="宋体" w:hAnsi="宋体"/>
          <w:b/>
          <w:color w:val="auto"/>
          <w:sz w:val="72"/>
          <w:szCs w:val="21"/>
          <w:highlight w:val="none"/>
        </w:rPr>
        <w:t xml:space="preserve">投  标  文  件</w:t>
      </w:r>
      <w:bookmarkEnd w:id="482"/>
      <w:r/>
      <w:bookmarkEnd w:id="483"/>
      <w:r/>
      <w:bookmarkEnd w:id="484"/>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spacing w:line="360" w:lineRule="auto"/>
        <w:rPr>
          <w:rFonts w:ascii="宋体" w:hAnsi="宋体"/>
          <w:b/>
          <w:color w:val="auto"/>
          <w:sz w:val="36"/>
          <w:szCs w:val="21"/>
          <w:highlight w:val="none"/>
        </w:rPr>
      </w:pPr>
      <w:r>
        <w:rPr>
          <w:rFonts w:ascii="宋体" w:hAnsi="宋体"/>
          <w:b/>
          <w:color w:val="auto"/>
          <w:sz w:val="36"/>
          <w:szCs w:val="21"/>
          <w:highlight w:val="none"/>
        </w:rPr>
      </w:r>
      <w:r/>
    </w:p>
    <w:p>
      <w:pPr>
        <w:ind w:firstLine="1084"/>
        <w:spacing w:line="360" w:lineRule="auto"/>
        <w:rPr>
          <w:rFonts w:ascii="宋体" w:hAnsi="宋体"/>
          <w:b/>
          <w:color w:val="auto"/>
          <w:sz w:val="36"/>
          <w:szCs w:val="21"/>
          <w:highlight w:val="none"/>
        </w:rPr>
      </w:pPr>
      <w:r>
        <w:rPr>
          <w:rFonts w:hint="eastAsia" w:ascii="宋体" w:hAnsi="宋体"/>
          <w:b/>
          <w:color w:val="auto"/>
          <w:sz w:val="36"/>
          <w:szCs w:val="21"/>
          <w:highlight w:val="none"/>
        </w:rPr>
        <w:t xml:space="preserve">项目名称：</w:t>
      </w:r>
      <w:r>
        <w:rPr>
          <w:rFonts w:hint="eastAsia" w:ascii="宋体" w:hAnsi="宋体"/>
          <w:b/>
          <w:color w:val="auto"/>
          <w:sz w:val="36"/>
          <w:szCs w:val="21"/>
          <w:highlight w:val="none"/>
          <w:u w:val="single"/>
        </w:rPr>
        <w:t xml:space="preserve">                      </w:t>
      </w:r>
      <w:r/>
    </w:p>
    <w:p>
      <w:pPr>
        <w:ind w:firstLine="1084"/>
        <w:spacing w:line="360" w:lineRule="auto"/>
        <w:rPr>
          <w:rFonts w:ascii="宋体" w:hAnsi="宋体"/>
          <w:b/>
          <w:color w:val="auto"/>
          <w:sz w:val="36"/>
          <w:szCs w:val="21"/>
          <w:highlight w:val="none"/>
          <w:u w:val="single"/>
        </w:rPr>
      </w:pPr>
      <w:r>
        <w:rPr>
          <w:rFonts w:hint="eastAsia" w:ascii="宋体" w:hAnsi="宋体"/>
          <w:b/>
          <w:color w:val="auto"/>
          <w:sz w:val="36"/>
          <w:szCs w:val="21"/>
          <w:highlight w:val="none"/>
        </w:rPr>
        <w:t xml:space="preserve">项目编号：</w:t>
      </w:r>
      <w:r>
        <w:rPr>
          <w:rFonts w:hint="eastAsia" w:ascii="宋体" w:hAnsi="宋体"/>
          <w:b/>
          <w:color w:val="auto"/>
          <w:sz w:val="36"/>
          <w:szCs w:val="21"/>
          <w:highlight w:val="none"/>
          <w:u w:val="single"/>
        </w:rPr>
        <w:t xml:space="preserve">                      </w:t>
      </w:r>
      <w:r/>
    </w:p>
    <w:p>
      <w:pPr>
        <w:spacing w:line="360" w:lineRule="auto"/>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w:t>
      </w:r>
      <w:r>
        <w:rPr>
          <w:rFonts w:hint="eastAsia" w:ascii="宋体" w:hAnsi="宋体"/>
          <w:b/>
          <w:color w:val="auto"/>
          <w:sz w:val="36"/>
          <w:szCs w:val="21"/>
          <w:highlight w:val="none"/>
          <w:u w:val="single"/>
        </w:rPr>
        <w:t xml:space="preserve">（加盖CA电子公章） </w:t>
      </w:r>
      <w:r/>
    </w:p>
    <w:p>
      <w:pPr>
        <w:spacing w:line="360" w:lineRule="auto"/>
        <w:rPr>
          <w:rFonts w:ascii="宋体" w:hAnsi="宋体"/>
          <w:b/>
          <w:color w:val="auto"/>
          <w:sz w:val="36"/>
          <w:szCs w:val="21"/>
          <w:highlight w:val="none"/>
          <w:u w:val="single"/>
        </w:rPr>
      </w:pPr>
      <w:r>
        <w:rPr>
          <w:rFonts w:hint="eastAsia" w:ascii="宋体" w:hAnsi="宋体"/>
          <w:b/>
          <w:color w:val="auto"/>
          <w:sz w:val="36"/>
          <w:szCs w:val="21"/>
          <w:highlight w:val="none"/>
        </w:rPr>
        <w:t xml:space="preserve">      日期：</w:t>
      </w:r>
      <w:r>
        <w:rPr>
          <w:rFonts w:hint="eastAsia" w:ascii="宋体" w:hAnsi="宋体"/>
          <w:b/>
          <w:color w:val="auto"/>
          <w:sz w:val="36"/>
          <w:szCs w:val="21"/>
          <w:highlight w:val="none"/>
          <w:u w:val="single"/>
        </w:rPr>
        <w:t xml:space="preserve">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一、法人或者其他组织的营业执照等证明文件，自然人的身份证明</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二、上一年度的财务状况报告（投标人成立不满一年无需提供）</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四、具备履行合同所必需的设备和专业技术能力的书面声明</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五、参加政府采购活动前 3 年内在经营活动中没有重大违法记录的书面声明</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六、特定资格要求的证明文件（如果本项目设置特定资格要求，则需要提供）</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七、法人授权书</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八、投标函</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九、小微企业声明函</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十、残疾人福利性单位声明函</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十一、联合体协议</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十二、投标分项报价表</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十三、技术要求响应及偏离表</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十四、商务要求响应及偏离表</w:t>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十五、开标一览表</w:t>
      </w:r>
      <w:r/>
    </w:p>
    <w:p>
      <w:pP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十六、类似项目业绩一览表 </w:t>
      </w:r>
      <w:r/>
    </w:p>
    <w:p>
      <w:pPr>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十七、项目团队人员一览表</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spacing w:line="360" w:lineRule="auto"/>
        <w:rPr>
          <w:rFonts w:ascii="黑体" w:hAnsi="黑体" w:eastAsia="黑体"/>
          <w:iCs/>
          <w:color w:val="auto"/>
          <w:sz w:val="32"/>
          <w:szCs w:val="32"/>
          <w:highlight w:val="none"/>
          <w:u w:val="single"/>
        </w:rPr>
      </w:pPr>
      <w:r/>
      <w:bookmarkStart w:id="485" w:name="_Toc1059"/>
      <w:r/>
      <w:bookmarkStart w:id="486" w:name="_Toc10784"/>
      <w:r/>
      <w:bookmarkStart w:id="487" w:name="_Toc27320"/>
      <w:r>
        <w:rPr>
          <w:rFonts w:hint="eastAsia" w:ascii="黑体" w:hAnsi="黑体" w:eastAsia="黑体"/>
          <w:iCs/>
          <w:color w:val="auto"/>
          <w:sz w:val="32"/>
          <w:szCs w:val="32"/>
          <w:highlight w:val="none"/>
          <w:u w:val="single"/>
        </w:rPr>
        <w:t xml:space="preserve">一、法人或者其他组织的营业执照等证明文件，自然人的身份证明</w:t>
      </w:r>
      <w:bookmarkEnd w:id="485"/>
      <w:r/>
      <w:bookmarkEnd w:id="486"/>
      <w:r/>
      <w:bookmarkEnd w:id="487"/>
      <w:r/>
      <w:r/>
    </w:p>
    <w:p>
      <w:pPr>
        <w:ind w:firstLine="480"/>
        <w:spacing w:line="360" w:lineRule="auto"/>
        <w:rPr>
          <w:rFonts w:ascii="宋体" w:hAnsi="宋体"/>
          <w:iCs/>
          <w:color w:val="auto"/>
          <w:sz w:val="24"/>
          <w:szCs w:val="21"/>
          <w:highlight w:val="none"/>
        </w:rPr>
      </w:pPr>
      <w:r>
        <w:rPr>
          <w:rFonts w:ascii="宋体" w:hAnsi="宋体"/>
          <w:iCs/>
          <w:color w:val="auto"/>
          <w:sz w:val="24"/>
          <w:szCs w:val="21"/>
          <w:highlight w:val="none"/>
        </w:rPr>
      </w:r>
      <w:r/>
    </w:p>
    <w:p>
      <w:pPr>
        <w:spacing w:line="360" w:lineRule="auto"/>
        <w:rPr>
          <w:rFonts w:ascii="黑体" w:hAnsi="黑体" w:eastAsia="黑体"/>
          <w:iCs/>
          <w:color w:val="auto"/>
          <w:sz w:val="32"/>
          <w:szCs w:val="32"/>
          <w:highlight w:val="none"/>
          <w:u w:val="single"/>
        </w:rPr>
      </w:pPr>
      <w:r/>
      <w:bookmarkStart w:id="488" w:name="_Toc12625"/>
      <w:r/>
      <w:bookmarkStart w:id="489" w:name="_Toc15381"/>
      <w:r/>
      <w:bookmarkStart w:id="490" w:name="_Toc24960"/>
      <w:r>
        <w:rPr>
          <w:rFonts w:hint="eastAsia" w:ascii="黑体" w:hAnsi="黑体" w:eastAsia="黑体"/>
          <w:iCs/>
          <w:color w:val="auto"/>
          <w:sz w:val="32"/>
          <w:szCs w:val="32"/>
          <w:highlight w:val="none"/>
          <w:u w:val="single"/>
        </w:rPr>
        <w:t xml:space="preserve">二、上一年度的财务状况报告</w:t>
      </w:r>
      <w:bookmarkEnd w:id="488"/>
      <w:r/>
      <w:bookmarkEnd w:id="489"/>
      <w:r/>
      <w:bookmarkEnd w:id="490"/>
      <w:r/>
      <w:r/>
    </w:p>
    <w:p>
      <w:pPr>
        <w:ind w:firstLine="480"/>
        <w:spacing w:line="360" w:lineRule="auto"/>
        <w:rPr>
          <w:rFonts w:ascii="宋体" w:hAnsi="宋体"/>
          <w:bCs/>
          <w:iCs/>
          <w:color w:val="auto"/>
          <w:sz w:val="24"/>
          <w:szCs w:val="21"/>
          <w:highlight w:val="none"/>
        </w:rPr>
      </w:pPr>
      <w:r>
        <w:rPr>
          <w:rFonts w:hint="eastAsia" w:ascii="宋体" w:hAnsi="宋体"/>
          <w:bCs/>
          <w:iCs/>
          <w:color w:val="auto"/>
          <w:sz w:val="24"/>
          <w:szCs w:val="21"/>
          <w:highlight w:val="none"/>
        </w:rPr>
        <w:t xml:space="preserve">根据连财购〔2023〕4号、连财购〔2023〕9号文件精神，可以提供《财务状况报告及税收、社会保障资金缴纳情况承诺函》。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1178"/>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黑体" w:hAnsi="黑体" w:eastAsia="黑体"/>
          <w:iCs/>
          <w:color w:val="auto"/>
          <w:sz w:val="32"/>
          <w:szCs w:val="32"/>
          <w:highlight w:val="none"/>
          <w:u w:val="single"/>
        </w:rPr>
      </w:pPr>
      <w:r>
        <w:rPr>
          <w:rFonts w:hint="eastAsia" w:ascii="宋体" w:hAnsi="宋体" w:cs="宋体"/>
          <w:color w:val="auto"/>
          <w:sz w:val="24"/>
          <w:highlight w:val="none"/>
        </w:rPr>
        <w:t xml:space="preserve">日期：   年   月    日</w:t>
      </w:r>
      <w:r/>
    </w:p>
    <w:p>
      <w:pPr>
        <w:spacing w:line="360" w:lineRule="auto"/>
        <w:rPr>
          <w:rFonts w:ascii="黑体" w:hAnsi="黑体" w:eastAsia="黑体"/>
          <w:iCs/>
          <w:color w:val="auto"/>
          <w:sz w:val="32"/>
          <w:szCs w:val="32"/>
          <w:highlight w:val="none"/>
          <w:u w:val="single"/>
        </w:rPr>
      </w:pPr>
      <w:r/>
      <w:bookmarkStart w:id="491" w:name="_Toc18488"/>
      <w:r/>
      <w:bookmarkStart w:id="492" w:name="_Toc287"/>
      <w:r/>
      <w:bookmarkStart w:id="493" w:name="_Toc22415"/>
      <w:r/>
      <w:r/>
    </w:p>
    <w:p>
      <w:pPr>
        <w:spacing w:line="360" w:lineRule="auto"/>
        <w:rPr>
          <w:rFonts w:ascii="黑体" w:hAnsi="黑体" w:eastAsia="黑体"/>
          <w:iCs/>
          <w:color w:val="auto"/>
          <w:sz w:val="32"/>
          <w:szCs w:val="32"/>
          <w:highlight w:val="none"/>
          <w:u w:val="single"/>
        </w:rPr>
      </w:pPr>
      <w:r>
        <w:rPr>
          <w:rFonts w:ascii="黑体" w:hAnsi="黑体" w:eastAsia="黑体"/>
          <w:iCs/>
          <w:color w:val="auto"/>
          <w:sz w:val="32"/>
          <w:szCs w:val="32"/>
          <w:highlight w:val="none"/>
          <w:u w:val="single"/>
        </w:rPr>
      </w:r>
      <w:r/>
    </w:p>
    <w:p>
      <w:pPr>
        <w:spacing w:line="360" w:lineRule="auto"/>
        <w:rPr>
          <w:rFonts w:ascii="黑体" w:hAnsi="黑体" w:eastAsia="黑体"/>
          <w:iCs/>
          <w:color w:val="auto"/>
          <w:sz w:val="32"/>
          <w:szCs w:val="32"/>
          <w:highlight w:val="none"/>
          <w:u w:val="single"/>
        </w:rPr>
      </w:pPr>
      <w:r>
        <w:rPr>
          <w:rFonts w:ascii="黑体" w:hAnsi="黑体" w:eastAsia="黑体"/>
          <w:iCs/>
          <w:color w:val="auto"/>
          <w:sz w:val="32"/>
          <w:szCs w:val="32"/>
          <w:highlight w:val="none"/>
          <w:u w:val="single"/>
        </w:rPr>
      </w:r>
      <w:r/>
    </w:p>
    <w:p>
      <w:pPr>
        <w:spacing w:line="360" w:lineRule="auto"/>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三、依法缴纳税收和社会保障资金的相关材料</w:t>
      </w:r>
      <w:bookmarkEnd w:id="491"/>
      <w:r/>
      <w:bookmarkEnd w:id="492"/>
      <w:r/>
      <w:bookmarkEnd w:id="493"/>
      <w:r/>
      <w:r/>
    </w:p>
    <w:p>
      <w:pPr>
        <w:ind w:firstLine="480"/>
        <w:spacing w:line="360" w:lineRule="auto"/>
        <w:rPr>
          <w:rFonts w:ascii="宋体" w:hAnsi="宋体"/>
          <w:bCs/>
          <w:iCs/>
          <w:color w:val="auto"/>
          <w:sz w:val="24"/>
          <w:szCs w:val="21"/>
          <w:highlight w:val="none"/>
        </w:rPr>
      </w:pPr>
      <w:r>
        <w:rPr>
          <w:rFonts w:hint="eastAsia" w:ascii="宋体" w:hAnsi="宋体"/>
          <w:bCs/>
          <w:iCs/>
          <w:color w:val="auto"/>
          <w:sz w:val="24"/>
          <w:szCs w:val="21"/>
          <w:highlight w:val="none"/>
        </w:rPr>
        <w:t xml:space="preserve">根据连财购〔2023〕4号、连财购〔2023〕9号文件精神，可以提供《财务状况报告及税收、社会保障资金缴纳情况承诺函》。</w:t>
      </w:r>
      <w:r/>
    </w:p>
    <w:p>
      <w:pPr>
        <w:jc w:val="center"/>
        <w:spacing w:line="360" w:lineRule="auto"/>
        <w:rPr>
          <w:color w:val="auto"/>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黑体" w:hAnsi="黑体" w:eastAsia="黑体"/>
          <w:iCs/>
          <w:color w:val="auto"/>
          <w:sz w:val="32"/>
          <w:szCs w:val="32"/>
          <w:highlight w:val="none"/>
          <w:u w:val="single"/>
        </w:rPr>
      </w:pPr>
      <w:r>
        <w:rPr>
          <w:rFonts w:ascii="黑体" w:hAnsi="黑体" w:eastAsia="黑体"/>
          <w:iCs/>
          <w:color w:val="auto"/>
          <w:sz w:val="32"/>
          <w:szCs w:val="32"/>
          <w:highlight w:val="none"/>
          <w:u w:val="single"/>
        </w:rPr>
      </w:r>
      <w:r/>
    </w:p>
    <w:p>
      <w:pPr>
        <w:spacing w:line="360" w:lineRule="auto"/>
        <w:rPr>
          <w:rFonts w:ascii="黑体" w:hAnsi="黑体" w:eastAsia="黑体"/>
          <w:iCs/>
          <w:color w:val="auto"/>
          <w:sz w:val="32"/>
          <w:szCs w:val="32"/>
          <w:highlight w:val="none"/>
          <w:u w:val="single"/>
        </w:rPr>
      </w:pPr>
      <w:r/>
      <w:bookmarkStart w:id="494" w:name="_Toc22102"/>
      <w:r/>
      <w:bookmarkStart w:id="495" w:name="_Toc28185"/>
      <w:r/>
      <w:bookmarkStart w:id="496" w:name="_Toc25206"/>
      <w:r>
        <w:rPr>
          <w:rFonts w:hint="eastAsia" w:ascii="黑体" w:hAnsi="黑体" w:eastAsia="黑体"/>
          <w:iCs/>
          <w:color w:val="auto"/>
          <w:sz w:val="32"/>
          <w:szCs w:val="32"/>
          <w:highlight w:val="none"/>
          <w:u w:val="single"/>
        </w:rPr>
        <w:t xml:space="preserve">四、具备履行合同所必需的设备和专业技术能力的书面声明</w:t>
      </w:r>
      <w:bookmarkEnd w:id="494"/>
      <w:r/>
      <w:bookmarkEnd w:id="495"/>
      <w:r/>
      <w:bookmarkEnd w:id="496"/>
      <w:r>
        <w:rPr>
          <w:rFonts w:hint="eastAsia" w:ascii="黑体" w:hAnsi="黑体" w:eastAsia="黑体"/>
          <w:iCs/>
          <w:color w:val="auto"/>
          <w:sz w:val="32"/>
          <w:szCs w:val="32"/>
          <w:highlight w:val="none"/>
          <w:u w:val="single"/>
        </w:rPr>
        <w:t xml:space="preserve">及证明材料</w:t>
      </w:r>
      <w:r/>
    </w:p>
    <w:p>
      <w:pPr>
        <w:ind w:firstLine="492"/>
        <w:spacing w:line="360" w:lineRule="auto"/>
        <w:rPr>
          <w:rFonts w:ascii="宋体" w:hAnsi="宋体"/>
          <w:bCs/>
          <w:iCs/>
          <w:color w:val="auto"/>
          <w:sz w:val="24"/>
          <w:szCs w:val="21"/>
          <w:highlight w:val="none"/>
        </w:rPr>
      </w:pPr>
      <w:r>
        <w:rPr>
          <w:rFonts w:hint="eastAsia" w:ascii="宋体" w:hAnsi="宋体"/>
          <w:bCs/>
          <w:i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iCs/>
          <w:color w:val="auto"/>
          <w:sz w:val="24"/>
          <w:szCs w:val="21"/>
          <w:highlight w:val="none"/>
        </w:rPr>
      </w:pPr>
      <w:r>
        <w:rPr>
          <w:rFonts w:hint="eastAsia" w:ascii="宋体" w:hAnsi="宋体"/>
          <w:bCs/>
          <w:iCs/>
          <w:color w:val="auto"/>
          <w:sz w:val="24"/>
          <w:szCs w:val="21"/>
          <w:highlight w:val="none"/>
        </w:rPr>
        <w:t xml:space="preserve">主要设备有：</w:t>
      </w:r>
      <w:r>
        <w:rPr>
          <w:rFonts w:hint="eastAsia" w:ascii="宋体" w:hAnsi="宋体"/>
          <w:bCs/>
          <w:iCs/>
          <w:color w:val="auto"/>
          <w:sz w:val="24"/>
          <w:szCs w:val="21"/>
          <w:highlight w:val="none"/>
          <w:u w:val="single"/>
        </w:rPr>
        <w:t xml:space="preserve">                       </w:t>
      </w:r>
      <w:r>
        <w:rPr>
          <w:rFonts w:hint="eastAsia" w:ascii="宋体" w:hAnsi="宋体"/>
          <w:bCs/>
          <w:iCs/>
          <w:color w:val="auto"/>
          <w:sz w:val="24"/>
          <w:szCs w:val="21"/>
          <w:highlight w:val="none"/>
        </w:rPr>
        <w:t xml:space="preserve">。</w:t>
      </w:r>
      <w:r/>
    </w:p>
    <w:p>
      <w:pPr>
        <w:ind w:firstLine="492"/>
        <w:spacing w:line="360" w:lineRule="auto"/>
        <w:rPr>
          <w:rFonts w:ascii="宋体" w:hAnsi="宋体" w:cs="宋体"/>
          <w:color w:val="auto"/>
          <w:sz w:val="24"/>
          <w:highlight w:val="none"/>
        </w:rPr>
      </w:pPr>
      <w:r>
        <w:rPr>
          <w:rFonts w:hint="eastAsia" w:ascii="宋体" w:hAnsi="宋体"/>
          <w:bCs/>
          <w:iCs/>
          <w:color w:val="auto"/>
          <w:sz w:val="24"/>
          <w:szCs w:val="21"/>
          <w:highlight w:val="none"/>
        </w:rPr>
        <w:t xml:space="preserve">主要专业技术能力有：</w:t>
      </w:r>
      <w:r>
        <w:rPr>
          <w:rFonts w:hint="eastAsia" w:ascii="宋体" w:hAnsi="宋体"/>
          <w:bCs/>
          <w:iCs/>
          <w:color w:val="auto"/>
          <w:sz w:val="24"/>
          <w:szCs w:val="21"/>
          <w:highlight w:val="none"/>
          <w:u w:val="single"/>
        </w:rPr>
        <w:t xml:space="preserve">               </w:t>
      </w:r>
      <w:r>
        <w:rPr>
          <w:rFonts w:hint="eastAsia" w:ascii="宋体" w:hAnsi="宋体"/>
          <w:bCs/>
          <w:iCs/>
          <w:color w:val="auto"/>
          <w:sz w:val="24"/>
          <w:szCs w:val="21"/>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bCs/>
          <w:iCs/>
          <w:color w:val="auto"/>
          <w:sz w:val="24"/>
          <w:szCs w:val="21"/>
          <w:highlight w:val="none"/>
        </w:rPr>
      </w:pPr>
      <w:r>
        <w:rPr>
          <w:rFonts w:hint="eastAsia" w:ascii="宋体" w:hAnsi="宋体"/>
          <w:bCs/>
          <w:iCs/>
          <w:color w:val="auto"/>
          <w:sz w:val="24"/>
          <w:szCs w:val="21"/>
          <w:highlight w:val="none"/>
        </w:rPr>
        <w:t xml:space="preserve">    </w:t>
      </w:r>
      <w:r/>
    </w:p>
    <w:p>
      <w:pPr>
        <w:ind w:firstLine="480"/>
        <w:spacing w:line="360" w:lineRule="auto"/>
        <w:rPr>
          <w:rFonts w:ascii="宋体" w:hAnsi="宋体"/>
          <w:bCs/>
          <w:iCs/>
          <w:color w:val="auto"/>
          <w:sz w:val="24"/>
          <w:szCs w:val="21"/>
          <w:highlight w:val="none"/>
        </w:rPr>
      </w:pPr>
      <w:r>
        <w:rPr>
          <w:rFonts w:hint="eastAsia" w:ascii="宋体" w:hAnsi="宋体"/>
          <w:bCs/>
          <w:iCs/>
          <w:color w:val="auto"/>
          <w:sz w:val="24"/>
          <w:szCs w:val="21"/>
          <w:highlight w:val="none"/>
        </w:rPr>
        <w:t xml:space="preserve">附主要设备和主要专业技术能力的证明材料如下：</w:t>
      </w:r>
      <w:r/>
    </w:p>
    <w:p>
      <w:pPr>
        <w:spacing w:line="360" w:lineRule="auto"/>
        <w:rPr>
          <w:rFonts w:ascii="宋体" w:hAnsi="宋体"/>
          <w:bCs/>
          <w:iCs/>
          <w:color w:val="auto"/>
          <w:sz w:val="24"/>
          <w:szCs w:val="21"/>
          <w:highlight w:val="none"/>
        </w:rPr>
      </w:pPr>
      <w:r>
        <w:rPr>
          <w:rFonts w:ascii="宋体" w:hAnsi="宋体"/>
          <w:bCs/>
          <w:iCs/>
          <w:color w:val="auto"/>
          <w:sz w:val="24"/>
          <w:szCs w:val="21"/>
          <w:highlight w:val="none"/>
        </w:rPr>
      </w:r>
      <w:r/>
    </w:p>
    <w:p>
      <w:pPr>
        <w:ind w:firstLine="602"/>
        <w:spacing w:line="360" w:lineRule="auto"/>
        <w:rPr>
          <w:rFonts w:ascii="宋体" w:hAnsi="宋体"/>
          <w:b/>
          <w:iCs/>
          <w:color w:val="auto"/>
          <w:sz w:val="30"/>
          <w:szCs w:val="30"/>
          <w:highlight w:val="none"/>
        </w:rPr>
      </w:pPr>
      <w:r>
        <w:rPr>
          <w:rFonts w:hint="eastAsia" w:ascii="宋体" w:hAnsi="宋体"/>
          <w:b/>
          <w:iCs/>
          <w:color w:val="auto"/>
          <w:sz w:val="30"/>
          <w:szCs w:val="30"/>
          <w:highlight w:val="none"/>
        </w:rPr>
        <w:t xml:space="preserve">特别提醒：请认真填写此声明，投标人应根据声明中填写的主要设备名称和专业技术能力提供对应的证明材料，如设备采购发票、合同、运输工具、企业生产能力、专业技术能力、人员专业证书等的证明材料。否则自行承担无效响应的风险。</w:t>
      </w:r>
      <w:r/>
    </w:p>
    <w:p>
      <w:pPr>
        <w:spacing w:line="360" w:lineRule="auto"/>
        <w:rPr>
          <w:rFonts w:ascii="Times New Roman" w:hAnsi="Times New Roman"/>
          <w:iCs/>
          <w:color w:val="auto"/>
          <w:szCs w:val="21"/>
          <w:highlight w:val="none"/>
        </w:rPr>
      </w:pPr>
      <w:r>
        <w:rPr>
          <w:rFonts w:ascii="Times New Roman" w:hAnsi="Times New Roman"/>
          <w:iCs/>
          <w:color w:val="auto"/>
          <w:szCs w:val="21"/>
          <w:highlight w:val="none"/>
        </w:rPr>
      </w:r>
      <w:r/>
    </w:p>
    <w:p>
      <w:pPr>
        <w:spacing w:line="360" w:lineRule="auto"/>
        <w:rPr>
          <w:rFonts w:ascii="黑体" w:hAnsi="黑体" w:eastAsia="黑体"/>
          <w:iCs/>
          <w:color w:val="auto"/>
          <w:sz w:val="32"/>
          <w:szCs w:val="32"/>
          <w:highlight w:val="none"/>
          <w:u w:val="single"/>
        </w:rPr>
      </w:pPr>
      <w:r/>
      <w:bookmarkStart w:id="497" w:name="_Toc2490"/>
      <w:r/>
      <w:bookmarkStart w:id="498" w:name="_Toc29063"/>
      <w:r/>
      <w:bookmarkStart w:id="499" w:name="_Toc26845"/>
      <w:r>
        <w:rPr>
          <w:rFonts w:hint="eastAsia" w:ascii="黑体" w:hAnsi="黑体" w:eastAsia="黑体"/>
          <w:iCs/>
          <w:color w:val="auto"/>
          <w:sz w:val="32"/>
          <w:szCs w:val="32"/>
          <w:highlight w:val="none"/>
          <w:u w:val="single"/>
        </w:rPr>
        <w:t xml:space="preserve">五、参加政府采购活动前 3 年内在经营活动中没有重大违法记录的书面声明</w:t>
      </w:r>
      <w:bookmarkEnd w:id="497"/>
      <w:r/>
      <w:bookmarkEnd w:id="498"/>
      <w:r/>
      <w:bookmarkEnd w:id="499"/>
      <w:r/>
      <w:r/>
    </w:p>
    <w:p>
      <w:pPr>
        <w:spacing w:line="360" w:lineRule="auto"/>
        <w:rPr>
          <w:rFonts w:ascii="宋体" w:hAnsi="宋体"/>
          <w:b/>
          <w:bCs/>
          <w:iCs/>
          <w:color w:val="auto"/>
          <w:sz w:val="44"/>
          <w:szCs w:val="44"/>
          <w:highlight w:val="none"/>
        </w:rPr>
      </w:pPr>
      <w:r>
        <w:rPr>
          <w:rFonts w:hint="eastAsia" w:ascii="宋体" w:hAnsi="宋体"/>
          <w:b/>
          <w:bCs/>
          <w:iCs/>
          <w:color w:val="auto"/>
          <w:sz w:val="44"/>
          <w:szCs w:val="44"/>
          <w:highlight w:val="none"/>
        </w:rPr>
        <w:t xml:space="preserve">                 声  明</w:t>
      </w:r>
      <w:r/>
    </w:p>
    <w:p>
      <w:pPr>
        <w:spacing w:line="360" w:lineRule="auto"/>
        <w:rPr>
          <w:rFonts w:ascii="宋体" w:hAnsi="宋体"/>
          <w:bCs/>
          <w:iCs/>
          <w:color w:val="auto"/>
          <w:sz w:val="24"/>
          <w:szCs w:val="21"/>
          <w:highlight w:val="none"/>
        </w:rPr>
      </w:pPr>
      <w:r>
        <w:rPr>
          <w:rFonts w:hint="eastAsia" w:ascii="宋体" w:hAnsi="宋体"/>
          <w:b/>
          <w:bCs/>
          <w:iCs/>
          <w:color w:val="auto"/>
          <w:sz w:val="24"/>
          <w:szCs w:val="21"/>
          <w:highlight w:val="none"/>
        </w:rPr>
        <w:t xml:space="preserve">    </w:t>
      </w:r>
      <w:r>
        <w:rPr>
          <w:rFonts w:hint="eastAsia" w:ascii="宋体" w:hAnsi="宋体"/>
          <w:bCs/>
          <w:i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黑体" w:hAnsi="黑体" w:eastAsia="黑体"/>
          <w:iCs/>
          <w:color w:val="auto"/>
          <w:sz w:val="32"/>
          <w:szCs w:val="32"/>
          <w:highlight w:val="none"/>
          <w:u w:val="single"/>
        </w:rPr>
      </w:pPr>
      <w:r>
        <w:rPr>
          <w:rFonts w:ascii="黑体" w:hAnsi="黑体" w:eastAsia="黑体"/>
          <w:iCs/>
          <w:color w:val="auto"/>
          <w:sz w:val="32"/>
          <w:szCs w:val="32"/>
          <w:highlight w:val="none"/>
          <w:u w:val="single"/>
        </w:rPr>
      </w:r>
      <w:r/>
    </w:p>
    <w:p>
      <w:pPr>
        <w:spacing w:line="360" w:lineRule="auto"/>
        <w:rPr>
          <w:rFonts w:ascii="黑体" w:hAnsi="黑体" w:eastAsia="黑体"/>
          <w:iCs/>
          <w:color w:val="auto"/>
          <w:sz w:val="32"/>
          <w:szCs w:val="32"/>
          <w:highlight w:val="none"/>
          <w:u w:val="single"/>
        </w:rPr>
      </w:pPr>
      <w:r>
        <w:rPr>
          <w:rFonts w:ascii="黑体" w:hAnsi="黑体" w:eastAsia="黑体"/>
          <w:iCs/>
          <w:color w:val="auto"/>
          <w:sz w:val="32"/>
          <w:szCs w:val="32"/>
          <w:highlight w:val="none"/>
          <w:u w:val="single"/>
        </w:rPr>
      </w:r>
      <w:r/>
    </w:p>
    <w:p>
      <w:pPr>
        <w:spacing w:line="360" w:lineRule="auto"/>
        <w:rPr>
          <w:rFonts w:ascii="黑体" w:hAnsi="黑体" w:eastAsia="黑体"/>
          <w:iCs/>
          <w:color w:val="auto"/>
          <w:sz w:val="32"/>
          <w:szCs w:val="32"/>
          <w:highlight w:val="none"/>
          <w:u w:val="single"/>
        </w:rPr>
      </w:pPr>
      <w:r/>
      <w:bookmarkStart w:id="500" w:name="_Toc12832"/>
      <w:r/>
      <w:bookmarkStart w:id="501" w:name="_Toc15663"/>
      <w:r/>
      <w:bookmarkStart w:id="502" w:name="_Toc20071"/>
      <w:r>
        <w:rPr>
          <w:rFonts w:hint="eastAsia" w:ascii="黑体" w:hAnsi="黑体" w:eastAsia="黑体"/>
          <w:iCs/>
          <w:color w:val="auto"/>
          <w:sz w:val="32"/>
          <w:szCs w:val="32"/>
          <w:highlight w:val="none"/>
          <w:u w:val="single"/>
        </w:rPr>
        <w:t xml:space="preserve">六、特定资格要求的证明文件</w:t>
      </w:r>
      <w:bookmarkEnd w:id="500"/>
      <w:r/>
      <w:bookmarkEnd w:id="501"/>
      <w:r/>
      <w:bookmarkEnd w:id="502"/>
      <w:r/>
      <w:r/>
    </w:p>
    <w:p>
      <w:pPr>
        <w:spacing w:line="360" w:lineRule="auto"/>
        <w:rPr>
          <w:rFonts w:ascii="宋体" w:hAnsi="宋体"/>
          <w:iCs/>
          <w:color w:val="auto"/>
          <w:sz w:val="24"/>
          <w:szCs w:val="21"/>
          <w:highlight w:val="none"/>
        </w:rPr>
      </w:pPr>
      <w:r>
        <w:rPr>
          <w:rFonts w:hint="eastAsia" w:ascii="宋体" w:hAnsi="宋体"/>
          <w:iCs/>
          <w:color w:val="auto"/>
          <w:sz w:val="24"/>
          <w:szCs w:val="21"/>
          <w:highlight w:val="none"/>
        </w:rPr>
        <w:t xml:space="preserve">   如果本项目申请人的特定资格要求中要求提供的，必须提供。</w:t>
      </w:r>
      <w:bookmarkEnd w:id="479"/>
      <w:r/>
      <w:bookmarkEnd w:id="480"/>
      <w:r/>
      <w:bookmarkEnd w:id="481"/>
      <w:r/>
      <w:r/>
    </w:p>
    <w:p>
      <w:pPr>
        <w:jc w:val="center"/>
        <w:spacing w:line="360" w:lineRule="auto"/>
        <w:rPr>
          <w:rFonts w:ascii="黑体" w:hAnsi="黑体" w:eastAsia="黑体"/>
          <w:b/>
          <w:bCs/>
          <w:iCs/>
          <w:color w:val="auto"/>
          <w:sz w:val="32"/>
          <w:szCs w:val="32"/>
          <w:highlight w:val="none"/>
          <w:u w:val="single"/>
        </w:rPr>
      </w:pPr>
      <w:r/>
      <w:bookmarkStart w:id="503" w:name="_Toc5432"/>
      <w:r/>
      <w:bookmarkStart w:id="504" w:name="_Toc15264"/>
      <w:r/>
      <w:bookmarkStart w:id="505" w:name="_Toc3418"/>
      <w:r/>
      <w:bookmarkStart w:id="506" w:name="_Toc120614284"/>
      <w:r>
        <w:rPr>
          <w:rFonts w:hint="eastAsia" w:ascii="黑体" w:hAnsi="黑体" w:eastAsia="黑体"/>
          <w:b/>
          <w:bCs/>
          <w:iCs/>
          <w:color w:val="auto"/>
          <w:sz w:val="32"/>
          <w:szCs w:val="32"/>
          <w:highlight w:val="none"/>
          <w:u w:val="single"/>
        </w:rPr>
        <w:t xml:space="preserve">七、法人授权书</w:t>
      </w:r>
      <w:bookmarkEnd w:id="503"/>
      <w:r/>
      <w:bookmarkEnd w:id="504"/>
      <w:r/>
      <w:bookmarkEnd w:id="505"/>
      <w:r/>
      <w:r/>
    </w:p>
    <w:p>
      <w:pPr>
        <w:ind w:firstLine="480"/>
        <w:spacing w:line="360" w:lineRule="auto"/>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spacing w:line="360" w:lineRule="auto"/>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spacing w:line="360" w:lineRule="auto"/>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spacing w:line="360" w:lineRule="auto"/>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spacing w:line="360" w:lineRule="auto"/>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spacing w:line="360" w:lineRule="auto"/>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507" w:name="_Hlt26671380"/>
      <w:r/>
      <w:bookmarkEnd w:id="507"/>
      <w:r/>
      <w:bookmarkStart w:id="508" w:name="_Hlt26955070"/>
      <w:r/>
      <w:bookmarkEnd w:id="508"/>
      <w:r/>
      <w:bookmarkStart w:id="509" w:name="_格式3__银行出具的资信证明"/>
      <w:r/>
      <w:bookmarkEnd w:id="509"/>
      <w:r>
        <w:rPr>
          <w:rFonts w:hint="eastAsia" w:ascii="Times New Roman" w:hAnsi="Times New Roman"/>
          <w:color w:val="auto"/>
          <w:sz w:val="24"/>
          <w:szCs w:val="24"/>
          <w:highlight w:val="none"/>
          <w:u w:val="single"/>
        </w:rPr>
        <w:t xml:space="preserve">                                         </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1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81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填报说明：</w:t>
      </w:r>
      <w:r/>
    </w:p>
    <w:p>
      <w:pPr>
        <w:ind w:firstLine="480"/>
        <w:jc w:val="left"/>
        <w:spacing w:line="360" w:lineRule="auto"/>
        <w:tabs>
          <w:tab w:val="left" w:pos="55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1、若投标人为事业单位或其他组织或分支机构（仅当招标文件注明允许分支机构投标的），则法定代表人（单位负责人）处的签署人可为单位负责人。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3、投标人为自然人的情形，可不提供本《授权委托书》。</w:t>
      </w:r>
      <w:r/>
    </w:p>
    <w:p>
      <w:pPr>
        <w:ind w:firstLine="480"/>
        <w:jc w:val="left"/>
        <w:spacing w:line="360" w:lineRule="auto"/>
        <w:tabs>
          <w:tab w:val="left" w:pos="55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b/>
          <w:color w:val="auto"/>
          <w:sz w:val="24"/>
          <w:szCs w:val="24"/>
          <w:highlight w:val="none"/>
        </w:rPr>
        <w:t xml:space="preserve">请</w:t>
      </w:r>
      <w:r>
        <w:rPr>
          <w:rFonts w:hint="eastAsia" w:ascii="宋体" w:hAnsi="宋体" w:cs="宋体"/>
          <w:color w:val="auto"/>
          <w:sz w:val="24"/>
          <w:szCs w:val="24"/>
          <w:highlight w:val="none"/>
        </w:rPr>
        <w:t xml:space="preserve">投标人</w:t>
      </w:r>
      <w:r>
        <w:rPr>
          <w:rFonts w:hint="eastAsia" w:ascii="宋体" w:hAnsi="宋体" w:cs="宋体"/>
          <w:b/>
          <w:color w:val="auto"/>
          <w:sz w:val="24"/>
          <w:szCs w:val="24"/>
          <w:highlight w:val="none"/>
        </w:rPr>
        <w:t xml:space="preserve">如实填写联系方式并在评审过程中保持联系方式畅通，评审过程中如联系不上，由</w:t>
      </w:r>
      <w:r>
        <w:rPr>
          <w:rFonts w:hint="eastAsia" w:ascii="宋体" w:hAnsi="宋体" w:cs="宋体"/>
          <w:color w:val="auto"/>
          <w:sz w:val="24"/>
          <w:szCs w:val="24"/>
          <w:highlight w:val="none"/>
        </w:rPr>
        <w:t xml:space="preserve">投标人</w:t>
      </w:r>
      <w:r>
        <w:rPr>
          <w:rFonts w:hint="eastAsia" w:ascii="宋体" w:hAnsi="宋体" w:cs="宋体"/>
          <w:b/>
          <w:color w:val="auto"/>
          <w:sz w:val="24"/>
          <w:szCs w:val="24"/>
          <w:highlight w:val="none"/>
        </w:rPr>
        <w:t xml:space="preserve">承担一切不利后果。</w:t>
      </w:r>
      <w:r/>
    </w:p>
    <w:p>
      <w:pPr>
        <w:ind w:firstLine="420"/>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宋体" w:hAnsi="宋体"/>
          <w:bCs/>
          <w:color w:val="auto"/>
          <w:sz w:val="24"/>
          <w:szCs w:val="21"/>
          <w:highlight w:val="none"/>
        </w:rPr>
      </w:pPr>
      <w:r>
        <w:rPr>
          <w:rFonts w:ascii="宋体" w:hAnsi="宋体"/>
          <w:bCs/>
          <w:color w:val="auto"/>
          <w:sz w:val="24"/>
          <w:szCs w:val="21"/>
          <w:highlight w:val="none"/>
        </w:rPr>
      </w:r>
      <w:r/>
    </w:p>
    <w:p>
      <w:pPr>
        <w:jc w:val="center"/>
        <w:keepLines/>
        <w:keepNext/>
        <w:spacing w:line="480" w:lineRule="auto"/>
        <w:rPr>
          <w:rFonts w:ascii="黑体" w:hAnsi="黑体" w:eastAsia="黑体"/>
          <w:b/>
          <w:iCs/>
          <w:color w:val="auto"/>
          <w:sz w:val="32"/>
          <w:szCs w:val="32"/>
          <w:highlight w:val="none"/>
          <w:u w:val="single"/>
        </w:rPr>
      </w:pPr>
      <w:r>
        <w:rPr>
          <w:rFonts w:ascii="宋体" w:hAnsi="宋体" w:eastAsia="幼圆" w:cs="Arial"/>
          <w:b/>
          <w:color w:val="auto"/>
          <w:sz w:val="24"/>
          <w:szCs w:val="44"/>
          <w:highlight w:val="none"/>
        </w:rPr>
        <w:br w:type="page" w:clear="all"/>
      </w:r>
      <w:bookmarkStart w:id="510" w:name="_Toc16937"/>
      <w:r/>
      <w:bookmarkStart w:id="511" w:name="_Toc27534"/>
      <w:r/>
      <w:bookmarkStart w:id="512" w:name="_Toc25622"/>
      <w:r>
        <w:rPr>
          <w:rFonts w:hint="eastAsia" w:ascii="黑体" w:hAnsi="黑体" w:eastAsia="黑体" w:cs="Arial"/>
          <w:b/>
          <w:iCs/>
          <w:color w:val="auto"/>
          <w:sz w:val="32"/>
          <w:szCs w:val="32"/>
          <w:highlight w:val="none"/>
          <w:u w:val="single"/>
        </w:rPr>
        <w:t xml:space="preserve">八、</w:t>
      </w:r>
      <w:r>
        <w:rPr>
          <w:rFonts w:hint="eastAsia" w:ascii="黑体" w:hAnsi="黑体" w:eastAsia="黑体"/>
          <w:b/>
          <w:iCs/>
          <w:color w:val="auto"/>
          <w:sz w:val="32"/>
          <w:szCs w:val="32"/>
          <w:highlight w:val="none"/>
          <w:u w:val="single"/>
        </w:rPr>
        <w:t xml:space="preserve">投标函</w:t>
      </w:r>
      <w:bookmarkEnd w:id="510"/>
      <w:r/>
      <w:bookmarkEnd w:id="511"/>
      <w:r/>
      <w:bookmarkEnd w:id="512"/>
      <w:r/>
      <w:r/>
    </w:p>
    <w:p>
      <w:pPr>
        <w:jc w:val="left"/>
        <w:spacing w:line="480" w:lineRule="auto"/>
        <w:rPr>
          <w:rFonts w:ascii="宋体" w:hAnsi="宋体"/>
          <w:color w:val="auto"/>
          <w:sz w:val="24"/>
          <w:szCs w:val="21"/>
          <w:highlight w:val="none"/>
        </w:rPr>
      </w:pPr>
      <w:r>
        <w:rPr>
          <w:rFonts w:hint="eastAsia" w:ascii="宋体" w:hAnsi="宋体"/>
          <w:color w:val="auto"/>
          <w:sz w:val="24"/>
          <w:szCs w:val="21"/>
          <w:highlight w:val="none"/>
        </w:rPr>
        <w:t xml:space="preserve">致：</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jc w:val="left"/>
        <w:spacing w:line="360" w:lineRule="auto"/>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电  子  邮  箱：</w:t>
      </w:r>
      <w:r/>
    </w:p>
    <w:p>
      <w:pPr>
        <w:ind w:firstLine="480"/>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360" w:lineRule="auto"/>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321"/>
        <w:jc w:val="center"/>
        <w:spacing w:line="560" w:lineRule="exact"/>
        <w:rPr>
          <w:rFonts w:ascii="黑体" w:hAnsi="黑体" w:eastAsia="黑体"/>
          <w:b/>
          <w:color w:val="auto"/>
          <w:sz w:val="32"/>
          <w:szCs w:val="32"/>
          <w:highlight w:val="none"/>
        </w:rPr>
      </w:pPr>
      <w:r/>
      <w:bookmarkStart w:id="513" w:name="_Toc12477"/>
      <w:r/>
      <w:bookmarkStart w:id="514" w:name="_Toc27774"/>
      <w:r/>
      <w:bookmarkStart w:id="515" w:name="_Toc1063"/>
      <w:r>
        <w:rPr>
          <w:rFonts w:hint="eastAsia" w:ascii="黑体" w:hAnsi="黑体" w:eastAsia="黑体"/>
          <w:b/>
          <w:color w:val="auto"/>
          <w:sz w:val="32"/>
          <w:szCs w:val="32"/>
          <w:highlight w:val="none"/>
        </w:rPr>
        <w:t xml:space="preserve">九、小微企业声明函（货物）（分包号：**）</w:t>
      </w:r>
      <w:bookmarkEnd w:id="513"/>
      <w:r/>
      <w:bookmarkEnd w:id="514"/>
      <w:r/>
      <w:bookmarkEnd w:id="515"/>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本公司（联合体）郑重声明，根据《政府采购促进中小企业发展管理办法》(财库〔2020〕46号)的规定，本公司（联合体）参加江苏鸿成工程项目管理有限公司组织的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（项目名称）（分包号：**）</w:t>
      </w:r>
      <w:r>
        <w:rPr>
          <w:rFonts w:hint="eastAsia" w:ascii="宋体" w:hAnsi="宋体"/>
          <w:color w:val="auto"/>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（小型企业、微型企业）；</w:t>
      </w:r>
      <w:r/>
    </w:p>
    <w:p>
      <w:pPr>
        <w:ind w:firstLine="360"/>
        <w:spacing w:line="560" w:lineRule="exact"/>
        <w:rPr>
          <w:rFonts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（小型企业、微型企业）；</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firstLine="360"/>
        <w:spacing w:line="560" w:lineRule="exact"/>
        <w:rPr>
          <w:rFonts w:ascii="华文新魏" w:hAnsi="宋体" w:eastAsia="华文新魏"/>
          <w:color w:val="auto"/>
          <w:sz w:val="36"/>
          <w:szCs w:val="36"/>
          <w:highlight w:val="none"/>
        </w:rPr>
      </w:pPr>
      <w:r>
        <w:rPr>
          <w:rFonts w:ascii="华文新魏" w:hAnsi="宋体" w:eastAsia="华文新魏"/>
          <w:color w:val="auto"/>
          <w:sz w:val="36"/>
          <w:szCs w:val="36"/>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备注2：供应商如不提供此声明函，价格将不做相应扣除。</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br w:type="page" w:clear="all"/>
      </w:r>
      <w:bookmarkStart w:id="516" w:name="_Toc5496"/>
      <w:r/>
      <w:bookmarkStart w:id="517" w:name="_Toc15569"/>
      <w:r/>
      <w:bookmarkStart w:id="518" w:name="_Toc9330"/>
      <w:r>
        <w:rPr>
          <w:rFonts w:hint="eastAsia" w:ascii="黑体" w:hAnsi="黑体" w:eastAsia="黑体"/>
          <w:b/>
          <w:color w:val="auto"/>
          <w:sz w:val="32"/>
          <w:szCs w:val="32"/>
          <w:highlight w:val="none"/>
        </w:rPr>
        <w:t xml:space="preserve">十、残疾人福利性单位声明函（分包号：**）</w:t>
      </w:r>
      <w:bookmarkEnd w:id="516"/>
      <w:r/>
      <w:bookmarkEnd w:id="517"/>
      <w:r/>
      <w:bookmarkEnd w:id="518"/>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关于符合本国产品标准的声明函（分包号：**）</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1116965</wp:posOffset>
                </wp:positionH>
                <wp:positionV relativeFrom="paragraph">
                  <wp:posOffset>962660</wp:posOffset>
                </wp:positionV>
                <wp:extent cx="866140" cy="7620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6614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88.0pt;mso-position-horizontal:absolute;mso-position-vertical-relative:text;margin-top:75.8pt;mso-position-vertical:absolute;width:68.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2353310</wp:posOffset>
                </wp:positionH>
                <wp:positionV relativeFrom="paragraph">
                  <wp:posOffset>945515</wp:posOffset>
                </wp:positionV>
                <wp:extent cx="65786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65786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185.3pt;mso-position-horizontal:absolute;mso-position-vertical-relative:text;margin-top:74.5pt;mso-position-vertical:absolute;width:51.8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4775200</wp:posOffset>
                </wp:positionH>
                <wp:positionV relativeFrom="paragraph">
                  <wp:posOffset>224790</wp:posOffset>
                </wp:positionV>
                <wp:extent cx="714375" cy="7620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714375"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376.0pt;mso-position-horizontal:absolute;mso-position-vertical-relative:text;margin-top:17.7pt;mso-position-vertical:absolute;width:56.2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4769485</wp:posOffset>
                </wp:positionH>
                <wp:positionV relativeFrom="paragraph">
                  <wp:posOffset>569595</wp:posOffset>
                </wp:positionV>
                <wp:extent cx="614680" cy="7620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6146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75.5pt;mso-position-horizontal:absolute;mso-position-vertical-relative:text;margin-top:44.8pt;mso-position-vertical:absolute;width:48.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3483610</wp:posOffset>
                </wp:positionH>
                <wp:positionV relativeFrom="paragraph">
                  <wp:posOffset>608965</wp:posOffset>
                </wp:positionV>
                <wp:extent cx="816610" cy="7620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274.3pt;mso-position-horizontal:absolute;mso-position-vertical-relative:text;margin-top:47.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2404745</wp:posOffset>
                </wp:positionH>
                <wp:positionV relativeFrom="paragraph">
                  <wp:posOffset>585470</wp:posOffset>
                </wp:positionV>
                <wp:extent cx="744855" cy="8826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744855" cy="8826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4384;o:allowoverlap:true;o:allowincell:true;mso-position-horizontal-relative:text;margin-left:189.3pt;mso-position-horizontal:absolute;mso-position-vertical-relative:text;margin-top:46.1pt;mso-position-vertical:absolute;width:58.6pt;height:6.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w:t xml:space="preserve">1.</w:t>
      </w:r>
      <w:r>
        <w:rPr>
          <w:rFonts w:hint="eastAsia" w:ascii="宋体" w:hAnsi="宋体"/>
          <w:color w:val="auto"/>
          <w:sz w:val="24"/>
          <w:szCs w:val="21"/>
          <w:highlight w:val="none"/>
          <w:u w:val="single"/>
        </w:rPr>
        <w:t xml:space="preserve">（产品名称1）</w:t>
      </w:r>
      <w:r>
        <w:rPr>
          <w:rFonts w:hint="eastAsia" w:ascii="宋体" w:hAnsi="宋体"/>
          <w:color w:val="auto"/>
          <w:sz w:val="24"/>
          <w:szCs w:val="21"/>
          <w:highlight w:val="none"/>
        </w:rPr>
        <w:t xml:space="preserve">，生产厂为</w:t>
      </w:r>
      <w:r>
        <w:rPr>
          <w:rFonts w:hint="eastAsia" w:ascii="宋体" w:hAnsi="宋体"/>
          <w:color w:val="auto"/>
          <w:sz w:val="24"/>
          <w:szCs w:val="21"/>
          <w:highlight w:val="none"/>
          <w:u w:val="single"/>
        </w:rPr>
        <w:t xml:space="preserve">（厂名）</w:t>
      </w:r>
      <w:r>
        <w:rPr>
          <w:rFonts w:hint="eastAsia" w:ascii="宋体" w:hAnsi="宋体"/>
          <w:color w:val="auto"/>
          <w:sz w:val="24"/>
          <w:szCs w:val="21"/>
          <w:highlight w:val="none"/>
        </w:rPr>
        <w:t xml:space="preserve">，厂址为</w:t>
      </w:r>
      <w:r>
        <w:rPr>
          <w:rFonts w:hint="eastAsia" w:ascii="宋体" w:hAnsi="宋体"/>
          <w:color w:val="auto"/>
          <w:sz w:val="24"/>
          <w:szCs w:val="21"/>
          <w:highlight w:val="none"/>
          <w:u w:val="single"/>
        </w:rPr>
        <w:t xml:space="preserve">（生产厂址）</w:t>
      </w:r>
      <w:r>
        <w:rPr>
          <w:rFonts w:hint="eastAsia" w:ascii="宋体" w:hAnsi="宋体"/>
          <w:color w:val="auto"/>
          <w:sz w:val="24"/>
          <w:szCs w:val="21"/>
          <w:highlight w:val="none"/>
        </w:rPr>
        <w:t xml:space="preserve">。（产品名称1） 的中国境内生产的组件成本占比≥</w:t>
      </w:r>
      <w:r>
        <w:rPr>
          <w:rFonts w:hint="eastAsia" w:ascii="宋体" w:hAnsi="宋体"/>
          <w:color w:val="auto"/>
          <w:sz w:val="24"/>
          <w:szCs w:val="21"/>
          <w:highlight w:val="none"/>
          <w:u w:val="single"/>
        </w:rPr>
        <w:t xml:space="preserve">（规定比例）</w:t>
      </w:r>
      <w:r>
        <w:rPr>
          <w:rFonts w:hint="eastAsia" w:ascii="宋体" w:hAnsi="宋体"/>
          <w:color w:val="auto"/>
          <w:sz w:val="24"/>
          <w:szCs w:val="21"/>
          <w:highlight w:val="none"/>
        </w:rPr>
        <w:t xml:space="preserve">。</w:t>
      </w:r>
      <w:r>
        <w:rPr>
          <w:rFonts w:hint="eastAsia" w:ascii="宋体" w:hAnsi="宋体"/>
          <w:color w:val="auto"/>
          <w:sz w:val="24"/>
          <w:szCs w:val="21"/>
          <w:highlight w:val="none"/>
          <w:u w:val="single"/>
        </w:rPr>
        <w:t xml:space="preserve">（产品名称1）</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（关键组件）</w:t>
      </w:r>
      <w:r>
        <w:rPr>
          <w:rFonts w:hint="eastAsia" w:ascii="宋体" w:hAnsi="宋体"/>
          <w:color w:val="auto"/>
          <w:sz w:val="24"/>
          <w:szCs w:val="21"/>
          <w:highlight w:val="none"/>
        </w:rPr>
        <w:t xml:space="preserve">在中国境内生产。</w:t>
      </w:r>
      <w:r>
        <w:rPr>
          <w:rFonts w:hint="eastAsia" w:ascii="宋体" w:hAnsi="宋体"/>
          <w:color w:val="auto"/>
          <w:sz w:val="24"/>
          <w:szCs w:val="21"/>
          <w:highlight w:val="none"/>
          <w:u w:val="single"/>
        </w:rPr>
        <w:t xml:space="preserve">（产品名称1）</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（关键工序）</w:t>
      </w:r>
      <w:r>
        <w:rPr>
          <w:rFonts w:hint="eastAsia" w:ascii="宋体" w:hAnsi="宋体"/>
          <w:color w:val="auto"/>
          <w:sz w:val="24"/>
          <w:szCs w:val="21"/>
          <w:highlight w:val="none"/>
        </w:rPr>
        <w:t xml:space="preserve">在中国境内完成。</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2362200</wp:posOffset>
                </wp:positionH>
                <wp:positionV relativeFrom="paragraph">
                  <wp:posOffset>944880</wp:posOffset>
                </wp:positionV>
                <wp:extent cx="593090" cy="7620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59309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86.0pt;mso-position-horizontal:absolute;mso-position-vertical-relative:text;margin-top:74.4pt;mso-position-vertical:absolute;width:46.7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1224915</wp:posOffset>
                </wp:positionH>
                <wp:positionV relativeFrom="paragraph">
                  <wp:posOffset>980440</wp:posOffset>
                </wp:positionV>
                <wp:extent cx="65278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65278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96.4pt;mso-position-horizontal:absolute;mso-position-vertical-relative:text;margin-top:77.2pt;mso-position-vertical:absolute;width:51.4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4726305</wp:posOffset>
                </wp:positionH>
                <wp:positionV relativeFrom="paragraph">
                  <wp:posOffset>553720</wp:posOffset>
                </wp:positionV>
                <wp:extent cx="626745" cy="8636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626745" cy="863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2.1pt;mso-position-horizontal:absolute;mso-position-vertical-relative:text;margin-top:43.6pt;mso-position-vertical:absolute;width:49.3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3545205</wp:posOffset>
                </wp:positionH>
                <wp:positionV relativeFrom="paragraph">
                  <wp:posOffset>584835</wp:posOffset>
                </wp:positionV>
                <wp:extent cx="775335" cy="7810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775334" cy="781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279.1pt;mso-position-horizontal:absolute;mso-position-vertical-relative:text;margin-top:46.0pt;mso-position-vertical:absolute;width:61.0pt;height:6.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2431415</wp:posOffset>
                </wp:positionH>
                <wp:positionV relativeFrom="paragraph">
                  <wp:posOffset>588010</wp:posOffset>
                </wp:positionV>
                <wp:extent cx="634365" cy="9906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634365" cy="990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1.4pt;mso-position-horizontal:absolute;mso-position-vertical-relative:text;margin-top:46.3pt;mso-position-vertical:absolute;width:49.9pt;height:7.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4730115</wp:posOffset>
                </wp:positionH>
                <wp:positionV relativeFrom="paragraph">
                  <wp:posOffset>186690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72.4pt;mso-position-horizontal:absolute;mso-position-vertical-relative:text;margin-top:1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olor w:val="auto"/>
          <w:sz w:val="24"/>
          <w:szCs w:val="21"/>
          <w:highlight w:val="none"/>
        </w:rPr>
        <w:t xml:space="preserve">2.</w:t>
      </w:r>
      <w:r>
        <w:rPr>
          <w:rFonts w:hint="eastAsia" w:ascii="宋体" w:hAnsi="宋体"/>
          <w:color w:val="auto"/>
          <w:sz w:val="24"/>
          <w:szCs w:val="21"/>
          <w:highlight w:val="none"/>
          <w:u w:val="single"/>
        </w:rPr>
        <w:t xml:space="preserve">（产品名称2）</w:t>
      </w:r>
      <w:r>
        <w:rPr>
          <w:rFonts w:hint="eastAsia" w:ascii="宋体" w:hAnsi="宋体"/>
          <w:color w:val="auto"/>
          <w:sz w:val="24"/>
          <w:szCs w:val="21"/>
          <w:highlight w:val="none"/>
        </w:rPr>
        <w:t xml:space="preserve">，生产厂为</w:t>
      </w:r>
      <w:r>
        <w:rPr>
          <w:rFonts w:hint="eastAsia" w:ascii="宋体" w:hAnsi="宋体"/>
          <w:color w:val="auto"/>
          <w:sz w:val="24"/>
          <w:szCs w:val="21"/>
          <w:highlight w:val="none"/>
          <w:u w:val="single"/>
        </w:rPr>
        <w:t xml:space="preserve">（厂名）</w:t>
      </w:r>
      <w:r>
        <w:rPr>
          <w:rFonts w:hint="eastAsia" w:ascii="宋体" w:hAnsi="宋体"/>
          <w:color w:val="auto"/>
          <w:sz w:val="24"/>
          <w:szCs w:val="21"/>
          <w:highlight w:val="none"/>
        </w:rPr>
        <w:t xml:space="preserve">，厂址为</w:t>
      </w:r>
      <w:r>
        <w:rPr>
          <w:rFonts w:hint="eastAsia" w:ascii="宋体" w:hAnsi="宋体"/>
          <w:color w:val="auto"/>
          <w:sz w:val="24"/>
          <w:szCs w:val="21"/>
          <w:highlight w:val="none"/>
          <w:u w:val="single"/>
        </w:rPr>
        <w:t xml:space="preserve">（生产厂址）</w:t>
      </w:r>
      <w:r>
        <w:rPr>
          <w:rFonts w:hint="eastAsia" w:ascii="宋体" w:hAnsi="宋体"/>
          <w:color w:val="auto"/>
          <w:sz w:val="24"/>
          <w:szCs w:val="21"/>
          <w:highlight w:val="none"/>
        </w:rPr>
        <w:t xml:space="preserve">。</w:t>
      </w:r>
      <w:r>
        <w:rPr>
          <w:rFonts w:hint="eastAsia" w:ascii="宋体" w:hAnsi="宋体"/>
          <w:color w:val="auto"/>
          <w:sz w:val="24"/>
          <w:szCs w:val="21"/>
          <w:highlight w:val="none"/>
          <w:u w:val="single"/>
        </w:rPr>
        <w:t xml:space="preserve">（产品名称2）</w:t>
      </w:r>
      <w:r>
        <w:rPr>
          <w:rFonts w:hint="eastAsia" w:ascii="宋体" w:hAnsi="宋体"/>
          <w:color w:val="auto"/>
          <w:sz w:val="24"/>
          <w:szCs w:val="21"/>
          <w:highlight w:val="none"/>
        </w:rPr>
        <w:t xml:space="preserve">的中国境内生产的组件成本占比≥</w:t>
      </w:r>
      <w:r>
        <w:rPr>
          <w:rFonts w:hint="eastAsia" w:ascii="宋体" w:hAnsi="宋体"/>
          <w:color w:val="auto"/>
          <w:sz w:val="24"/>
          <w:szCs w:val="21"/>
          <w:highlight w:val="none"/>
          <w:u w:val="single"/>
        </w:rPr>
        <w:t xml:space="preserve">（规定比例）</w:t>
      </w:r>
      <w:r>
        <w:rPr>
          <w:rFonts w:hint="eastAsia" w:ascii="宋体" w:hAnsi="宋体"/>
          <w:color w:val="auto"/>
          <w:sz w:val="24"/>
          <w:szCs w:val="21"/>
          <w:highlight w:val="none"/>
        </w:rPr>
        <w:t xml:space="preserve">。</w:t>
      </w:r>
      <w:r>
        <w:rPr>
          <w:rFonts w:hint="eastAsia" w:ascii="宋体" w:hAnsi="宋体"/>
          <w:color w:val="auto"/>
          <w:sz w:val="24"/>
          <w:szCs w:val="21"/>
          <w:highlight w:val="none"/>
          <w:u w:val="single"/>
        </w:rPr>
        <w:t xml:space="preserve">（产品名称2）</w:t>
      </w:r>
      <w:r>
        <w:rPr>
          <w:rFonts w:hint="eastAsia" w:ascii="宋体" w:hAnsi="宋体"/>
          <w:color w:val="auto"/>
          <w:sz w:val="24"/>
          <w:szCs w:val="21"/>
          <w:highlight w:val="none"/>
        </w:rPr>
        <w:t xml:space="preserve">的（关键组件）在中国境内生产。（产品名称1）的（关键工序）在中国境内完成。</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本公司（单位）对上述声明内容的真实性负责。如有虚假，愿承担相应法律责任。</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公司（单位）名称（盖章）：　        </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                                日期：　   年　  月　  日         </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1.产品如有型号，请在“产品名称”栏一并填写。</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2.生产厂名与厂址应与生产厂营业执照载明的相关信息保持一致。</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3.该产品的中国境内生产的组件成本占比相关要求实施前，“规定比例”栏可不填，下同。</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4.该产品的关键组件要求实施前，“关键组件”栏可不填，下同。</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5.该产品的关键工序要求实施前，“关键工序”栏可不填，下同。</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6.用斜线划除的地方无需填写。</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7.请供应商如实填写，如填写有误，将承担一切不利后果。</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8.供应商提供虚假《声明函》、虚假证明文件谋取中标的，依照《中华人民共和国政府采购法》等法律法规规定追究相应责任。</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9.中标人的《声明函》或有关证明文件随中标结果公开，接受社会监督。</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bookmarkStart w:id="519" w:name="_Toc23517"/>
      <w:r/>
      <w:bookmarkStart w:id="520" w:name="_Toc22676"/>
      <w:r/>
      <w:bookmarkStart w:id="521" w:name="_Toc27656"/>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十一、联合体协议（参考格式）（如有）（分包号：**）</w:t>
      </w:r>
      <w:bookmarkEnd w:id="519"/>
      <w:r/>
      <w:bookmarkEnd w:id="520"/>
      <w:r/>
      <w:bookmarkEnd w:id="521"/>
      <w:r/>
      <w:r/>
    </w:p>
    <w:p>
      <w:pPr>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自愿组成联合体，参加江苏鸿成工程项目管理有限公司组织的采购编号为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项目（分包号：**）的政府采购活动，我联合体指定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jc w:val="center"/>
        <w:spacing w:line="360" w:lineRule="auto"/>
        <w:rPr>
          <w:rFonts w:ascii="黑体" w:hAnsi="黑体" w:eastAsia="黑体"/>
          <w:b/>
          <w:color w:val="auto"/>
          <w:sz w:val="32"/>
          <w:szCs w:val="32"/>
          <w:highlight w:val="none"/>
        </w:rPr>
      </w:pPr>
      <w:r/>
      <w:bookmarkStart w:id="522" w:name="_Toc24081"/>
      <w:r/>
      <w:bookmarkStart w:id="523" w:name="_Toc12020"/>
      <w:r/>
      <w:bookmarkStart w:id="524" w:name="_Toc13988"/>
      <w:r>
        <w:rPr>
          <w:rFonts w:hint="eastAsia" w:ascii="黑体" w:hAnsi="黑体" w:eastAsia="黑体"/>
          <w:b/>
          <w:color w:val="auto"/>
          <w:sz w:val="32"/>
          <w:szCs w:val="32"/>
          <w:highlight w:val="none"/>
        </w:rPr>
        <w:t xml:space="preserve">十二、投标分项报价表（分包号：***）</w:t>
      </w:r>
      <w:bookmarkEnd w:id="522"/>
      <w:r/>
      <w:bookmarkEnd w:id="523"/>
      <w:r/>
      <w:bookmarkEnd w:id="524"/>
      <w:r/>
      <w:r/>
    </w:p>
    <w:p>
      <w:pPr>
        <w:jc w:val="center"/>
        <w:spacing w:line="360" w:lineRule="auto"/>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投标分项报价表</w:t>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项目名称：                  项目编号：               分包号：</w:t>
      </w:r>
      <w:r/>
    </w:p>
    <w:p>
      <w:pPr>
        <w:jc w:val="cente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rPr>
          <w:rFonts w:ascii="宋体" w:hAnsi="宋体" w:cs="宋体"/>
          <w:color w:val="auto"/>
          <w:highlight w:val="none"/>
        </w:rPr>
        <w:t xml:space="preserve">单位：元</w:t>
      </w:r>
      <w:r/>
    </w:p>
    <w:tbl>
      <w:tblPr>
        <w:tblStyle w:val="8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040"/>
        <w:gridCol w:w="572"/>
        <w:gridCol w:w="1013"/>
        <w:gridCol w:w="615"/>
        <w:gridCol w:w="1028"/>
        <w:gridCol w:w="1320"/>
        <w:gridCol w:w="604"/>
        <w:gridCol w:w="763"/>
        <w:gridCol w:w="778"/>
        <w:gridCol w:w="880"/>
      </w:tblGrid>
      <w:tr>
        <w:trPr>
          <w:trHeight w:val="663"/>
        </w:trPr>
        <w:tc>
          <w:tcPr>
            <w:tcMar>
              <w:left w:w="108" w:type="dxa"/>
              <w:top w:w="0" w:type="dxa"/>
              <w:right w:w="108" w:type="dxa"/>
              <w:bottom w:w="0" w:type="dxa"/>
            </w:tcMar>
            <w:tcW w:w="462" w:type="dxa"/>
            <w:vAlign w:val="center"/>
            <w:textDirection w:val="lrTb"/>
            <w:noWrap/>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序号</w:t>
            </w:r>
            <w:r/>
          </w:p>
        </w:tc>
        <w:tc>
          <w:tcPr>
            <w:tcMar>
              <w:left w:w="108" w:type="dxa"/>
              <w:top w:w="0" w:type="dxa"/>
              <w:right w:w="108" w:type="dxa"/>
              <w:bottom w:w="0" w:type="dxa"/>
            </w:tcMar>
            <w:tcW w:w="1040"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货物（标的）名称</w:t>
            </w:r>
            <w:r/>
          </w:p>
        </w:tc>
        <w:tc>
          <w:tcPr>
            <w:tcMar>
              <w:left w:w="108" w:type="dxa"/>
              <w:top w:w="0" w:type="dxa"/>
              <w:right w:w="108" w:type="dxa"/>
              <w:bottom w:w="0" w:type="dxa"/>
            </w:tcMar>
            <w:tcW w:w="572"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品牌</w:t>
            </w:r>
            <w:r/>
          </w:p>
        </w:tc>
        <w:tc>
          <w:tcPr>
            <w:tcMar>
              <w:left w:w="108" w:type="dxa"/>
              <w:top w:w="0" w:type="dxa"/>
              <w:right w:w="108" w:type="dxa"/>
              <w:bottom w:w="0" w:type="dxa"/>
            </w:tcMar>
            <w:tcW w:w="1013"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是否符合本国产品标准</w:t>
            </w:r>
            <w:r/>
          </w:p>
        </w:tc>
        <w:tc>
          <w:tcPr>
            <w:tcMar>
              <w:left w:w="108" w:type="dxa"/>
              <w:top w:w="0" w:type="dxa"/>
              <w:right w:w="108" w:type="dxa"/>
              <w:bottom w:w="0" w:type="dxa"/>
            </w:tcMar>
            <w:tcW w:w="615"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规格型号</w:t>
            </w:r>
            <w:r/>
          </w:p>
        </w:tc>
        <w:tc>
          <w:tcPr>
            <w:tcMar>
              <w:left w:w="108" w:type="dxa"/>
              <w:top w:w="0" w:type="dxa"/>
              <w:right w:w="108" w:type="dxa"/>
              <w:bottom w:w="0" w:type="dxa"/>
            </w:tcMar>
            <w:tcW w:w="1028"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制造商</w:t>
            </w:r>
            <w:r/>
          </w:p>
        </w:tc>
        <w:tc>
          <w:tcPr>
            <w:tcMar>
              <w:left w:w="108" w:type="dxa"/>
              <w:top w:w="0" w:type="dxa"/>
              <w:right w:w="108" w:type="dxa"/>
              <w:bottom w:w="0" w:type="dxa"/>
            </w:tcMar>
            <w:tcW w:w="1320"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制造商企业类型</w:t>
            </w:r>
            <w:r/>
          </w:p>
        </w:tc>
        <w:tc>
          <w:tcPr>
            <w:tcMar>
              <w:left w:w="108" w:type="dxa"/>
              <w:top w:w="0" w:type="dxa"/>
              <w:right w:w="108" w:type="dxa"/>
              <w:bottom w:w="0" w:type="dxa"/>
            </w:tcMar>
            <w:tcW w:w="604"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单价</w:t>
            </w:r>
            <w:r/>
          </w:p>
        </w:tc>
        <w:tc>
          <w:tcPr>
            <w:tcMar>
              <w:left w:w="108" w:type="dxa"/>
              <w:top w:w="0" w:type="dxa"/>
              <w:right w:w="108" w:type="dxa"/>
              <w:bottom w:w="0" w:type="dxa"/>
            </w:tcMar>
            <w:tcW w:w="763"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数量</w:t>
            </w:r>
            <w:r/>
          </w:p>
        </w:tc>
        <w:tc>
          <w:tcPr>
            <w:tcMar>
              <w:left w:w="108" w:type="dxa"/>
              <w:top w:w="0" w:type="dxa"/>
              <w:right w:w="108" w:type="dxa"/>
              <w:bottom w:w="0" w:type="dxa"/>
            </w:tcMar>
            <w:tcW w:w="778"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计量单位</w:t>
            </w:r>
            <w:r/>
          </w:p>
        </w:tc>
        <w:tc>
          <w:tcPr>
            <w:tcMar>
              <w:left w:w="108" w:type="dxa"/>
              <w:top w:w="0" w:type="dxa"/>
              <w:right w:w="108" w:type="dxa"/>
              <w:bottom w:w="0" w:type="dxa"/>
            </w:tcMar>
            <w:tcW w:w="880"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单项合计价</w:t>
            </w:r>
            <w:r/>
          </w:p>
        </w:tc>
      </w:tr>
      <w:tr>
        <w:trPr>
          <w:trHeight w:val="581"/>
        </w:trPr>
        <w:tc>
          <w:tcPr>
            <w:tcMar>
              <w:left w:w="108" w:type="dxa"/>
              <w:top w:w="0" w:type="dxa"/>
              <w:right w:w="108" w:type="dxa"/>
              <w:bottom w:w="0" w:type="dxa"/>
            </w:tcMar>
            <w:tcW w:w="462" w:type="dxa"/>
            <w:vAlign w:val="center"/>
            <w:textDirection w:val="lrTb"/>
            <w:noWrap/>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Mar>
              <w:left w:w="108" w:type="dxa"/>
              <w:top w:w="0" w:type="dxa"/>
              <w:right w:w="108" w:type="dxa"/>
              <w:bottom w:w="0" w:type="dxa"/>
            </w:tcMar>
            <w:tcW w:w="104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572"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013"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615"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028"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32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604" w:type="dxa"/>
            <w:vAlign w:val="center"/>
            <w:textDirection w:val="lrTb"/>
            <w:noWrap w:val="false"/>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63"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78"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88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rHeight w:val="548"/>
        </w:trPr>
        <w:tc>
          <w:tcPr>
            <w:tcMar>
              <w:left w:w="108" w:type="dxa"/>
              <w:top w:w="0" w:type="dxa"/>
              <w:right w:w="108" w:type="dxa"/>
              <w:bottom w:w="0" w:type="dxa"/>
            </w:tcMar>
            <w:tcW w:w="462" w:type="dxa"/>
            <w:vAlign w:val="center"/>
            <w:textDirection w:val="lrTb"/>
            <w:noWrap/>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p>
        </w:tc>
        <w:tc>
          <w:tcPr>
            <w:tcMar>
              <w:left w:w="108" w:type="dxa"/>
              <w:top w:w="0" w:type="dxa"/>
              <w:right w:w="108" w:type="dxa"/>
              <w:bottom w:w="0" w:type="dxa"/>
            </w:tcMar>
            <w:tcW w:w="104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572"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013"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615"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028"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32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604" w:type="dxa"/>
            <w:vAlign w:val="center"/>
            <w:textDirection w:val="lrTb"/>
            <w:noWrap w:val="false"/>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63"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78"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88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rHeight w:val="551"/>
        </w:trPr>
        <w:tc>
          <w:tcPr>
            <w:tcMar>
              <w:left w:w="108" w:type="dxa"/>
              <w:top w:w="0" w:type="dxa"/>
              <w:right w:w="108" w:type="dxa"/>
              <w:bottom w:w="0" w:type="dxa"/>
            </w:tcMar>
            <w:tcW w:w="462" w:type="dxa"/>
            <w:vAlign w:val="center"/>
            <w:textDirection w:val="lrTb"/>
            <w:noWrap/>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p>
        </w:tc>
        <w:tc>
          <w:tcPr>
            <w:tcMar>
              <w:left w:w="108" w:type="dxa"/>
              <w:top w:w="0" w:type="dxa"/>
              <w:right w:w="108" w:type="dxa"/>
              <w:bottom w:w="0" w:type="dxa"/>
            </w:tcMar>
            <w:tcW w:w="104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572"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013"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615"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028"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32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604" w:type="dxa"/>
            <w:vAlign w:val="center"/>
            <w:textDirection w:val="lrTb"/>
            <w:noWrap w:val="false"/>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63"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78"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88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rHeight w:val="547"/>
        </w:trPr>
        <w:tc>
          <w:tcPr>
            <w:tcMar>
              <w:left w:w="108" w:type="dxa"/>
              <w:top w:w="0" w:type="dxa"/>
              <w:right w:w="108" w:type="dxa"/>
              <w:bottom w:w="0" w:type="dxa"/>
            </w:tcMar>
            <w:tcW w:w="462" w:type="dxa"/>
            <w:vAlign w:val="center"/>
            <w:textDirection w:val="lrTb"/>
            <w:noWrap/>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w:t>
            </w:r>
            <w:r/>
          </w:p>
        </w:tc>
        <w:tc>
          <w:tcPr>
            <w:tcMar>
              <w:left w:w="108" w:type="dxa"/>
              <w:top w:w="0" w:type="dxa"/>
              <w:right w:w="108" w:type="dxa"/>
              <w:bottom w:w="0" w:type="dxa"/>
            </w:tcMar>
            <w:tcW w:w="104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572"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013"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615"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028"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132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604"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63"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78"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880" w:type="dxa"/>
            <w:vAlign w:val="center"/>
            <w:textDirection w:val="lrTb"/>
            <w:noWrap/>
          </w:tcPr>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rHeight w:val="567"/>
        </w:trPr>
        <w:tc>
          <w:tcPr>
            <w:gridSpan w:val="6"/>
            <w:tcMar>
              <w:left w:w="108" w:type="dxa"/>
              <w:top w:w="0" w:type="dxa"/>
              <w:right w:w="108" w:type="dxa"/>
              <w:bottom w:w="0" w:type="dxa"/>
            </w:tcMar>
            <w:tcW w:w="4730" w:type="dxa"/>
            <w:vAlign w:val="center"/>
            <w:textDirection w:val="lrTb"/>
            <w:noWrap/>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总计（元）</w:t>
            </w:r>
            <w:r/>
          </w:p>
        </w:tc>
        <w:tc>
          <w:tcPr>
            <w:gridSpan w:val="5"/>
            <w:tcMar>
              <w:left w:w="108" w:type="dxa"/>
              <w:top w:w="0" w:type="dxa"/>
              <w:right w:w="108" w:type="dxa"/>
              <w:bottom w:w="0" w:type="dxa"/>
            </w:tcMar>
            <w:tcW w:w="4345" w:type="dxa"/>
            <w:vAlign w:val="center"/>
            <w:textDirection w:val="lrTb"/>
            <w:noWrap w:val="false"/>
          </w:tcPr>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rHeight w:val="567"/>
        </w:trPr>
        <w:tc>
          <w:tcPr>
            <w:gridSpan w:val="11"/>
            <w:tcMar>
              <w:left w:w="108" w:type="dxa"/>
              <w:top w:w="0" w:type="dxa"/>
              <w:right w:w="108" w:type="dxa"/>
              <w:bottom w:w="0" w:type="dxa"/>
            </w:tcMar>
            <w:tcW w:w="9075" w:type="dxa"/>
            <w:vAlign w:val="center"/>
            <w:textDirection w:val="lrTb"/>
            <w:noWrap/>
          </w:tcPr>
          <w:p>
            <w:pP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本采购包中提供的符合本国产品标准的产品成本之和占该采购包提供的全部产品成本之和的比例为</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w:t>
            </w:r>
            <w:r/>
          </w:p>
        </w:tc>
      </w:tr>
    </w:tbl>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p>
      <w:pPr>
        <w:ind w:firstLine="42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投标人（盖章）：</w:t>
      </w:r>
      <w:r/>
    </w:p>
    <w:p>
      <w:pPr>
        <w:ind w:firstLine="42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法定代表人（单位负责人）或委托代理人（签字或盖章）：</w:t>
      </w:r>
      <w:r/>
    </w:p>
    <w:p>
      <w:pPr>
        <w:ind w:firstLine="42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rPr>
        <w:t xml:space="preserve">     </w:t>
      </w:r>
      <w:r>
        <w:rPr>
          <w:rFonts w:ascii="宋体" w:hAnsi="宋体" w:cs="宋体"/>
          <w:color w:val="auto"/>
          <w:sz w:val="24"/>
          <w:highlight w:val="none"/>
        </w:rPr>
        <w:t xml:space="preserve">年</w:t>
      </w:r>
      <w:r>
        <w:rPr>
          <w:rFonts w:hint="eastAsia" w:ascii="宋体" w:hAnsi="宋体" w:cs="宋体"/>
          <w:color w:val="auto"/>
          <w:sz w:val="24"/>
          <w:highlight w:val="none"/>
        </w:rPr>
        <w:t xml:space="preserve">     </w:t>
      </w:r>
      <w:r>
        <w:rPr>
          <w:rFonts w:ascii="宋体" w:hAnsi="宋体" w:cs="宋体"/>
          <w:color w:val="auto"/>
          <w:sz w:val="24"/>
          <w:highlight w:val="none"/>
        </w:rPr>
        <w:t xml:space="preserve">月</w:t>
      </w:r>
      <w:r>
        <w:rPr>
          <w:rFonts w:hint="eastAsia" w:ascii="宋体" w:hAnsi="宋体" w:cs="宋体"/>
          <w:color w:val="auto"/>
          <w:sz w:val="24"/>
          <w:highlight w:val="none"/>
        </w:rPr>
        <w:t xml:space="preserve">    </w:t>
      </w:r>
      <w:r>
        <w:rPr>
          <w:rFonts w:ascii="宋体" w:hAnsi="宋体" w:cs="宋体"/>
          <w:color w:val="auto"/>
          <w:sz w:val="24"/>
          <w:highlight w:val="none"/>
        </w:rPr>
        <w:t xml:space="preserve">日</w:t>
      </w:r>
      <w:r/>
    </w:p>
    <w:p>
      <w:pPr>
        <w:ind w:firstLine="42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2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填报说明：</w:t>
      </w:r>
      <w:r/>
    </w:p>
    <w:p>
      <w:pPr>
        <w:ind w:firstLine="42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1、“制造商企业类型”栏填写内容为“大型”“中型”“小型”“微型”“监狱企业”或“残疾人福利性单位”。</w:t>
      </w:r>
      <w:r/>
    </w:p>
    <w:p>
      <w:pPr>
        <w:ind w:firstLine="42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2、以上报价包含货物费用、运杂费、安装施工费、集成费、税金和其他费用。</w:t>
      </w:r>
      <w:r/>
    </w:p>
    <w:p>
      <w:pPr>
        <w:ind w:firstLine="42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3、请供应商如实、正确填写本表，所填内容将作为评审的依据，其内容应与对应的证明资料相符。</w:t>
      </w:r>
      <w:r/>
    </w:p>
    <w:p>
      <w:pPr>
        <w:ind w:firstLine="42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4、行数或事项不够，可自行增加。</w:t>
      </w:r>
      <w:r/>
    </w:p>
    <w:p>
      <w:pPr>
        <w:ind w:firstLine="420"/>
        <w:spacing w:line="360" w:lineRule="auto"/>
        <w:rPr>
          <w:rFonts w:eastAsia="Calibri" w:cs="Calibri"/>
          <w:b/>
          <w:bCs/>
          <w:color w:val="auto"/>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bCs/>
          <w:color w:val="auto"/>
          <w:sz w:val="24"/>
          <w:highlight w:val="none"/>
        </w:rPr>
        <w:t xml:space="preserve">5.</w:t>
      </w:r>
      <w:r>
        <w:rPr>
          <w:rFonts w:ascii="宋体" w:hAnsi="宋体" w:cs="宋体"/>
          <w:b/>
          <w:bCs/>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b/>
          <w:bCs/>
          <w:color w:val="auto"/>
          <w:sz w:val="24"/>
          <w:highlight w:val="none"/>
        </w:rPr>
        <w:t xml:space="preserve">80%</w:t>
      </w:r>
      <w:r>
        <w:rPr>
          <w:rFonts w:ascii="宋体" w:hAnsi="宋体" w:cs="宋体"/>
          <w:b/>
          <w:bCs/>
          <w:color w:val="auto"/>
          <w:sz w:val="24"/>
          <w:highlight w:val="none"/>
        </w:rPr>
        <w:t xml:space="preserve">的，将不享受本国产品价格评审优惠。</w:t>
      </w:r>
      <w:r/>
    </w:p>
    <w:p>
      <w:pPr>
        <w:jc w:val="center"/>
        <w:spacing w:line="360" w:lineRule="auto"/>
        <w:rPr>
          <w:rFonts w:ascii="黑体" w:hAnsi="黑体" w:eastAsia="黑体"/>
          <w:b/>
          <w:color w:val="auto"/>
          <w:sz w:val="32"/>
          <w:szCs w:val="32"/>
          <w:highlight w:val="none"/>
        </w:rPr>
      </w:pPr>
      <w:r/>
      <w:bookmarkStart w:id="525" w:name="_Toc23242"/>
      <w:r/>
      <w:bookmarkStart w:id="526" w:name="_Toc32263"/>
      <w:r/>
      <w:bookmarkStart w:id="527" w:name="_Toc1696"/>
      <w:r>
        <w:rPr>
          <w:rFonts w:hint="eastAsia" w:ascii="黑体" w:hAnsi="黑体" w:eastAsia="黑体"/>
          <w:b/>
          <w:color w:val="auto"/>
          <w:sz w:val="32"/>
          <w:szCs w:val="32"/>
          <w:highlight w:val="none"/>
        </w:rPr>
        <w:t xml:space="preserve">十三、技术要求响应及偏离表（分包号：**）</w:t>
      </w:r>
      <w:bookmarkEnd w:id="525"/>
      <w:r/>
      <w:bookmarkEnd w:id="526"/>
      <w:r/>
      <w:bookmarkEnd w:id="527"/>
      <w:r/>
      <w:r/>
    </w:p>
    <w:tbl>
      <w:tblPr>
        <w:tblStyle w:val="8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587"/>
        <w:gridCol w:w="2569"/>
        <w:gridCol w:w="1519"/>
        <w:gridCol w:w="1687"/>
      </w:tblGrid>
      <w:tr>
        <w:trPr>
          <w:cantSplit/>
        </w:trPr>
        <w:tc>
          <w:tcPr>
            <w:tcW w:w="80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5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56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51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8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80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0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0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0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0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0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0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0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5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1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87"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bookmarkEnd w:id="506"/>
      <w:r/>
      <w:r/>
    </w:p>
    <w:p>
      <w:pPr>
        <w:jc w:val="center"/>
        <w:spacing w:line="360" w:lineRule="auto"/>
        <w:rPr>
          <w:rFonts w:ascii="黑体" w:hAnsi="黑体" w:eastAsia="黑体"/>
          <w:b/>
          <w:color w:val="auto"/>
          <w:sz w:val="32"/>
          <w:szCs w:val="32"/>
          <w:highlight w:val="none"/>
        </w:rPr>
      </w:pPr>
      <w:r/>
      <w:bookmarkStart w:id="528" w:name="_Hlt26955054"/>
      <w:r/>
      <w:bookmarkEnd w:id="528"/>
      <w:r/>
      <w:bookmarkStart w:id="529" w:name="_Toc9363"/>
      <w:r/>
      <w:bookmarkStart w:id="530" w:name="_Toc27818"/>
      <w:r/>
      <w:bookmarkStart w:id="531" w:name="_Toc30504"/>
      <w:r>
        <w:rPr>
          <w:rFonts w:hint="eastAsia" w:ascii="黑体" w:hAnsi="黑体" w:eastAsia="黑体"/>
          <w:b/>
          <w:color w:val="auto"/>
          <w:sz w:val="32"/>
          <w:szCs w:val="32"/>
          <w:highlight w:val="none"/>
        </w:rPr>
        <w:t xml:space="preserve">十四、商务要求响应及偏离表（分包号：**）</w:t>
      </w:r>
      <w:bookmarkEnd w:id="529"/>
      <w:r/>
      <w:bookmarkEnd w:id="530"/>
      <w:r/>
      <w:bookmarkEnd w:id="531"/>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532"/>
        <w:gridCol w:w="2306"/>
        <w:gridCol w:w="1669"/>
        <w:gridCol w:w="1932"/>
      </w:tblGrid>
      <w:tr>
        <w:trPr>
          <w:cantSplit/>
          <w:jc w:val="center"/>
        </w:trPr>
        <w:tc>
          <w:tcPr>
            <w:tcW w:w="730" w:type="dxa"/>
            <w:vAlign w:val="center"/>
            <w:textDirection w:val="lrTb"/>
            <w:noWrap w:val="false"/>
          </w:tcPr>
          <w:p>
            <w:pPr>
              <w:jc w:val="center"/>
              <w:rPr>
                <w:rFonts w:ascii="宋体" w:hAnsi="宋体"/>
                <w:color w:val="auto"/>
                <w:sz w:val="24"/>
                <w:szCs w:val="24"/>
                <w:highlight w:val="none"/>
              </w:rPr>
            </w:pPr>
            <w:r/>
            <w:bookmarkStart w:id="532" w:name="_Hlt26671372"/>
            <w:r/>
            <w:bookmarkEnd w:id="532"/>
            <w:r/>
            <w:bookmarkStart w:id="533" w:name="_Hlt26580838"/>
            <w:r/>
            <w:bookmarkEnd w:id="533"/>
            <w:r/>
            <w:bookmarkStart w:id="534" w:name="_Hlt26609391"/>
            <w:r/>
            <w:bookmarkEnd w:id="534"/>
            <w:r/>
            <w:bookmarkStart w:id="535" w:name="_Hlt26671343"/>
            <w:r/>
            <w:bookmarkEnd w:id="535"/>
            <w:r/>
            <w:bookmarkStart w:id="536" w:name="_Hlt26955064"/>
            <w:r/>
            <w:bookmarkEnd w:id="536"/>
            <w:r/>
            <w:bookmarkStart w:id="537" w:name="_Hlt24879081"/>
            <w:r/>
            <w:bookmarkEnd w:id="537"/>
            <w:r/>
            <w:bookmarkStart w:id="538" w:name="_Hlt26782999"/>
            <w:r/>
            <w:bookmarkEnd w:id="538"/>
            <w:r/>
            <w:bookmarkStart w:id="539" w:name="_Hlt26955056"/>
            <w:r/>
            <w:bookmarkEnd w:id="539"/>
            <w:r>
              <w:rPr>
                <w:rFonts w:hint="eastAsia" w:ascii="宋体" w:hAnsi="宋体"/>
                <w:color w:val="auto"/>
                <w:sz w:val="24"/>
                <w:szCs w:val="24"/>
                <w:highlight w:val="none"/>
              </w:rPr>
              <w:t xml:space="preserve">序号</w:t>
            </w:r>
            <w:r/>
          </w:p>
        </w:tc>
        <w:tc>
          <w:tcPr>
            <w:tcW w:w="25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30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66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9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jc w:val="center"/>
          <w:trHeight w:val="640"/>
        </w:trPr>
        <w:tc>
          <w:tcPr>
            <w:tcW w:w="73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0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3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0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3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0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3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0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3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0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3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0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3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0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73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5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30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6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left"/>
        <w:spacing w:line="360" w:lineRule="auto"/>
        <w:rPr>
          <w:rFonts w:ascii="宋体" w:hAnsi="宋体" w:cs="方正仿宋_GBK"/>
          <w:color w:val="auto"/>
          <w:sz w:val="24"/>
          <w:szCs w:val="24"/>
          <w:highlight w:val="none"/>
        </w:rPr>
      </w:pPr>
      <w:r>
        <w:rPr>
          <w:rFonts w:ascii="宋体" w:hAnsi="宋体" w:cs="方正仿宋_GBK"/>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spacing w:line="480" w:lineRule="auto"/>
        <w:rPr>
          <w:rFonts w:ascii="宋体" w:hAnsi="宋体"/>
          <w:color w:val="auto"/>
          <w:sz w:val="24"/>
          <w:szCs w:val="21"/>
          <w:highlight w:val="none"/>
        </w:rPr>
      </w:pPr>
      <w:r>
        <w:rPr>
          <w:rFonts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rPr>
          <w:rFonts w:ascii="宋体" w:hAnsi="宋体"/>
          <w:color w:val="auto"/>
          <w:sz w:val="24"/>
          <w:szCs w:val="21"/>
          <w:highlight w:val="none"/>
        </w:rPr>
      </w:pPr>
      <w:r/>
      <w:bookmarkStart w:id="540" w:name="_Hlt26955066"/>
      <w:r/>
      <w:bookmarkEnd w:id="540"/>
      <w:r/>
      <w:bookmarkStart w:id="541" w:name="_Hlt26609389"/>
      <w:r/>
      <w:bookmarkEnd w:id="541"/>
      <w:r/>
      <w:bookmarkStart w:id="542" w:name="_Hlt26671374"/>
      <w:r/>
      <w:bookmarkEnd w:id="542"/>
      <w:r/>
      <w:bookmarkStart w:id="543" w:name="_Toc462564146"/>
      <w:r/>
      <w:bookmarkEnd w:id="436"/>
      <w:r/>
      <w:bookmarkEnd w:id="437"/>
      <w:r/>
      <w:bookmarkEnd w:id="543"/>
      <w:r/>
      <w:r/>
    </w:p>
    <w:p>
      <w:pPr>
        <w:jc w:val="center"/>
        <w:rPr>
          <w:rFonts w:ascii="黑体" w:hAnsi="黑体" w:eastAsia="黑体"/>
          <w:b/>
          <w:color w:val="auto"/>
          <w:sz w:val="32"/>
          <w:szCs w:val="32"/>
          <w:highlight w:val="none"/>
        </w:rPr>
      </w:pPr>
      <w:r/>
      <w:bookmarkStart w:id="544" w:name="_格式2__法定代表人授权书"/>
      <w:r/>
      <w:bookmarkEnd w:id="544"/>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spacing w:line="360" w:lineRule="auto"/>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360" w:lineRule="auto"/>
        <w:rPr>
          <w:rFonts w:ascii="Times New Roman" w:hAnsi="Times New Roman" w:eastAsia="仿宋_GB2312"/>
          <w:color w:val="auto"/>
          <w:sz w:val="24"/>
          <w:szCs w:val="20"/>
          <w:highlight w:val="none"/>
        </w:rPr>
      </w:pPr>
      <w:r/>
      <w:bookmarkStart w:id="545" w:name="_Toc21985"/>
      <w:r/>
      <w:bookmarkStart w:id="546" w:name="_Toc16334"/>
      <w:r/>
      <w:bookmarkStart w:id="547" w:name="_Toc7688"/>
      <w:r>
        <w:rPr>
          <w:rFonts w:hint="eastAsia" w:ascii="黑体" w:hAnsi="黑体" w:eastAsia="黑体"/>
          <w:b/>
          <w:iCs/>
          <w:color w:val="auto"/>
          <w:sz w:val="32"/>
          <w:szCs w:val="32"/>
          <w:highlight w:val="none"/>
          <w:u w:val="single"/>
        </w:rPr>
        <w:t xml:space="preserve">十五、开标一览表</w:t>
      </w:r>
      <w:bookmarkEnd w:id="545"/>
      <w:r/>
      <w:bookmarkEnd w:id="546"/>
      <w:r/>
      <w:bookmarkEnd w:id="54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spacing w:line="360" w:lineRule="auto"/>
        <w:rPr>
          <w:rFonts w:ascii="Times New Roman" w:hAnsi="Times New Roman"/>
          <w:color w:val="auto"/>
          <w:sz w:val="24"/>
          <w:szCs w:val="24"/>
          <w:highlight w:val="none"/>
        </w:rPr>
      </w:pPr>
      <w:r>
        <w:rPr>
          <w:rFonts w:hint="eastAsia" w:ascii="宋体" w:hAnsi="宋体"/>
          <w:color w:val="auto"/>
          <w:sz w:val="24"/>
          <w:szCs w:val="24"/>
          <w:highlight w:val="none"/>
        </w:rPr>
        <w:t xml:space="preserve">项目名称：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招标编号：                                   分包号：</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9"/>
        <w:gridCol w:w="6271"/>
      </w:tblGrid>
      <w:tr>
        <w:trPr>
          <w:cantSplit/>
          <w:jc w:val="center"/>
          <w:trHeight w:val="725"/>
        </w:trPr>
        <w:tc>
          <w:tcPr>
            <w:gridSpan w:val="2"/>
            <w:tcW w:w="8700" w:type="dxa"/>
            <w:vAlign w:val="center"/>
            <w:textDirection w:val="lrTb"/>
            <w:noWrap w:val="false"/>
          </w:tcPr>
          <w:p>
            <w:pPr>
              <w:rPr>
                <w:rFonts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jc w:val="center"/>
          <w:trHeight w:val="612"/>
        </w:trPr>
        <w:tc>
          <w:tcPr>
            <w:gridSpan w:val="2"/>
            <w:tcW w:w="8700" w:type="dxa"/>
            <w:vAlign w:val="center"/>
            <w:textDirection w:val="lrTb"/>
            <w:noWrap w:val="false"/>
          </w:tcPr>
          <w:p>
            <w:pPr>
              <w:jc w:val="left"/>
              <w:spacing w:line="500" w:lineRule="exact"/>
              <w:rPr>
                <w:rFonts w:ascii="宋体" w:hAnsi="宋体"/>
                <w:color w:val="auto"/>
                <w:sz w:val="24"/>
                <w:szCs w:val="21"/>
                <w:highlight w:val="none"/>
              </w:rPr>
            </w:pPr>
            <w:r>
              <w:rPr>
                <w:rFonts w:hint="eastAsia" w:ascii="宋体" w:hAnsi="宋体" w:cs="宋体"/>
                <w:color w:val="auto"/>
                <w:sz w:val="24"/>
                <w:szCs w:val="24"/>
                <w:highlight w:val="none"/>
              </w:rPr>
              <w:t xml:space="preserve">小写：                             （人民币：元）</w:t>
            </w:r>
            <w:r/>
          </w:p>
        </w:tc>
      </w:tr>
      <w:tr>
        <w:trPr>
          <w:cantSplit/>
          <w:jc w:val="center"/>
          <w:trHeight w:val="612"/>
        </w:trPr>
        <w:tc>
          <w:tcPr>
            <w:tcW w:w="2429" w:type="dxa"/>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核心产品品牌</w:t>
            </w:r>
            <w:r/>
          </w:p>
        </w:tc>
        <w:tc>
          <w:tcPr>
            <w:tcW w:w="6271" w:type="dxa"/>
            <w:vAlign w:val="center"/>
            <w:textDirection w:val="lrTb"/>
            <w:noWrap w:val="false"/>
          </w:tcPr>
          <w:p>
            <w:pPr>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黑体" w:hAnsi="黑体" w:eastAsia="黑体"/>
          <w:b/>
          <w:iCs/>
          <w:color w:val="auto"/>
          <w:sz w:val="32"/>
          <w:szCs w:val="32"/>
          <w:highlight w:val="none"/>
          <w:u w:val="single"/>
        </w:rPr>
      </w:pPr>
      <w:r>
        <w:rPr>
          <w:rFonts w:hint="eastAsia" w:ascii="黑体" w:hAnsi="黑体" w:eastAsia="黑体"/>
          <w:b/>
          <w:iCs/>
          <w:color w:val="auto"/>
          <w:sz w:val="32"/>
          <w:szCs w:val="32"/>
          <w:highlight w:val="none"/>
          <w:u w:val="single"/>
        </w:rPr>
        <w:t xml:space="preserve">十六、类似项目业绩一览表 </w:t>
      </w:r>
      <w:r/>
    </w:p>
    <w:p>
      <w:pPr>
        <w:jc w:val="center"/>
        <w:spacing w:line="360" w:lineRule="auto"/>
        <w:rPr>
          <w:rFonts w:ascii="黑体" w:hAnsi="黑体" w:eastAsia="黑体"/>
          <w:b/>
          <w:iCs/>
          <w:color w:val="auto"/>
          <w:sz w:val="32"/>
          <w:szCs w:val="32"/>
          <w:highlight w:val="none"/>
        </w:rPr>
      </w:pPr>
      <w:r>
        <w:rPr>
          <w:rFonts w:hint="eastAsia" w:ascii="黑体" w:hAnsi="黑体" w:eastAsia="黑体"/>
          <w:b/>
          <w:iCs/>
          <w:color w:val="auto"/>
          <w:sz w:val="32"/>
          <w:szCs w:val="32"/>
          <w:highlight w:val="none"/>
        </w:rPr>
        <w:t xml:space="preserve">类似项目业绩一览表</w:t>
      </w:r>
      <w:r/>
    </w:p>
    <w:p>
      <w:pPr>
        <w:ind w:firstLine="480"/>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8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18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签订时间</w:t>
            </w:r>
            <w:r/>
          </w:p>
        </w:tc>
        <w:tc>
          <w:tcPr>
            <w:tcW w:w="19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采购单位</w:t>
            </w:r>
            <w:r/>
          </w:p>
        </w:tc>
        <w:tc>
          <w:tcPr>
            <w:tcW w:w="13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主要标的</w:t>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ind w:firstLine="480"/>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ind w:firstLine="480"/>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黑体" w:eastAsia="黑体"/>
          <w:b/>
          <w:iCs/>
          <w:color w:val="auto"/>
          <w:sz w:val="32"/>
          <w:szCs w:val="32"/>
          <w:highlight w:val="none"/>
        </w:rPr>
      </w:pPr>
      <w:r>
        <w:rPr>
          <w:rFonts w:hint="eastAsia" w:ascii="Arial" w:hAnsi="Arial" w:cs="Arial"/>
          <w:iCs/>
          <w:color w:val="auto"/>
          <w:sz w:val="36"/>
          <w:highlight w:val="none"/>
        </w:rPr>
        <w:br w:type="page" w:clear="all"/>
      </w:r>
      <w:r>
        <w:rPr>
          <w:rFonts w:hint="eastAsia" w:ascii="黑体" w:hAnsi="黑体" w:eastAsia="黑体"/>
          <w:b/>
          <w:iCs/>
          <w:color w:val="auto"/>
          <w:sz w:val="32"/>
          <w:szCs w:val="32"/>
          <w:highlight w:val="none"/>
        </w:rPr>
        <w:t xml:space="preserve">十七、项目团队人员一览表</w:t>
      </w:r>
      <w:r/>
    </w:p>
    <w:p>
      <w:pPr>
        <w:jc w:val="center"/>
        <w:spacing w:line="360" w:lineRule="auto"/>
        <w:rPr>
          <w:rFonts w:ascii="黑体" w:hAnsi="黑体" w:eastAsia="黑体"/>
          <w:b/>
          <w:iCs/>
          <w:color w:val="auto"/>
          <w:sz w:val="32"/>
          <w:szCs w:val="32"/>
          <w:highlight w:val="none"/>
        </w:rPr>
      </w:pPr>
      <w:r>
        <w:rPr>
          <w:rFonts w:hint="eastAsia" w:ascii="黑体" w:hAnsi="黑体" w:eastAsia="黑体"/>
          <w:b/>
          <w:iCs/>
          <w:color w:val="auto"/>
          <w:sz w:val="32"/>
          <w:szCs w:val="32"/>
          <w:highlight w:val="none"/>
        </w:rPr>
        <w:t xml:space="preserve">项目团队人员一览表</w:t>
      </w:r>
      <w:r/>
    </w:p>
    <w:p>
      <w:pPr>
        <w:ind w:firstLine="240"/>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819"/>
        <w:tblW w:w="90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1536"/>
        <w:gridCol w:w="2379"/>
        <w:gridCol w:w="1205"/>
        <w:gridCol w:w="1205"/>
        <w:gridCol w:w="1701"/>
      </w:tblGrid>
      <w:tr>
        <w:trPr>
          <w:cantSplit/>
          <w:jc w:val="center"/>
          <w:trHeight w:val="992"/>
        </w:trPr>
        <w:tc>
          <w:tcPr>
            <w:tcW w:w="101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153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本项目拟担任职务</w:t>
            </w:r>
            <w:r/>
          </w:p>
        </w:tc>
        <w:tc>
          <w:tcPr>
            <w:tcW w:w="237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技术职称、专业资质</w:t>
            </w:r>
            <w:r/>
          </w:p>
        </w:tc>
        <w:tc>
          <w:tcPr>
            <w:tcW w:w="12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12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W w:w="170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主要资历及担任过的职务</w:t>
            </w:r>
            <w:r/>
          </w:p>
        </w:tc>
      </w:tr>
      <w:tr>
        <w:trPr>
          <w:cantSplit/>
          <w:jc w:val="center"/>
          <w:trHeight w:val="686"/>
        </w:trPr>
        <w:tc>
          <w:tcPr>
            <w:tcW w:w="10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7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0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0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86"/>
        </w:trPr>
        <w:tc>
          <w:tcPr>
            <w:tcW w:w="10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7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0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0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86"/>
        </w:trPr>
        <w:tc>
          <w:tcPr>
            <w:tcW w:w="10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7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0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0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707"/>
        </w:trPr>
        <w:tc>
          <w:tcPr>
            <w:tcW w:w="101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53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37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0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0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outlineLvl w:val="0"/>
      </w:pPr>
      <w:r/>
      <w:bookmarkStart w:id="548" w:name="_Toc6132"/>
      <w:r/>
      <w:bookmarkStart w:id="549" w:name="_Toc10161"/>
      <w:r/>
      <w:bookmarkStart w:id="550" w:name="_Toc13658"/>
      <w:r/>
      <w:bookmarkStart w:id="551" w:name="_Toc24376"/>
      <w:r>
        <w:rPr>
          <w:rFonts w:hint="eastAsia" w:ascii="宋体" w:hAnsi="宋体" w:cs="仿宋"/>
          <w:b/>
          <w:bCs/>
          <w:color w:val="auto"/>
          <w:sz w:val="32"/>
          <w:szCs w:val="32"/>
          <w:highlight w:val="none"/>
        </w:rPr>
        <w:t xml:space="preserve">质疑函范本</w:t>
      </w:r>
      <w:bookmarkEnd w:id="548"/>
      <w:r/>
      <w:bookmarkEnd w:id="549"/>
      <w:r/>
      <w:bookmarkEnd w:id="550"/>
      <w:r/>
      <w:bookmarkEnd w:id="551"/>
      <w:r/>
      <w:r/>
    </w:p>
    <w:p>
      <w:pPr>
        <w:spacing w:before="290" w:line="360" w:lineRule="auto"/>
        <w:rPr>
          <w:rFonts w:ascii="宋体" w:hAnsi="宋体" w:cs="仿宋"/>
          <w:bCs/>
          <w:color w:val="auto"/>
          <w:sz w:val="24"/>
          <w:szCs w:val="24"/>
          <w:highlight w:val="none"/>
        </w:rPr>
        <w:outlineLvl w:val="1"/>
      </w:pPr>
      <w:r/>
      <w:bookmarkStart w:id="552" w:name="_Toc24492"/>
      <w:r/>
      <w:bookmarkStart w:id="553" w:name="_Toc2710"/>
      <w:r/>
      <w:bookmarkStart w:id="554" w:name="_Toc8423"/>
      <w:r/>
      <w:bookmarkStart w:id="555" w:name="_Toc20669"/>
      <w:r>
        <w:rPr>
          <w:rFonts w:hint="eastAsia" w:ascii="宋体" w:hAnsi="宋体" w:cs="仿宋"/>
          <w:bCs/>
          <w:color w:val="auto"/>
          <w:sz w:val="24"/>
          <w:szCs w:val="24"/>
          <w:highlight w:val="none"/>
        </w:rPr>
        <w:t xml:space="preserve">一、质疑供应商基本信息</w:t>
      </w:r>
      <w:bookmarkEnd w:id="552"/>
      <w:r/>
      <w:bookmarkEnd w:id="553"/>
      <w:r/>
      <w:bookmarkEnd w:id="554"/>
      <w:r/>
      <w:bookmarkEnd w:id="555"/>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1"/>
      </w:pPr>
      <w:r/>
      <w:bookmarkStart w:id="556" w:name="_Toc4"/>
      <w:r/>
      <w:bookmarkStart w:id="557" w:name="_Toc4247"/>
      <w:r/>
      <w:bookmarkStart w:id="558" w:name="_Toc12024"/>
      <w:r/>
      <w:bookmarkStart w:id="559" w:name="_Toc475"/>
      <w:r>
        <w:rPr>
          <w:rFonts w:hint="eastAsia" w:ascii="宋体" w:hAnsi="宋体" w:cs="仿宋"/>
          <w:bCs/>
          <w:color w:val="auto"/>
          <w:sz w:val="24"/>
          <w:szCs w:val="24"/>
          <w:highlight w:val="none"/>
        </w:rPr>
        <w:t xml:space="preserve">二、质疑项目基本情况</w:t>
      </w:r>
      <w:bookmarkEnd w:id="556"/>
      <w:r/>
      <w:bookmarkEnd w:id="557"/>
      <w:r/>
      <w:bookmarkEnd w:id="558"/>
      <w:r/>
      <w:bookmarkEnd w:id="559"/>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1"/>
      </w:pPr>
      <w:r/>
      <w:bookmarkStart w:id="560" w:name="_Toc12821"/>
      <w:r/>
      <w:bookmarkStart w:id="561" w:name="_Toc574"/>
      <w:r/>
      <w:bookmarkStart w:id="562" w:name="_Toc3411"/>
      <w:r/>
      <w:bookmarkStart w:id="563" w:name="_Toc30649"/>
      <w:r>
        <w:rPr>
          <w:rFonts w:hint="eastAsia" w:ascii="宋体" w:hAnsi="宋体" w:cs="仿宋"/>
          <w:bCs/>
          <w:color w:val="auto"/>
          <w:sz w:val="24"/>
          <w:szCs w:val="24"/>
          <w:highlight w:val="none"/>
        </w:rPr>
        <w:t xml:space="preserve">三、质疑事项具体内容</w:t>
      </w:r>
      <w:bookmarkEnd w:id="560"/>
      <w:r/>
      <w:bookmarkEnd w:id="561"/>
      <w:r/>
      <w:bookmarkEnd w:id="562"/>
      <w:r/>
      <w:bookmarkEnd w:id="563"/>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outlineLvl w:val="1"/>
      </w:pPr>
      <w:r/>
      <w:bookmarkStart w:id="564" w:name="_Toc26511"/>
      <w:r/>
      <w:bookmarkStart w:id="565" w:name="_Toc30114"/>
      <w:r/>
      <w:bookmarkStart w:id="566" w:name="_Toc4518"/>
      <w:r/>
      <w:bookmarkStart w:id="567" w:name="_Toc3672"/>
      <w:r>
        <w:rPr>
          <w:rFonts w:hint="eastAsia" w:ascii="宋体" w:hAnsi="宋体" w:cs="仿宋"/>
          <w:bCs/>
          <w:color w:val="auto"/>
          <w:sz w:val="24"/>
          <w:szCs w:val="24"/>
          <w:highlight w:val="none"/>
        </w:rPr>
        <w:t xml:space="preserve">四、与质疑事项相关的质疑请求</w:t>
      </w:r>
      <w:bookmarkEnd w:id="564"/>
      <w:r/>
      <w:bookmarkEnd w:id="565"/>
      <w:r/>
      <w:bookmarkEnd w:id="566"/>
      <w:r/>
      <w:bookmarkEnd w:id="567"/>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方正仿宋_GB2312">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w:panose1 w:val="020B0604020202020204"/>
  </w:font>
  <w:font w:name="方正幼线_GBK">
    <w:panose1 w:val="020B0503020202020204"/>
  </w:font>
  <w:font w:name="Arial Unicode MS">
    <w:panose1 w:val="020B0604020202020204"/>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rPr>
        <w:rStyle w:val="927"/>
        <w:rFonts w:ascii="宋体" w:hAnsi="宋体"/>
      </w:rPr>
      <w:framePr w:wrap="around" w:vAnchor="text" w:hAnchor="margin" w:xAlign="center" w:y="1"/>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４２</w:t>
    </w:r>
    <w:r>
      <w:rPr>
        <w:rFonts w:ascii="宋体" w:hAnsi="宋体"/>
      </w:rPr>
      <w:fldChar w:fldCharType="end"/>
    </w:r>
    <w:r/>
  </w:p>
  <w:p>
    <w:pPr>
      <w:pStyle w:val="1156"/>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11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22</w:t>
    </w:r>
    <w:r>
      <w:fldChar w:fldCharType="end"/>
    </w:r>
    <w:r/>
  </w:p>
  <w:p>
    <w:pPr>
      <w:pStyle w:val="833"/>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rPr>
                              <w:rStyle w:val="927"/>
                              <w:rFonts w:ascii="宋体" w:hAnsi="宋体"/>
                            </w:rPr>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35</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rPr>
                        <w:rStyle w:val="927"/>
                        <w:rFonts w:ascii="宋体" w:hAnsi="宋体"/>
                      </w:rPr>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35</w:t>
                    </w:r>
                    <w:r>
                      <w:rPr>
                        <w:rFonts w:ascii="宋体" w:hAnsi="宋体"/>
                      </w:rPr>
                      <w:fldChar w:fldCharType="end"/>
                    </w:r>
                    <w:r/>
                  </w:p>
                  <w:p>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1"/>
      <w:isLgl w:val="false"/>
      <w:suff w:val="nothing"/>
      <w:lvlText w:val=""/>
      <w:lvlJc w:val="left"/>
      <w:pPr>
        <w:ind w:left="0" w:firstLine="0"/>
      </w:pPr>
      <w:rPr>
        <w:rFonts w:hint="eastAsia"/>
      </w:rPr>
    </w:lvl>
    <w:lvl w:ilvl="6">
      <w:start w:val="1"/>
      <w:numFmt w:val="decimal"/>
      <w:pStyle w:val="1073"/>
      <w:isLgl w:val="false"/>
      <w:suff w:val="nothing"/>
      <w:lvlText w:val=""/>
      <w:lvlJc w:val="left"/>
      <w:pPr>
        <w:ind w:left="0" w:firstLine="0"/>
      </w:pPr>
      <w:rPr>
        <w:rFonts w:hint="eastAsia"/>
      </w:rPr>
    </w:lvl>
    <w:lvl w:ilvl="7">
      <w:start w:val="1"/>
      <w:numFmt w:val="decimal"/>
      <w:pStyle w:val="1075"/>
      <w:isLgl w:val="false"/>
      <w:suff w:val="nothing"/>
      <w:lvlText w:val=""/>
      <w:lvlJc w:val="left"/>
      <w:pPr>
        <w:ind w:left="0" w:firstLine="0"/>
      </w:pPr>
      <w:rPr>
        <w:rFonts w:hint="eastAsia"/>
      </w:rPr>
    </w:lvl>
    <w:lvl w:ilvl="8">
      <w:start w:val="1"/>
      <w:numFmt w:val="decimal"/>
      <w:pStyle w:val="1077"/>
      <w:isLgl w:val="false"/>
      <w:suff w:val="nothing"/>
      <w:lvlText w:val=""/>
      <w:lvlJc w:val="left"/>
      <w:pPr>
        <w:ind w:left="0" w:firstLine="0"/>
      </w:pPr>
      <w:rPr>
        <w:rFonts w:hint="eastAsia"/>
      </w:rPr>
    </w:lvl>
  </w:abstractNum>
  <w:abstractNum w:abstractNumId="2">
    <w:multiLevelType w:val="hybridMultilevel"/>
    <w:lvl w:ilvl="0">
      <w:start w:val="1"/>
      <w:numFmt w:val="decimal"/>
      <w:pStyle w:val="11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Heading 1 Char"/>
    <w:basedOn w:val="818"/>
    <w:link w:val="809"/>
    <w:uiPriority w:val="9"/>
    <w:rPr>
      <w:rFonts w:ascii="Arial" w:hAnsi="Arial" w:eastAsia="Arial" w:cs="Arial"/>
      <w:sz w:val="40"/>
      <w:szCs w:val="40"/>
    </w:rPr>
  </w:style>
  <w:style w:type="character" w:styleId="792">
    <w:name w:val="Heading 3 Char"/>
    <w:basedOn w:val="818"/>
    <w:link w:val="811"/>
    <w:uiPriority w:val="9"/>
    <w:rPr>
      <w:rFonts w:ascii="Arial" w:hAnsi="Arial" w:eastAsia="Arial" w:cs="Arial"/>
      <w:sz w:val="30"/>
      <w:szCs w:val="30"/>
    </w:rPr>
  </w:style>
  <w:style w:type="character" w:styleId="793">
    <w:name w:val="Heading 4 Char"/>
    <w:basedOn w:val="818"/>
    <w:link w:val="812"/>
    <w:uiPriority w:val="9"/>
    <w:rPr>
      <w:rFonts w:ascii="Arial" w:hAnsi="Arial" w:eastAsia="Arial" w:cs="Arial"/>
      <w:b/>
      <w:bCs/>
      <w:sz w:val="26"/>
      <w:szCs w:val="26"/>
    </w:rPr>
  </w:style>
  <w:style w:type="character" w:styleId="794">
    <w:name w:val="Heading 5 Char"/>
    <w:basedOn w:val="818"/>
    <w:link w:val="813"/>
    <w:uiPriority w:val="9"/>
    <w:rPr>
      <w:rFonts w:ascii="Arial" w:hAnsi="Arial" w:eastAsia="Arial" w:cs="Arial"/>
      <w:b/>
      <w:bCs/>
      <w:sz w:val="24"/>
      <w:szCs w:val="24"/>
    </w:rPr>
  </w:style>
  <w:style w:type="character" w:styleId="795">
    <w:name w:val="Heading 6 Char"/>
    <w:basedOn w:val="818"/>
    <w:link w:val="814"/>
    <w:uiPriority w:val="9"/>
    <w:rPr>
      <w:rFonts w:ascii="Arial" w:hAnsi="Arial" w:eastAsia="Arial" w:cs="Arial"/>
      <w:b/>
      <w:bCs/>
      <w:sz w:val="22"/>
      <w:szCs w:val="22"/>
    </w:rPr>
  </w:style>
  <w:style w:type="character" w:styleId="796">
    <w:name w:val="Heading 7 Char"/>
    <w:basedOn w:val="818"/>
    <w:link w:val="815"/>
    <w:uiPriority w:val="9"/>
    <w:rPr>
      <w:rFonts w:ascii="Arial" w:hAnsi="Arial" w:eastAsia="Arial" w:cs="Arial"/>
      <w:b/>
      <w:bCs/>
      <w:i/>
      <w:iCs/>
      <w:sz w:val="22"/>
      <w:szCs w:val="22"/>
    </w:rPr>
  </w:style>
  <w:style w:type="character" w:styleId="797">
    <w:name w:val="Heading 8 Char"/>
    <w:basedOn w:val="818"/>
    <w:link w:val="816"/>
    <w:uiPriority w:val="9"/>
    <w:rPr>
      <w:rFonts w:ascii="Arial" w:hAnsi="Arial" w:eastAsia="Arial" w:cs="Arial"/>
      <w:i/>
      <w:iCs/>
      <w:sz w:val="22"/>
      <w:szCs w:val="22"/>
    </w:rPr>
  </w:style>
  <w:style w:type="character" w:styleId="798">
    <w:name w:val="Heading 9 Char"/>
    <w:basedOn w:val="818"/>
    <w:link w:val="817"/>
    <w:uiPriority w:val="9"/>
    <w:rPr>
      <w:rFonts w:ascii="Arial" w:hAnsi="Arial" w:eastAsia="Arial" w:cs="Arial"/>
      <w:i/>
      <w:iCs/>
      <w:sz w:val="21"/>
      <w:szCs w:val="21"/>
    </w:rPr>
  </w:style>
  <w:style w:type="character" w:styleId="799">
    <w:name w:val="Title Char"/>
    <w:basedOn w:val="818"/>
    <w:link w:val="843"/>
    <w:uiPriority w:val="10"/>
    <w:rPr>
      <w:sz w:val="48"/>
      <w:szCs w:val="48"/>
    </w:rPr>
  </w:style>
  <w:style w:type="character" w:styleId="800">
    <w:name w:val="Subtitle Char"/>
    <w:basedOn w:val="818"/>
    <w:link w:val="837"/>
    <w:uiPriority w:val="11"/>
    <w:rPr>
      <w:sz w:val="24"/>
      <w:szCs w:val="24"/>
    </w:rPr>
  </w:style>
  <w:style w:type="character" w:styleId="801">
    <w:name w:val="Quote Char"/>
    <w:link w:val="863"/>
    <w:uiPriority w:val="29"/>
    <w:rPr>
      <w:i/>
    </w:rPr>
  </w:style>
  <w:style w:type="character" w:styleId="802">
    <w:name w:val="Intense Quote Char"/>
    <w:link w:val="865"/>
    <w:uiPriority w:val="30"/>
    <w:rPr>
      <w:i/>
    </w:rPr>
  </w:style>
  <w:style w:type="character" w:styleId="803">
    <w:name w:val="Header Char"/>
    <w:basedOn w:val="818"/>
    <w:link w:val="834"/>
    <w:uiPriority w:val="99"/>
  </w:style>
  <w:style w:type="character" w:styleId="804">
    <w:name w:val="Footer Char"/>
    <w:basedOn w:val="818"/>
    <w:link w:val="833"/>
    <w:uiPriority w:val="99"/>
  </w:style>
  <w:style w:type="character" w:styleId="805">
    <w:name w:val="Footnote Text Char"/>
    <w:link w:val="838"/>
    <w:uiPriority w:val="99"/>
    <w:rPr>
      <w:sz w:val="18"/>
    </w:rPr>
  </w:style>
  <w:style w:type="character" w:styleId="806">
    <w:name w:val="Endnote Text Char"/>
    <w:link w:val="831"/>
    <w:uiPriority w:val="99"/>
    <w:rPr>
      <w:sz w:val="20"/>
    </w:rPr>
  </w:style>
  <w:style w:type="paragraph" w:styleId="807">
    <w:name w:val="TOC Heading"/>
    <w:uiPriority w:val="39"/>
    <w:unhideWhenUsed/>
  </w:style>
  <w:style w:type="paragraph" w:styleId="808" w:default="1">
    <w:name w:val="Normal"/>
    <w:next w:val="820"/>
    <w:uiPriority w:val="0"/>
    <w:qFormat/>
    <w:pPr>
      <w:jc w:val="both"/>
      <w:widowControl w:val="off"/>
    </w:pPr>
    <w:rPr>
      <w:rFonts w:ascii="Calibri" w:hAnsi="Calibri" w:eastAsia="宋体" w:cs="Times New Roman"/>
      <w:sz w:val="21"/>
      <w:szCs w:val="22"/>
      <w:lang w:val="en-US" w:eastAsia="zh-CN" w:bidi="ar-SA"/>
    </w:rPr>
  </w:style>
  <w:style w:type="paragraph" w:styleId="809">
    <w:name w:val="Heading 1"/>
    <w:basedOn w:val="808"/>
    <w:next w:val="808"/>
    <w:link w:val="850"/>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21"/>
    <w:link w:val="1173"/>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852"/>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853"/>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854"/>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link w:val="855"/>
    <w:uiPriority w:val="9"/>
    <w:unhideWhenUsed/>
    <w:qFormat/>
    <w:pPr>
      <w:keepLines/>
      <w:keepNext/>
      <w:spacing w:before="320" w:after="200"/>
      <w:outlineLvl w:val="5"/>
    </w:pPr>
    <w:rPr>
      <w:rFonts w:ascii="Arial" w:hAnsi="Arial" w:eastAsia="Arial" w:cs="Arial"/>
      <w:b/>
      <w:bCs/>
      <w:sz w:val="22"/>
    </w:rPr>
  </w:style>
  <w:style w:type="paragraph" w:styleId="815">
    <w:name w:val="Heading 7"/>
    <w:basedOn w:val="808"/>
    <w:next w:val="808"/>
    <w:link w:val="856"/>
    <w:uiPriority w:val="9"/>
    <w:unhideWhenUsed/>
    <w:qFormat/>
    <w:pPr>
      <w:keepLines/>
      <w:keepNext/>
      <w:spacing w:before="320" w:after="200"/>
      <w:outlineLvl w:val="6"/>
    </w:pPr>
    <w:rPr>
      <w:rFonts w:ascii="Arial" w:hAnsi="Arial" w:eastAsia="Arial" w:cs="Arial"/>
      <w:b/>
      <w:bCs/>
      <w:i/>
      <w:iCs/>
      <w:sz w:val="22"/>
    </w:rPr>
  </w:style>
  <w:style w:type="paragraph" w:styleId="816">
    <w:name w:val="Heading 8"/>
    <w:basedOn w:val="808"/>
    <w:next w:val="808"/>
    <w:link w:val="857"/>
    <w:uiPriority w:val="9"/>
    <w:unhideWhenUsed/>
    <w:qFormat/>
    <w:pPr>
      <w:keepLines/>
      <w:keepNext/>
      <w:spacing w:before="320" w:after="200"/>
      <w:outlineLvl w:val="7"/>
    </w:pPr>
    <w:rPr>
      <w:rFonts w:ascii="Arial" w:hAnsi="Arial" w:eastAsia="Arial" w:cs="Arial"/>
      <w:i/>
      <w:iCs/>
      <w:sz w:val="22"/>
    </w:rPr>
  </w:style>
  <w:style w:type="paragraph" w:styleId="817">
    <w:name w:val="Heading 9"/>
    <w:basedOn w:val="808"/>
    <w:next w:val="808"/>
    <w:link w:val="858"/>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customStyle="1">
    <w:name w:val="标题 41"/>
    <w:basedOn w:val="808"/>
    <w:next w:val="808"/>
    <w:link w:val="1068"/>
    <w:uiPriority w:val="0"/>
    <w:qFormat/>
    <w:pPr>
      <w:keepLines/>
      <w:keepNext/>
      <w:spacing w:before="280" w:after="290" w:line="376" w:lineRule="auto"/>
      <w:outlineLvl w:val="3"/>
    </w:pPr>
    <w:rPr>
      <w:rFonts w:ascii="Arial" w:hAnsi="Arial" w:eastAsia="黑体" w:cs="Arial"/>
      <w:b/>
      <w:bCs/>
      <w:sz w:val="28"/>
      <w:szCs w:val="28"/>
    </w:rPr>
  </w:style>
  <w:style w:type="paragraph" w:styleId="821">
    <w:name w:val="Normal Indent"/>
    <w:basedOn w:val="808"/>
    <w:uiPriority w:val="0"/>
    <w:qFormat/>
    <w:pPr>
      <w:ind w:firstLine="420"/>
    </w:pPr>
    <w:rPr>
      <w:szCs w:val="21"/>
    </w:rPr>
  </w:style>
  <w:style w:type="paragraph" w:styleId="822">
    <w:name w:val="toc 7"/>
    <w:basedOn w:val="808"/>
    <w:next w:val="808"/>
    <w:uiPriority w:val="39"/>
    <w:unhideWhenUsed/>
    <w:qFormat/>
    <w:pPr>
      <w:ind w:left="1701"/>
      <w:spacing w:after="57"/>
    </w:pPr>
  </w:style>
  <w:style w:type="paragraph" w:styleId="823">
    <w:name w:val="Caption"/>
    <w:basedOn w:val="808"/>
    <w:next w:val="8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4">
    <w:name w:val="annotation text"/>
    <w:basedOn w:val="808"/>
    <w:uiPriority w:val="99"/>
    <w:semiHidden/>
    <w:unhideWhenUsed/>
    <w:qFormat/>
    <w:pPr>
      <w:jc w:val="left"/>
    </w:pPr>
  </w:style>
  <w:style w:type="paragraph" w:styleId="825">
    <w:name w:val="Body Text"/>
    <w:basedOn w:val="808"/>
    <w:uiPriority w:val="0"/>
    <w:qFormat/>
    <w:rPr>
      <w:rFonts w:ascii="方正仿宋_GB2312" w:hAnsi="Arial" w:eastAsia="方正仿宋_GB2312"/>
      <w:sz w:val="28"/>
      <w:szCs w:val="28"/>
    </w:rPr>
  </w:style>
  <w:style w:type="paragraph" w:styleId="826">
    <w:name w:val="Body Text Indent"/>
    <w:basedOn w:val="808"/>
    <w:uiPriority w:val="0"/>
    <w:unhideWhenUsed/>
    <w:qFormat/>
    <w:pPr>
      <w:ind w:left="420"/>
      <w:spacing w:after="120"/>
    </w:pPr>
  </w:style>
  <w:style w:type="paragraph" w:styleId="827">
    <w:name w:val="toc 5"/>
    <w:basedOn w:val="808"/>
    <w:next w:val="808"/>
    <w:uiPriority w:val="39"/>
    <w:unhideWhenUsed/>
    <w:qFormat/>
    <w:pPr>
      <w:ind w:left="1134"/>
      <w:spacing w:after="57"/>
    </w:pPr>
  </w:style>
  <w:style w:type="paragraph" w:styleId="828">
    <w:name w:val="toc 3"/>
    <w:basedOn w:val="808"/>
    <w:next w:val="808"/>
    <w:uiPriority w:val="39"/>
    <w:unhideWhenUsed/>
    <w:qFormat/>
    <w:pPr>
      <w:ind w:left="567"/>
      <w:spacing w:after="57"/>
    </w:pPr>
  </w:style>
  <w:style w:type="paragraph" w:styleId="829">
    <w:name w:val="Plain Text"/>
    <w:basedOn w:val="808"/>
    <w:uiPriority w:val="0"/>
    <w:qFormat/>
    <w:rPr>
      <w:rFonts w:ascii="宋体" w:hAnsi="Courier New" w:cs="Courier New"/>
      <w:szCs w:val="21"/>
    </w:rPr>
  </w:style>
  <w:style w:type="paragraph" w:styleId="830">
    <w:name w:val="toc 8"/>
    <w:basedOn w:val="808"/>
    <w:next w:val="808"/>
    <w:uiPriority w:val="39"/>
    <w:unhideWhenUsed/>
    <w:qFormat/>
    <w:pPr>
      <w:ind w:left="1984"/>
      <w:spacing w:after="57"/>
    </w:pPr>
  </w:style>
  <w:style w:type="paragraph" w:styleId="831">
    <w:name w:val="endnote text"/>
    <w:basedOn w:val="808"/>
    <w:link w:val="870"/>
    <w:uiPriority w:val="99"/>
    <w:semiHidden/>
    <w:unhideWhenUsed/>
    <w:qFormat/>
    <w:rPr>
      <w:sz w:val="20"/>
    </w:rPr>
  </w:style>
  <w:style w:type="paragraph" w:styleId="832">
    <w:name w:val="Balloon Text"/>
    <w:basedOn w:val="808"/>
    <w:link w:val="1181"/>
    <w:uiPriority w:val="99"/>
    <w:semiHidden/>
    <w:unhideWhenUsed/>
    <w:qFormat/>
    <w:rPr>
      <w:sz w:val="18"/>
      <w:szCs w:val="18"/>
    </w:rPr>
  </w:style>
  <w:style w:type="paragraph" w:styleId="833">
    <w:name w:val="Footer"/>
    <w:basedOn w:val="808"/>
    <w:link w:val="868"/>
    <w:uiPriority w:val="99"/>
    <w:unhideWhenUsed/>
    <w:qFormat/>
    <w:pPr>
      <w:tabs>
        <w:tab w:val="center" w:pos="7143" w:leader="none"/>
        <w:tab w:val="right" w:pos="14287" w:leader="none"/>
      </w:tabs>
    </w:pPr>
  </w:style>
  <w:style w:type="paragraph" w:styleId="834">
    <w:name w:val="Header"/>
    <w:basedOn w:val="808"/>
    <w:link w:val="867"/>
    <w:uiPriority w:val="99"/>
    <w:unhideWhenUsed/>
    <w:qFormat/>
    <w:pPr>
      <w:tabs>
        <w:tab w:val="center" w:pos="7143" w:leader="none"/>
        <w:tab w:val="right" w:pos="14287" w:leader="none"/>
      </w:tabs>
    </w:pPr>
  </w:style>
  <w:style w:type="paragraph" w:styleId="835">
    <w:name w:val="toc 1"/>
    <w:basedOn w:val="808"/>
    <w:next w:val="808"/>
    <w:uiPriority w:val="39"/>
    <w:unhideWhenUsed/>
    <w:qFormat/>
    <w:pPr>
      <w:spacing w:after="57"/>
    </w:pPr>
  </w:style>
  <w:style w:type="paragraph" w:styleId="836">
    <w:name w:val="toc 4"/>
    <w:basedOn w:val="808"/>
    <w:next w:val="808"/>
    <w:uiPriority w:val="39"/>
    <w:unhideWhenUsed/>
    <w:qFormat/>
    <w:pPr>
      <w:ind w:left="850"/>
      <w:spacing w:after="57"/>
    </w:pPr>
  </w:style>
  <w:style w:type="paragraph" w:styleId="837">
    <w:name w:val="Subtitle"/>
    <w:basedOn w:val="808"/>
    <w:next w:val="808"/>
    <w:link w:val="862"/>
    <w:uiPriority w:val="11"/>
    <w:qFormat/>
    <w:pPr>
      <w:spacing w:before="200" w:after="200"/>
    </w:pPr>
    <w:rPr>
      <w:sz w:val="24"/>
      <w:szCs w:val="24"/>
    </w:rPr>
  </w:style>
  <w:style w:type="paragraph" w:styleId="838">
    <w:name w:val="footnote text"/>
    <w:basedOn w:val="808"/>
    <w:link w:val="869"/>
    <w:uiPriority w:val="99"/>
    <w:semiHidden/>
    <w:unhideWhenUsed/>
    <w:qFormat/>
    <w:pPr>
      <w:spacing w:after="40"/>
    </w:pPr>
    <w:rPr>
      <w:sz w:val="18"/>
    </w:rPr>
  </w:style>
  <w:style w:type="paragraph" w:styleId="839">
    <w:name w:val="toc 6"/>
    <w:basedOn w:val="808"/>
    <w:next w:val="808"/>
    <w:uiPriority w:val="39"/>
    <w:unhideWhenUsed/>
    <w:qFormat/>
    <w:pPr>
      <w:ind w:left="1417"/>
      <w:spacing w:after="57"/>
    </w:pPr>
  </w:style>
  <w:style w:type="paragraph" w:styleId="840">
    <w:name w:val="table of figures"/>
    <w:basedOn w:val="808"/>
    <w:next w:val="808"/>
    <w:uiPriority w:val="99"/>
    <w:unhideWhenUsed/>
    <w:qFormat/>
  </w:style>
  <w:style w:type="paragraph" w:styleId="841">
    <w:name w:val="toc 2"/>
    <w:basedOn w:val="808"/>
    <w:next w:val="808"/>
    <w:uiPriority w:val="39"/>
    <w:unhideWhenUsed/>
    <w:qFormat/>
    <w:pPr>
      <w:ind w:left="283"/>
      <w:spacing w:after="57"/>
    </w:pPr>
  </w:style>
  <w:style w:type="paragraph" w:styleId="842">
    <w:name w:val="toc 9"/>
    <w:basedOn w:val="808"/>
    <w:next w:val="808"/>
    <w:uiPriority w:val="39"/>
    <w:unhideWhenUsed/>
    <w:qFormat/>
    <w:pPr>
      <w:ind w:left="2268"/>
      <w:spacing w:after="57"/>
    </w:pPr>
  </w:style>
  <w:style w:type="paragraph" w:styleId="843">
    <w:name w:val="Title"/>
    <w:basedOn w:val="808"/>
    <w:next w:val="808"/>
    <w:link w:val="861"/>
    <w:uiPriority w:val="10"/>
    <w:qFormat/>
    <w:pPr>
      <w:contextualSpacing/>
      <w:spacing w:before="300" w:after="200"/>
    </w:pPr>
    <w:rPr>
      <w:sz w:val="48"/>
      <w:szCs w:val="48"/>
    </w:r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Strong"/>
    <w:basedOn w:val="818"/>
    <w:uiPriority w:val="0"/>
    <w:qFormat/>
    <w:rPr>
      <w:b/>
    </w:rPr>
  </w:style>
  <w:style w:type="character" w:styleId="846">
    <w:name w:val="endnote reference"/>
    <w:uiPriority w:val="99"/>
    <w:semiHidden/>
    <w:unhideWhenUsed/>
    <w:qFormat/>
    <w:rPr>
      <w:vertAlign w:val="superscript"/>
    </w:rPr>
  </w:style>
  <w:style w:type="character" w:styleId="847">
    <w:name w:val="Hyperlink"/>
    <w:uiPriority w:val="99"/>
    <w:unhideWhenUsed/>
    <w:qFormat/>
    <w:rPr>
      <w:color w:val="0000ff" w:themeColor="hyperlink"/>
      <w:u w:val="single"/>
      <w14:textFill>
        <w14:solidFill>
          <w14:schemeClr w14:val="hlink"/>
        </w14:solidFill>
      </w14:textFill>
    </w:rPr>
  </w:style>
  <w:style w:type="character" w:styleId="848">
    <w:name w:val="annotation reference"/>
    <w:basedOn w:val="818"/>
    <w:uiPriority w:val="99"/>
    <w:semiHidden/>
    <w:unhideWhenUsed/>
    <w:qFormat/>
    <w:rPr>
      <w:sz w:val="21"/>
      <w:szCs w:val="21"/>
    </w:rPr>
  </w:style>
  <w:style w:type="character" w:styleId="849">
    <w:name w:val="footnote reference"/>
    <w:uiPriority w:val="99"/>
    <w:unhideWhenUsed/>
    <w:qFormat/>
    <w:rPr>
      <w:vertAlign w:val="superscript"/>
    </w:rPr>
  </w:style>
  <w:style w:type="character" w:styleId="850" w:customStyle="1">
    <w:name w:val="标题 1 Char2"/>
    <w:link w:val="809"/>
    <w:uiPriority w:val="9"/>
    <w:qFormat/>
    <w:rPr>
      <w:rFonts w:ascii="Arial" w:hAnsi="Arial" w:eastAsia="Arial" w:cs="Arial"/>
      <w:sz w:val="40"/>
      <w:szCs w:val="40"/>
    </w:rPr>
  </w:style>
  <w:style w:type="character" w:styleId="851" w:customStyle="1">
    <w:name w:val="Heading 2 Char"/>
    <w:uiPriority w:val="9"/>
    <w:qFormat/>
    <w:rPr>
      <w:rFonts w:ascii="Arial" w:hAnsi="Arial" w:eastAsia="Arial" w:cs="Arial"/>
      <w:sz w:val="34"/>
    </w:rPr>
  </w:style>
  <w:style w:type="character" w:styleId="852" w:customStyle="1">
    <w:name w:val="标题 3 Char2"/>
    <w:link w:val="811"/>
    <w:uiPriority w:val="9"/>
    <w:qFormat/>
    <w:rPr>
      <w:rFonts w:ascii="Arial" w:hAnsi="Arial" w:eastAsia="Arial" w:cs="Arial"/>
      <w:sz w:val="30"/>
      <w:szCs w:val="30"/>
    </w:rPr>
  </w:style>
  <w:style w:type="character" w:styleId="853" w:customStyle="1">
    <w:name w:val="标题 4 Char2"/>
    <w:link w:val="812"/>
    <w:uiPriority w:val="9"/>
    <w:qFormat/>
    <w:rPr>
      <w:rFonts w:ascii="Arial" w:hAnsi="Arial" w:eastAsia="Arial" w:cs="Arial"/>
      <w:b/>
      <w:bCs/>
      <w:sz w:val="26"/>
      <w:szCs w:val="26"/>
    </w:rPr>
  </w:style>
  <w:style w:type="character" w:styleId="854" w:customStyle="1">
    <w:name w:val="标题 5 Char2"/>
    <w:link w:val="813"/>
    <w:uiPriority w:val="9"/>
    <w:qFormat/>
    <w:rPr>
      <w:rFonts w:ascii="Arial" w:hAnsi="Arial" w:eastAsia="Arial" w:cs="Arial"/>
      <w:b/>
      <w:bCs/>
      <w:sz w:val="24"/>
      <w:szCs w:val="24"/>
    </w:rPr>
  </w:style>
  <w:style w:type="character" w:styleId="855" w:customStyle="1">
    <w:name w:val="标题 6 Char2"/>
    <w:link w:val="814"/>
    <w:uiPriority w:val="9"/>
    <w:qFormat/>
    <w:rPr>
      <w:rFonts w:ascii="Arial" w:hAnsi="Arial" w:eastAsia="Arial" w:cs="Arial"/>
      <w:b/>
      <w:bCs/>
      <w:sz w:val="22"/>
      <w:szCs w:val="22"/>
    </w:rPr>
  </w:style>
  <w:style w:type="character" w:styleId="856" w:customStyle="1">
    <w:name w:val="标题 7 Char2"/>
    <w:link w:val="815"/>
    <w:uiPriority w:val="9"/>
    <w:qFormat/>
    <w:rPr>
      <w:rFonts w:ascii="Arial" w:hAnsi="Arial" w:eastAsia="Arial" w:cs="Arial"/>
      <w:b/>
      <w:bCs/>
      <w:i/>
      <w:iCs/>
      <w:sz w:val="22"/>
      <w:szCs w:val="22"/>
    </w:rPr>
  </w:style>
  <w:style w:type="character" w:styleId="857" w:customStyle="1">
    <w:name w:val="标题 8 Char2"/>
    <w:link w:val="816"/>
    <w:uiPriority w:val="9"/>
    <w:qFormat/>
    <w:rPr>
      <w:rFonts w:ascii="Arial" w:hAnsi="Arial" w:eastAsia="Arial" w:cs="Arial"/>
      <w:i/>
      <w:iCs/>
      <w:sz w:val="22"/>
      <w:szCs w:val="22"/>
    </w:rPr>
  </w:style>
  <w:style w:type="character" w:styleId="858" w:customStyle="1">
    <w:name w:val="标题 9 Char2"/>
    <w:link w:val="817"/>
    <w:uiPriority w:val="9"/>
    <w:qFormat/>
    <w:rPr>
      <w:rFonts w:ascii="Arial" w:hAnsi="Arial" w:eastAsia="Arial" w:cs="Arial"/>
      <w:i/>
      <w:iCs/>
      <w:sz w:val="21"/>
      <w:szCs w:val="21"/>
    </w:rPr>
  </w:style>
  <w:style w:type="paragraph" w:styleId="859">
    <w:name w:val="List Paragraph"/>
    <w:basedOn w:val="808"/>
    <w:uiPriority w:val="34"/>
    <w:qFormat/>
    <w:pPr>
      <w:contextualSpacing/>
      <w:ind w:left="720"/>
    </w:pPr>
  </w:style>
  <w:style w:type="paragraph" w:styleId="860">
    <w:name w:val="No Spacing"/>
    <w:uiPriority w:val="1"/>
    <w:qFormat/>
    <w:rPr>
      <w:rFonts w:ascii="Times New Roman" w:hAnsi="Times New Roman" w:eastAsia="宋体" w:cs="Times New Roman"/>
      <w:lang w:val="en-US" w:eastAsia="zh-CN" w:bidi="ar-SA"/>
    </w:rPr>
  </w:style>
  <w:style w:type="character" w:styleId="861" w:customStyle="1">
    <w:name w:val="标题 Char1"/>
    <w:link w:val="843"/>
    <w:uiPriority w:val="10"/>
    <w:qFormat/>
    <w:rPr>
      <w:sz w:val="48"/>
      <w:szCs w:val="48"/>
    </w:rPr>
  </w:style>
  <w:style w:type="character" w:styleId="862" w:customStyle="1">
    <w:name w:val="副标题 Char1"/>
    <w:link w:val="837"/>
    <w:uiPriority w:val="11"/>
    <w:qFormat/>
    <w:rPr>
      <w:sz w:val="24"/>
      <w:szCs w:val="24"/>
    </w:rPr>
  </w:style>
  <w:style w:type="paragraph" w:styleId="863">
    <w:name w:val="Quote"/>
    <w:basedOn w:val="808"/>
    <w:next w:val="808"/>
    <w:link w:val="864"/>
    <w:uiPriority w:val="29"/>
    <w:qFormat/>
    <w:pPr>
      <w:ind w:left="720" w:right="720"/>
    </w:pPr>
    <w:rPr>
      <w:i/>
    </w:rPr>
  </w:style>
  <w:style w:type="character" w:styleId="864" w:customStyle="1">
    <w:name w:val="引用 Char1"/>
    <w:link w:val="863"/>
    <w:uiPriority w:val="29"/>
    <w:qFormat/>
    <w:rPr>
      <w:i/>
    </w:rPr>
  </w:style>
  <w:style w:type="paragraph" w:styleId="865">
    <w:name w:val="Intense Quote"/>
    <w:basedOn w:val="808"/>
    <w:next w:val="808"/>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1"/>
    <w:link w:val="865"/>
    <w:uiPriority w:val="30"/>
    <w:qFormat/>
    <w:rPr>
      <w:i/>
    </w:rPr>
  </w:style>
  <w:style w:type="character" w:styleId="867" w:customStyle="1">
    <w:name w:val="页眉 Char2"/>
    <w:link w:val="834"/>
    <w:uiPriority w:val="99"/>
    <w:qFormat/>
  </w:style>
  <w:style w:type="character" w:styleId="868" w:customStyle="1">
    <w:name w:val="页脚 Char2"/>
    <w:link w:val="833"/>
    <w:uiPriority w:val="99"/>
    <w:qFormat/>
  </w:style>
  <w:style w:type="character" w:styleId="869" w:customStyle="1">
    <w:name w:val="脚注文本 Char1"/>
    <w:link w:val="838"/>
    <w:uiPriority w:val="99"/>
    <w:qFormat/>
    <w:rPr>
      <w:sz w:val="18"/>
    </w:rPr>
  </w:style>
  <w:style w:type="character" w:styleId="870" w:customStyle="1">
    <w:name w:val="尾注文本 Char1"/>
    <w:link w:val="831"/>
    <w:uiPriority w:val="99"/>
    <w:qFormat/>
    <w:rPr>
      <w:sz w:val="20"/>
    </w:rPr>
  </w:style>
  <w:style w:type="paragraph" w:styleId="871" w:customStyle="1">
    <w:name w:val="标题 111"/>
    <w:basedOn w:val="808"/>
    <w:next w:val="808"/>
    <w:link w:val="882"/>
    <w:uiPriority w:val="9"/>
    <w:qFormat/>
    <w:pPr>
      <w:keepLines/>
      <w:keepNext/>
      <w:spacing w:before="480" w:after="200"/>
      <w:outlineLvl w:val="0"/>
    </w:pPr>
    <w:rPr>
      <w:rFonts w:ascii="Arial" w:hAnsi="Arial" w:eastAsia="Arial" w:cs="Arial"/>
      <w:sz w:val="40"/>
      <w:szCs w:val="40"/>
    </w:rPr>
  </w:style>
  <w:style w:type="paragraph" w:styleId="872" w:customStyle="1">
    <w:name w:val="标题 2111"/>
    <w:basedOn w:val="808"/>
    <w:next w:val="808"/>
    <w:link w:val="883"/>
    <w:uiPriority w:val="9"/>
    <w:qFormat/>
    <w:pPr>
      <w:keepLines/>
      <w:keepNext/>
      <w:spacing w:before="360" w:after="200"/>
      <w:outlineLvl w:val="1"/>
    </w:pPr>
    <w:rPr>
      <w:rFonts w:ascii="Arial" w:hAnsi="Arial" w:eastAsia="Arial" w:cs="Arial"/>
      <w:sz w:val="34"/>
    </w:rPr>
  </w:style>
  <w:style w:type="paragraph" w:styleId="873" w:customStyle="1">
    <w:name w:val="标题 311"/>
    <w:basedOn w:val="808"/>
    <w:next w:val="808"/>
    <w:link w:val="884"/>
    <w:uiPriority w:val="9"/>
    <w:qFormat/>
    <w:pPr>
      <w:keepLines/>
      <w:keepNext/>
      <w:spacing w:before="320" w:after="200"/>
      <w:outlineLvl w:val="2"/>
    </w:pPr>
    <w:rPr>
      <w:rFonts w:ascii="Arial" w:hAnsi="Arial" w:eastAsia="Arial" w:cs="Arial"/>
      <w:sz w:val="30"/>
      <w:szCs w:val="30"/>
    </w:rPr>
  </w:style>
  <w:style w:type="paragraph" w:styleId="874" w:customStyle="1">
    <w:name w:val="标题 411"/>
    <w:basedOn w:val="808"/>
    <w:next w:val="808"/>
    <w:link w:val="885"/>
    <w:uiPriority w:val="9"/>
    <w:qFormat/>
    <w:pPr>
      <w:keepLines/>
      <w:keepNext/>
      <w:spacing w:before="320" w:after="200"/>
      <w:outlineLvl w:val="3"/>
    </w:pPr>
    <w:rPr>
      <w:rFonts w:ascii="Arial" w:hAnsi="Arial" w:eastAsia="Arial" w:cs="Arial"/>
      <w:b/>
      <w:bCs/>
      <w:sz w:val="26"/>
      <w:szCs w:val="26"/>
    </w:rPr>
  </w:style>
  <w:style w:type="paragraph" w:styleId="875" w:customStyle="1">
    <w:name w:val="标题 511"/>
    <w:basedOn w:val="808"/>
    <w:next w:val="808"/>
    <w:link w:val="886"/>
    <w:uiPriority w:val="9"/>
    <w:qFormat/>
    <w:pPr>
      <w:keepLines/>
      <w:keepNext/>
      <w:spacing w:before="320" w:after="200"/>
      <w:outlineLvl w:val="4"/>
    </w:pPr>
    <w:rPr>
      <w:rFonts w:ascii="Arial" w:hAnsi="Arial" w:eastAsia="Arial" w:cs="Arial"/>
      <w:b/>
      <w:bCs/>
      <w:sz w:val="24"/>
      <w:szCs w:val="24"/>
    </w:rPr>
  </w:style>
  <w:style w:type="paragraph" w:styleId="876" w:customStyle="1">
    <w:name w:val="标题 611"/>
    <w:basedOn w:val="808"/>
    <w:next w:val="808"/>
    <w:link w:val="887"/>
    <w:uiPriority w:val="9"/>
    <w:qFormat/>
    <w:pPr>
      <w:keepLines/>
      <w:keepNext/>
      <w:spacing w:before="320" w:after="200"/>
      <w:outlineLvl w:val="5"/>
    </w:pPr>
    <w:rPr>
      <w:rFonts w:ascii="Arial" w:hAnsi="Arial" w:eastAsia="Arial" w:cs="Arial"/>
      <w:b/>
      <w:bCs/>
      <w:sz w:val="22"/>
    </w:rPr>
  </w:style>
  <w:style w:type="paragraph" w:styleId="877" w:customStyle="1">
    <w:name w:val="标题 711"/>
    <w:basedOn w:val="808"/>
    <w:next w:val="808"/>
    <w:link w:val="888"/>
    <w:uiPriority w:val="9"/>
    <w:qFormat/>
    <w:pPr>
      <w:keepLines/>
      <w:keepNext/>
      <w:spacing w:before="320" w:after="200"/>
      <w:outlineLvl w:val="6"/>
    </w:pPr>
    <w:rPr>
      <w:rFonts w:ascii="Arial" w:hAnsi="Arial" w:eastAsia="Arial" w:cs="Arial"/>
      <w:b/>
      <w:bCs/>
      <w:i/>
      <w:iCs/>
      <w:sz w:val="22"/>
    </w:rPr>
  </w:style>
  <w:style w:type="paragraph" w:styleId="878" w:customStyle="1">
    <w:name w:val="标题 811"/>
    <w:basedOn w:val="808"/>
    <w:next w:val="808"/>
    <w:link w:val="889"/>
    <w:uiPriority w:val="9"/>
    <w:qFormat/>
    <w:pPr>
      <w:keepLines/>
      <w:keepNext/>
      <w:spacing w:before="320" w:after="200"/>
      <w:outlineLvl w:val="7"/>
    </w:pPr>
    <w:rPr>
      <w:rFonts w:ascii="Arial" w:hAnsi="Arial" w:eastAsia="Arial" w:cs="Arial"/>
      <w:i/>
      <w:iCs/>
      <w:sz w:val="22"/>
    </w:rPr>
  </w:style>
  <w:style w:type="paragraph" w:styleId="879" w:customStyle="1">
    <w:name w:val="标题 911"/>
    <w:basedOn w:val="808"/>
    <w:next w:val="808"/>
    <w:link w:val="890"/>
    <w:uiPriority w:val="9"/>
    <w:qFormat/>
    <w:pPr>
      <w:keepLines/>
      <w:keepNext/>
      <w:spacing w:before="320" w:after="200"/>
      <w:outlineLvl w:val="8"/>
    </w:pPr>
    <w:rPr>
      <w:rFonts w:ascii="Arial" w:hAnsi="Arial" w:eastAsia="Arial" w:cs="Arial"/>
      <w:i/>
      <w:iCs/>
      <w:szCs w:val="21"/>
    </w:rPr>
  </w:style>
  <w:style w:type="character" w:styleId="880" w:customStyle="1">
    <w:name w:val="默认段落字体11"/>
    <w:uiPriority w:val="1"/>
    <w:unhideWhenUsed/>
    <w:qFormat/>
  </w:style>
  <w:style w:type="table" w:styleId="881" w:customStyle="1">
    <w:name w:val="普通表格11"/>
    <w:uiPriority w:val="99"/>
    <w:unhideWhenUsed/>
    <w:qFormat/>
    <w:tblPr>
      <w:tblCellMar>
        <w:left w:w="0" w:type="dxa"/>
        <w:top w:w="0" w:type="dxa"/>
        <w:right w:w="0" w:type="dxa"/>
        <w:bottom w:w="0" w:type="dxa"/>
      </w:tblCellMar>
    </w:tblPr>
  </w:style>
  <w:style w:type="character" w:styleId="882" w:customStyle="1">
    <w:name w:val="标题 1 Char1"/>
    <w:link w:val="871"/>
    <w:uiPriority w:val="9"/>
    <w:qFormat/>
    <w:rPr>
      <w:rFonts w:ascii="Arial" w:hAnsi="Arial" w:eastAsia="Arial" w:cs="Arial"/>
      <w:sz w:val="40"/>
      <w:szCs w:val="40"/>
    </w:rPr>
  </w:style>
  <w:style w:type="character" w:styleId="883" w:customStyle="1">
    <w:name w:val="标题 2 Char1"/>
    <w:link w:val="872"/>
    <w:uiPriority w:val="9"/>
    <w:qFormat/>
    <w:rPr>
      <w:rFonts w:ascii="Arial" w:hAnsi="Arial" w:eastAsia="Arial" w:cs="Arial"/>
      <w:sz w:val="34"/>
    </w:rPr>
  </w:style>
  <w:style w:type="character" w:styleId="884" w:customStyle="1">
    <w:name w:val="标题 3 Char1"/>
    <w:link w:val="873"/>
    <w:uiPriority w:val="9"/>
    <w:qFormat/>
    <w:rPr>
      <w:rFonts w:ascii="Arial" w:hAnsi="Arial" w:eastAsia="Arial" w:cs="Arial"/>
      <w:sz w:val="30"/>
      <w:szCs w:val="30"/>
    </w:rPr>
  </w:style>
  <w:style w:type="character" w:styleId="885" w:customStyle="1">
    <w:name w:val="标题 4 Char1"/>
    <w:link w:val="874"/>
    <w:uiPriority w:val="9"/>
    <w:qFormat/>
    <w:rPr>
      <w:rFonts w:ascii="Arial" w:hAnsi="Arial" w:eastAsia="Arial" w:cs="Arial"/>
      <w:b/>
      <w:bCs/>
      <w:sz w:val="26"/>
      <w:szCs w:val="26"/>
    </w:rPr>
  </w:style>
  <w:style w:type="character" w:styleId="886" w:customStyle="1">
    <w:name w:val="标题 5 Char1"/>
    <w:link w:val="875"/>
    <w:uiPriority w:val="9"/>
    <w:qFormat/>
    <w:rPr>
      <w:rFonts w:ascii="Arial" w:hAnsi="Arial" w:eastAsia="Arial" w:cs="Arial"/>
      <w:b/>
      <w:bCs/>
      <w:sz w:val="24"/>
      <w:szCs w:val="24"/>
    </w:rPr>
  </w:style>
  <w:style w:type="character" w:styleId="887" w:customStyle="1">
    <w:name w:val="标题 6 Char1"/>
    <w:link w:val="876"/>
    <w:uiPriority w:val="9"/>
    <w:qFormat/>
    <w:rPr>
      <w:rFonts w:ascii="Arial" w:hAnsi="Arial" w:eastAsia="Arial" w:cs="Arial"/>
      <w:b/>
      <w:bCs/>
      <w:sz w:val="22"/>
      <w:szCs w:val="22"/>
    </w:rPr>
  </w:style>
  <w:style w:type="character" w:styleId="888" w:customStyle="1">
    <w:name w:val="标题 7 Char1"/>
    <w:link w:val="877"/>
    <w:uiPriority w:val="9"/>
    <w:qFormat/>
    <w:rPr>
      <w:rFonts w:ascii="Arial" w:hAnsi="Arial" w:eastAsia="Arial" w:cs="Arial"/>
      <w:b/>
      <w:bCs/>
      <w:i/>
      <w:iCs/>
      <w:sz w:val="22"/>
      <w:szCs w:val="22"/>
    </w:rPr>
  </w:style>
  <w:style w:type="character" w:styleId="889" w:customStyle="1">
    <w:name w:val="标题 8 Char1"/>
    <w:link w:val="878"/>
    <w:uiPriority w:val="9"/>
    <w:qFormat/>
    <w:rPr>
      <w:rFonts w:ascii="Arial" w:hAnsi="Arial" w:eastAsia="Arial" w:cs="Arial"/>
      <w:i/>
      <w:iCs/>
      <w:sz w:val="22"/>
      <w:szCs w:val="22"/>
    </w:rPr>
  </w:style>
  <w:style w:type="character" w:styleId="890" w:customStyle="1">
    <w:name w:val="标题 9 Char1"/>
    <w:link w:val="879"/>
    <w:uiPriority w:val="9"/>
    <w:qFormat/>
    <w:rPr>
      <w:rFonts w:ascii="Arial" w:hAnsi="Arial" w:eastAsia="Arial" w:cs="Arial"/>
      <w:i/>
      <w:iCs/>
      <w:sz w:val="21"/>
      <w:szCs w:val="21"/>
    </w:rPr>
  </w:style>
  <w:style w:type="paragraph" w:styleId="891" w:customStyle="1">
    <w:name w:val="目录 711"/>
    <w:basedOn w:val="808"/>
    <w:next w:val="808"/>
    <w:uiPriority w:val="39"/>
    <w:unhideWhenUsed/>
    <w:qFormat/>
    <w:pPr>
      <w:ind w:left="1701"/>
      <w:spacing w:after="57"/>
    </w:pPr>
  </w:style>
  <w:style w:type="paragraph" w:styleId="892" w:customStyle="1">
    <w:name w:val="题注1"/>
    <w:basedOn w:val="808"/>
    <w:next w:val="808"/>
    <w:uiPriority w:val="35"/>
    <w:qFormat/>
    <w:pPr>
      <w:spacing w:line="276" w:lineRule="auto"/>
    </w:pPr>
    <w:rPr>
      <w:b/>
      <w:bCs/>
      <w:color w:val="4f81bd"/>
      <w:sz w:val="18"/>
      <w:szCs w:val="18"/>
    </w:rPr>
  </w:style>
  <w:style w:type="paragraph" w:styleId="893" w:customStyle="1">
    <w:name w:val="批注文字11"/>
    <w:basedOn w:val="808"/>
    <w:uiPriority w:val="99"/>
    <w:unhideWhenUsed/>
    <w:qFormat/>
    <w:pPr>
      <w:jc w:val="left"/>
    </w:pPr>
  </w:style>
  <w:style w:type="paragraph" w:styleId="894" w:customStyle="1">
    <w:name w:val="正文文本111"/>
    <w:basedOn w:val="808"/>
    <w:uiPriority w:val="0"/>
    <w:unhideWhenUsed/>
    <w:qFormat/>
    <w:pPr>
      <w:spacing w:after="120"/>
    </w:pPr>
  </w:style>
  <w:style w:type="paragraph" w:styleId="895" w:customStyle="1">
    <w:name w:val="正文文本缩进11"/>
    <w:basedOn w:val="808"/>
    <w:next w:val="808"/>
    <w:uiPriority w:val="0"/>
    <w:qFormat/>
    <w:pPr>
      <w:ind w:firstLine="645"/>
    </w:pPr>
    <w:rPr>
      <w:rFonts w:ascii="楷体_GB2312" w:eastAsia="楷体_GB2312"/>
      <w:sz w:val="32"/>
      <w:szCs w:val="20"/>
    </w:rPr>
  </w:style>
  <w:style w:type="paragraph" w:styleId="896" w:customStyle="1">
    <w:name w:val="目录 511"/>
    <w:basedOn w:val="808"/>
    <w:next w:val="808"/>
    <w:uiPriority w:val="39"/>
    <w:unhideWhenUsed/>
    <w:qFormat/>
    <w:pPr>
      <w:ind w:left="1134"/>
      <w:spacing w:after="57"/>
    </w:pPr>
  </w:style>
  <w:style w:type="paragraph" w:styleId="897" w:customStyle="1">
    <w:name w:val="目录 311"/>
    <w:basedOn w:val="808"/>
    <w:next w:val="808"/>
    <w:uiPriority w:val="39"/>
    <w:unhideWhenUsed/>
    <w:qFormat/>
    <w:pPr>
      <w:ind w:left="567"/>
      <w:spacing w:after="57"/>
    </w:pPr>
  </w:style>
  <w:style w:type="paragraph" w:styleId="898" w:customStyle="1">
    <w:name w:val="目录 811"/>
    <w:basedOn w:val="808"/>
    <w:next w:val="808"/>
    <w:uiPriority w:val="39"/>
    <w:unhideWhenUsed/>
    <w:qFormat/>
    <w:pPr>
      <w:ind w:left="1984"/>
      <w:spacing w:after="57"/>
    </w:pPr>
  </w:style>
  <w:style w:type="paragraph" w:styleId="899" w:customStyle="1">
    <w:name w:val="尾注文本1"/>
    <w:basedOn w:val="808"/>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1"/>
    <w:basedOn w:val="808"/>
    <w:link w:val="902"/>
    <w:uiPriority w:val="99"/>
    <w:unhideWhenUsed/>
    <w:qFormat/>
    <w:rPr>
      <w:sz w:val="18"/>
      <w:szCs w:val="18"/>
    </w:rPr>
  </w:style>
  <w:style w:type="character" w:styleId="902" w:customStyle="1">
    <w:name w:val="批注框文本 Char1"/>
    <w:link w:val="901"/>
    <w:uiPriority w:val="99"/>
    <w:semiHidden/>
    <w:qFormat/>
    <w:rPr>
      <w:rFonts w:ascii="Calibri" w:hAnsi="Calibri"/>
      <w:sz w:val="18"/>
      <w:szCs w:val="18"/>
    </w:rPr>
  </w:style>
  <w:style w:type="paragraph" w:styleId="903" w:customStyle="1">
    <w:name w:val="页脚11"/>
    <w:basedOn w:val="808"/>
    <w:link w:val="926"/>
    <w:uiPriority w:val="99"/>
    <w:unhideWhenUsed/>
    <w:qFormat/>
    <w:pPr>
      <w:tabs>
        <w:tab w:val="center" w:pos="7143" w:leader="none"/>
        <w:tab w:val="right" w:pos="14287" w:leader="none"/>
      </w:tabs>
    </w:pPr>
  </w:style>
  <w:style w:type="character" w:styleId="904" w:customStyle="1">
    <w:name w:val="页脚 Char1"/>
    <w:uiPriority w:val="99"/>
    <w:qFormat/>
  </w:style>
  <w:style w:type="paragraph" w:styleId="905" w:customStyle="1">
    <w:name w:val="页眉11"/>
    <w:basedOn w:val="808"/>
    <w:link w:val="906"/>
    <w:uiPriority w:val="99"/>
    <w:unhideWhenUsed/>
    <w:qFormat/>
    <w:pPr>
      <w:tabs>
        <w:tab w:val="center" w:pos="7143" w:leader="none"/>
        <w:tab w:val="right" w:pos="14287" w:leader="none"/>
      </w:tabs>
    </w:pPr>
  </w:style>
  <w:style w:type="character" w:styleId="906" w:customStyle="1">
    <w:name w:val="页眉 Char1"/>
    <w:link w:val="905"/>
    <w:uiPriority w:val="99"/>
    <w:qFormat/>
  </w:style>
  <w:style w:type="paragraph" w:styleId="907" w:customStyle="1">
    <w:name w:val="目录 111"/>
    <w:basedOn w:val="808"/>
    <w:next w:val="808"/>
    <w:uiPriority w:val="39"/>
    <w:unhideWhenUsed/>
    <w:qFormat/>
    <w:pPr>
      <w:spacing w:after="57"/>
    </w:pPr>
  </w:style>
  <w:style w:type="paragraph" w:styleId="908" w:customStyle="1">
    <w:name w:val="目录 411"/>
    <w:basedOn w:val="808"/>
    <w:next w:val="808"/>
    <w:uiPriority w:val="39"/>
    <w:unhideWhenUsed/>
    <w:qFormat/>
    <w:pPr>
      <w:ind w:left="850"/>
      <w:spacing w:after="57"/>
    </w:pPr>
  </w:style>
  <w:style w:type="paragraph" w:styleId="909" w:customStyle="1">
    <w:name w:val="副标题1"/>
    <w:basedOn w:val="808"/>
    <w:next w:val="80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0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1"/>
    <w:basedOn w:val="808"/>
    <w:next w:val="808"/>
    <w:uiPriority w:val="39"/>
    <w:unhideWhenUsed/>
    <w:qFormat/>
    <w:pPr>
      <w:ind w:left="1417"/>
      <w:spacing w:after="57"/>
    </w:pPr>
  </w:style>
  <w:style w:type="paragraph" w:styleId="914" w:customStyle="1">
    <w:name w:val="正文文本缩进 311"/>
    <w:basedOn w:val="808"/>
    <w:uiPriority w:val="0"/>
    <w:qFormat/>
    <w:pPr>
      <w:ind w:firstLine="480"/>
      <w:spacing w:line="360" w:lineRule="auto"/>
      <w:tabs>
        <w:tab w:val="left" w:pos="2112" w:leader="none"/>
      </w:tabs>
    </w:pPr>
    <w:rPr>
      <w:sz w:val="24"/>
    </w:rPr>
  </w:style>
  <w:style w:type="paragraph" w:styleId="915" w:customStyle="1">
    <w:name w:val="图表目录11"/>
    <w:basedOn w:val="808"/>
    <w:next w:val="808"/>
    <w:uiPriority w:val="99"/>
    <w:unhideWhenUsed/>
    <w:qFormat/>
  </w:style>
  <w:style w:type="paragraph" w:styleId="916" w:customStyle="1">
    <w:name w:val="目录 211"/>
    <w:basedOn w:val="808"/>
    <w:next w:val="808"/>
    <w:uiPriority w:val="39"/>
    <w:unhideWhenUsed/>
    <w:qFormat/>
    <w:pPr>
      <w:ind w:left="283"/>
      <w:spacing w:after="57"/>
    </w:pPr>
  </w:style>
  <w:style w:type="paragraph" w:styleId="917" w:customStyle="1">
    <w:name w:val="目录 911"/>
    <w:basedOn w:val="808"/>
    <w:next w:val="808"/>
    <w:uiPriority w:val="39"/>
    <w:unhideWhenUsed/>
    <w:qFormat/>
    <w:pPr>
      <w:ind w:left="2268"/>
      <w:spacing w:after="57"/>
    </w:pPr>
  </w:style>
  <w:style w:type="paragraph" w:styleId="918" w:customStyle="1">
    <w:name w:val="普通(网站)11"/>
    <w:basedOn w:val="808"/>
    <w:uiPriority w:val="0"/>
    <w:qFormat/>
    <w:pPr>
      <w:jc w:val="left"/>
      <w:spacing w:beforeAutospacing="1" w:afterAutospacing="1"/>
    </w:pPr>
    <w:rPr>
      <w:sz w:val="24"/>
    </w:rPr>
  </w:style>
  <w:style w:type="paragraph" w:styleId="919" w:customStyle="1">
    <w:name w:val="标题11"/>
    <w:basedOn w:val="808"/>
    <w:next w:val="80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table" w:styleId="921" w:customStyle="1">
    <w:name w:val="网格型11"/>
    <w:uiPriority w:val="59"/>
    <w:qFormat/>
    <w:tblPr>
      <w:tblCellMar>
        <w:left w:w="0" w:type="dxa"/>
        <w:top w:w="0" w:type="dxa"/>
        <w:right w:w="0" w:type="dxa"/>
        <w:bottom w:w="0" w:type="dxa"/>
      </w:tblCellMar>
    </w:tblPr>
  </w:style>
  <w:style w:type="character" w:styleId="922" w:customStyle="1">
    <w:name w:val="尾注引用1"/>
    <w:uiPriority w:val="99"/>
    <w:unhideWhenUsed/>
    <w:qFormat/>
    <w:rPr>
      <w:vertAlign w:val="superscript"/>
    </w:rPr>
  </w:style>
  <w:style w:type="character" w:styleId="923" w:customStyle="1">
    <w:name w:val="已访问的超链接1"/>
    <w:uiPriority w:val="0"/>
    <w:qFormat/>
    <w:rPr>
      <w:color w:val="800080"/>
      <w:u w:val="single"/>
    </w:rPr>
  </w:style>
  <w:style w:type="character" w:styleId="924" w:customStyle="1">
    <w:name w:val="超链接11"/>
    <w:uiPriority w:val="99"/>
    <w:unhideWhenUsed/>
    <w:qFormat/>
    <w:rPr>
      <w:color w:val="0000ff"/>
      <w:u w:val="single"/>
    </w:rPr>
  </w:style>
  <w:style w:type="character" w:styleId="925" w:customStyle="1">
    <w:name w:val="脚注引用1"/>
    <w:uiPriority w:val="99"/>
    <w:unhideWhenUsed/>
    <w:qFormat/>
    <w:rPr>
      <w:vertAlign w:val="superscript"/>
    </w:rPr>
  </w:style>
  <w:style w:type="character" w:styleId="926" w:customStyle="1">
    <w:name w:val="Caption Char"/>
    <w:link w:val="903"/>
    <w:uiPriority w:val="99"/>
    <w:qFormat/>
  </w:style>
  <w:style w:type="character" w:styleId="927" w:customStyle="1">
    <w:name w:val="页码1"/>
    <w:uiPriority w:val="0"/>
    <w:qFormat/>
  </w:style>
  <w:style w:type="paragraph" w:styleId="928" w:customStyle="1">
    <w:name w:val="列出段落1"/>
    <w:basedOn w:val="808"/>
    <w:uiPriority w:val="34"/>
    <w:qFormat/>
    <w:pPr>
      <w:contextualSpacing/>
      <w:ind w:left="720"/>
    </w:pPr>
  </w:style>
  <w:style w:type="paragraph" w:styleId="929" w:customStyle="1">
    <w:name w:val="无间隔1"/>
    <w:uiPriority w:val="1"/>
    <w:qFormat/>
    <w:rPr>
      <w:rFonts w:ascii="Calibri" w:hAnsi="Calibri" w:eastAsia="宋体" w:cs="Times New Roman"/>
      <w:lang w:val="en-US" w:eastAsia="zh-CN" w:bidi="ar-SA"/>
    </w:rPr>
  </w:style>
  <w:style w:type="paragraph" w:styleId="930" w:customStyle="1">
    <w:name w:val="引用1"/>
    <w:basedOn w:val="808"/>
    <w:next w:val="808"/>
    <w:link w:val="931"/>
    <w:uiPriority w:val="29"/>
    <w:qFormat/>
    <w:pPr>
      <w:ind w:left="720" w:right="720"/>
    </w:pPr>
    <w:rPr>
      <w:i/>
    </w:rPr>
  </w:style>
  <w:style w:type="character" w:styleId="931" w:customStyle="1">
    <w:name w:val="引用 Char"/>
    <w:link w:val="930"/>
    <w:uiPriority w:val="29"/>
    <w:qFormat/>
    <w:rPr>
      <w:i/>
    </w:rPr>
  </w:style>
  <w:style w:type="paragraph" w:styleId="932" w:customStyle="1">
    <w:name w:val="明显引用1"/>
    <w:basedOn w:val="808"/>
    <w:next w:val="808"/>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Char"/>
    <w:link w:val="932"/>
    <w:uiPriority w:val="30"/>
    <w:qFormat/>
    <w:rPr>
      <w:i/>
    </w:rPr>
  </w:style>
  <w:style w:type="table" w:styleId="934" w:customStyle="1">
    <w:name w:val="Table Grid Light"/>
    <w:uiPriority w:val="59"/>
    <w:qFormat/>
    <w:tblPr>
      <w:tblCellMar>
        <w:left w:w="0" w:type="dxa"/>
        <w:top w:w="0" w:type="dxa"/>
        <w:right w:w="0" w:type="dxa"/>
        <w:bottom w:w="0" w:type="dxa"/>
      </w:tblCellMar>
    </w:tblPr>
  </w:style>
  <w:style w:type="table" w:styleId="935" w:customStyle="1">
    <w:name w:val="Plain Table 1"/>
    <w:uiPriority w:val="59"/>
    <w:qFormat/>
    <w:tblPr>
      <w:tblCellMar>
        <w:left w:w="0" w:type="dxa"/>
        <w:top w:w="0" w:type="dxa"/>
        <w:right w:w="0" w:type="dxa"/>
        <w:bottom w:w="0" w:type="dxa"/>
      </w:tblCellMar>
    </w:tblPr>
  </w:style>
  <w:style w:type="table" w:styleId="936" w:customStyle="1">
    <w:name w:val="Plain Table 2"/>
    <w:uiPriority w:val="59"/>
    <w:qFormat/>
    <w:tblPr>
      <w:tblCellMar>
        <w:left w:w="0" w:type="dxa"/>
        <w:top w:w="0" w:type="dxa"/>
        <w:right w:w="0" w:type="dxa"/>
        <w:bottom w:w="0" w:type="dxa"/>
      </w:tblCellMar>
    </w:tblPr>
  </w:style>
  <w:style w:type="table" w:styleId="937" w:customStyle="1">
    <w:name w:val="Plain Table 3"/>
    <w:uiPriority w:val="99"/>
    <w:qFormat/>
    <w:tblPr>
      <w:tblCellMar>
        <w:left w:w="0" w:type="dxa"/>
        <w:top w:w="0" w:type="dxa"/>
        <w:right w:w="0" w:type="dxa"/>
        <w:bottom w:w="0" w:type="dxa"/>
      </w:tblCellMar>
    </w:tblPr>
  </w:style>
  <w:style w:type="table" w:styleId="938" w:customStyle="1">
    <w:name w:val="Plain Table 4"/>
    <w:uiPriority w:val="99"/>
    <w:qFormat/>
    <w:tblPr>
      <w:tblCellMar>
        <w:left w:w="0" w:type="dxa"/>
        <w:top w:w="0" w:type="dxa"/>
        <w:right w:w="0" w:type="dxa"/>
        <w:bottom w:w="0" w:type="dxa"/>
      </w:tblCellMar>
    </w:tblPr>
  </w:style>
  <w:style w:type="table" w:styleId="939" w:customStyle="1">
    <w:name w:val="Plain Table 5"/>
    <w:uiPriority w:val="99"/>
    <w:qFormat/>
    <w:tblPr>
      <w:tblCellMar>
        <w:left w:w="0" w:type="dxa"/>
        <w:top w:w="0" w:type="dxa"/>
        <w:right w:w="0" w:type="dxa"/>
        <w:bottom w:w="0" w:type="dxa"/>
      </w:tblCellMar>
    </w:tblPr>
  </w:style>
  <w:style w:type="table" w:styleId="940" w:customStyle="1">
    <w:name w:val="Grid Table 1 Light"/>
    <w:uiPriority w:val="99"/>
    <w:qFormat/>
    <w:tblPr>
      <w:tblCellMar>
        <w:left w:w="0" w:type="dxa"/>
        <w:top w:w="0" w:type="dxa"/>
        <w:right w:w="0" w:type="dxa"/>
        <w:bottom w:w="0" w:type="dxa"/>
      </w:tblCellMar>
    </w:tblPr>
  </w:style>
  <w:style w:type="table" w:styleId="941" w:customStyle="1">
    <w:name w:val="Grid Table 1 Light - Accent 1"/>
    <w:uiPriority w:val="99"/>
    <w:qFormat/>
    <w:tblPr>
      <w:tblCellMar>
        <w:left w:w="0" w:type="dxa"/>
        <w:top w:w="0" w:type="dxa"/>
        <w:right w:w="0" w:type="dxa"/>
        <w:bottom w:w="0" w:type="dxa"/>
      </w:tblCellMar>
    </w:tblPr>
  </w:style>
  <w:style w:type="table" w:styleId="942" w:customStyle="1">
    <w:name w:val="Grid Table 1 Light - Accent 2"/>
    <w:uiPriority w:val="99"/>
    <w:qFormat/>
    <w:tblPr>
      <w:tblCellMar>
        <w:left w:w="0" w:type="dxa"/>
        <w:top w:w="0" w:type="dxa"/>
        <w:right w:w="0" w:type="dxa"/>
        <w:bottom w:w="0" w:type="dxa"/>
      </w:tblCellMar>
    </w:tblPr>
  </w:style>
  <w:style w:type="table" w:styleId="943" w:customStyle="1">
    <w:name w:val="Grid Table 1 Light - Accent 3"/>
    <w:uiPriority w:val="99"/>
    <w:qFormat/>
    <w:tblPr>
      <w:tblCellMar>
        <w:left w:w="0" w:type="dxa"/>
        <w:top w:w="0" w:type="dxa"/>
        <w:right w:w="0" w:type="dxa"/>
        <w:bottom w:w="0" w:type="dxa"/>
      </w:tblCellMar>
    </w:tblPr>
  </w:style>
  <w:style w:type="table" w:styleId="944" w:customStyle="1">
    <w:name w:val="Grid Table 1 Light - Accent 4"/>
    <w:uiPriority w:val="99"/>
    <w:qFormat/>
    <w:tblPr>
      <w:tblCellMar>
        <w:left w:w="0" w:type="dxa"/>
        <w:top w:w="0" w:type="dxa"/>
        <w:right w:w="0" w:type="dxa"/>
        <w:bottom w:w="0" w:type="dxa"/>
      </w:tblCellMar>
    </w:tblPr>
  </w:style>
  <w:style w:type="table" w:styleId="945" w:customStyle="1">
    <w:name w:val="Grid Table 1 Light - Accent 5"/>
    <w:uiPriority w:val="99"/>
    <w:qFormat/>
    <w:tblPr>
      <w:tblCellMar>
        <w:left w:w="0" w:type="dxa"/>
        <w:top w:w="0" w:type="dxa"/>
        <w:right w:w="0" w:type="dxa"/>
        <w:bottom w:w="0" w:type="dxa"/>
      </w:tblCellMar>
    </w:tblPr>
  </w:style>
  <w:style w:type="table" w:styleId="946" w:customStyle="1">
    <w:name w:val="Grid Table 1 Light - Accent 6"/>
    <w:uiPriority w:val="99"/>
    <w:qFormat/>
    <w:tblPr>
      <w:tblCellMar>
        <w:left w:w="0" w:type="dxa"/>
        <w:top w:w="0" w:type="dxa"/>
        <w:right w:w="0" w:type="dxa"/>
        <w:bottom w:w="0" w:type="dxa"/>
      </w:tblCellMar>
    </w:tblPr>
  </w:style>
  <w:style w:type="table" w:styleId="947" w:customStyle="1">
    <w:name w:val="Grid Table 2"/>
    <w:uiPriority w:val="99"/>
    <w:qFormat/>
    <w:tblPr>
      <w:tblCellMar>
        <w:left w:w="0" w:type="dxa"/>
        <w:top w:w="0" w:type="dxa"/>
        <w:right w:w="0" w:type="dxa"/>
        <w:bottom w:w="0" w:type="dxa"/>
      </w:tblCellMar>
    </w:tblPr>
  </w:style>
  <w:style w:type="table" w:styleId="948" w:customStyle="1">
    <w:name w:val="Grid Table 2 - Accent 1"/>
    <w:uiPriority w:val="99"/>
    <w:qFormat/>
    <w:tblPr>
      <w:tblCellMar>
        <w:left w:w="0" w:type="dxa"/>
        <w:top w:w="0" w:type="dxa"/>
        <w:right w:w="0" w:type="dxa"/>
        <w:bottom w:w="0" w:type="dxa"/>
      </w:tblCellMar>
    </w:tblPr>
  </w:style>
  <w:style w:type="table" w:styleId="949" w:customStyle="1">
    <w:name w:val="Grid Table 2 - Accent 2"/>
    <w:uiPriority w:val="99"/>
    <w:qFormat/>
    <w:tblPr>
      <w:tblCellMar>
        <w:left w:w="0" w:type="dxa"/>
        <w:top w:w="0" w:type="dxa"/>
        <w:right w:w="0" w:type="dxa"/>
        <w:bottom w:w="0" w:type="dxa"/>
      </w:tblCellMar>
    </w:tblPr>
  </w:style>
  <w:style w:type="table" w:styleId="950" w:customStyle="1">
    <w:name w:val="Grid Table 2 - Accent 3"/>
    <w:uiPriority w:val="99"/>
    <w:qFormat/>
    <w:tblPr>
      <w:tblCellMar>
        <w:left w:w="0" w:type="dxa"/>
        <w:top w:w="0" w:type="dxa"/>
        <w:right w:w="0" w:type="dxa"/>
        <w:bottom w:w="0" w:type="dxa"/>
      </w:tblCellMar>
    </w:tblPr>
  </w:style>
  <w:style w:type="table" w:styleId="951" w:customStyle="1">
    <w:name w:val="Grid Table 2 - Accent 4"/>
    <w:uiPriority w:val="99"/>
    <w:qFormat/>
    <w:tblPr>
      <w:tblCellMar>
        <w:left w:w="0" w:type="dxa"/>
        <w:top w:w="0" w:type="dxa"/>
        <w:right w:w="0" w:type="dxa"/>
        <w:bottom w:w="0" w:type="dxa"/>
      </w:tblCellMar>
    </w:tblPr>
  </w:style>
  <w:style w:type="table" w:styleId="952" w:customStyle="1">
    <w:name w:val="Grid Table 2 - Accent 5"/>
    <w:uiPriority w:val="99"/>
    <w:qFormat/>
    <w:tblPr>
      <w:tblCellMar>
        <w:left w:w="0" w:type="dxa"/>
        <w:top w:w="0" w:type="dxa"/>
        <w:right w:w="0" w:type="dxa"/>
        <w:bottom w:w="0" w:type="dxa"/>
      </w:tblCellMar>
    </w:tblPr>
  </w:style>
  <w:style w:type="table" w:styleId="953" w:customStyle="1">
    <w:name w:val="Grid Table 2 - Accent 6"/>
    <w:uiPriority w:val="99"/>
    <w:qFormat/>
    <w:tblPr>
      <w:tblCellMar>
        <w:left w:w="0" w:type="dxa"/>
        <w:top w:w="0" w:type="dxa"/>
        <w:right w:w="0" w:type="dxa"/>
        <w:bottom w:w="0" w:type="dxa"/>
      </w:tblCellMar>
    </w:tblPr>
  </w:style>
  <w:style w:type="table" w:styleId="954" w:customStyle="1">
    <w:name w:val="Grid Table 3"/>
    <w:uiPriority w:val="99"/>
    <w:qFormat/>
    <w:tblPr>
      <w:tblCellMar>
        <w:left w:w="0" w:type="dxa"/>
        <w:top w:w="0" w:type="dxa"/>
        <w:right w:w="0" w:type="dxa"/>
        <w:bottom w:w="0" w:type="dxa"/>
      </w:tblCellMar>
    </w:tblPr>
  </w:style>
  <w:style w:type="table" w:styleId="955" w:customStyle="1">
    <w:name w:val="Grid Table 3 - Accent 1"/>
    <w:uiPriority w:val="99"/>
    <w:qFormat/>
    <w:tblPr>
      <w:tblCellMar>
        <w:left w:w="0" w:type="dxa"/>
        <w:top w:w="0" w:type="dxa"/>
        <w:right w:w="0" w:type="dxa"/>
        <w:bottom w:w="0" w:type="dxa"/>
      </w:tblCellMar>
    </w:tblPr>
  </w:style>
  <w:style w:type="table" w:styleId="956" w:customStyle="1">
    <w:name w:val="Grid Table 3 - Accent 2"/>
    <w:uiPriority w:val="99"/>
    <w:qFormat/>
    <w:tblPr>
      <w:tblCellMar>
        <w:left w:w="0" w:type="dxa"/>
        <w:top w:w="0" w:type="dxa"/>
        <w:right w:w="0" w:type="dxa"/>
        <w:bottom w:w="0" w:type="dxa"/>
      </w:tblCellMar>
    </w:tblPr>
  </w:style>
  <w:style w:type="table" w:styleId="957" w:customStyle="1">
    <w:name w:val="Grid Table 3 - Accent 3"/>
    <w:uiPriority w:val="99"/>
    <w:qFormat/>
    <w:tblPr>
      <w:tblCellMar>
        <w:left w:w="0" w:type="dxa"/>
        <w:top w:w="0" w:type="dxa"/>
        <w:right w:w="0" w:type="dxa"/>
        <w:bottom w:w="0" w:type="dxa"/>
      </w:tblCellMar>
    </w:tblPr>
  </w:style>
  <w:style w:type="table" w:styleId="958" w:customStyle="1">
    <w:name w:val="Grid Table 3 - Accent 4"/>
    <w:uiPriority w:val="99"/>
    <w:qFormat/>
    <w:tblPr>
      <w:tblCellMar>
        <w:left w:w="0" w:type="dxa"/>
        <w:top w:w="0" w:type="dxa"/>
        <w:right w:w="0" w:type="dxa"/>
        <w:bottom w:w="0" w:type="dxa"/>
      </w:tblCellMar>
    </w:tblPr>
  </w:style>
  <w:style w:type="table" w:styleId="959" w:customStyle="1">
    <w:name w:val="Grid Table 3 - Accent 5"/>
    <w:uiPriority w:val="99"/>
    <w:qFormat/>
    <w:tblPr>
      <w:tblCellMar>
        <w:left w:w="0" w:type="dxa"/>
        <w:top w:w="0" w:type="dxa"/>
        <w:right w:w="0" w:type="dxa"/>
        <w:bottom w:w="0" w:type="dxa"/>
      </w:tblCellMar>
    </w:tblPr>
  </w:style>
  <w:style w:type="table" w:styleId="960" w:customStyle="1">
    <w:name w:val="Grid Table 3 - Accent 6"/>
    <w:uiPriority w:val="99"/>
    <w:qFormat/>
    <w:tblPr>
      <w:tblCellMar>
        <w:left w:w="0" w:type="dxa"/>
        <w:top w:w="0" w:type="dxa"/>
        <w:right w:w="0" w:type="dxa"/>
        <w:bottom w:w="0" w:type="dxa"/>
      </w:tblCellMar>
    </w:tblPr>
  </w:style>
  <w:style w:type="table" w:styleId="961" w:customStyle="1">
    <w:name w:val="Grid Table 4"/>
    <w:uiPriority w:val="59"/>
    <w:qFormat/>
    <w:tblPr>
      <w:tblCellMar>
        <w:left w:w="0" w:type="dxa"/>
        <w:top w:w="0" w:type="dxa"/>
        <w:right w:w="0" w:type="dxa"/>
        <w:bottom w:w="0" w:type="dxa"/>
      </w:tblCellMar>
    </w:tblPr>
  </w:style>
  <w:style w:type="table" w:styleId="962" w:customStyle="1">
    <w:name w:val="Grid Table 4 - Accent 1"/>
    <w:uiPriority w:val="59"/>
    <w:qFormat/>
    <w:tblPr>
      <w:tblCellMar>
        <w:left w:w="0" w:type="dxa"/>
        <w:top w:w="0" w:type="dxa"/>
        <w:right w:w="0" w:type="dxa"/>
        <w:bottom w:w="0" w:type="dxa"/>
      </w:tblCellMar>
    </w:tblPr>
  </w:style>
  <w:style w:type="table" w:styleId="963" w:customStyle="1">
    <w:name w:val="Grid Table 4 - Accent 2"/>
    <w:uiPriority w:val="59"/>
    <w:qFormat/>
    <w:tblPr>
      <w:tblCellMar>
        <w:left w:w="0" w:type="dxa"/>
        <w:top w:w="0" w:type="dxa"/>
        <w:right w:w="0" w:type="dxa"/>
        <w:bottom w:w="0" w:type="dxa"/>
      </w:tblCellMar>
    </w:tblPr>
  </w:style>
  <w:style w:type="table" w:styleId="964" w:customStyle="1">
    <w:name w:val="Grid Table 4 - Accent 3"/>
    <w:uiPriority w:val="59"/>
    <w:qFormat/>
    <w:tblPr>
      <w:tblCellMar>
        <w:left w:w="0" w:type="dxa"/>
        <w:top w:w="0" w:type="dxa"/>
        <w:right w:w="0" w:type="dxa"/>
        <w:bottom w:w="0" w:type="dxa"/>
      </w:tblCellMar>
    </w:tblPr>
  </w:style>
  <w:style w:type="table" w:styleId="965" w:customStyle="1">
    <w:name w:val="Grid Table 4 - Accent 4"/>
    <w:uiPriority w:val="59"/>
    <w:qFormat/>
    <w:tblPr>
      <w:tblCellMar>
        <w:left w:w="0" w:type="dxa"/>
        <w:top w:w="0" w:type="dxa"/>
        <w:right w:w="0" w:type="dxa"/>
        <w:bottom w:w="0" w:type="dxa"/>
      </w:tblCellMar>
    </w:tblPr>
  </w:style>
  <w:style w:type="table" w:styleId="966" w:customStyle="1">
    <w:name w:val="Grid Table 4 - Accent 5"/>
    <w:uiPriority w:val="59"/>
    <w:qFormat/>
    <w:tblPr>
      <w:tblCellMar>
        <w:left w:w="0" w:type="dxa"/>
        <w:top w:w="0" w:type="dxa"/>
        <w:right w:w="0" w:type="dxa"/>
        <w:bottom w:w="0" w:type="dxa"/>
      </w:tblCellMar>
    </w:tblPr>
  </w:style>
  <w:style w:type="table" w:styleId="967" w:customStyle="1">
    <w:name w:val="Grid Table 4 - Accent 6"/>
    <w:uiPriority w:val="59"/>
    <w:qFormat/>
    <w:tblPr>
      <w:tblCellMar>
        <w:left w:w="0" w:type="dxa"/>
        <w:top w:w="0" w:type="dxa"/>
        <w:right w:w="0" w:type="dxa"/>
        <w:bottom w:w="0" w:type="dxa"/>
      </w:tblCellMar>
    </w:tblPr>
  </w:style>
  <w:style w:type="table" w:styleId="968" w:customStyle="1">
    <w:name w:val="Grid Table 5 Dark"/>
    <w:uiPriority w:val="99"/>
    <w:qFormat/>
    <w:tblPr>
      <w:tblCellMar>
        <w:left w:w="0" w:type="dxa"/>
        <w:top w:w="0" w:type="dxa"/>
        <w:right w:w="0" w:type="dxa"/>
        <w:bottom w:w="0" w:type="dxa"/>
      </w:tblCellMar>
    </w:tblPr>
  </w:style>
  <w:style w:type="table" w:styleId="969" w:customStyle="1">
    <w:name w:val="Grid Table 5 Dark- Accent 1"/>
    <w:uiPriority w:val="99"/>
    <w:qFormat/>
    <w:tblPr>
      <w:tblCellMar>
        <w:left w:w="0" w:type="dxa"/>
        <w:top w:w="0" w:type="dxa"/>
        <w:right w:w="0" w:type="dxa"/>
        <w:bottom w:w="0" w:type="dxa"/>
      </w:tblCellMar>
    </w:tblPr>
  </w:style>
  <w:style w:type="table" w:styleId="970" w:customStyle="1">
    <w:name w:val="Grid Table 5 Dark - Accent 2"/>
    <w:uiPriority w:val="99"/>
    <w:qFormat/>
    <w:tblPr>
      <w:tblCellMar>
        <w:left w:w="0" w:type="dxa"/>
        <w:top w:w="0" w:type="dxa"/>
        <w:right w:w="0" w:type="dxa"/>
        <w:bottom w:w="0" w:type="dxa"/>
      </w:tblCellMar>
    </w:tblPr>
  </w:style>
  <w:style w:type="table" w:styleId="971" w:customStyle="1">
    <w:name w:val="Grid Table 5 Dark - Accent 3"/>
    <w:uiPriority w:val="99"/>
    <w:qFormat/>
    <w:tblPr>
      <w:tblCellMar>
        <w:left w:w="0" w:type="dxa"/>
        <w:top w:w="0" w:type="dxa"/>
        <w:right w:w="0" w:type="dxa"/>
        <w:bottom w:w="0" w:type="dxa"/>
      </w:tblCellMar>
    </w:tblPr>
  </w:style>
  <w:style w:type="table" w:styleId="972" w:customStyle="1">
    <w:name w:val="Grid Table 5 Dark- Accent 4"/>
    <w:uiPriority w:val="99"/>
    <w:qFormat/>
    <w:tblPr>
      <w:tblCellMar>
        <w:left w:w="0" w:type="dxa"/>
        <w:top w:w="0" w:type="dxa"/>
        <w:right w:w="0" w:type="dxa"/>
        <w:bottom w:w="0" w:type="dxa"/>
      </w:tblCellMar>
    </w:tblPr>
  </w:style>
  <w:style w:type="table" w:styleId="973" w:customStyle="1">
    <w:name w:val="Grid Table 5 Dark - Accent 5"/>
    <w:uiPriority w:val="99"/>
    <w:qFormat/>
    <w:tblPr>
      <w:tblCellMar>
        <w:left w:w="0" w:type="dxa"/>
        <w:top w:w="0" w:type="dxa"/>
        <w:right w:w="0" w:type="dxa"/>
        <w:bottom w:w="0" w:type="dxa"/>
      </w:tblCellMar>
    </w:tblPr>
  </w:style>
  <w:style w:type="table" w:styleId="974" w:customStyle="1">
    <w:name w:val="Grid Table 5 Dark - Accent 6"/>
    <w:uiPriority w:val="99"/>
    <w:qFormat/>
    <w:tblPr>
      <w:tblCellMar>
        <w:left w:w="0" w:type="dxa"/>
        <w:top w:w="0" w:type="dxa"/>
        <w:right w:w="0" w:type="dxa"/>
        <w:bottom w:w="0" w:type="dxa"/>
      </w:tblCellMar>
    </w:tblPr>
  </w:style>
  <w:style w:type="table" w:styleId="975" w:customStyle="1">
    <w:name w:val="Grid Table 6 Colorful"/>
    <w:uiPriority w:val="99"/>
    <w:qFormat/>
    <w:tblPr>
      <w:tblCellMar>
        <w:left w:w="0" w:type="dxa"/>
        <w:top w:w="0" w:type="dxa"/>
        <w:right w:w="0" w:type="dxa"/>
        <w:bottom w:w="0" w:type="dxa"/>
      </w:tblCellMar>
    </w:tblPr>
  </w:style>
  <w:style w:type="table" w:styleId="976" w:customStyle="1">
    <w:name w:val="Grid Table 6 Colorful - Accent 1"/>
    <w:uiPriority w:val="99"/>
    <w:qFormat/>
    <w:tblPr>
      <w:tblCellMar>
        <w:left w:w="0" w:type="dxa"/>
        <w:top w:w="0" w:type="dxa"/>
        <w:right w:w="0" w:type="dxa"/>
        <w:bottom w:w="0" w:type="dxa"/>
      </w:tblCellMar>
    </w:tblPr>
  </w:style>
  <w:style w:type="table" w:styleId="977" w:customStyle="1">
    <w:name w:val="Grid Table 6 Colorful - Accent 2"/>
    <w:uiPriority w:val="99"/>
    <w:qFormat/>
    <w:tblPr>
      <w:tblCellMar>
        <w:left w:w="0" w:type="dxa"/>
        <w:top w:w="0" w:type="dxa"/>
        <w:right w:w="0" w:type="dxa"/>
        <w:bottom w:w="0" w:type="dxa"/>
      </w:tblCellMar>
    </w:tblPr>
  </w:style>
  <w:style w:type="table" w:styleId="978" w:customStyle="1">
    <w:name w:val="Grid Table 6 Colorful - Accent 3"/>
    <w:uiPriority w:val="99"/>
    <w:qFormat/>
    <w:tblPr>
      <w:tblCellMar>
        <w:left w:w="0" w:type="dxa"/>
        <w:top w:w="0" w:type="dxa"/>
        <w:right w:w="0" w:type="dxa"/>
        <w:bottom w:w="0" w:type="dxa"/>
      </w:tblCellMar>
    </w:tblPr>
  </w:style>
  <w:style w:type="table" w:styleId="979" w:customStyle="1">
    <w:name w:val="Grid Table 6 Colorful - Accent 4"/>
    <w:uiPriority w:val="99"/>
    <w:qFormat/>
    <w:tblPr>
      <w:tblCellMar>
        <w:left w:w="0" w:type="dxa"/>
        <w:top w:w="0" w:type="dxa"/>
        <w:right w:w="0" w:type="dxa"/>
        <w:bottom w:w="0" w:type="dxa"/>
      </w:tblCellMar>
    </w:tblPr>
  </w:style>
  <w:style w:type="table" w:styleId="980" w:customStyle="1">
    <w:name w:val="Grid Table 6 Colorful - Accent 5"/>
    <w:uiPriority w:val="99"/>
    <w:qFormat/>
    <w:tblPr>
      <w:tblCellMar>
        <w:left w:w="0" w:type="dxa"/>
        <w:top w:w="0" w:type="dxa"/>
        <w:right w:w="0" w:type="dxa"/>
        <w:bottom w:w="0" w:type="dxa"/>
      </w:tblCellMar>
    </w:tblPr>
  </w:style>
  <w:style w:type="table" w:styleId="981" w:customStyle="1">
    <w:name w:val="Grid Table 6 Colorful - Accent 6"/>
    <w:uiPriority w:val="99"/>
    <w:qFormat/>
    <w:tblPr>
      <w:tblCellMar>
        <w:left w:w="0" w:type="dxa"/>
        <w:top w:w="0" w:type="dxa"/>
        <w:right w:w="0" w:type="dxa"/>
        <w:bottom w:w="0" w:type="dxa"/>
      </w:tblCellMar>
    </w:tblPr>
  </w:style>
  <w:style w:type="table" w:styleId="982" w:customStyle="1">
    <w:name w:val="Grid Table 7 Colorful"/>
    <w:uiPriority w:val="99"/>
    <w:qFormat/>
    <w:tblPr>
      <w:tblCellMar>
        <w:left w:w="0" w:type="dxa"/>
        <w:top w:w="0" w:type="dxa"/>
        <w:right w:w="0" w:type="dxa"/>
        <w:bottom w:w="0" w:type="dxa"/>
      </w:tblCellMar>
    </w:tblPr>
  </w:style>
  <w:style w:type="table" w:styleId="983" w:customStyle="1">
    <w:name w:val="Grid Table 7 Colorful - Accent 1"/>
    <w:uiPriority w:val="99"/>
    <w:qFormat/>
    <w:tblPr>
      <w:tblCellMar>
        <w:left w:w="0" w:type="dxa"/>
        <w:top w:w="0" w:type="dxa"/>
        <w:right w:w="0" w:type="dxa"/>
        <w:bottom w:w="0" w:type="dxa"/>
      </w:tblCellMar>
    </w:tblPr>
  </w:style>
  <w:style w:type="table" w:styleId="984" w:customStyle="1">
    <w:name w:val="Grid Table 7 Colorful - Accent 2"/>
    <w:uiPriority w:val="99"/>
    <w:qFormat/>
    <w:tblPr>
      <w:tblCellMar>
        <w:left w:w="0" w:type="dxa"/>
        <w:top w:w="0" w:type="dxa"/>
        <w:right w:w="0" w:type="dxa"/>
        <w:bottom w:w="0" w:type="dxa"/>
      </w:tblCellMar>
    </w:tblPr>
  </w:style>
  <w:style w:type="table" w:styleId="985" w:customStyle="1">
    <w:name w:val="Grid Table 7 Colorful - Accent 3"/>
    <w:uiPriority w:val="99"/>
    <w:qFormat/>
    <w:tblPr>
      <w:tblCellMar>
        <w:left w:w="0" w:type="dxa"/>
        <w:top w:w="0" w:type="dxa"/>
        <w:right w:w="0" w:type="dxa"/>
        <w:bottom w:w="0" w:type="dxa"/>
      </w:tblCellMar>
    </w:tblPr>
  </w:style>
  <w:style w:type="table" w:styleId="986" w:customStyle="1">
    <w:name w:val="Grid Table 7 Colorful - Accent 4"/>
    <w:uiPriority w:val="99"/>
    <w:qFormat/>
    <w:tblPr>
      <w:tblCellMar>
        <w:left w:w="0" w:type="dxa"/>
        <w:top w:w="0" w:type="dxa"/>
        <w:right w:w="0" w:type="dxa"/>
        <w:bottom w:w="0" w:type="dxa"/>
      </w:tblCellMar>
    </w:tblPr>
  </w:style>
  <w:style w:type="table" w:styleId="987" w:customStyle="1">
    <w:name w:val="Grid Table 7 Colorful - Accent 5"/>
    <w:uiPriority w:val="99"/>
    <w:qFormat/>
    <w:tblPr>
      <w:tblCellMar>
        <w:left w:w="0" w:type="dxa"/>
        <w:top w:w="0" w:type="dxa"/>
        <w:right w:w="0" w:type="dxa"/>
        <w:bottom w:w="0" w:type="dxa"/>
      </w:tblCellMar>
    </w:tblPr>
  </w:style>
  <w:style w:type="table" w:styleId="988" w:customStyle="1">
    <w:name w:val="Grid Table 7 Colorful - Accent 6"/>
    <w:uiPriority w:val="99"/>
    <w:qFormat/>
    <w:tblPr>
      <w:tblCellMar>
        <w:left w:w="0" w:type="dxa"/>
        <w:top w:w="0" w:type="dxa"/>
        <w:right w:w="0" w:type="dxa"/>
        <w:bottom w:w="0" w:type="dxa"/>
      </w:tblCellMar>
    </w:tblPr>
  </w:style>
  <w:style w:type="table" w:styleId="989" w:customStyle="1">
    <w:name w:val="List Table 1 Light"/>
    <w:uiPriority w:val="99"/>
    <w:qFormat/>
    <w:tblPr>
      <w:tblCellMar>
        <w:left w:w="0" w:type="dxa"/>
        <w:top w:w="0" w:type="dxa"/>
        <w:right w:w="0" w:type="dxa"/>
        <w:bottom w:w="0" w:type="dxa"/>
      </w:tblCellMar>
    </w:tblPr>
  </w:style>
  <w:style w:type="table" w:styleId="990" w:customStyle="1">
    <w:name w:val="List Table 1 Light - Accent 1"/>
    <w:uiPriority w:val="99"/>
    <w:qFormat/>
    <w:tblPr>
      <w:tblCellMar>
        <w:left w:w="0" w:type="dxa"/>
        <w:top w:w="0" w:type="dxa"/>
        <w:right w:w="0" w:type="dxa"/>
        <w:bottom w:w="0" w:type="dxa"/>
      </w:tblCellMar>
    </w:tblPr>
  </w:style>
  <w:style w:type="table" w:styleId="991" w:customStyle="1">
    <w:name w:val="List Table 1 Light - Accent 2"/>
    <w:uiPriority w:val="99"/>
    <w:qFormat/>
    <w:tblPr>
      <w:tblCellMar>
        <w:left w:w="0" w:type="dxa"/>
        <w:top w:w="0" w:type="dxa"/>
        <w:right w:w="0" w:type="dxa"/>
        <w:bottom w:w="0" w:type="dxa"/>
      </w:tblCellMar>
    </w:tblPr>
  </w:style>
  <w:style w:type="table" w:styleId="992" w:customStyle="1">
    <w:name w:val="List Table 1 Light - Accent 3"/>
    <w:uiPriority w:val="99"/>
    <w:qFormat/>
    <w:tblPr>
      <w:tblCellMar>
        <w:left w:w="0" w:type="dxa"/>
        <w:top w:w="0" w:type="dxa"/>
        <w:right w:w="0" w:type="dxa"/>
        <w:bottom w:w="0" w:type="dxa"/>
      </w:tblCellMar>
    </w:tblPr>
  </w:style>
  <w:style w:type="table" w:styleId="993" w:customStyle="1">
    <w:name w:val="List Table 1 Light - Accent 4"/>
    <w:uiPriority w:val="99"/>
    <w:qFormat/>
    <w:tblPr>
      <w:tblCellMar>
        <w:left w:w="0" w:type="dxa"/>
        <w:top w:w="0" w:type="dxa"/>
        <w:right w:w="0" w:type="dxa"/>
        <w:bottom w:w="0" w:type="dxa"/>
      </w:tblCellMar>
    </w:tblPr>
  </w:style>
  <w:style w:type="table" w:styleId="994" w:customStyle="1">
    <w:name w:val="List Table 1 Light - Accent 5"/>
    <w:uiPriority w:val="99"/>
    <w:qFormat/>
    <w:tblPr>
      <w:tblCellMar>
        <w:left w:w="0" w:type="dxa"/>
        <w:top w:w="0" w:type="dxa"/>
        <w:right w:w="0" w:type="dxa"/>
        <w:bottom w:w="0" w:type="dxa"/>
      </w:tblCellMar>
    </w:tblPr>
  </w:style>
  <w:style w:type="table" w:styleId="995" w:customStyle="1">
    <w:name w:val="List Table 1 Light - Accent 6"/>
    <w:uiPriority w:val="99"/>
    <w:qFormat/>
    <w:tblPr>
      <w:tblCellMar>
        <w:left w:w="0" w:type="dxa"/>
        <w:top w:w="0" w:type="dxa"/>
        <w:right w:w="0" w:type="dxa"/>
        <w:bottom w:w="0" w:type="dxa"/>
      </w:tblCellMar>
    </w:tblPr>
  </w:style>
  <w:style w:type="table" w:styleId="996" w:customStyle="1">
    <w:name w:val="List Table 2"/>
    <w:uiPriority w:val="99"/>
    <w:qFormat/>
    <w:tblPr>
      <w:tblCellMar>
        <w:left w:w="0" w:type="dxa"/>
        <w:top w:w="0" w:type="dxa"/>
        <w:right w:w="0" w:type="dxa"/>
        <w:bottom w:w="0" w:type="dxa"/>
      </w:tblCellMar>
    </w:tblPr>
  </w:style>
  <w:style w:type="table" w:styleId="997" w:customStyle="1">
    <w:name w:val="List Table 2 - Accent 1"/>
    <w:uiPriority w:val="99"/>
    <w:qFormat/>
    <w:tblPr>
      <w:tblCellMar>
        <w:left w:w="0" w:type="dxa"/>
        <w:top w:w="0" w:type="dxa"/>
        <w:right w:w="0" w:type="dxa"/>
        <w:bottom w:w="0" w:type="dxa"/>
      </w:tblCellMar>
    </w:tblPr>
  </w:style>
  <w:style w:type="table" w:styleId="998" w:customStyle="1">
    <w:name w:val="List Table 2 - Accent 2"/>
    <w:uiPriority w:val="99"/>
    <w:qFormat/>
    <w:tblPr>
      <w:tblCellMar>
        <w:left w:w="0" w:type="dxa"/>
        <w:top w:w="0" w:type="dxa"/>
        <w:right w:w="0" w:type="dxa"/>
        <w:bottom w:w="0" w:type="dxa"/>
      </w:tblCellMar>
    </w:tblPr>
  </w:style>
  <w:style w:type="table" w:styleId="999" w:customStyle="1">
    <w:name w:val="List Table 2 - Accent 3"/>
    <w:uiPriority w:val="99"/>
    <w:qFormat/>
    <w:tblPr>
      <w:tblCellMar>
        <w:left w:w="0" w:type="dxa"/>
        <w:top w:w="0" w:type="dxa"/>
        <w:right w:w="0" w:type="dxa"/>
        <w:bottom w:w="0" w:type="dxa"/>
      </w:tblCellMar>
    </w:tblPr>
  </w:style>
  <w:style w:type="table" w:styleId="1000" w:customStyle="1">
    <w:name w:val="List Table 2 - Accent 4"/>
    <w:uiPriority w:val="99"/>
    <w:qFormat/>
    <w:tblPr>
      <w:tblCellMar>
        <w:left w:w="0" w:type="dxa"/>
        <w:top w:w="0" w:type="dxa"/>
        <w:right w:w="0" w:type="dxa"/>
        <w:bottom w:w="0" w:type="dxa"/>
      </w:tblCellMar>
    </w:tblPr>
  </w:style>
  <w:style w:type="table" w:styleId="1001" w:customStyle="1">
    <w:name w:val="List Table 2 - Accent 5"/>
    <w:uiPriority w:val="99"/>
    <w:qFormat/>
    <w:tblPr>
      <w:tblCellMar>
        <w:left w:w="0" w:type="dxa"/>
        <w:top w:w="0" w:type="dxa"/>
        <w:right w:w="0" w:type="dxa"/>
        <w:bottom w:w="0" w:type="dxa"/>
      </w:tblCellMar>
    </w:tblPr>
  </w:style>
  <w:style w:type="table" w:styleId="1002" w:customStyle="1">
    <w:name w:val="List Table 2 - Accent 6"/>
    <w:uiPriority w:val="99"/>
    <w:qFormat/>
    <w:tblPr>
      <w:tblCellMar>
        <w:left w:w="0" w:type="dxa"/>
        <w:top w:w="0" w:type="dxa"/>
        <w:right w:w="0" w:type="dxa"/>
        <w:bottom w:w="0" w:type="dxa"/>
      </w:tblCellMar>
    </w:tblPr>
  </w:style>
  <w:style w:type="table" w:styleId="1003" w:customStyle="1">
    <w:name w:val="List Table 3"/>
    <w:uiPriority w:val="99"/>
    <w:qFormat/>
    <w:tblPr>
      <w:tblCellMar>
        <w:left w:w="0" w:type="dxa"/>
        <w:top w:w="0" w:type="dxa"/>
        <w:right w:w="0" w:type="dxa"/>
        <w:bottom w:w="0" w:type="dxa"/>
      </w:tblCellMar>
    </w:tblPr>
  </w:style>
  <w:style w:type="table" w:styleId="1004" w:customStyle="1">
    <w:name w:val="List Table 3 - Accent 1"/>
    <w:uiPriority w:val="99"/>
    <w:qFormat/>
    <w:tblPr>
      <w:tblCellMar>
        <w:left w:w="0" w:type="dxa"/>
        <w:top w:w="0" w:type="dxa"/>
        <w:right w:w="0" w:type="dxa"/>
        <w:bottom w:w="0" w:type="dxa"/>
      </w:tblCellMar>
    </w:tblPr>
  </w:style>
  <w:style w:type="table" w:styleId="1005" w:customStyle="1">
    <w:name w:val="List Table 3 - Accent 2"/>
    <w:uiPriority w:val="99"/>
    <w:qFormat/>
    <w:tblPr>
      <w:tblCellMar>
        <w:left w:w="0" w:type="dxa"/>
        <w:top w:w="0" w:type="dxa"/>
        <w:right w:w="0" w:type="dxa"/>
        <w:bottom w:w="0" w:type="dxa"/>
      </w:tblCellMar>
    </w:tblPr>
  </w:style>
  <w:style w:type="table" w:styleId="1006" w:customStyle="1">
    <w:name w:val="List Table 3 - Accent 3"/>
    <w:uiPriority w:val="99"/>
    <w:qFormat/>
    <w:tblPr>
      <w:tblCellMar>
        <w:left w:w="0" w:type="dxa"/>
        <w:top w:w="0" w:type="dxa"/>
        <w:right w:w="0" w:type="dxa"/>
        <w:bottom w:w="0" w:type="dxa"/>
      </w:tblCellMar>
    </w:tblPr>
  </w:style>
  <w:style w:type="table" w:styleId="1007" w:customStyle="1">
    <w:name w:val="List Table 3 - Accent 4"/>
    <w:uiPriority w:val="99"/>
    <w:qFormat/>
    <w:tblPr>
      <w:tblCellMar>
        <w:left w:w="0" w:type="dxa"/>
        <w:top w:w="0" w:type="dxa"/>
        <w:right w:w="0" w:type="dxa"/>
        <w:bottom w:w="0" w:type="dxa"/>
      </w:tblCellMar>
    </w:tblPr>
  </w:style>
  <w:style w:type="table" w:styleId="1008" w:customStyle="1">
    <w:name w:val="List Table 3 - Accent 5"/>
    <w:uiPriority w:val="99"/>
    <w:qFormat/>
    <w:tblPr>
      <w:tblCellMar>
        <w:left w:w="0" w:type="dxa"/>
        <w:top w:w="0" w:type="dxa"/>
        <w:right w:w="0" w:type="dxa"/>
        <w:bottom w:w="0" w:type="dxa"/>
      </w:tblCellMar>
    </w:tblPr>
  </w:style>
  <w:style w:type="table" w:styleId="1009" w:customStyle="1">
    <w:name w:val="List Table 3 - Accent 6"/>
    <w:uiPriority w:val="99"/>
    <w:qFormat/>
    <w:tblPr>
      <w:tblCellMar>
        <w:left w:w="0" w:type="dxa"/>
        <w:top w:w="0" w:type="dxa"/>
        <w:right w:w="0" w:type="dxa"/>
        <w:bottom w:w="0" w:type="dxa"/>
      </w:tblCellMar>
    </w:tblPr>
  </w:style>
  <w:style w:type="table" w:styleId="1010" w:customStyle="1">
    <w:name w:val="List Table 4"/>
    <w:uiPriority w:val="99"/>
    <w:qFormat/>
    <w:tblPr>
      <w:tblCellMar>
        <w:left w:w="0" w:type="dxa"/>
        <w:top w:w="0" w:type="dxa"/>
        <w:right w:w="0" w:type="dxa"/>
        <w:bottom w:w="0" w:type="dxa"/>
      </w:tblCellMar>
    </w:tblPr>
  </w:style>
  <w:style w:type="table" w:styleId="1011" w:customStyle="1">
    <w:name w:val="List Table 4 - Accent 1"/>
    <w:uiPriority w:val="99"/>
    <w:qFormat/>
    <w:tblPr>
      <w:tblCellMar>
        <w:left w:w="0" w:type="dxa"/>
        <w:top w:w="0" w:type="dxa"/>
        <w:right w:w="0" w:type="dxa"/>
        <w:bottom w:w="0" w:type="dxa"/>
      </w:tblCellMar>
    </w:tblPr>
  </w:style>
  <w:style w:type="table" w:styleId="1012" w:customStyle="1">
    <w:name w:val="List Table 4 - Accent 2"/>
    <w:uiPriority w:val="99"/>
    <w:qFormat/>
    <w:tblPr>
      <w:tblCellMar>
        <w:left w:w="0" w:type="dxa"/>
        <w:top w:w="0" w:type="dxa"/>
        <w:right w:w="0" w:type="dxa"/>
        <w:bottom w:w="0" w:type="dxa"/>
      </w:tblCellMar>
    </w:tblPr>
  </w:style>
  <w:style w:type="table" w:styleId="1013" w:customStyle="1">
    <w:name w:val="List Table 4 - Accent 3"/>
    <w:uiPriority w:val="99"/>
    <w:qFormat/>
    <w:tblPr>
      <w:tblCellMar>
        <w:left w:w="0" w:type="dxa"/>
        <w:top w:w="0" w:type="dxa"/>
        <w:right w:w="0" w:type="dxa"/>
        <w:bottom w:w="0" w:type="dxa"/>
      </w:tblCellMar>
    </w:tblPr>
  </w:style>
  <w:style w:type="table" w:styleId="1014" w:customStyle="1">
    <w:name w:val="List Table 4 - Accent 4"/>
    <w:uiPriority w:val="99"/>
    <w:qFormat/>
    <w:tblPr>
      <w:tblCellMar>
        <w:left w:w="0" w:type="dxa"/>
        <w:top w:w="0" w:type="dxa"/>
        <w:right w:w="0" w:type="dxa"/>
        <w:bottom w:w="0" w:type="dxa"/>
      </w:tblCellMar>
    </w:tblPr>
  </w:style>
  <w:style w:type="table" w:styleId="1015" w:customStyle="1">
    <w:name w:val="List Table 4 - Accent 5"/>
    <w:uiPriority w:val="99"/>
    <w:qFormat/>
    <w:tblPr>
      <w:tblCellMar>
        <w:left w:w="0" w:type="dxa"/>
        <w:top w:w="0" w:type="dxa"/>
        <w:right w:w="0" w:type="dxa"/>
        <w:bottom w:w="0" w:type="dxa"/>
      </w:tblCellMar>
    </w:tblPr>
  </w:style>
  <w:style w:type="table" w:styleId="1016" w:customStyle="1">
    <w:name w:val="List Table 4 - Accent 6"/>
    <w:uiPriority w:val="99"/>
    <w:qFormat/>
    <w:tblPr>
      <w:tblCellMar>
        <w:left w:w="0" w:type="dxa"/>
        <w:top w:w="0" w:type="dxa"/>
        <w:right w:w="0" w:type="dxa"/>
        <w:bottom w:w="0" w:type="dxa"/>
      </w:tblCellMar>
    </w:tblPr>
  </w:style>
  <w:style w:type="table" w:styleId="1017" w:customStyle="1">
    <w:name w:val="List Table 5 Dark"/>
    <w:uiPriority w:val="99"/>
    <w:qFormat/>
    <w:tblPr>
      <w:tblCellMar>
        <w:left w:w="0" w:type="dxa"/>
        <w:top w:w="0" w:type="dxa"/>
        <w:right w:w="0" w:type="dxa"/>
        <w:bottom w:w="0" w:type="dxa"/>
      </w:tblCellMar>
    </w:tblPr>
  </w:style>
  <w:style w:type="table" w:styleId="1018" w:customStyle="1">
    <w:name w:val="List Table 5 Dark - Accent 1"/>
    <w:uiPriority w:val="99"/>
    <w:qFormat/>
    <w:tblPr>
      <w:tblCellMar>
        <w:left w:w="0" w:type="dxa"/>
        <w:top w:w="0" w:type="dxa"/>
        <w:right w:w="0" w:type="dxa"/>
        <w:bottom w:w="0" w:type="dxa"/>
      </w:tblCellMar>
    </w:tblPr>
  </w:style>
  <w:style w:type="table" w:styleId="1019" w:customStyle="1">
    <w:name w:val="List Table 5 Dark - Accent 2"/>
    <w:uiPriority w:val="99"/>
    <w:qFormat/>
    <w:tblPr>
      <w:tblCellMar>
        <w:left w:w="0" w:type="dxa"/>
        <w:top w:w="0" w:type="dxa"/>
        <w:right w:w="0" w:type="dxa"/>
        <w:bottom w:w="0" w:type="dxa"/>
      </w:tblCellMar>
    </w:tblPr>
  </w:style>
  <w:style w:type="table" w:styleId="1020" w:customStyle="1">
    <w:name w:val="List Table 5 Dark - Accent 3"/>
    <w:uiPriority w:val="99"/>
    <w:qFormat/>
    <w:tblPr>
      <w:tblCellMar>
        <w:left w:w="0" w:type="dxa"/>
        <w:top w:w="0" w:type="dxa"/>
        <w:right w:w="0" w:type="dxa"/>
        <w:bottom w:w="0" w:type="dxa"/>
      </w:tblCellMar>
    </w:tblPr>
  </w:style>
  <w:style w:type="table" w:styleId="1021" w:customStyle="1">
    <w:name w:val="List Table 5 Dark - Accent 4"/>
    <w:uiPriority w:val="99"/>
    <w:qFormat/>
    <w:tblPr>
      <w:tblCellMar>
        <w:left w:w="0" w:type="dxa"/>
        <w:top w:w="0" w:type="dxa"/>
        <w:right w:w="0" w:type="dxa"/>
        <w:bottom w:w="0" w:type="dxa"/>
      </w:tblCellMar>
    </w:tblPr>
  </w:style>
  <w:style w:type="table" w:styleId="1022" w:customStyle="1">
    <w:name w:val="List Table 5 Dark - Accent 5"/>
    <w:uiPriority w:val="99"/>
    <w:qFormat/>
    <w:tblPr>
      <w:tblCellMar>
        <w:left w:w="0" w:type="dxa"/>
        <w:top w:w="0" w:type="dxa"/>
        <w:right w:w="0" w:type="dxa"/>
        <w:bottom w:w="0" w:type="dxa"/>
      </w:tblCellMar>
    </w:tblPr>
  </w:style>
  <w:style w:type="table" w:styleId="1023" w:customStyle="1">
    <w:name w:val="List Table 5 Dark - Accent 6"/>
    <w:uiPriority w:val="99"/>
    <w:qFormat/>
    <w:tblPr>
      <w:tblCellMar>
        <w:left w:w="0" w:type="dxa"/>
        <w:top w:w="0" w:type="dxa"/>
        <w:right w:w="0" w:type="dxa"/>
        <w:bottom w:w="0" w:type="dxa"/>
      </w:tblCellMar>
    </w:tblPr>
  </w:style>
  <w:style w:type="table" w:styleId="1024" w:customStyle="1">
    <w:name w:val="List Table 6 Colorful"/>
    <w:uiPriority w:val="99"/>
    <w:qFormat/>
    <w:tblPr>
      <w:tblCellMar>
        <w:left w:w="0" w:type="dxa"/>
        <w:top w:w="0" w:type="dxa"/>
        <w:right w:w="0" w:type="dxa"/>
        <w:bottom w:w="0" w:type="dxa"/>
      </w:tblCellMar>
    </w:tblPr>
  </w:style>
  <w:style w:type="table" w:styleId="1025" w:customStyle="1">
    <w:name w:val="List Table 6 Colorful - Accent 1"/>
    <w:uiPriority w:val="99"/>
    <w:qFormat/>
    <w:tblPr>
      <w:tblCellMar>
        <w:left w:w="0" w:type="dxa"/>
        <w:top w:w="0" w:type="dxa"/>
        <w:right w:w="0" w:type="dxa"/>
        <w:bottom w:w="0" w:type="dxa"/>
      </w:tblCellMar>
    </w:tblPr>
  </w:style>
  <w:style w:type="table" w:styleId="1026" w:customStyle="1">
    <w:name w:val="List Table 6 Colorful - Accent 2"/>
    <w:uiPriority w:val="99"/>
    <w:qFormat/>
    <w:tblPr>
      <w:tblCellMar>
        <w:left w:w="0" w:type="dxa"/>
        <w:top w:w="0" w:type="dxa"/>
        <w:right w:w="0" w:type="dxa"/>
        <w:bottom w:w="0" w:type="dxa"/>
      </w:tblCellMar>
    </w:tblPr>
  </w:style>
  <w:style w:type="table" w:styleId="1027" w:customStyle="1">
    <w:name w:val="List Table 6 Colorful - Accent 3"/>
    <w:uiPriority w:val="99"/>
    <w:qFormat/>
    <w:tblPr>
      <w:tblCellMar>
        <w:left w:w="0" w:type="dxa"/>
        <w:top w:w="0" w:type="dxa"/>
        <w:right w:w="0" w:type="dxa"/>
        <w:bottom w:w="0" w:type="dxa"/>
      </w:tblCellMar>
    </w:tblPr>
  </w:style>
  <w:style w:type="table" w:styleId="1028" w:customStyle="1">
    <w:name w:val="List Table 6 Colorful - Accent 4"/>
    <w:uiPriority w:val="99"/>
    <w:qFormat/>
    <w:tblPr>
      <w:tblCellMar>
        <w:left w:w="0" w:type="dxa"/>
        <w:top w:w="0" w:type="dxa"/>
        <w:right w:w="0" w:type="dxa"/>
        <w:bottom w:w="0" w:type="dxa"/>
      </w:tblCellMar>
    </w:tblPr>
  </w:style>
  <w:style w:type="table" w:styleId="1029" w:customStyle="1">
    <w:name w:val="List Table 6 Colorful - Accent 5"/>
    <w:uiPriority w:val="99"/>
    <w:qFormat/>
    <w:tblPr>
      <w:tblCellMar>
        <w:left w:w="0" w:type="dxa"/>
        <w:top w:w="0" w:type="dxa"/>
        <w:right w:w="0" w:type="dxa"/>
        <w:bottom w:w="0" w:type="dxa"/>
      </w:tblCellMar>
    </w:tblPr>
  </w:style>
  <w:style w:type="table" w:styleId="1030" w:customStyle="1">
    <w:name w:val="List Table 6 Colorful - Accent 6"/>
    <w:uiPriority w:val="99"/>
    <w:qFormat/>
    <w:tblPr>
      <w:tblCellMar>
        <w:left w:w="0" w:type="dxa"/>
        <w:top w:w="0" w:type="dxa"/>
        <w:right w:w="0" w:type="dxa"/>
        <w:bottom w:w="0" w:type="dxa"/>
      </w:tblCellMar>
    </w:tblPr>
  </w:style>
  <w:style w:type="table" w:styleId="1031" w:customStyle="1">
    <w:name w:val="List Table 7 Colorful"/>
    <w:uiPriority w:val="99"/>
    <w:qFormat/>
    <w:tblPr>
      <w:tblCellMar>
        <w:left w:w="0" w:type="dxa"/>
        <w:top w:w="0" w:type="dxa"/>
        <w:right w:w="0" w:type="dxa"/>
        <w:bottom w:w="0" w:type="dxa"/>
      </w:tblCellMar>
    </w:tblPr>
  </w:style>
  <w:style w:type="table" w:styleId="1032" w:customStyle="1">
    <w:name w:val="List Table 7 Colorful - Accent 1"/>
    <w:uiPriority w:val="99"/>
    <w:qFormat/>
    <w:tblPr>
      <w:tblCellMar>
        <w:left w:w="0" w:type="dxa"/>
        <w:top w:w="0" w:type="dxa"/>
        <w:right w:w="0" w:type="dxa"/>
        <w:bottom w:w="0" w:type="dxa"/>
      </w:tblCellMar>
    </w:tblPr>
  </w:style>
  <w:style w:type="table" w:styleId="1033" w:customStyle="1">
    <w:name w:val="List Table 7 Colorful - Accent 2"/>
    <w:uiPriority w:val="99"/>
    <w:qFormat/>
    <w:tblPr>
      <w:tblCellMar>
        <w:left w:w="0" w:type="dxa"/>
        <w:top w:w="0" w:type="dxa"/>
        <w:right w:w="0" w:type="dxa"/>
        <w:bottom w:w="0" w:type="dxa"/>
      </w:tblCellMar>
    </w:tblPr>
  </w:style>
  <w:style w:type="table" w:styleId="1034" w:customStyle="1">
    <w:name w:val="List Table 7 Colorful - Accent 3"/>
    <w:uiPriority w:val="99"/>
    <w:qFormat/>
    <w:tblPr>
      <w:tblCellMar>
        <w:left w:w="0" w:type="dxa"/>
        <w:top w:w="0" w:type="dxa"/>
        <w:right w:w="0" w:type="dxa"/>
        <w:bottom w:w="0" w:type="dxa"/>
      </w:tblCellMar>
    </w:tblPr>
  </w:style>
  <w:style w:type="table" w:styleId="1035" w:customStyle="1">
    <w:name w:val="List Table 7 Colorful - Accent 4"/>
    <w:uiPriority w:val="99"/>
    <w:qFormat/>
    <w:tblPr>
      <w:tblCellMar>
        <w:left w:w="0" w:type="dxa"/>
        <w:top w:w="0" w:type="dxa"/>
        <w:right w:w="0" w:type="dxa"/>
        <w:bottom w:w="0" w:type="dxa"/>
      </w:tblCellMar>
    </w:tblPr>
  </w:style>
  <w:style w:type="table" w:styleId="1036" w:customStyle="1">
    <w:name w:val="List Table 7 Colorful - Accent 5"/>
    <w:uiPriority w:val="99"/>
    <w:qFormat/>
    <w:tblPr>
      <w:tblCellMar>
        <w:left w:w="0" w:type="dxa"/>
        <w:top w:w="0" w:type="dxa"/>
        <w:right w:w="0" w:type="dxa"/>
        <w:bottom w:w="0" w:type="dxa"/>
      </w:tblCellMar>
    </w:tblPr>
  </w:style>
  <w:style w:type="table" w:styleId="1037" w:customStyle="1">
    <w:name w:val="List Table 7 Colorful - Accent 6"/>
    <w:uiPriority w:val="99"/>
    <w:qFormat/>
    <w:tblPr>
      <w:tblCellMar>
        <w:left w:w="0" w:type="dxa"/>
        <w:top w:w="0" w:type="dxa"/>
        <w:right w:w="0" w:type="dxa"/>
        <w:bottom w:w="0" w:type="dxa"/>
      </w:tblCellMar>
    </w:tblPr>
  </w:style>
  <w:style w:type="table" w:styleId="1038" w:customStyle="1">
    <w:name w:val="Lined - Accent"/>
    <w:uiPriority w:val="99"/>
    <w:qFormat/>
    <w:rPr>
      <w:color w:val="404040"/>
    </w:rPr>
    <w:tblPr>
      <w:tblCellMar>
        <w:left w:w="0" w:type="dxa"/>
        <w:top w:w="0" w:type="dxa"/>
        <w:right w:w="0" w:type="dxa"/>
        <w:bottom w:w="0" w:type="dxa"/>
      </w:tblCellMar>
    </w:tblPr>
  </w:style>
  <w:style w:type="table" w:styleId="1039" w:customStyle="1">
    <w:name w:val="Lined - Accent 1"/>
    <w:uiPriority w:val="99"/>
    <w:qFormat/>
    <w:rPr>
      <w:color w:val="404040"/>
    </w:rPr>
    <w:tblPr>
      <w:tblCellMar>
        <w:left w:w="0" w:type="dxa"/>
        <w:top w:w="0" w:type="dxa"/>
        <w:right w:w="0" w:type="dxa"/>
        <w:bottom w:w="0" w:type="dxa"/>
      </w:tblCellMar>
    </w:tblPr>
  </w:style>
  <w:style w:type="table" w:styleId="1040" w:customStyle="1">
    <w:name w:val="Lined - Accent 2"/>
    <w:uiPriority w:val="99"/>
    <w:qFormat/>
    <w:rPr>
      <w:color w:val="404040"/>
    </w:rPr>
    <w:tblPr>
      <w:tblCellMar>
        <w:left w:w="0" w:type="dxa"/>
        <w:top w:w="0" w:type="dxa"/>
        <w:right w:w="0" w:type="dxa"/>
        <w:bottom w:w="0" w:type="dxa"/>
      </w:tblCellMar>
    </w:tblPr>
  </w:style>
  <w:style w:type="table" w:styleId="1041" w:customStyle="1">
    <w:name w:val="Lined - Accent 3"/>
    <w:uiPriority w:val="99"/>
    <w:qFormat/>
    <w:rPr>
      <w:color w:val="404040"/>
    </w:rPr>
    <w:tblPr>
      <w:tblCellMar>
        <w:left w:w="0" w:type="dxa"/>
        <w:top w:w="0" w:type="dxa"/>
        <w:right w:w="0" w:type="dxa"/>
        <w:bottom w:w="0" w:type="dxa"/>
      </w:tblCellMar>
    </w:tblPr>
  </w:style>
  <w:style w:type="table" w:styleId="1042" w:customStyle="1">
    <w:name w:val="Lined - Accent 4"/>
    <w:uiPriority w:val="99"/>
    <w:qFormat/>
    <w:rPr>
      <w:color w:val="404040"/>
    </w:rPr>
    <w:tblPr>
      <w:tblCellMar>
        <w:left w:w="0" w:type="dxa"/>
        <w:top w:w="0" w:type="dxa"/>
        <w:right w:w="0" w:type="dxa"/>
        <w:bottom w:w="0" w:type="dxa"/>
      </w:tblCellMar>
    </w:tblPr>
  </w:style>
  <w:style w:type="table" w:styleId="1043" w:customStyle="1">
    <w:name w:val="Lined - Accent 5"/>
    <w:uiPriority w:val="99"/>
    <w:qFormat/>
    <w:rPr>
      <w:color w:val="404040"/>
    </w:rPr>
    <w:tblPr>
      <w:tblCellMar>
        <w:left w:w="0" w:type="dxa"/>
        <w:top w:w="0" w:type="dxa"/>
        <w:right w:w="0" w:type="dxa"/>
        <w:bottom w:w="0" w:type="dxa"/>
      </w:tblCellMar>
    </w:tblPr>
  </w:style>
  <w:style w:type="table" w:styleId="1044" w:customStyle="1">
    <w:name w:val="Lined - Accent 6"/>
    <w:uiPriority w:val="99"/>
    <w:qFormat/>
    <w:rPr>
      <w:color w:val="404040"/>
    </w:rPr>
    <w:tblPr>
      <w:tblCellMar>
        <w:left w:w="0" w:type="dxa"/>
        <w:top w:w="0" w:type="dxa"/>
        <w:right w:w="0" w:type="dxa"/>
        <w:bottom w:w="0" w:type="dxa"/>
      </w:tblCellMar>
    </w:tblPr>
  </w:style>
  <w:style w:type="table" w:styleId="1045" w:customStyle="1">
    <w:name w:val="Bordered &amp; Lined - Accent"/>
    <w:uiPriority w:val="99"/>
    <w:qFormat/>
    <w:rPr>
      <w:color w:val="404040"/>
    </w:rPr>
    <w:tblPr>
      <w:tblCellMar>
        <w:left w:w="0" w:type="dxa"/>
        <w:top w:w="0" w:type="dxa"/>
        <w:right w:w="0" w:type="dxa"/>
        <w:bottom w:w="0" w:type="dxa"/>
      </w:tblCellMar>
    </w:tblPr>
  </w:style>
  <w:style w:type="table" w:styleId="1046" w:customStyle="1">
    <w:name w:val="Bordered &amp; Lined - Accent 1"/>
    <w:uiPriority w:val="99"/>
    <w:qFormat/>
    <w:rPr>
      <w:color w:val="404040"/>
    </w:rPr>
    <w:tblPr>
      <w:tblCellMar>
        <w:left w:w="0" w:type="dxa"/>
        <w:top w:w="0" w:type="dxa"/>
        <w:right w:w="0" w:type="dxa"/>
        <w:bottom w:w="0" w:type="dxa"/>
      </w:tblCellMar>
    </w:tblPr>
  </w:style>
  <w:style w:type="table" w:styleId="1047" w:customStyle="1">
    <w:name w:val="Bordered &amp; Lined - Accent 2"/>
    <w:uiPriority w:val="99"/>
    <w:qFormat/>
    <w:rPr>
      <w:color w:val="404040"/>
    </w:rPr>
    <w:tblPr>
      <w:tblCellMar>
        <w:left w:w="0" w:type="dxa"/>
        <w:top w:w="0" w:type="dxa"/>
        <w:right w:w="0" w:type="dxa"/>
        <w:bottom w:w="0" w:type="dxa"/>
      </w:tblCellMar>
    </w:tblPr>
  </w:style>
  <w:style w:type="table" w:styleId="1048" w:customStyle="1">
    <w:name w:val="Bordered &amp; Lined - Accent 3"/>
    <w:uiPriority w:val="99"/>
    <w:qFormat/>
    <w:rPr>
      <w:color w:val="404040"/>
    </w:rPr>
    <w:tblPr>
      <w:tblCellMar>
        <w:left w:w="0" w:type="dxa"/>
        <w:top w:w="0" w:type="dxa"/>
        <w:right w:w="0" w:type="dxa"/>
        <w:bottom w:w="0" w:type="dxa"/>
      </w:tblCellMar>
    </w:tblPr>
  </w:style>
  <w:style w:type="table" w:styleId="1049" w:customStyle="1">
    <w:name w:val="Bordered &amp; Lined - Accent 4"/>
    <w:uiPriority w:val="99"/>
    <w:qFormat/>
    <w:rPr>
      <w:color w:val="404040"/>
    </w:rPr>
    <w:tblPr>
      <w:tblCellMar>
        <w:left w:w="0" w:type="dxa"/>
        <w:top w:w="0" w:type="dxa"/>
        <w:right w:w="0" w:type="dxa"/>
        <w:bottom w:w="0" w:type="dxa"/>
      </w:tblCellMar>
    </w:tblPr>
  </w:style>
  <w:style w:type="table" w:styleId="1050" w:customStyle="1">
    <w:name w:val="Bordered &amp; Lined - Accent 5"/>
    <w:uiPriority w:val="99"/>
    <w:qFormat/>
    <w:rPr>
      <w:color w:val="404040"/>
    </w:rPr>
    <w:tblPr>
      <w:tblCellMar>
        <w:left w:w="0" w:type="dxa"/>
        <w:top w:w="0" w:type="dxa"/>
        <w:right w:w="0" w:type="dxa"/>
        <w:bottom w:w="0" w:type="dxa"/>
      </w:tblCellMar>
    </w:tblPr>
  </w:style>
  <w:style w:type="table" w:styleId="1051" w:customStyle="1">
    <w:name w:val="Bordered &amp; Lined - Accent 6"/>
    <w:uiPriority w:val="99"/>
    <w:qFormat/>
    <w:rPr>
      <w:color w:val="404040"/>
    </w:rPr>
    <w:tblPr>
      <w:tblCellMar>
        <w:left w:w="0" w:type="dxa"/>
        <w:top w:w="0" w:type="dxa"/>
        <w:right w:w="0" w:type="dxa"/>
        <w:bottom w:w="0" w:type="dxa"/>
      </w:tblCellMar>
    </w:tblPr>
  </w:style>
  <w:style w:type="table" w:styleId="1052" w:customStyle="1">
    <w:name w:val="Bordered"/>
    <w:uiPriority w:val="99"/>
    <w:qFormat/>
    <w:tblPr>
      <w:tblCellMar>
        <w:left w:w="0" w:type="dxa"/>
        <w:top w:w="0" w:type="dxa"/>
        <w:right w:w="0" w:type="dxa"/>
        <w:bottom w:w="0" w:type="dxa"/>
      </w:tblCellMar>
    </w:tblPr>
  </w:style>
  <w:style w:type="table" w:styleId="1053" w:customStyle="1">
    <w:name w:val="Bordered - Accent 1"/>
    <w:uiPriority w:val="99"/>
    <w:qFormat/>
    <w:tblPr>
      <w:tblCellMar>
        <w:left w:w="0" w:type="dxa"/>
        <w:top w:w="0" w:type="dxa"/>
        <w:right w:w="0" w:type="dxa"/>
        <w:bottom w:w="0" w:type="dxa"/>
      </w:tblCellMar>
    </w:tblPr>
  </w:style>
  <w:style w:type="table" w:styleId="1054" w:customStyle="1">
    <w:name w:val="Bordered - Accent 2"/>
    <w:uiPriority w:val="99"/>
    <w:qFormat/>
    <w:tblPr>
      <w:tblCellMar>
        <w:left w:w="0" w:type="dxa"/>
        <w:top w:w="0" w:type="dxa"/>
        <w:right w:w="0" w:type="dxa"/>
        <w:bottom w:w="0" w:type="dxa"/>
      </w:tblCellMar>
    </w:tblPr>
  </w:style>
  <w:style w:type="table" w:styleId="1055" w:customStyle="1">
    <w:name w:val="Bordered - Accent 3"/>
    <w:uiPriority w:val="99"/>
    <w:qFormat/>
    <w:tblPr>
      <w:tblCellMar>
        <w:left w:w="0" w:type="dxa"/>
        <w:top w:w="0" w:type="dxa"/>
        <w:right w:w="0" w:type="dxa"/>
        <w:bottom w:w="0" w:type="dxa"/>
      </w:tblCellMar>
    </w:tblPr>
  </w:style>
  <w:style w:type="table" w:styleId="1056" w:customStyle="1">
    <w:name w:val="Bordered - Accent 4"/>
    <w:uiPriority w:val="99"/>
    <w:qFormat/>
    <w:tblPr>
      <w:tblCellMar>
        <w:left w:w="0" w:type="dxa"/>
        <w:top w:w="0" w:type="dxa"/>
        <w:right w:w="0" w:type="dxa"/>
        <w:bottom w:w="0" w:type="dxa"/>
      </w:tblCellMar>
    </w:tblPr>
  </w:style>
  <w:style w:type="table" w:styleId="1057" w:customStyle="1">
    <w:name w:val="Bordered - Accent 5"/>
    <w:uiPriority w:val="99"/>
    <w:qFormat/>
    <w:tblPr>
      <w:tblCellMar>
        <w:left w:w="0" w:type="dxa"/>
        <w:top w:w="0" w:type="dxa"/>
        <w:right w:w="0" w:type="dxa"/>
        <w:bottom w:w="0" w:type="dxa"/>
      </w:tblCellMar>
    </w:tblPr>
  </w:style>
  <w:style w:type="table" w:styleId="1058" w:customStyle="1">
    <w:name w:val="Bordered - Accent 6"/>
    <w:uiPriority w:val="99"/>
    <w:qFormat/>
    <w:tblPr>
      <w:tblCellMar>
        <w:left w:w="0" w:type="dxa"/>
        <w:top w:w="0" w:type="dxa"/>
        <w:right w:w="0" w:type="dxa"/>
        <w:bottom w:w="0" w:type="dxa"/>
      </w:tblCellMar>
    </w:tblPr>
  </w:style>
  <w:style w:type="paragraph" w:styleId="1059" w:customStyle="1">
    <w:name w:val="TOC 标题1"/>
    <w:uiPriority w:val="39"/>
    <w:unhideWhenUsed/>
    <w:qFormat/>
    <w:rPr>
      <w:rFonts w:ascii="Calibri" w:hAnsi="Calibri" w:eastAsia="宋体" w:cs="Times New Roman"/>
      <w:lang w:val="en-US" w:eastAsia="zh-CN" w:bidi="ar-SA"/>
    </w:rPr>
  </w:style>
  <w:style w:type="paragraph" w:styleId="1060" w:customStyle="1">
    <w:name w:val="标题 11"/>
    <w:basedOn w:val="808"/>
    <w:next w:val="808"/>
    <w:link w:val="1061"/>
    <w:uiPriority w:val="0"/>
    <w:qFormat/>
    <w:pPr>
      <w:jc w:val="center"/>
      <w:keepNext/>
      <w:outlineLvl w:val="0"/>
    </w:pPr>
    <w:rPr>
      <w:rFonts w:ascii="楷体_GB2312" w:hAnsi="Times New Roman" w:eastAsia="楷体_GB2312"/>
      <w:sz w:val="28"/>
      <w:szCs w:val="28"/>
    </w:rPr>
  </w:style>
  <w:style w:type="character" w:styleId="1061" w:customStyle="1">
    <w:name w:val="标题 1 Char"/>
    <w:link w:val="1060"/>
    <w:uiPriority w:val="0"/>
    <w:qFormat/>
    <w:rPr>
      <w:rFonts w:ascii="楷体_GB2312" w:hAnsi="Times New Roman" w:eastAsia="楷体_GB2312" w:cs="Times New Roman"/>
      <w:sz w:val="28"/>
      <w:szCs w:val="28"/>
    </w:rPr>
  </w:style>
  <w:style w:type="paragraph" w:styleId="1062" w:customStyle="1">
    <w:name w:val="标题 21"/>
    <w:basedOn w:val="808"/>
    <w:next w:val="1063"/>
    <w:link w:val="10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3" w:customStyle="1">
    <w:name w:val="正文缩进1"/>
    <w:basedOn w:val="808"/>
    <w:link w:val="1065"/>
    <w:uiPriority w:val="0"/>
    <w:qFormat/>
    <w:pPr>
      <w:ind w:firstLine="420"/>
    </w:pPr>
    <w:rPr>
      <w:szCs w:val="21"/>
    </w:rPr>
  </w:style>
  <w:style w:type="character" w:styleId="1064" w:customStyle="1">
    <w:name w:val="标题 2 Char"/>
    <w:link w:val="1062"/>
    <w:uiPriority w:val="0"/>
    <w:qFormat/>
    <w:rPr>
      <w:rFonts w:ascii="Arial" w:hAnsi="Arial" w:eastAsia="幼圆" w:cs="Arial"/>
      <w:b/>
      <w:bCs/>
      <w:sz w:val="44"/>
      <w:szCs w:val="44"/>
    </w:rPr>
  </w:style>
  <w:style w:type="character" w:styleId="1065" w:customStyle="1">
    <w:name w:val="正文缩进 Char"/>
    <w:link w:val="1063"/>
    <w:uiPriority w:val="0"/>
    <w:qFormat/>
    <w:rPr>
      <w:szCs w:val="21"/>
    </w:rPr>
  </w:style>
  <w:style w:type="paragraph" w:styleId="1066" w:customStyle="1">
    <w:name w:val="标题 31"/>
    <w:basedOn w:val="808"/>
    <w:next w:val="1063"/>
    <w:link w:val="1067"/>
    <w:uiPriority w:val="0"/>
    <w:qFormat/>
    <w:pPr>
      <w:keepLines/>
      <w:keepNext/>
      <w:spacing w:before="260" w:after="260" w:line="416" w:lineRule="auto"/>
      <w:outlineLvl w:val="2"/>
    </w:pPr>
    <w:rPr>
      <w:rFonts w:ascii="Times New Roman" w:hAnsi="Times New Roman"/>
      <w:b/>
      <w:bCs/>
      <w:sz w:val="32"/>
      <w:szCs w:val="32"/>
    </w:rPr>
  </w:style>
  <w:style w:type="character" w:styleId="1067" w:customStyle="1">
    <w:name w:val="标题 3 Char"/>
    <w:link w:val="1066"/>
    <w:uiPriority w:val="0"/>
    <w:qFormat/>
    <w:rPr>
      <w:rFonts w:ascii="Times New Roman" w:hAnsi="Times New Roman" w:eastAsia="宋体" w:cs="Times New Roman"/>
      <w:b/>
      <w:bCs/>
      <w:sz w:val="32"/>
      <w:szCs w:val="32"/>
    </w:rPr>
  </w:style>
  <w:style w:type="character" w:styleId="1068" w:customStyle="1">
    <w:name w:val="标题 4 Char"/>
    <w:link w:val="820"/>
    <w:uiPriority w:val="0"/>
    <w:qFormat/>
    <w:rPr>
      <w:rFonts w:ascii="Arial" w:hAnsi="Arial" w:eastAsia="黑体" w:cs="Arial"/>
      <w:b/>
      <w:bCs/>
      <w:sz w:val="28"/>
      <w:szCs w:val="28"/>
    </w:rPr>
  </w:style>
  <w:style w:type="paragraph" w:styleId="1069" w:customStyle="1">
    <w:name w:val="标题 51"/>
    <w:basedOn w:val="808"/>
    <w:next w:val="1063"/>
    <w:link w:val="1070"/>
    <w:uiPriority w:val="0"/>
    <w:qFormat/>
    <w:pPr>
      <w:keepNext/>
      <w:outlineLvl w:val="4"/>
    </w:pPr>
    <w:rPr>
      <w:rFonts w:ascii="宋体" w:hAnsi="Times New Roman"/>
      <w:color w:val="000000"/>
      <w:sz w:val="28"/>
      <w:szCs w:val="28"/>
    </w:rPr>
  </w:style>
  <w:style w:type="character" w:styleId="1070" w:customStyle="1">
    <w:name w:val="标题 5 Char"/>
    <w:link w:val="1069"/>
    <w:uiPriority w:val="0"/>
    <w:qFormat/>
    <w:rPr>
      <w:rFonts w:ascii="宋体" w:hAnsi="Times New Roman" w:eastAsia="宋体" w:cs="Times New Roman"/>
      <w:color w:val="000000"/>
      <w:sz w:val="28"/>
      <w:szCs w:val="28"/>
    </w:rPr>
  </w:style>
  <w:style w:type="paragraph" w:styleId="1071" w:customStyle="1">
    <w:name w:val="标题 61"/>
    <w:basedOn w:val="808"/>
    <w:next w:val="808"/>
    <w:link w:val="107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72" w:customStyle="1">
    <w:name w:val="标题 6 Char"/>
    <w:link w:val="1071"/>
    <w:uiPriority w:val="0"/>
    <w:qFormat/>
    <w:rPr>
      <w:rFonts w:ascii="Arial" w:hAnsi="Arial" w:eastAsia="黑体" w:cs="Times New Roman"/>
      <w:b/>
      <w:bCs/>
      <w:sz w:val="24"/>
      <w:szCs w:val="24"/>
    </w:rPr>
  </w:style>
  <w:style w:type="paragraph" w:styleId="1073" w:customStyle="1">
    <w:name w:val="标题 71"/>
    <w:basedOn w:val="808"/>
    <w:next w:val="808"/>
    <w:link w:val="1074"/>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character" w:styleId="1074" w:customStyle="1">
    <w:name w:val="标题 7 Char"/>
    <w:link w:val="1073"/>
    <w:uiPriority w:val="0"/>
    <w:qFormat/>
    <w:rPr>
      <w:rFonts w:ascii="Times New Roman" w:hAnsi="Times New Roman" w:eastAsia="宋体" w:cs="Times New Roman"/>
      <w:b/>
      <w:bCs/>
      <w:sz w:val="24"/>
      <w:szCs w:val="24"/>
    </w:rPr>
  </w:style>
  <w:style w:type="paragraph" w:styleId="1075" w:customStyle="1">
    <w:name w:val="标题 81"/>
    <w:basedOn w:val="808"/>
    <w:next w:val="808"/>
    <w:link w:val="107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76" w:customStyle="1">
    <w:name w:val="标题 8 Char"/>
    <w:link w:val="1075"/>
    <w:uiPriority w:val="0"/>
    <w:qFormat/>
    <w:rPr>
      <w:rFonts w:ascii="Arial" w:hAnsi="Arial" w:eastAsia="黑体" w:cs="Times New Roman"/>
      <w:sz w:val="24"/>
      <w:szCs w:val="24"/>
    </w:rPr>
  </w:style>
  <w:style w:type="paragraph" w:styleId="1077" w:customStyle="1">
    <w:name w:val="标题 91"/>
    <w:basedOn w:val="808"/>
    <w:next w:val="808"/>
    <w:link w:val="1078"/>
    <w:uiPriority w:val="0"/>
    <w:qFormat/>
    <w:pPr>
      <w:numPr>
        <w:ilvl w:val="8"/>
        <w:numId w:val="1"/>
      </w:numPr>
      <w:keepLines/>
      <w:keepNext/>
      <w:spacing w:before="240" w:after="64" w:line="320" w:lineRule="auto"/>
      <w:outlineLvl w:val="8"/>
    </w:pPr>
    <w:rPr>
      <w:rFonts w:ascii="Arial" w:hAnsi="Arial" w:eastAsia="黑体"/>
      <w:szCs w:val="21"/>
    </w:rPr>
  </w:style>
  <w:style w:type="character" w:styleId="1078" w:customStyle="1">
    <w:name w:val="标题 9 Char"/>
    <w:link w:val="1077"/>
    <w:uiPriority w:val="0"/>
    <w:qFormat/>
    <w:rPr>
      <w:rFonts w:ascii="Arial" w:hAnsi="Arial" w:eastAsia="黑体" w:cs="Times New Roman"/>
      <w:szCs w:val="21"/>
    </w:rPr>
  </w:style>
  <w:style w:type="character" w:styleId="1079" w:customStyle="1">
    <w:name w:val="默认段落字体1"/>
    <w:uiPriority w:val="1"/>
    <w:unhideWhenUsed/>
    <w:qFormat/>
  </w:style>
  <w:style w:type="table" w:styleId="1080" w:customStyle="1">
    <w:name w:val="普通表格1"/>
    <w:uiPriority w:val="99"/>
    <w:unhideWhenUsed/>
    <w:qFormat/>
    <w:tblPr>
      <w:tblCellMar>
        <w:left w:w="0" w:type="dxa"/>
        <w:top w:w="0" w:type="dxa"/>
        <w:right w:w="0" w:type="dxa"/>
        <w:bottom w:w="0" w:type="dxa"/>
      </w:tblCellMar>
    </w:tblPr>
  </w:style>
  <w:style w:type="character" w:styleId="1081" w:customStyle="1">
    <w:name w:val="font5 Char"/>
    <w:uiPriority w:val="0"/>
    <w:qFormat/>
    <w:rPr>
      <w:rFonts w:ascii="宋体" w:hAnsi="宋体" w:eastAsia="宋体"/>
      <w:sz w:val="28"/>
      <w:szCs w:val="28"/>
      <w:lang w:val="en-US" w:eastAsia="zh-CN" w:bidi="ar-SA"/>
    </w:rPr>
  </w:style>
  <w:style w:type="character" w:styleId="1082" w:customStyle="1">
    <w:name w:val="批注引用1"/>
    <w:uiPriority w:val="0"/>
    <w:semiHidden/>
    <w:qFormat/>
    <w:rPr>
      <w:sz w:val="21"/>
      <w:szCs w:val="21"/>
    </w:rPr>
  </w:style>
  <w:style w:type="character" w:styleId="1083" w:customStyle="1">
    <w:name w:val="要点1"/>
    <w:uiPriority w:val="0"/>
    <w:qFormat/>
    <w:rPr>
      <w:b/>
      <w:bCs/>
    </w:rPr>
  </w:style>
  <w:style w:type="character" w:styleId="1084" w:customStyle="1">
    <w:name w:val="超链接1"/>
    <w:uiPriority w:val="0"/>
    <w:qFormat/>
    <w:rPr>
      <w:color w:val="0000ff"/>
      <w:u w:val="single"/>
    </w:rPr>
  </w:style>
  <w:style w:type="character" w:styleId="1085" w:customStyle="1">
    <w:name w:val="二级目录 Char"/>
    <w:link w:val="1086"/>
    <w:uiPriority w:val="0"/>
    <w:qFormat/>
    <w:rPr>
      <w:rFonts w:ascii="Calibri" w:hAnsi="Calibri"/>
      <w:b/>
      <w:sz w:val="30"/>
      <w:szCs w:val="28"/>
    </w:rPr>
  </w:style>
  <w:style w:type="paragraph" w:styleId="1086" w:customStyle="1">
    <w:name w:val="二级目录"/>
    <w:next w:val="808"/>
    <w:link w:val="108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87" w:customStyle="1">
    <w:name w:val="列出段落 Char"/>
    <w:link w:val="1088"/>
    <w:uiPriority w:val="0"/>
    <w:qFormat/>
    <w:rPr>
      <w:rFonts w:ascii="Calibri" w:hAnsi="Calibri"/>
      <w:sz w:val="24"/>
      <w:szCs w:val="24"/>
      <w:lang w:eastAsia="en-US" w:bidi="en-US"/>
    </w:rPr>
  </w:style>
  <w:style w:type="paragraph" w:styleId="1088" w:customStyle="1">
    <w:name w:val="列出段落11"/>
    <w:basedOn w:val="808"/>
    <w:link w:val="1087"/>
    <w:uiPriority w:val="0"/>
    <w:qFormat/>
    <w:pPr>
      <w:contextualSpacing/>
      <w:ind w:left="720"/>
      <w:jc w:val="left"/>
      <w:widowControl/>
    </w:pPr>
    <w:rPr>
      <w:sz w:val="24"/>
      <w:szCs w:val="24"/>
      <w:lang w:eastAsia="en-US" w:bidi="en-US"/>
    </w:rPr>
  </w:style>
  <w:style w:type="paragraph" w:styleId="1089" w:customStyle="1">
    <w:name w:val="Body Text(ch)"/>
    <w:basedOn w:val="808"/>
    <w:next w:val="1090"/>
    <w:uiPriority w:val="0"/>
    <w:qFormat/>
    <w:pPr>
      <w:spacing w:after="120"/>
    </w:pPr>
    <w:rPr>
      <w:rFonts w:ascii="宋体" w:hAnsi="Arial"/>
      <w:bCs/>
      <w:iCs/>
      <w:szCs w:val="24"/>
    </w:rPr>
  </w:style>
  <w:style w:type="paragraph" w:styleId="1090" w:customStyle="1">
    <w:name w:val="正文文本1"/>
    <w:basedOn w:val="808"/>
    <w:link w:val="1091"/>
    <w:uiPriority w:val="0"/>
    <w:qFormat/>
    <w:rPr>
      <w:rFonts w:ascii="楷体_GB2312" w:hAnsi="Arial" w:eastAsia="楷体_GB2312"/>
      <w:sz w:val="28"/>
      <w:szCs w:val="28"/>
    </w:rPr>
  </w:style>
  <w:style w:type="character" w:styleId="1091" w:customStyle="1">
    <w:name w:val="正文文本 Char"/>
    <w:link w:val="1090"/>
    <w:uiPriority w:val="0"/>
    <w:qFormat/>
    <w:rPr>
      <w:rFonts w:ascii="楷体_GB2312" w:hAnsi="Arial" w:eastAsia="楷体_GB2312" w:cs="Times New Roman"/>
      <w:sz w:val="28"/>
      <w:szCs w:val="28"/>
    </w:rPr>
  </w:style>
  <w:style w:type="paragraph" w:styleId="1092" w:customStyle="1">
    <w:name w:val="目录 91"/>
    <w:basedOn w:val="808"/>
    <w:next w:val="808"/>
    <w:uiPriority w:val="0"/>
    <w:semiHidden/>
    <w:qFormat/>
    <w:pPr>
      <w:ind w:left="1680"/>
      <w:jc w:val="left"/>
    </w:pPr>
    <w:rPr>
      <w:rFonts w:ascii="Times New Roman" w:hAnsi="Times New Roman"/>
      <w:szCs w:val="21"/>
    </w:rPr>
  </w:style>
  <w:style w:type="paragraph" w:styleId="1093" w:customStyle="1">
    <w:name w:val="xl27"/>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4" w:customStyle="1">
    <w:name w:val="正文文本缩进 21"/>
    <w:basedOn w:val="808"/>
    <w:link w:val="1095"/>
    <w:uiPriority w:val="0"/>
    <w:qFormat/>
    <w:pPr>
      <w:ind w:left="630" w:firstLine="645"/>
    </w:pPr>
    <w:rPr>
      <w:rFonts w:ascii="Arial" w:hAnsi="Arial" w:eastAsia="仿宋_GB2312" w:cs="Arial"/>
      <w:sz w:val="32"/>
      <w:szCs w:val="32"/>
    </w:rPr>
  </w:style>
  <w:style w:type="character" w:styleId="1095" w:customStyle="1">
    <w:name w:val="正文文本缩进 2 Char"/>
    <w:link w:val="1094"/>
    <w:uiPriority w:val="0"/>
    <w:qFormat/>
    <w:rPr>
      <w:rFonts w:ascii="Arial" w:hAnsi="Arial" w:eastAsia="仿宋_GB2312" w:cs="Arial"/>
      <w:sz w:val="32"/>
      <w:szCs w:val="32"/>
    </w:rPr>
  </w:style>
  <w:style w:type="paragraph" w:styleId="1096" w:customStyle="1">
    <w:name w:val="图表目录1"/>
    <w:basedOn w:val="808"/>
    <w:next w:val="808"/>
    <w:uiPriority w:val="0"/>
    <w:semiHidden/>
    <w:qFormat/>
    <w:pPr>
      <w:ind w:left="840" w:hanging="420"/>
    </w:pPr>
    <w:rPr>
      <w:rFonts w:ascii="Times New Roman" w:hAnsi="Times New Roman"/>
      <w:szCs w:val="21"/>
    </w:rPr>
  </w:style>
  <w:style w:type="paragraph" w:styleId="1097" w:customStyle="1">
    <w:name w:val="xl2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8" w:customStyle="1">
    <w:name w:val="Char"/>
    <w:basedOn w:val="808"/>
    <w:uiPriority w:val="0"/>
    <w:qFormat/>
    <w:pPr>
      <w:ind w:firstLine="200"/>
      <w:tabs>
        <w:tab w:val="left" w:pos="360" w:leader="none"/>
      </w:tabs>
    </w:pPr>
    <w:rPr>
      <w:rFonts w:ascii="Times New Roman" w:hAnsi="Times New Roman"/>
      <w:sz w:val="28"/>
      <w:szCs w:val="30"/>
    </w:rPr>
  </w:style>
  <w:style w:type="paragraph" w:styleId="1099" w:customStyle="1">
    <w:name w:val="Char1"/>
    <w:basedOn w:val="1100"/>
    <w:uiPriority w:val="0"/>
    <w:qFormat/>
    <w:rPr>
      <w:rFonts w:ascii="Tahoma" w:hAnsi="Tahoma"/>
      <w:sz w:val="24"/>
      <w:szCs w:val="24"/>
    </w:rPr>
  </w:style>
  <w:style w:type="paragraph" w:styleId="1100" w:customStyle="1">
    <w:name w:val="文档结构图1"/>
    <w:basedOn w:val="808"/>
    <w:link w:val="1101"/>
    <w:uiPriority w:val="0"/>
    <w:semiHidden/>
    <w:qFormat/>
    <w:pPr>
      <w:shd w:val="clear" w:color="auto" w:fill="000080"/>
    </w:pPr>
    <w:rPr>
      <w:rFonts w:ascii="Times New Roman" w:hAnsi="Times New Roman"/>
      <w:szCs w:val="21"/>
    </w:rPr>
  </w:style>
  <w:style w:type="character" w:styleId="1101" w:customStyle="1">
    <w:name w:val="文档结构图 Char"/>
    <w:link w:val="1100"/>
    <w:uiPriority w:val="0"/>
    <w:semiHidden/>
    <w:qFormat/>
    <w:rPr>
      <w:rFonts w:ascii="Times New Roman" w:hAnsi="Times New Roman" w:eastAsia="宋体" w:cs="Times New Roman"/>
      <w:szCs w:val="21"/>
      <w:shd w:val="clear" w:color="auto" w:fill="000080"/>
    </w:rPr>
  </w:style>
  <w:style w:type="paragraph" w:styleId="1102" w:customStyle="1">
    <w:name w:val="批注文字1"/>
    <w:basedOn w:val="808"/>
    <w:link w:val="1103"/>
    <w:uiPriority w:val="0"/>
    <w:unhideWhenUsed/>
    <w:qFormat/>
    <w:pPr>
      <w:jc w:val="left"/>
    </w:pPr>
  </w:style>
  <w:style w:type="character" w:styleId="1103" w:customStyle="1">
    <w:name w:val="批注文字 Char"/>
    <w:link w:val="1102"/>
    <w:uiPriority w:val="99"/>
    <w:semiHidden/>
    <w:qFormat/>
  </w:style>
  <w:style w:type="paragraph" w:styleId="1104" w:customStyle="1">
    <w:name w:val="批注主题1"/>
    <w:basedOn w:val="1102"/>
    <w:next w:val="1102"/>
    <w:link w:val="1105"/>
    <w:uiPriority w:val="0"/>
    <w:semiHidden/>
    <w:qFormat/>
    <w:rPr>
      <w:rFonts w:ascii="Times New Roman" w:hAnsi="Times New Roman"/>
      <w:b/>
      <w:bCs/>
      <w:szCs w:val="21"/>
    </w:rPr>
  </w:style>
  <w:style w:type="character" w:styleId="1105" w:customStyle="1">
    <w:name w:val="批注主题 Char"/>
    <w:link w:val="1104"/>
    <w:uiPriority w:val="0"/>
    <w:semiHidden/>
    <w:qFormat/>
    <w:rPr>
      <w:rFonts w:ascii="Times New Roman" w:hAnsi="Times New Roman" w:eastAsia="宋体" w:cs="Times New Roman"/>
      <w:b/>
      <w:bCs/>
      <w:szCs w:val="21"/>
    </w:rPr>
  </w:style>
  <w:style w:type="paragraph" w:styleId="1106" w:customStyle="1">
    <w:name w:val="索引 11"/>
    <w:basedOn w:val="808"/>
    <w:next w:val="808"/>
    <w:uiPriority w:val="0"/>
    <w:semiHidden/>
    <w:qFormat/>
    <w:pPr>
      <w:spacing w:line="240" w:lineRule="atLeast"/>
    </w:pPr>
    <w:rPr>
      <w:rFonts w:ascii="Times New Roman" w:hAnsi="Times New Roman"/>
      <w:b/>
      <w:bCs/>
      <w:szCs w:val="21"/>
    </w:rPr>
  </w:style>
  <w:style w:type="paragraph" w:styleId="1107" w:customStyle="1">
    <w:name w:val="普通正文"/>
    <w:basedOn w:val="808"/>
    <w:uiPriority w:val="0"/>
    <w:qFormat/>
    <w:pPr>
      <w:ind w:firstLine="480"/>
      <w:jc w:val="left"/>
      <w:spacing w:before="120" w:after="120" w:line="360" w:lineRule="auto"/>
    </w:pPr>
    <w:rPr>
      <w:rFonts w:ascii="Arial" w:hAnsi="Arial"/>
      <w:sz w:val="24"/>
      <w:szCs w:val="24"/>
    </w:rPr>
  </w:style>
  <w:style w:type="paragraph" w:styleId="1108" w:customStyle="1">
    <w:name w:val="table_lines"/>
    <w:basedOn w:val="808"/>
    <w:uiPriority w:val="0"/>
    <w:qFormat/>
    <w:pPr>
      <w:jc w:val="left"/>
      <w:widowControl/>
    </w:pPr>
    <w:rPr>
      <w:rFonts w:ascii="Times New Roman" w:hAnsi="Times New Roman"/>
      <w:sz w:val="20"/>
      <w:szCs w:val="20"/>
      <w:lang w:val="de-DE" w:eastAsia="de-DE"/>
    </w:rPr>
  </w:style>
  <w:style w:type="paragraph" w:styleId="110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10" w:customStyle="1">
    <w:name w:val="目录 31"/>
    <w:basedOn w:val="808"/>
    <w:next w:val="808"/>
    <w:uiPriority w:val="0"/>
    <w:semiHidden/>
    <w:qFormat/>
    <w:pPr>
      <w:ind w:left="420"/>
      <w:jc w:val="left"/>
    </w:pPr>
    <w:rPr>
      <w:rFonts w:ascii="Times New Roman" w:hAnsi="Times New Roman"/>
      <w:i/>
      <w:iCs/>
      <w:szCs w:val="24"/>
    </w:rPr>
  </w:style>
  <w:style w:type="paragraph" w:styleId="1111" w:customStyle="1">
    <w:name w:val="正文文本缩进1"/>
    <w:basedOn w:val="808"/>
    <w:link w:val="1112"/>
    <w:uiPriority w:val="0"/>
    <w:unhideWhenUsed/>
    <w:qFormat/>
    <w:pPr>
      <w:ind w:left="420"/>
      <w:spacing w:after="120"/>
    </w:pPr>
  </w:style>
  <w:style w:type="character" w:styleId="1112" w:customStyle="1">
    <w:name w:val="正文文本缩进 Char"/>
    <w:link w:val="1111"/>
    <w:uiPriority w:val="99"/>
    <w:semiHidden/>
    <w:qFormat/>
  </w:style>
  <w:style w:type="paragraph" w:styleId="1113" w:customStyle="1">
    <w:name w:val="正文首行缩进 21"/>
    <w:basedOn w:val="1111"/>
    <w:link w:val="1114"/>
    <w:uiPriority w:val="0"/>
    <w:qFormat/>
    <w:pPr>
      <w:ind w:left="0" w:firstLine="420"/>
      <w:spacing w:after="0" w:line="360" w:lineRule="auto"/>
    </w:pPr>
    <w:rPr>
      <w:rFonts w:ascii="宋体" w:hAnsi="宋体"/>
      <w:szCs w:val="20"/>
    </w:rPr>
  </w:style>
  <w:style w:type="character" w:styleId="1114" w:customStyle="1">
    <w:name w:val="正文首行缩进 2 Char"/>
    <w:link w:val="1113"/>
    <w:uiPriority w:val="0"/>
    <w:qFormat/>
    <w:rPr>
      <w:rFonts w:ascii="宋体" w:hAnsi="宋体" w:eastAsia="宋体" w:cs="Times New Roman"/>
      <w:szCs w:val="20"/>
    </w:rPr>
  </w:style>
  <w:style w:type="paragraph" w:styleId="1115" w:customStyle="1">
    <w:name w:val="正文文本缩进 31"/>
    <w:basedOn w:val="808"/>
    <w:link w:val="1116"/>
    <w:uiPriority w:val="0"/>
    <w:qFormat/>
    <w:pPr>
      <w:ind w:left="645" w:firstLine="645"/>
    </w:pPr>
    <w:rPr>
      <w:rFonts w:ascii="Arial" w:hAnsi="Arial" w:eastAsia="仿宋_GB2312" w:cs="Arial"/>
      <w:color w:val="ffff00"/>
      <w:sz w:val="32"/>
      <w:szCs w:val="32"/>
    </w:rPr>
  </w:style>
  <w:style w:type="character" w:styleId="1116" w:customStyle="1">
    <w:name w:val="正文文本缩进 3 Char"/>
    <w:link w:val="1115"/>
    <w:uiPriority w:val="0"/>
    <w:qFormat/>
    <w:rPr>
      <w:rFonts w:ascii="Arial" w:hAnsi="Arial" w:eastAsia="仿宋_GB2312" w:cs="Arial"/>
      <w:color w:val="ffff00"/>
      <w:sz w:val="32"/>
      <w:szCs w:val="32"/>
    </w:rPr>
  </w:style>
  <w:style w:type="paragraph" w:styleId="1117" w:customStyle="1">
    <w:name w:val="目录 61"/>
    <w:basedOn w:val="808"/>
    <w:next w:val="808"/>
    <w:uiPriority w:val="0"/>
    <w:semiHidden/>
    <w:qFormat/>
    <w:pPr>
      <w:ind w:left="1050"/>
      <w:jc w:val="left"/>
    </w:pPr>
    <w:rPr>
      <w:rFonts w:ascii="Times New Roman" w:hAnsi="Times New Roman"/>
      <w:szCs w:val="21"/>
    </w:rPr>
  </w:style>
  <w:style w:type="paragraph" w:styleId="1118" w:customStyle="1">
    <w:name w:val="font7"/>
    <w:basedOn w:val="808"/>
    <w:uiPriority w:val="0"/>
    <w:qFormat/>
    <w:pPr>
      <w:jc w:val="left"/>
      <w:spacing w:before="100" w:beforeAutospacing="1" w:after="100" w:afterAutospacing="1"/>
      <w:widowControl/>
    </w:pPr>
    <w:rPr>
      <w:rFonts w:hint="eastAsia" w:ascii="宋体" w:hAnsi="宋体"/>
      <w:sz w:val="18"/>
      <w:szCs w:val="18"/>
    </w:rPr>
  </w:style>
  <w:style w:type="paragraph" w:styleId="1119" w:customStyle="1">
    <w:name w:val="Char Char Char Char"/>
    <w:basedOn w:val="1100"/>
    <w:uiPriority w:val="0"/>
    <w:qFormat/>
    <w:pPr>
      <w:spacing w:line="360" w:lineRule="auto"/>
    </w:pPr>
    <w:rPr>
      <w:rFonts w:ascii="Tahoma" w:hAnsi="Tahoma"/>
      <w:sz w:val="24"/>
      <w:szCs w:val="24"/>
    </w:rPr>
  </w:style>
  <w:style w:type="paragraph" w:styleId="1120" w:customStyle="1">
    <w:name w:val="正文文本 31"/>
    <w:basedOn w:val="808"/>
    <w:link w:val="1121"/>
    <w:uiPriority w:val="0"/>
    <w:qFormat/>
    <w:rPr>
      <w:rFonts w:ascii="仿宋_GB2312" w:hAnsi="Arial" w:eastAsia="仿宋_GB2312"/>
      <w:sz w:val="32"/>
      <w:szCs w:val="32"/>
    </w:rPr>
  </w:style>
  <w:style w:type="character" w:styleId="1121" w:customStyle="1">
    <w:name w:val="正文文本 3 Char"/>
    <w:link w:val="1120"/>
    <w:uiPriority w:val="0"/>
    <w:qFormat/>
    <w:rPr>
      <w:rFonts w:ascii="仿宋_GB2312" w:hAnsi="Arial" w:eastAsia="仿宋_GB2312" w:cs="Times New Roman"/>
      <w:sz w:val="32"/>
      <w:szCs w:val="32"/>
    </w:rPr>
  </w:style>
  <w:style w:type="paragraph" w:styleId="1122" w:customStyle="1">
    <w:name w:val="普通(网站)1"/>
    <w:basedOn w:val="808"/>
    <w:uiPriority w:val="99"/>
    <w:qFormat/>
    <w:pPr>
      <w:jc w:val="left"/>
      <w:spacing w:before="100" w:beforeAutospacing="1" w:after="100" w:afterAutospacing="1"/>
      <w:widowControl/>
    </w:pPr>
    <w:rPr>
      <w:rFonts w:ascii="宋体" w:hAnsi="宋体" w:cs="宋体"/>
      <w:sz w:val="24"/>
      <w:szCs w:val="24"/>
    </w:rPr>
  </w:style>
  <w:style w:type="paragraph" w:styleId="1123" w:customStyle="1">
    <w:name w:val="目录 41"/>
    <w:basedOn w:val="808"/>
    <w:next w:val="808"/>
    <w:uiPriority w:val="0"/>
    <w:semiHidden/>
    <w:qFormat/>
    <w:pPr>
      <w:ind w:left="630"/>
      <w:jc w:val="left"/>
    </w:pPr>
    <w:rPr>
      <w:rFonts w:ascii="Times New Roman" w:hAnsi="Times New Roman"/>
      <w:szCs w:val="21"/>
    </w:rPr>
  </w:style>
  <w:style w:type="paragraph" w:styleId="1124" w:customStyle="1">
    <w:name w:val="列出段落2"/>
    <w:basedOn w:val="808"/>
    <w:uiPriority w:val="0"/>
    <w:qFormat/>
    <w:pPr>
      <w:contextualSpacing/>
      <w:ind w:left="720"/>
      <w:jc w:val="left"/>
      <w:widowControl/>
    </w:pPr>
    <w:rPr>
      <w:sz w:val="24"/>
      <w:szCs w:val="24"/>
      <w:lang w:eastAsia="en-US" w:bidi="en-US"/>
    </w:rPr>
  </w:style>
  <w:style w:type="paragraph" w:styleId="1125" w:customStyle="1">
    <w:name w:val="4"/>
    <w:basedOn w:val="808"/>
    <w:next w:val="1115"/>
    <w:uiPriority w:val="0"/>
    <w:qFormat/>
    <w:pPr>
      <w:ind w:firstLine="420"/>
      <w:spacing w:line="360" w:lineRule="auto"/>
    </w:pPr>
    <w:rPr>
      <w:rFonts w:ascii="Times New Roman" w:hAnsi="Times New Roman"/>
      <w:color w:val="ff0000"/>
      <w:sz w:val="24"/>
      <w:szCs w:val="24"/>
    </w:rPr>
  </w:style>
  <w:style w:type="paragraph" w:styleId="1126" w:customStyle="1">
    <w:name w:val="普通 (Web)"/>
    <w:basedOn w:val="808"/>
    <w:uiPriority w:val="0"/>
    <w:qFormat/>
    <w:pPr>
      <w:jc w:val="left"/>
      <w:spacing w:before="100" w:beforeAutospacing="1" w:after="100" w:afterAutospacing="1"/>
      <w:widowControl/>
    </w:pPr>
    <w:rPr>
      <w:rFonts w:ascii="宋体" w:hAnsi="宋体"/>
      <w:sz w:val="24"/>
      <w:szCs w:val="24"/>
    </w:rPr>
  </w:style>
  <w:style w:type="paragraph" w:styleId="1127" w:customStyle="1">
    <w:name w:val="Char Char Char Char Char Char Char Char Char Char"/>
    <w:basedOn w:val="808"/>
    <w:uiPriority w:val="0"/>
    <w:qFormat/>
    <w:pPr>
      <w:spacing w:line="360" w:lineRule="auto"/>
    </w:pPr>
    <w:rPr>
      <w:rFonts w:ascii="Times New Roman" w:hAnsi="Times New Roman"/>
      <w:sz w:val="24"/>
      <w:szCs w:val="20"/>
    </w:rPr>
  </w:style>
  <w:style w:type="paragraph" w:styleId="1128" w:customStyle="1">
    <w:name w:val="列表 21"/>
    <w:basedOn w:val="808"/>
    <w:uiPriority w:val="0"/>
    <w:qFormat/>
    <w:pPr>
      <w:ind w:left="100" w:hanging="200"/>
    </w:pPr>
    <w:rPr>
      <w:rFonts w:ascii="Times New Roman" w:hAnsi="Times New Roman"/>
      <w:szCs w:val="21"/>
    </w:rPr>
  </w:style>
  <w:style w:type="paragraph" w:styleId="1129" w:customStyle="1">
    <w:name w:val="正文首行缩进1"/>
    <w:basedOn w:val="808"/>
    <w:link w:val="1130"/>
    <w:uiPriority w:val="0"/>
    <w:qFormat/>
    <w:pPr>
      <w:ind w:firstLine="200"/>
      <w:spacing w:line="360" w:lineRule="auto"/>
    </w:pPr>
    <w:rPr>
      <w:rFonts w:ascii="仿宋_GB2312" w:hAnsi="Times New Roman" w:eastAsia="仿宋_GB2312"/>
      <w:sz w:val="30"/>
      <w:szCs w:val="30"/>
    </w:rPr>
  </w:style>
  <w:style w:type="character" w:styleId="1130" w:customStyle="1">
    <w:name w:val="正文首行缩进 Char"/>
    <w:link w:val="1129"/>
    <w:uiPriority w:val="0"/>
    <w:qFormat/>
    <w:rPr>
      <w:rFonts w:ascii="仿宋_GB2312" w:hAnsi="Times New Roman" w:eastAsia="仿宋_GB2312" w:cs="Times New Roman"/>
      <w:sz w:val="30"/>
      <w:szCs w:val="30"/>
    </w:rPr>
  </w:style>
  <w:style w:type="paragraph" w:styleId="1131" w:customStyle="1">
    <w:name w:val="样式1"/>
    <w:basedOn w:val="808"/>
    <w:uiPriority w:val="0"/>
    <w:qFormat/>
    <w:pPr>
      <w:numPr>
        <w:ilvl w:val="0"/>
        <w:numId w:val="3"/>
      </w:numPr>
    </w:pPr>
    <w:rPr>
      <w:rFonts w:ascii="宋体" w:hAnsi="宋体"/>
      <w:szCs w:val="21"/>
    </w:rPr>
  </w:style>
  <w:style w:type="paragraph" w:styleId="1132" w:customStyle="1">
    <w:name w:val="font6"/>
    <w:basedOn w:val="808"/>
    <w:uiPriority w:val="0"/>
    <w:qFormat/>
    <w:pPr>
      <w:jc w:val="left"/>
      <w:spacing w:before="100" w:beforeAutospacing="1" w:after="100" w:afterAutospacing="1"/>
      <w:widowControl/>
    </w:pPr>
    <w:rPr>
      <w:rFonts w:hint="eastAsia" w:ascii="宋体" w:hAnsi="宋体"/>
      <w:sz w:val="28"/>
      <w:szCs w:val="28"/>
      <w:u w:val="single"/>
    </w:rPr>
  </w:style>
  <w:style w:type="paragraph" w:styleId="1133" w:customStyle="1">
    <w:name w:val="目录 51"/>
    <w:basedOn w:val="808"/>
    <w:next w:val="808"/>
    <w:uiPriority w:val="0"/>
    <w:semiHidden/>
    <w:qFormat/>
    <w:pPr>
      <w:ind w:left="840"/>
      <w:jc w:val="left"/>
    </w:pPr>
    <w:rPr>
      <w:rFonts w:ascii="Times New Roman" w:hAnsi="Times New Roman"/>
      <w:szCs w:val="21"/>
    </w:rPr>
  </w:style>
  <w:style w:type="paragraph" w:styleId="1134" w:customStyle="1">
    <w:name w:val="目录 11"/>
    <w:basedOn w:val="808"/>
    <w:next w:val="808"/>
    <w:uiPriority w:val="0"/>
    <w:semiHidden/>
    <w:qFormat/>
    <w:pPr>
      <w:jc w:val="left"/>
      <w:spacing w:before="120" w:after="120" w:line="400" w:lineRule="exact"/>
      <w:tabs>
        <w:tab w:val="right" w:pos="8720" w:leader="dot"/>
      </w:tabs>
    </w:pPr>
    <w:rPr>
      <w:rFonts w:ascii="宋体" w:hAnsi="宋体"/>
      <w:caps/>
      <w:sz w:val="24"/>
      <w:szCs w:val="24"/>
    </w:rPr>
  </w:style>
  <w:style w:type="paragraph" w:styleId="1135" w:customStyle="1">
    <w:name w:val="纯文本1"/>
    <w:basedOn w:val="808"/>
    <w:link w:val="1136"/>
    <w:uiPriority w:val="0"/>
    <w:qFormat/>
    <w:rPr>
      <w:rFonts w:ascii="宋体" w:hAnsi="Courier New" w:cs="Courier New"/>
      <w:szCs w:val="21"/>
    </w:rPr>
  </w:style>
  <w:style w:type="character" w:styleId="1136" w:customStyle="1">
    <w:name w:val="纯文本 Char"/>
    <w:link w:val="1135"/>
    <w:uiPriority w:val="0"/>
    <w:qFormat/>
    <w:rPr>
      <w:rFonts w:ascii="宋体" w:hAnsi="Courier New" w:eastAsia="宋体" w:cs="Courier New"/>
      <w:szCs w:val="21"/>
    </w:rPr>
  </w:style>
  <w:style w:type="paragraph" w:styleId="1137" w:customStyle="1">
    <w:name w:val="批注框文本1"/>
    <w:basedOn w:val="808"/>
    <w:link w:val="1138"/>
    <w:uiPriority w:val="0"/>
    <w:semiHidden/>
    <w:qFormat/>
    <w:rPr>
      <w:rFonts w:ascii="Times New Roman" w:hAnsi="Times New Roman"/>
      <w:sz w:val="18"/>
      <w:szCs w:val="18"/>
    </w:rPr>
  </w:style>
  <w:style w:type="character" w:styleId="1138" w:customStyle="1">
    <w:name w:val="批注框文本 Char"/>
    <w:link w:val="1137"/>
    <w:uiPriority w:val="0"/>
    <w:semiHidden/>
    <w:qFormat/>
    <w:rPr>
      <w:rFonts w:ascii="Times New Roman" w:hAnsi="Times New Roman" w:eastAsia="宋体" w:cs="Times New Roman"/>
      <w:sz w:val="18"/>
      <w:szCs w:val="18"/>
    </w:rPr>
  </w:style>
  <w:style w:type="paragraph" w:styleId="1139" w:customStyle="1">
    <w:name w:val="xl25"/>
    <w:basedOn w:val="8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0" w:customStyle="1">
    <w:name w:val="列表1"/>
    <w:basedOn w:val="808"/>
    <w:uiPriority w:val="0"/>
    <w:qFormat/>
    <w:pPr>
      <w:ind w:left="200" w:hanging="200"/>
    </w:pPr>
    <w:rPr>
      <w:rFonts w:ascii="Times New Roman" w:hAnsi="Times New Roman"/>
      <w:szCs w:val="21"/>
    </w:rPr>
  </w:style>
  <w:style w:type="paragraph" w:styleId="1141" w:customStyle="1">
    <w:name w:val="图标"/>
    <w:basedOn w:val="808"/>
    <w:next w:val="8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42" w:customStyle="1">
    <w:name w:val="日期1"/>
    <w:basedOn w:val="808"/>
    <w:next w:val="808"/>
    <w:link w:val="1143"/>
    <w:uiPriority w:val="0"/>
    <w:qFormat/>
    <w:rPr>
      <w:rFonts w:ascii="Times New Roman" w:hAnsi="Times New Roman"/>
      <w:sz w:val="24"/>
      <w:szCs w:val="24"/>
    </w:rPr>
  </w:style>
  <w:style w:type="character" w:styleId="1143" w:customStyle="1">
    <w:name w:val="日期 Char"/>
    <w:link w:val="1142"/>
    <w:uiPriority w:val="0"/>
    <w:qFormat/>
    <w:rPr>
      <w:rFonts w:ascii="Times New Roman" w:hAnsi="Times New Roman" w:eastAsia="宋体" w:cs="Times New Roman"/>
      <w:sz w:val="24"/>
      <w:szCs w:val="24"/>
    </w:rPr>
  </w:style>
  <w:style w:type="paragraph" w:styleId="1144" w:customStyle="1">
    <w:name w:val="标题3"/>
    <w:basedOn w:val="808"/>
    <w:next w:val="808"/>
    <w:uiPriority w:val="0"/>
    <w:qFormat/>
    <w:pPr>
      <w:ind w:firstLine="624"/>
      <w:spacing w:line="590" w:lineRule="atLeast"/>
    </w:pPr>
    <w:rPr>
      <w:rFonts w:ascii="方正黑体_GBK" w:hAnsi="Times New Roman" w:eastAsia="方正黑体_GBK"/>
      <w:sz w:val="32"/>
      <w:szCs w:val="32"/>
    </w:rPr>
  </w:style>
  <w:style w:type="paragraph" w:styleId="1145" w:customStyle="1">
    <w:name w:val="xl24"/>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6" w:customStyle="1">
    <w:name w:val="xl29"/>
    <w:basedOn w:val="8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7" w:customStyle="1">
    <w:name w:val="Char Char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148" w:customStyle="1">
    <w:name w:val="正文文本 21"/>
    <w:basedOn w:val="808"/>
    <w:link w:val="1149"/>
    <w:uiPriority w:val="0"/>
    <w:qFormat/>
    <w:pPr>
      <w:jc w:val="center"/>
      <w:widowControl/>
    </w:pPr>
    <w:rPr>
      <w:rFonts w:ascii="楷体_GB2312" w:hAnsi="Times New Roman" w:eastAsia="楷体_GB2312"/>
      <w:sz w:val="28"/>
      <w:szCs w:val="28"/>
    </w:rPr>
  </w:style>
  <w:style w:type="character" w:styleId="1149" w:customStyle="1">
    <w:name w:val="正文文本 2 Char"/>
    <w:link w:val="1148"/>
    <w:uiPriority w:val="0"/>
    <w:qFormat/>
    <w:rPr>
      <w:rFonts w:ascii="楷体_GB2312" w:hAnsi="Times New Roman" w:eastAsia="楷体_GB2312" w:cs="Times New Roman"/>
      <w:sz w:val="28"/>
      <w:szCs w:val="28"/>
    </w:rPr>
  </w:style>
  <w:style w:type="paragraph" w:styleId="1150" w:customStyle="1">
    <w:name w:val="列表 31"/>
    <w:basedOn w:val="808"/>
    <w:uiPriority w:val="0"/>
    <w:qFormat/>
    <w:pPr>
      <w:ind w:left="100" w:hanging="200"/>
    </w:pPr>
    <w:rPr>
      <w:rFonts w:ascii="Times New Roman" w:hAnsi="Times New Roman"/>
      <w:szCs w:val="21"/>
    </w:rPr>
  </w:style>
  <w:style w:type="paragraph" w:styleId="1151" w:customStyle="1">
    <w:name w:val="目录 71"/>
    <w:basedOn w:val="808"/>
    <w:next w:val="808"/>
    <w:uiPriority w:val="0"/>
    <w:semiHidden/>
    <w:qFormat/>
    <w:pPr>
      <w:ind w:left="1260"/>
      <w:jc w:val="left"/>
    </w:pPr>
    <w:rPr>
      <w:rFonts w:ascii="Times New Roman" w:hAnsi="Times New Roman"/>
      <w:szCs w:val="21"/>
    </w:rPr>
  </w:style>
  <w:style w:type="paragraph" w:styleId="1152" w:customStyle="1">
    <w:name w:val="目录 21"/>
    <w:basedOn w:val="808"/>
    <w:next w:val="808"/>
    <w:uiPriority w:val="0"/>
    <w:semiHidden/>
    <w:qFormat/>
    <w:pPr>
      <w:ind w:left="210"/>
      <w:jc w:val="left"/>
    </w:pPr>
    <w:rPr>
      <w:rFonts w:ascii="Times New Roman" w:hAnsi="Times New Roman"/>
      <w:smallCaps/>
      <w:szCs w:val="24"/>
    </w:rPr>
  </w:style>
  <w:style w:type="paragraph" w:styleId="1153" w:customStyle="1">
    <w:name w:val="xl2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4" w:customStyle="1">
    <w:name w:val="页眉1"/>
    <w:basedOn w:val="808"/>
    <w:link w:val="115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55" w:customStyle="1">
    <w:name w:val="页眉 Char"/>
    <w:link w:val="1154"/>
    <w:uiPriority w:val="0"/>
    <w:qFormat/>
    <w:rPr>
      <w:rFonts w:ascii="Times New Roman" w:hAnsi="Times New Roman" w:eastAsia="宋体" w:cs="Times New Roman"/>
      <w:sz w:val="18"/>
      <w:szCs w:val="18"/>
    </w:rPr>
  </w:style>
  <w:style w:type="paragraph" w:styleId="1156" w:customStyle="1">
    <w:name w:val="页脚1"/>
    <w:basedOn w:val="808"/>
    <w:link w:val="1157"/>
    <w:uiPriority w:val="0"/>
    <w:qFormat/>
    <w:pPr>
      <w:jc w:val="left"/>
      <w:tabs>
        <w:tab w:val="center" w:pos="4153" w:leader="none"/>
        <w:tab w:val="right" w:pos="8306" w:leader="none"/>
      </w:tabs>
    </w:pPr>
    <w:rPr>
      <w:rFonts w:ascii="Times New Roman" w:hAnsi="Times New Roman"/>
      <w:sz w:val="18"/>
      <w:szCs w:val="18"/>
    </w:rPr>
  </w:style>
  <w:style w:type="character" w:styleId="1157" w:customStyle="1">
    <w:name w:val="页脚 Char"/>
    <w:link w:val="1156"/>
    <w:uiPriority w:val="0"/>
    <w:qFormat/>
    <w:rPr>
      <w:rFonts w:ascii="Times New Roman" w:hAnsi="Times New Roman" w:eastAsia="宋体" w:cs="Times New Roman"/>
      <w:sz w:val="18"/>
      <w:szCs w:val="18"/>
    </w:rPr>
  </w:style>
  <w:style w:type="paragraph" w:styleId="1158" w:customStyle="1">
    <w:name w:val="Char Char Char Char Char Char Char Char1"/>
    <w:basedOn w:val="808"/>
    <w:uiPriority w:val="0"/>
    <w:qFormat/>
    <w:pPr>
      <w:jc w:val="left"/>
      <w:spacing w:after="160" w:line="240" w:lineRule="exact"/>
      <w:widowControl/>
    </w:pPr>
    <w:rPr>
      <w:rFonts w:ascii="Verdana" w:hAnsi="Verdana"/>
      <w:sz w:val="20"/>
      <w:szCs w:val="20"/>
      <w:lang w:eastAsia="en-US"/>
    </w:rPr>
  </w:style>
  <w:style w:type="paragraph" w:styleId="1159" w:customStyle="1">
    <w:name w:val="目录 81"/>
    <w:basedOn w:val="808"/>
    <w:next w:val="808"/>
    <w:uiPriority w:val="0"/>
    <w:semiHidden/>
    <w:qFormat/>
    <w:pPr>
      <w:ind w:left="1470"/>
      <w:jc w:val="left"/>
    </w:pPr>
    <w:rPr>
      <w:rFonts w:ascii="Times New Roman" w:hAnsi="Times New Roman"/>
      <w:szCs w:val="21"/>
    </w:rPr>
  </w:style>
  <w:style w:type="paragraph" w:styleId="1160" w:customStyle="1">
    <w:name w:val="xl30"/>
    <w:basedOn w:val="808"/>
    <w:uiPriority w:val="0"/>
    <w:qFormat/>
    <w:pPr>
      <w:jc w:val="center"/>
      <w:spacing w:before="100" w:beforeAutospacing="1" w:after="100" w:afterAutospacing="1"/>
      <w:widowControl/>
    </w:pPr>
    <w:rPr>
      <w:rFonts w:ascii="宋体" w:hAnsi="宋体"/>
      <w:b/>
      <w:bCs/>
      <w:sz w:val="36"/>
      <w:szCs w:val="36"/>
    </w:rPr>
  </w:style>
  <w:style w:type="paragraph" w:styleId="1161" w:customStyle="1">
    <w:name w:val="Char Char Char Char1"/>
    <w:basedOn w:val="1100"/>
    <w:uiPriority w:val="0"/>
    <w:qFormat/>
    <w:pPr>
      <w:spacing w:line="360" w:lineRule="auto"/>
    </w:pPr>
    <w:rPr>
      <w:rFonts w:ascii="Tahoma" w:hAnsi="Tahoma"/>
      <w:sz w:val="24"/>
      <w:szCs w:val="24"/>
    </w:rPr>
  </w:style>
  <w:style w:type="paragraph" w:styleId="1162" w:customStyle="1">
    <w:name w:val="table_1stline"/>
    <w:basedOn w:val="808"/>
    <w:uiPriority w:val="0"/>
    <w:qFormat/>
    <w:pPr>
      <w:jc w:val="left"/>
      <w:spacing w:before="120"/>
      <w:widowControl/>
    </w:pPr>
    <w:rPr>
      <w:rFonts w:ascii="Times New Roman" w:hAnsi="Times New Roman"/>
      <w:bCs/>
      <w:sz w:val="20"/>
      <w:szCs w:val="20"/>
      <w:lang w:val="de-DE" w:eastAsia="de-DE"/>
    </w:rPr>
  </w:style>
  <w:style w:type="paragraph" w:styleId="1163" w:customStyle="1">
    <w:name w:val="font5"/>
    <w:basedOn w:val="808"/>
    <w:uiPriority w:val="0"/>
    <w:qFormat/>
    <w:pPr>
      <w:jc w:val="left"/>
      <w:spacing w:before="100" w:beforeAutospacing="1" w:after="100" w:afterAutospacing="1"/>
      <w:widowControl/>
    </w:pPr>
    <w:rPr>
      <w:rFonts w:hint="eastAsia" w:ascii="宋体" w:hAnsi="宋体"/>
      <w:sz w:val="28"/>
      <w:szCs w:val="28"/>
    </w:rPr>
  </w:style>
  <w:style w:type="paragraph" w:styleId="1164" w:customStyle="1">
    <w:name w:val="标题1"/>
    <w:basedOn w:val="808"/>
    <w:next w:val="80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65" w:customStyle="1">
    <w:name w:val="修订1"/>
    <w:uiPriority w:val="99"/>
    <w:semiHidden/>
    <w:qFormat/>
    <w:rPr>
      <w:rFonts w:ascii="Times New Roman" w:hAnsi="Times New Roman" w:eastAsia="宋体" w:cs="Times New Roman"/>
      <w:sz w:val="21"/>
      <w:szCs w:val="21"/>
      <w:lang w:val="en-US" w:eastAsia="zh-CN" w:bidi="ar-SA"/>
    </w:rPr>
  </w:style>
  <w:style w:type="table" w:styleId="1166" w:customStyle="1">
    <w:name w:val="网格型1"/>
    <w:basedOn w:val="1080"/>
    <w:uiPriority w:val="0"/>
    <w:qFormat/>
    <w:pPr>
      <w:jc w:val="both"/>
      <w:widowControl w:val="off"/>
    </w:pPr>
    <w:tblPr/>
  </w:style>
  <w:style w:type="paragraph" w:styleId="1167" w:customStyle="1">
    <w:name w:val="无间隔11"/>
    <w:uiPriority w:val="99"/>
    <w:qFormat/>
    <w:pPr>
      <w:jc w:val="both"/>
      <w:widowControl w:val="off"/>
    </w:pPr>
    <w:rPr>
      <w:rFonts w:ascii="Times New Roman" w:hAnsi="Times New Roman" w:eastAsia="宋体" w:cs="Times New Roman"/>
      <w:sz w:val="21"/>
      <w:szCs w:val="21"/>
      <w:lang w:val="en-US" w:eastAsia="zh-CN" w:bidi="ar-SA"/>
    </w:rPr>
  </w:style>
  <w:style w:type="paragraph" w:styleId="1168" w:customStyle="1">
    <w:name w:val="索引 41"/>
    <w:basedOn w:val="808"/>
    <w:next w:val="808"/>
    <w:uiPriority w:val="99"/>
    <w:qFormat/>
    <w:pPr>
      <w:ind w:left="600"/>
    </w:pPr>
  </w:style>
  <w:style w:type="paragraph" w:styleId="1169" w:customStyle="1">
    <w:name w:val="正文文本缩进 211"/>
    <w:basedOn w:val="808"/>
    <w:uiPriority w:val="0"/>
    <w:qFormat/>
    <w:pPr>
      <w:ind w:firstLine="630"/>
      <w:spacing w:before="120"/>
      <w:tabs>
        <w:tab w:val="left" w:pos="0" w:leader="none"/>
      </w:tabs>
    </w:pPr>
    <w:rPr>
      <w:bCs/>
    </w:rPr>
  </w:style>
  <w:style w:type="character" w:styleId="1170" w:customStyle="1">
    <w:name w:val="font11"/>
    <w:uiPriority w:val="0"/>
    <w:qFormat/>
    <w:rPr>
      <w:rFonts w:hint="eastAsia" w:ascii="宋体" w:hAnsi="宋体" w:eastAsia="宋体" w:cs="宋体"/>
      <w:color w:val="000000"/>
      <w:sz w:val="20"/>
      <w:szCs w:val="20"/>
      <w:u w:val="none"/>
    </w:rPr>
  </w:style>
  <w:style w:type="character" w:styleId="1171" w:customStyle="1">
    <w:name w:val="font71"/>
    <w:uiPriority w:val="0"/>
    <w:qFormat/>
    <w:rPr>
      <w:rFonts w:hint="eastAsia" w:ascii="宋体" w:hAnsi="宋体" w:eastAsia="宋体" w:cs="宋体"/>
      <w:b/>
      <w:bCs/>
      <w:color w:val="000000"/>
      <w:sz w:val="24"/>
      <w:szCs w:val="24"/>
      <w:u w:val="none"/>
    </w:rPr>
  </w:style>
  <w:style w:type="character" w:styleId="1172" w:customStyle="1">
    <w:name w:val="font81"/>
    <w:uiPriority w:val="0"/>
    <w:qFormat/>
    <w:rPr>
      <w:rFonts w:hint="eastAsia" w:ascii="宋体" w:hAnsi="宋体" w:eastAsia="宋体" w:cs="宋体"/>
      <w:color w:val="000000"/>
      <w:sz w:val="21"/>
      <w:szCs w:val="21"/>
      <w:u w:val="none"/>
    </w:rPr>
  </w:style>
  <w:style w:type="character" w:styleId="1173" w:customStyle="1">
    <w:name w:val="标题 2 Char2"/>
    <w:link w:val="810"/>
    <w:uiPriority w:val="0"/>
    <w:qFormat/>
    <w:rPr>
      <w:rFonts w:ascii="Arial" w:hAnsi="Arial" w:eastAsia="方正幼线_GBK" w:cs="Arial"/>
      <w:b/>
      <w:bCs/>
      <w:sz w:val="44"/>
      <w:szCs w:val="44"/>
    </w:rPr>
  </w:style>
  <w:style w:type="paragraph" w:styleId="1174" w:customStyle="1">
    <w:name w:val="标题 211"/>
    <w:basedOn w:val="808"/>
    <w:next w:val="1063"/>
    <w:uiPriority w:val="0"/>
    <w:qFormat/>
    <w:pPr>
      <w:jc w:val="center"/>
      <w:keepLines/>
      <w:keepNext/>
      <w:spacing w:before="260" w:after="260" w:line="416" w:lineRule="auto"/>
      <w:outlineLvl w:val="1"/>
    </w:pPr>
    <w:rPr>
      <w:rFonts w:ascii="Arial" w:hAnsi="Arial" w:eastAsia="方正幼线_GBK" w:cs="Arial"/>
      <w:b/>
      <w:bCs/>
      <w:sz w:val="44"/>
      <w:szCs w:val="44"/>
    </w:rPr>
  </w:style>
  <w:style w:type="paragraph" w:styleId="1175" w:customStyle="1">
    <w:name w:val="正文首行缩进11"/>
    <w:basedOn w:val="1176"/>
    <w:uiPriority w:val="0"/>
    <w:qFormat/>
    <w:pPr>
      <w:ind w:firstLine="200"/>
      <w:spacing w:line="360" w:lineRule="auto"/>
    </w:pPr>
    <w:rPr>
      <w:rFonts w:ascii="仿宋_GB2312" w:hAnsi="Times New Roman" w:eastAsia="仿宋_GB2312"/>
      <w:sz w:val="30"/>
      <w:szCs w:val="30"/>
    </w:rPr>
  </w:style>
  <w:style w:type="paragraph" w:styleId="1176" w:customStyle="1">
    <w:name w:val="正文文本11"/>
    <w:basedOn w:val="808"/>
    <w:next w:val="808"/>
    <w:uiPriority w:val="0"/>
    <w:qFormat/>
    <w:rPr>
      <w:rFonts w:ascii="楷体_GB2312" w:hAnsi="Arial" w:eastAsia="楷体_GB2312"/>
      <w:sz w:val="28"/>
      <w:szCs w:val="28"/>
      <w:lang w:eastAsia="en-US"/>
    </w:rPr>
  </w:style>
  <w:style w:type="table" w:styleId="1177" w:customStyle="1">
    <w:name w:val="Table Normal"/>
    <w:uiPriority w:val="0"/>
    <w:unhideWhenUsed/>
    <w:qFormat/>
    <w:tblPr>
      <w:tblCellMar>
        <w:left w:w="0" w:type="dxa"/>
        <w:top w:w="0" w:type="dxa"/>
        <w:right w:w="0" w:type="dxa"/>
        <w:bottom w:w="0" w:type="dxa"/>
      </w:tblCellMar>
    </w:tblPr>
  </w:style>
  <w:style w:type="paragraph" w:styleId="1178" w:customStyle="1">
    <w:name w:val="Default"/>
    <w:uiPriority w:val="99"/>
    <w:qFormat/>
    <w:pPr>
      <w:widowControl w:val="off"/>
    </w:pPr>
    <w:rPr>
      <w:rFonts w:ascii="Microsoft JhengHei Light" w:hAnsi="Calibri" w:eastAsia="宋体" w:cs="Times New Roman"/>
      <w:color w:val="000000"/>
      <w:sz w:val="21"/>
      <w:szCs w:val="24"/>
      <w:lang w:val="en-US" w:eastAsia="zh-CN" w:bidi="ar-SA"/>
    </w:rPr>
  </w:style>
  <w:style w:type="paragraph" w:styleId="11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80" w:customStyle="1">
    <w:name w:val="UserStyle_0"/>
    <w:uiPriority w:val="0"/>
    <w:qFormat/>
    <w:pPr>
      <w:jc w:val="both"/>
    </w:pPr>
    <w:rPr>
      <w:rFonts w:ascii="Times New Roman" w:hAnsi="Times New Roman" w:eastAsia="宋体" w:cs="Times New Roman"/>
      <w:sz w:val="21"/>
      <w:szCs w:val="24"/>
      <w:lang w:val="en-US" w:eastAsia="zh-CN" w:bidi="ar-SA"/>
    </w:rPr>
  </w:style>
  <w:style w:type="character" w:styleId="1181" w:customStyle="1">
    <w:name w:val="批注框文本 Char2"/>
    <w:basedOn w:val="818"/>
    <w:link w:val="832"/>
    <w:uiPriority w:val="99"/>
    <w:semiHidden/>
    <w:qFormat/>
    <w:rPr>
      <w:rFonts w:ascii="Calibri" w:hAnsi="Calibri"/>
      <w:sz w:val="18"/>
      <w:szCs w:val="18"/>
    </w:rPr>
  </w:style>
  <w:style w:type="paragraph" w:styleId="1182" w:customStyle="1">
    <w:name w:val="样式"/>
    <w:basedOn w:val="808"/>
    <w:next w:val="826"/>
    <w:uiPriority w:val="99"/>
    <w:qFormat/>
    <w:pPr>
      <w:ind w:firstLine="420"/>
      <w:spacing w:line="360" w:lineRule="auto"/>
    </w:pPr>
    <w:rPr>
      <w:szCs w:val="21"/>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C844DBA-CC5A-4FA0-AD9E-686CD19EB38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16</cp:revision>
  <dcterms:created xsi:type="dcterms:W3CDTF">2026-09-04T01:46:00Z</dcterms:created>
  <dcterms:modified xsi:type="dcterms:W3CDTF">2026-10-30T08:43:10Z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eyJoZGlkIjoiMTk3OTVkYjJjYTEyY2M4ZmRjZmMzNmM3YTdkMGNkYWQiLCJ1c2VySWQiOiIzODEzNTcxNTUifQ==</vt:lpwstr>
  </property>
  <property fmtid="{D5CDD505-2E9C-101B-9397-08002B2CF9AE}" pid="3" name="KSOProductBuildVer">
    <vt:lpwstr>2052-12.1.0.28505</vt:lpwstr>
  </property>
  <property fmtid="{D5CDD505-2E9C-101B-9397-08002B2CF9AE}" pid="4" name="ICV">
    <vt:lpwstr>37EB7DBB608F43BFA1A0F552CE6C8FBE_13</vt:lpwstr>
  </property>
</Properties>
</file>