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highlight w:val="none"/>
        </w:rPr>
      </w:pPr>
      <w:r>
        <w:rPr>
          <w:rFonts w:hint="eastAsia" w:ascii="宋体" w:hAnsi="宋体" w:cs="CESI黑体-GB2312"/>
          <w:sz w:val="32"/>
          <w:szCs w:val="32"/>
          <w:highlight w:val="none"/>
        </w:rPr>
      </w:r>
      <w:r/>
    </w:p>
    <w:p>
      <w:pPr>
        <w:pStyle w:val="1072"/>
        <w:ind w:firstLine="300"/>
        <w:spacing w:line="360" w:lineRule="auto"/>
        <w:rPr>
          <w:rFonts w:ascii="宋体" w:hAnsi="宋体"/>
          <w:sz w:val="60"/>
          <w:szCs w:val="60"/>
          <w:highlight w:val="none"/>
        </w:rPr>
      </w:pPr>
      <w:r>
        <w:rPr>
          <w:rFonts w:ascii="宋体" w:hAnsi="宋体"/>
          <w:sz w:val="60"/>
          <w:szCs w:val="60"/>
          <w:highlight w:val="none"/>
        </w:rPr>
      </w:r>
      <w:r/>
    </w:p>
    <w:p>
      <w:pPr>
        <w:pStyle w:val="1072"/>
        <w:jc w:val="center"/>
        <w:rPr>
          <w:rFonts w:ascii="宋体" w:hAnsi="宋体"/>
          <w:b/>
          <w:bCs/>
          <w:sz w:val="60"/>
          <w:szCs w:val="60"/>
          <w:highlight w:val="none"/>
        </w:rPr>
      </w:pPr>
      <w:r>
        <w:rPr>
          <w:rFonts w:ascii="宋体" w:hAnsi="宋体"/>
          <w:b/>
          <w:bCs/>
          <w:sz w:val="60"/>
          <w:szCs w:val="60"/>
          <w:highlight w:val="none"/>
        </w:rPr>
        <w:t xml:space="preserve">常州市政府采购项目</w:t>
      </w:r>
      <w:r>
        <w:rPr>
          <w:rFonts w:ascii="宋体" w:hAnsi="宋体"/>
          <w:b/>
          <w:bCs/>
          <w:sz w:val="60"/>
          <w:szCs w:val="60"/>
          <w:highlight w:val="none"/>
        </w:rPr>
      </w:r>
      <w:r/>
    </w:p>
    <w:p>
      <w:pPr>
        <w:pStyle w:val="1072"/>
        <w:jc w:val="center"/>
        <w:rPr>
          <w:rFonts w:ascii="宋体" w:hAnsi="宋体"/>
          <w:b/>
          <w:bCs/>
          <w:sz w:val="60"/>
          <w:szCs w:val="60"/>
          <w:highlight w:val="none"/>
        </w:rPr>
      </w:pPr>
      <w:r>
        <w:rPr>
          <w:rFonts w:ascii="宋体" w:hAnsi="宋体"/>
          <w:b/>
          <w:bCs/>
          <w:sz w:val="60"/>
          <w:szCs w:val="60"/>
          <w:highlight w:val="none"/>
        </w:rPr>
      </w:r>
      <w:r/>
    </w:p>
    <w:p>
      <w:pPr>
        <w:pStyle w:val="1072"/>
        <w:jc w:val="center"/>
        <w:rPr>
          <w:rFonts w:ascii="宋体" w:hAnsi="宋体"/>
          <w:b/>
          <w:bCs/>
          <w:sz w:val="60"/>
          <w:szCs w:val="60"/>
          <w:highlight w:val="none"/>
        </w:rPr>
      </w:pPr>
      <w:r>
        <w:rPr>
          <w:rFonts w:hint="eastAsia" w:ascii="宋体" w:hAnsi="宋体"/>
          <w:b/>
          <w:bCs/>
          <w:sz w:val="60"/>
          <w:szCs w:val="60"/>
          <w:highlight w:val="none"/>
        </w:rPr>
        <w:t xml:space="preserve">公开</w:t>
      </w:r>
      <w:r>
        <w:rPr>
          <w:rFonts w:ascii="宋体" w:hAnsi="宋体"/>
          <w:b/>
          <w:bCs/>
          <w:sz w:val="60"/>
          <w:szCs w:val="60"/>
          <w:highlight w:val="none"/>
        </w:rPr>
        <w:t xml:space="preserve">招标文件</w:t>
      </w:r>
      <w:r>
        <w:rPr>
          <w:rFonts w:ascii="宋体" w:hAnsi="宋体"/>
          <w:b/>
          <w:bCs/>
          <w:sz w:val="60"/>
          <w:szCs w:val="60"/>
          <w:highlight w:val="none"/>
        </w:rPr>
      </w:r>
      <w:r/>
    </w:p>
    <w:p>
      <w:pPr>
        <w:pStyle w:val="1072"/>
        <w:jc w:val="center"/>
        <w:rPr>
          <w:rFonts w:ascii="宋体" w:hAnsi="宋体"/>
          <w:b/>
          <w:bCs/>
          <w:sz w:val="60"/>
          <w:szCs w:val="60"/>
          <w:highlight w:val="none"/>
        </w:rPr>
      </w:pPr>
      <w:r>
        <w:rPr>
          <w:rFonts w:ascii="宋体" w:hAnsi="宋体"/>
          <w:b/>
          <w:bCs/>
          <w:sz w:val="60"/>
          <w:szCs w:val="60"/>
          <w:highlight w:val="none"/>
        </w:rPr>
      </w:r>
      <w:r/>
    </w:p>
    <w:p>
      <w:pPr>
        <w:pStyle w:val="1072"/>
        <w:jc w:val="center"/>
        <w:rPr>
          <w:rFonts w:ascii="宋体" w:hAnsi="宋体"/>
          <w:b/>
          <w:bCs/>
          <w:sz w:val="60"/>
          <w:szCs w:val="60"/>
          <w:highlight w:val="none"/>
        </w:rPr>
      </w:pPr>
      <w:r>
        <w:rPr>
          <w:rFonts w:ascii="宋体" w:hAnsi="宋体"/>
          <w:b/>
          <w:bCs/>
          <w:sz w:val="60"/>
          <w:szCs w:val="60"/>
          <w:highlight w:val="none"/>
        </w:rPr>
      </w:r>
      <w:r/>
    </w:p>
    <w:p>
      <w:pPr>
        <w:pStyle w:val="1072"/>
        <w:jc w:val="center"/>
        <w:spacing w:line="360" w:lineRule="auto"/>
        <w:rPr>
          <w:rFonts w:ascii="宋体" w:hAnsi="宋体"/>
          <w:sz w:val="60"/>
          <w:szCs w:val="60"/>
          <w:highlight w:val="none"/>
        </w:rPr>
      </w:pPr>
      <w:r>
        <w:rPr>
          <w:rFonts w:ascii="宋体" w:hAnsi="宋体"/>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sz w:val="36"/>
          <w:szCs w:val="36"/>
          <w:highlight w:val="none"/>
        </w:rPr>
      </w:pPr>
      <w:r>
        <w:rPr>
          <w:rFonts w:ascii="宋体" w:hAnsi="宋体"/>
          <w:bCs/>
          <w:sz w:val="36"/>
          <w:szCs w:val="36"/>
          <w:highlight w:val="none"/>
        </w:rPr>
        <w:t xml:space="preserve">项目名称：</w:t>
      </w:r>
      <w:r>
        <w:rPr>
          <w:rFonts w:hint="eastAsia" w:ascii="宋体" w:hAnsi="宋体"/>
          <w:bCs/>
          <w:sz w:val="36"/>
          <w:szCs w:val="36"/>
          <w:highlight w:val="none"/>
        </w:rPr>
        <w:t xml:space="preserve">常州市肿瘤医院保安外包服务项目</w:t>
      </w:r>
      <w:r>
        <w:rPr>
          <w:rFonts w:hint="eastAsia" w:ascii="宋体" w:hAnsi="宋体"/>
          <w:bCs/>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sz w:val="36"/>
          <w:szCs w:val="36"/>
          <w:highlight w:val="none"/>
        </w:rPr>
      </w:pPr>
      <w:r>
        <w:rPr>
          <w:rFonts w:ascii="宋体" w:hAnsi="宋体"/>
          <w:bCs/>
          <w:sz w:val="36"/>
          <w:szCs w:val="36"/>
          <w:highlight w:val="none"/>
        </w:rPr>
        <w:t xml:space="preserve">项目编号：</w:t>
      </w:r>
      <w:r>
        <w:rPr>
          <w:rFonts w:hint="eastAsia" w:ascii="宋体" w:hAnsi="宋体"/>
          <w:bCs/>
          <w:sz w:val="36"/>
          <w:szCs w:val="36"/>
          <w:highlight w:val="none"/>
        </w:rPr>
        <w:t xml:space="preserve">JSZC-320400-CTZB-G2026-0142</w:t>
      </w:r>
      <w:r>
        <w:rPr>
          <w:rFonts w:ascii="宋体" w:hAnsi="宋体"/>
          <w:bCs/>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sz w:val="36"/>
          <w:szCs w:val="36"/>
          <w:highlight w:val="none"/>
        </w:rPr>
      </w:pPr>
      <w:r>
        <w:rPr>
          <w:rFonts w:ascii="宋体" w:hAnsi="宋体"/>
          <w:bCs/>
          <w:sz w:val="36"/>
          <w:szCs w:val="36"/>
          <w:highlight w:val="none"/>
        </w:rPr>
        <w:t xml:space="preserve">采 购 人：</w:t>
      </w:r>
      <w:r>
        <w:rPr>
          <w:rFonts w:hint="eastAsia" w:ascii="宋体" w:hAnsi="宋体"/>
          <w:bCs/>
          <w:sz w:val="36"/>
          <w:szCs w:val="36"/>
          <w:highlight w:val="none"/>
        </w:rPr>
        <w:t xml:space="preserve">常州市肿瘤医院</w:t>
      </w:r>
      <w:r>
        <w:rPr>
          <w:rFonts w:ascii="宋体" w:hAnsi="宋体"/>
          <w:bCs/>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highlight w:val="none"/>
        </w:rPr>
        <w:t xml:space="preserve">采购</w:t>
      </w:r>
      <w:r>
        <w:rPr>
          <w:rFonts w:ascii="宋体" w:hAnsi="宋体"/>
          <w:bCs/>
          <w:sz w:val="36"/>
          <w:szCs w:val="36"/>
          <w:highlight w:val="none"/>
        </w:rPr>
        <w:t xml:space="preserve">代理机构：</w:t>
      </w:r>
      <w:r>
        <w:rPr>
          <w:rFonts w:hint="eastAsia" w:ascii="宋体" w:hAnsi="宋体"/>
          <w:bCs/>
          <w:sz w:val="36"/>
          <w:szCs w:val="36"/>
          <w:highlight w:val="none"/>
        </w:rPr>
        <w:t xml:space="preserve">常州市城投建设工程招标有限公司</w:t>
      </w:r>
      <w:r>
        <w:rPr>
          <w:rFonts w:ascii="宋体" w:hAnsi="宋体"/>
          <w:b/>
          <w:sz w:val="72"/>
          <w:highlight w:val="none"/>
        </w:rPr>
        <w:br w:type="page" w:clear="all"/>
      </w:r>
      <w:r/>
    </w:p>
    <w:p>
      <w:pPr>
        <w:pStyle w:val="1072"/>
        <w:jc w:val="center"/>
        <w:spacing w:line="360" w:lineRule="auto"/>
        <w:rPr>
          <w:rFonts w:hint="eastAsia" w:ascii="宋体" w:hAnsi="宋体"/>
          <w:b/>
          <w:sz w:val="36"/>
          <w:szCs w:val="36"/>
          <w:highlight w:val="none"/>
        </w:rPr>
        <w:outlineLvl w:val="0"/>
      </w:pPr>
      <w:r/>
      <w:bookmarkStart w:id="0" w:name="_Toc99301418"/>
      <w:r>
        <w:rPr>
          <w:rFonts w:hint="eastAsia" w:ascii="宋体" w:hAnsi="宋体"/>
          <w:b/>
          <w:sz w:val="36"/>
          <w:szCs w:val="36"/>
          <w:highlight w:val="none"/>
        </w:rPr>
      </w:r>
      <w:r/>
    </w:p>
    <w:p>
      <w:pPr>
        <w:pStyle w:val="1072"/>
        <w:jc w:val="center"/>
        <w:spacing w:line="360" w:lineRule="auto"/>
        <w:rPr>
          <w:rFonts w:ascii="宋体" w:hAnsi="宋体"/>
          <w:b/>
          <w:sz w:val="44"/>
          <w:szCs w:val="44"/>
          <w:highlight w:val="none"/>
        </w:rPr>
        <w:outlineLvl w:val="0"/>
      </w:pPr>
      <w:r>
        <w:rPr>
          <w:rFonts w:ascii="宋体" w:hAnsi="宋体"/>
          <w:b/>
          <w:sz w:val="44"/>
          <w:szCs w:val="44"/>
          <w:highlight w:val="none"/>
        </w:rPr>
        <w:t xml:space="preserve">目      录</w:t>
      </w:r>
      <w:bookmarkEnd w:id="0"/>
      <w:r>
        <w:rPr>
          <w:rFonts w:ascii="宋体" w:hAnsi="宋体"/>
          <w:b/>
          <w:sz w:val="44"/>
          <w:szCs w:val="44"/>
          <w:highlight w:val="none"/>
        </w:rPr>
      </w:r>
      <w:r/>
    </w:p>
    <w:p>
      <w:pPr>
        <w:pStyle w:val="1072"/>
        <w:rPr>
          <w:rFonts w:ascii="宋体" w:hAnsi="宋体"/>
          <w:highlight w:val="none"/>
        </w:rPr>
      </w:pPr>
      <w:r>
        <w:rPr>
          <w:rFonts w:ascii="宋体" w:hAnsi="宋体"/>
          <w:highlight w:val="none"/>
        </w:rPr>
      </w:r>
      <w:r/>
    </w:p>
    <w:p>
      <w:pPr>
        <w:pStyle w:val="1072"/>
        <w:rPr>
          <w:rFonts w:ascii="宋体" w:hAnsi="宋体"/>
          <w:highlight w:val="none"/>
        </w:rPr>
      </w:pPr>
      <w:r>
        <w:rPr>
          <w:rFonts w:ascii="宋体" w:hAnsi="宋体"/>
          <w:highlight w:val="none"/>
        </w:rPr>
      </w:r>
      <w:r/>
    </w:p>
    <w:p>
      <w:pPr>
        <w:pStyle w:val="1072"/>
        <w:rPr>
          <w:rFonts w:ascii="宋体" w:hAnsi="宋体"/>
          <w:highlight w:val="none"/>
        </w:rPr>
      </w:pPr>
      <w:r>
        <w:rPr>
          <w:rFonts w:ascii="宋体" w:hAnsi="宋体"/>
          <w:highlight w:val="none"/>
        </w:rPr>
      </w:r>
      <w:r/>
    </w:p>
    <w:p>
      <w:pPr>
        <w:pStyle w:val="1127"/>
        <w:spacing w:line="720" w:lineRule="auto"/>
        <w:tabs>
          <w:tab w:val="left" w:pos="1050" w:leader="none"/>
          <w:tab w:val="right" w:pos="8937" w:leader="dot"/>
        </w:tabs>
        <w:rPr>
          <w:b w:val="0"/>
          <w:sz w:val="32"/>
          <w:szCs w:val="32"/>
          <w:highlight w:val="none"/>
        </w:rPr>
      </w:pPr>
      <w:r>
        <w:rPr>
          <w:b w:val="0"/>
          <w:sz w:val="32"/>
          <w:szCs w:val="32"/>
          <w:highlight w:val="none"/>
        </w:rPr>
        <w:fldChar w:fldCharType="begin"/>
      </w:r>
      <w:r>
        <w:rPr>
          <w:b w:val="0"/>
          <w:sz w:val="32"/>
          <w:szCs w:val="32"/>
          <w:highlight w:val="none"/>
        </w:rPr>
        <w:instrText xml:space="preserve"> TOC \o "1-1" \h \z \u </w:instrText>
      </w:r>
      <w:r>
        <w:rPr>
          <w:b w:val="0"/>
          <w:sz w:val="32"/>
          <w:szCs w:val="32"/>
          <w:highlight w:val="none"/>
        </w:rPr>
        <w:fldChar w:fldCharType="separate"/>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"_Toc99301419" </w:instrText>
      </w:r>
      <w:r>
        <w:rPr>
          <w:sz w:val="32"/>
          <w:szCs w:val="32"/>
          <w:highlight w:val="none"/>
        </w:rPr>
        <w:fldChar w:fldCharType="separate"/>
      </w:r>
      <w:r>
        <w:rPr>
          <w:rStyle w:val="1148"/>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_Toc99301419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"_Toc99301420" </w:instrText>
      </w:r>
      <w:r>
        <w:rPr>
          <w:sz w:val="32"/>
          <w:szCs w:val="32"/>
          <w:highlight w:val="none"/>
        </w:rPr>
        <w:fldChar w:fldCharType="separate"/>
      </w:r>
      <w:r>
        <w:rPr>
          <w:rStyle w:val="1148"/>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_Toc99301420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"_Toc99301421" </w:instrText>
      </w:r>
      <w:r>
        <w:rPr>
          <w:sz w:val="32"/>
          <w:szCs w:val="32"/>
          <w:highlight w:val="none"/>
        </w:rPr>
        <w:fldChar w:fldCharType="separate"/>
      </w:r>
      <w:r>
        <w:rPr>
          <w:rStyle w:val="1148"/>
          <w:sz w:val="32"/>
          <w:szCs w:val="32"/>
          <w:highlight w:val="none"/>
        </w:rPr>
        <w:t xml:space="preserve">第三章   资</w:t>
      </w:r>
      <w:bookmarkStart w:id="1" w:name="_Hlt100754117"/>
      <w:r>
        <w:rPr>
          <w:rStyle w:val="1148"/>
          <w:sz w:val="32"/>
          <w:szCs w:val="32"/>
          <w:highlight w:val="none"/>
        </w:rPr>
        <w:t xml:space="preserve">格</w:t>
      </w:r>
      <w:bookmarkEnd w:id="1"/>
      <w:r>
        <w:rPr>
          <w:rStyle w:val="1148"/>
          <w:sz w:val="32"/>
          <w:szCs w:val="32"/>
          <w:highlight w:val="none"/>
        </w:rPr>
        <w:t xml:space="preserve">审查</w:t>
      </w:r>
      <w:r>
        <w:rPr>
          <w:sz w:val="32"/>
          <w:szCs w:val="32"/>
          <w:highlight w:val="none"/>
        </w:rPr>
        <w:tab/>
      </w:r>
      <w:r>
        <w:rPr>
          <w:sz w:val="32"/>
          <w:szCs w:val="32"/>
          <w:highlight w:val="none"/>
        </w:rPr>
        <w:fldChar w:fldCharType="begin"/>
      </w:r>
      <w:r>
        <w:rPr>
          <w:sz w:val="32"/>
          <w:szCs w:val="32"/>
          <w:highlight w:val="none"/>
        </w:rPr>
        <w:instrText xml:space="preserve"> PAGEREF _Toc99301421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"_Toc99301423" </w:instrText>
      </w:r>
      <w:r>
        <w:rPr>
          <w:sz w:val="32"/>
          <w:szCs w:val="32"/>
          <w:highlight w:val="none"/>
        </w:rPr>
        <w:fldChar w:fldCharType="separate"/>
      </w:r>
      <w:r>
        <w:rPr>
          <w:rStyle w:val="1148"/>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_Toc99301423 \h </w:instrText>
      </w:r>
      <w:r>
        <w:rPr>
          <w:sz w:val="32"/>
          <w:szCs w:val="32"/>
          <w:highlight w:val="none"/>
        </w:rPr>
        <w:fldChar w:fldCharType="separate"/>
      </w:r>
      <w:r>
        <w:rPr>
          <w:sz w:val="32"/>
          <w:szCs w:val="32"/>
          <w:highlight w:val="none"/>
        </w:rPr>
        <w:t xml:space="preserve">22</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"_Toc99301424" </w:instrText>
      </w:r>
      <w:r>
        <w:rPr>
          <w:sz w:val="32"/>
          <w:szCs w:val="32"/>
          <w:highlight w:val="none"/>
        </w:rPr>
        <w:fldChar w:fldCharType="separate"/>
      </w:r>
      <w:r>
        <w:rPr>
          <w:rStyle w:val="1148"/>
          <w:sz w:val="32"/>
          <w:szCs w:val="32"/>
          <w:highlight w:val="none"/>
        </w:rPr>
        <w:t xml:space="preserve">第五章   采购</w:t>
      </w:r>
      <w:bookmarkStart w:id="2" w:name="_Hlt100754102"/>
      <w:r/>
      <w:bookmarkStart w:id="3" w:name="_Hlt100754103"/>
      <w:r>
        <w:rPr>
          <w:rStyle w:val="1148"/>
          <w:sz w:val="32"/>
          <w:szCs w:val="32"/>
          <w:highlight w:val="none"/>
        </w:rPr>
        <w:t xml:space="preserve">需</w:t>
      </w:r>
      <w:bookmarkEnd w:id="2"/>
      <w:r/>
      <w:bookmarkEnd w:id="3"/>
      <w:r>
        <w:rPr>
          <w:rStyle w:val="1148"/>
          <w:sz w:val="32"/>
          <w:szCs w:val="32"/>
          <w:highlight w:val="none"/>
        </w:rPr>
        <w:t xml:space="preserve">求</w:t>
      </w:r>
      <w:r>
        <w:rPr>
          <w:sz w:val="32"/>
          <w:szCs w:val="32"/>
          <w:highlight w:val="none"/>
        </w:rPr>
        <w:tab/>
      </w:r>
      <w:r>
        <w:rPr>
          <w:sz w:val="32"/>
          <w:szCs w:val="32"/>
          <w:highlight w:val="none"/>
        </w:rPr>
        <w:fldChar w:fldCharType="begin"/>
      </w:r>
      <w:r>
        <w:rPr>
          <w:sz w:val="32"/>
          <w:szCs w:val="32"/>
          <w:highlight w:val="none"/>
        </w:rPr>
        <w:instrText xml:space="preserve"> PAGEREF _Toc99301424 \h </w:instrText>
      </w:r>
      <w:r>
        <w:rPr>
          <w:sz w:val="32"/>
          <w:szCs w:val="32"/>
          <w:highlight w:val="none"/>
        </w:rPr>
        <w:fldChar w:fldCharType="separate"/>
      </w:r>
      <w:r>
        <w:rPr>
          <w:sz w:val="32"/>
          <w:szCs w:val="32"/>
          <w:highlight w:val="none"/>
        </w:rPr>
        <w:t xml:space="preserve">29</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"_Toc99301425" </w:instrText>
      </w:r>
      <w:r>
        <w:rPr>
          <w:sz w:val="32"/>
          <w:szCs w:val="32"/>
          <w:highlight w:val="none"/>
        </w:rPr>
        <w:fldChar w:fldCharType="separate"/>
      </w:r>
      <w:r>
        <w:rPr>
          <w:rStyle w:val="1148"/>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_Toc99301425 \h </w:instrText>
      </w:r>
      <w:r>
        <w:rPr>
          <w:sz w:val="32"/>
          <w:szCs w:val="32"/>
          <w:highlight w:val="none"/>
        </w:rPr>
        <w:fldChar w:fldCharType="separate"/>
      </w:r>
      <w:r>
        <w:rPr>
          <w:sz w:val="32"/>
          <w:szCs w:val="32"/>
          <w:highlight w:val="none"/>
        </w:rPr>
        <w:t xml:space="preserve">31</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sz w:val="32"/>
          <w:szCs w:val="32"/>
          <w:highlight w:val="none"/>
        </w:rPr>
      </w:pPr>
      <w:r>
        <w:rPr>
          <w:sz w:val="32"/>
          <w:szCs w:val="32"/>
          <w:highlight w:val="none"/>
        </w:rPr>
        <w:fldChar w:fldCharType="begin"/>
      </w:r>
      <w:r>
        <w:rPr>
          <w:sz w:val="32"/>
          <w:szCs w:val="32"/>
          <w:highlight w:val="none"/>
        </w:rPr>
        <w:instrText xml:space="preserve"> HYPERLINK \l "_Toc99301426" </w:instrText>
      </w:r>
      <w:r>
        <w:rPr>
          <w:sz w:val="32"/>
          <w:szCs w:val="32"/>
          <w:highlight w:val="none"/>
        </w:rPr>
        <w:fldChar w:fldCharType="separate"/>
      </w:r>
      <w:r>
        <w:rPr>
          <w:rStyle w:val="1148"/>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_Toc99301426 \h </w:instrText>
      </w:r>
      <w:r>
        <w:rPr>
          <w:sz w:val="32"/>
          <w:szCs w:val="32"/>
          <w:highlight w:val="none"/>
        </w:rPr>
        <w:fldChar w:fldCharType="separate"/>
      </w:r>
      <w:r>
        <w:rPr>
          <w:sz w:val="32"/>
          <w:szCs w:val="32"/>
          <w:highlight w:val="none"/>
        </w:rPr>
        <w:t xml:space="preserve">32</w:t>
      </w:r>
      <w:r>
        <w:rPr>
          <w:sz w:val="32"/>
          <w:szCs w:val="32"/>
          <w:highlight w:val="none"/>
        </w:rPr>
        <w:fldChar w:fldCharType="end"/>
      </w:r>
      <w:r>
        <w:rPr>
          <w:sz w:val="32"/>
          <w:szCs w:val="32"/>
          <w:highlight w:val="none"/>
        </w:rPr>
        <w:fldChar w:fldCharType="end"/>
      </w:r>
      <w:r>
        <w:rPr>
          <w:b w:val="0"/>
          <w:sz w:val="32"/>
          <w:szCs w:val="32"/>
          <w:highlight w:val="none"/>
        </w:rPr>
      </w:r>
      <w:r/>
    </w:p>
    <w:p>
      <w:pPr>
        <w:pStyle w:val="1127"/>
        <w:spacing w:line="720" w:lineRule="auto"/>
        <w:tabs>
          <w:tab w:val="left" w:pos="1050" w:leader="none"/>
          <w:tab w:val="right" w:pos="8937" w:leader="dot"/>
        </w:tabs>
        <w:rPr>
          <w:b w:val="0"/>
          <w:highlight w:val="none"/>
        </w:rPr>
      </w:pPr>
      <w:r>
        <w:rPr>
          <w:b w:val="0"/>
          <w:sz w:val="32"/>
          <w:szCs w:val="32"/>
          <w:highlight w:val="none"/>
        </w:rPr>
        <w:fldChar w:fldCharType="end"/>
      </w:r>
      <w:r>
        <w:rPr>
          <w:b w:val="0"/>
          <w:highlight w:val="none"/>
        </w:rPr>
      </w:r>
      <w:r/>
    </w:p>
    <w:p>
      <w:pPr>
        <w:pStyle w:val="1072"/>
        <w:jc w:val="center"/>
        <w:spacing w:line="360" w:lineRule="auto"/>
        <w:rPr>
          <w:rFonts w:ascii="宋体" w:hAnsi="宋体"/>
          <w:b/>
          <w:sz w:val="36"/>
          <w:szCs w:val="36"/>
          <w:highlight w:val="none"/>
        </w:rPr>
        <w:outlineLvl w:val="0"/>
      </w:pPr>
      <w:r>
        <w:rPr>
          <w:rFonts w:ascii="宋体" w:hAnsi="宋体"/>
          <w:sz w:val="24"/>
          <w:highlight w:val="none"/>
        </w:rPr>
        <w:br w:type="page" w:clear="all"/>
      </w:r>
      <w:bookmarkStart w:id="4" w:name="_Toc99301419"/>
      <w:r>
        <w:rPr>
          <w:rFonts w:ascii="宋体" w:hAnsi="宋体"/>
          <w:b/>
          <w:sz w:val="36"/>
          <w:szCs w:val="36"/>
          <w:highlight w:val="none"/>
        </w:rPr>
        <w:t xml:space="preserve">第一章   投标邀请</w:t>
      </w:r>
      <w:bookmarkEnd w:id="4"/>
      <w:r>
        <w:rPr>
          <w:rFonts w:ascii="宋体" w:hAnsi="宋体"/>
          <w:b/>
          <w:sz w:val="36"/>
          <w:szCs w:val="36"/>
          <w:highlight w:val="none"/>
        </w:rPr>
      </w:r>
      <w:r/>
    </w:p>
    <w:p>
      <w:pPr>
        <w:pStyle w:val="1072"/>
        <w:ind w:firstLine="640"/>
        <w:spacing w:line="360" w:lineRule="auto"/>
        <w:rPr>
          <w:rFonts w:ascii="仿宋" w:hAnsi="仿宋" w:eastAsia="仿宋"/>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highlight w:val="none"/>
        </w:rPr>
        <w:t xml:space="preserve">项目概况</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highlight w:val="none"/>
        </w:rPr>
        <w:t xml:space="preserve">常州市肿瘤医院保安外包服务项目的潜在投标人应在</w:t>
      </w:r>
      <w:r>
        <w:rPr>
          <w:rFonts w:hint="eastAsia" w:ascii="仿宋" w:hAnsi="仿宋" w:eastAsia="仿宋"/>
          <w:sz w:val="32"/>
          <w:szCs w:val="32"/>
          <w:highlight w:val="none"/>
          <w:lang w:bidi="ar"/>
        </w:rPr>
        <w:t xml:space="preserve">“苏采云”政府采购一体化平台</w:t>
      </w:r>
      <w:r>
        <w:rPr>
          <w:rFonts w:hint="eastAsia" w:ascii="仿宋" w:hAnsi="仿宋" w:eastAsia="仿宋"/>
          <w:sz w:val="32"/>
          <w:szCs w:val="32"/>
          <w:highlight w:val="none"/>
        </w:rPr>
        <w:t xml:space="preserve">获取招标文件，并于</w:t>
      </w:r>
      <w:r>
        <w:rPr>
          <w:rFonts w:hint="eastAsia" w:ascii="仿宋" w:hAnsi="仿宋" w:eastAsia="仿宋"/>
          <w:b/>
          <w:bCs/>
          <w:sz w:val="32"/>
          <w:szCs w:val="32"/>
          <w:highlight w:val="none"/>
          <w:lang w:val="en-US" w:eastAsia="zh-CN"/>
        </w:rPr>
        <w:t xml:space="preserve">2026</w:t>
      </w:r>
      <w:r>
        <w:rPr>
          <w:rFonts w:hint="eastAsia" w:ascii="仿宋" w:hAnsi="仿宋" w:eastAsia="仿宋" w:cs="宋体"/>
          <w:b/>
          <w:bCs/>
          <w:sz w:val="32"/>
          <w:szCs w:val="32"/>
          <w:highlight w:val="none"/>
        </w:rPr>
        <w:t xml:space="preserve">年</w:t>
      </w:r>
      <w:r>
        <w:rPr>
          <w:rFonts w:hint="eastAsia" w:ascii="仿宋" w:hAnsi="仿宋" w:eastAsia="仿宋" w:cs="宋体"/>
          <w:b/>
          <w:bCs/>
          <w:sz w:val="32"/>
          <w:szCs w:val="32"/>
          <w:highlight w:val="none"/>
          <w:lang w:val="en-US" w:eastAsia="zh-CN"/>
        </w:rPr>
        <w:t xml:space="preserve">11</w:t>
      </w:r>
      <w:r>
        <w:rPr>
          <w:rFonts w:hint="eastAsia" w:ascii="仿宋" w:hAnsi="仿宋" w:eastAsia="仿宋" w:cs="宋体"/>
          <w:b/>
          <w:bCs/>
          <w:sz w:val="32"/>
          <w:szCs w:val="32"/>
          <w:highlight w:val="none"/>
        </w:rPr>
        <w:t xml:space="preserve">月</w:t>
      </w:r>
      <w:r>
        <w:rPr>
          <w:rFonts w:hint="eastAsia" w:ascii="仿宋" w:hAnsi="仿宋" w:eastAsia="仿宋" w:cs="宋体"/>
          <w:b/>
          <w:bCs/>
          <w:sz w:val="32"/>
          <w:szCs w:val="32"/>
          <w:highlight w:val="none"/>
          <w:lang w:val="en-US" w:eastAsia="zh-CN"/>
        </w:rPr>
        <w:t xml:space="preserve">09</w:t>
      </w:r>
      <w:r>
        <w:rPr>
          <w:rFonts w:hint="eastAsia" w:ascii="仿宋" w:hAnsi="仿宋" w:eastAsia="仿宋" w:cs="宋体"/>
          <w:b/>
          <w:bCs/>
          <w:sz w:val="32"/>
          <w:szCs w:val="32"/>
          <w:highlight w:val="none"/>
        </w:rPr>
        <w:t xml:space="preserve">日</w:t>
      </w:r>
      <w:r>
        <w:rPr>
          <w:rFonts w:hint="eastAsia" w:ascii="仿宋" w:hAnsi="仿宋" w:eastAsia="仿宋" w:cs="宋体"/>
          <w:b/>
          <w:bCs/>
          <w:sz w:val="32"/>
          <w:szCs w:val="32"/>
          <w:highlight w:val="none"/>
          <w:lang w:val="en-US" w:eastAsia="zh-CN"/>
        </w:rPr>
        <w:t xml:space="preserve">14</w:t>
      </w:r>
      <w:r>
        <w:rPr>
          <w:rFonts w:hint="eastAsia" w:ascii="仿宋" w:hAnsi="仿宋" w:eastAsia="仿宋" w:cs="宋体"/>
          <w:b/>
          <w:bCs/>
          <w:sz w:val="32"/>
          <w:szCs w:val="32"/>
          <w:highlight w:val="none"/>
        </w:rPr>
        <w:t xml:space="preserve">点</w:t>
      </w:r>
      <w:r>
        <w:rPr>
          <w:rFonts w:hint="eastAsia" w:ascii="仿宋" w:hAnsi="仿宋" w:eastAsia="仿宋" w:cs="宋体"/>
          <w:b/>
          <w:bCs/>
          <w:sz w:val="32"/>
          <w:szCs w:val="32"/>
          <w:highlight w:val="none"/>
          <w:lang w:val="en-US" w:eastAsia="zh-CN"/>
        </w:rPr>
        <w:t xml:space="preserve">00</w:t>
      </w:r>
      <w:r>
        <w:rPr>
          <w:rFonts w:hint="eastAsia" w:ascii="仿宋" w:hAnsi="仿宋" w:eastAsia="仿宋" w:cs="宋体"/>
          <w:b/>
          <w:bCs/>
          <w:sz w:val="32"/>
          <w:szCs w:val="32"/>
          <w:highlight w:val="none"/>
        </w:rPr>
        <w:t xml:space="preserve">分（北京时间）</w:t>
      </w:r>
      <w:r>
        <w:rPr>
          <w:rFonts w:hint="eastAsia" w:ascii="仿宋" w:hAnsi="仿宋" w:eastAsia="仿宋"/>
          <w:bCs/>
          <w:sz w:val="32"/>
          <w:szCs w:val="32"/>
          <w:highlight w:val="none"/>
        </w:rPr>
        <w:t xml:space="preserve">前递交投标</w:t>
      </w:r>
      <w:r>
        <w:rPr>
          <w:rFonts w:ascii="仿宋" w:hAnsi="仿宋" w:eastAsia="仿宋"/>
          <w:bCs/>
          <w:sz w:val="32"/>
          <w:szCs w:val="32"/>
          <w:highlight w:val="none"/>
        </w:rPr>
        <w:t xml:space="preserve">文件</w:t>
      </w: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1074"/>
        <w:ind w:firstLine="643"/>
        <w:jc w:val="left"/>
        <w:spacing w:before="240" w:line="360" w:lineRule="auto"/>
        <w:rPr>
          <w:rFonts w:ascii="仿宋" w:hAnsi="仿宋" w:eastAsia="仿宋"/>
          <w:sz w:val="32"/>
          <w:szCs w:val="32"/>
          <w:highlight w:val="none"/>
        </w:rPr>
      </w:pPr>
      <w:r/>
      <w:bookmarkStart w:id="5" w:name="_Toc35393790"/>
      <w:r/>
      <w:bookmarkStart w:id="6" w:name="_Toc28359002"/>
      <w:r/>
      <w:bookmarkStart w:id="7" w:name="_Toc28359079"/>
      <w:r/>
      <w:bookmarkStart w:id="8" w:name="_Toc35393621"/>
      <w:r/>
      <w:bookmarkStart w:id="9" w:name="_Hlk24379207"/>
      <w:r>
        <w:rPr>
          <w:rFonts w:ascii="仿宋" w:hAnsi="仿宋" w:eastAsia="仿宋"/>
          <w:sz w:val="32"/>
          <w:szCs w:val="32"/>
          <w:highlight w:val="none"/>
        </w:rPr>
        <w:t xml:space="preserve">一、项目基本情况</w:t>
      </w:r>
      <w:bookmarkEnd w:id="5"/>
      <w:r/>
      <w:bookmarkEnd w:id="6"/>
      <w:r/>
      <w:bookmarkEnd w:id="7"/>
      <w:r/>
      <w:bookmarkEnd w:id="8"/>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1.项目编号：</w:t>
      </w:r>
      <w:r>
        <w:rPr>
          <w:rFonts w:hint="eastAsia" w:ascii="仿宋" w:hAnsi="仿宋" w:eastAsia="仿宋"/>
          <w:sz w:val="32"/>
          <w:szCs w:val="32"/>
          <w:highlight w:val="none"/>
        </w:rPr>
        <w:t xml:space="preserve">JSZC-320400-CTZB-G2026-0142</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2.项目名称：</w:t>
      </w:r>
      <w:r>
        <w:rPr>
          <w:rFonts w:hint="eastAsia" w:ascii="仿宋" w:hAnsi="仿宋" w:eastAsia="仿宋"/>
          <w:sz w:val="32"/>
          <w:szCs w:val="32"/>
          <w:highlight w:val="none"/>
        </w:rPr>
        <w:t xml:space="preserve">常州市肿瘤医院保安外包服务项目</w:t>
      </w:r>
      <w:r>
        <w:rPr>
          <w:rFonts w:ascii="仿宋" w:hAnsi="仿宋" w:eastAsia="仿宋"/>
          <w:sz w:val="32"/>
          <w:szCs w:val="32"/>
          <w:highlight w:val="none"/>
        </w:rPr>
      </w:r>
      <w:r/>
    </w:p>
    <w:p>
      <w:pPr>
        <w:pStyle w:val="1072"/>
        <w:ind w:firstLine="640"/>
        <w:spacing w:line="360" w:lineRule="auto"/>
        <w:rPr>
          <w:rFonts w:hint="eastAsia" w:ascii="仿宋" w:hAnsi="仿宋" w:eastAsia="仿宋"/>
          <w:color w:val="ff0000"/>
          <w:sz w:val="32"/>
          <w:szCs w:val="32"/>
          <w:highlight w:val="none"/>
        </w:rPr>
      </w:pPr>
      <w:r/>
      <w:bookmarkEnd w:id="9"/>
      <w:r>
        <w:rPr>
          <w:rFonts w:ascii="仿宋" w:hAnsi="仿宋" w:eastAsia="仿宋"/>
          <w:sz w:val="32"/>
          <w:szCs w:val="32"/>
          <w:highlight w:val="none"/>
        </w:rPr>
        <w:t xml:space="preserve">3.项目预算金额：</w:t>
      </w:r>
      <w:r>
        <w:rPr>
          <w:rFonts w:hint="eastAsia" w:ascii="仿宋" w:hAnsi="仿宋" w:eastAsia="仿宋"/>
          <w:sz w:val="32"/>
          <w:szCs w:val="32"/>
          <w:highlight w:val="none"/>
        </w:rPr>
        <w:t xml:space="preserve">845.7</w:t>
      </w:r>
      <w:r>
        <w:rPr>
          <w:rFonts w:ascii="仿宋" w:hAnsi="仿宋" w:eastAsia="仿宋"/>
          <w:sz w:val="32"/>
          <w:szCs w:val="32"/>
          <w:highlight w:val="none"/>
        </w:rPr>
        <w:t xml:space="preserve">万元</w:t>
      </w:r>
      <w:r>
        <w:rPr>
          <w:rFonts w:hint="eastAsia" w:ascii="仿宋" w:hAnsi="仿宋" w:eastAsia="仿宋"/>
          <w:color w:val="ff0000"/>
          <w:sz w:val="32"/>
          <w:szCs w:val="32"/>
          <w:highlight w:val="non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4.</w:t>
      </w:r>
      <w:r>
        <w:rPr>
          <w:rFonts w:ascii="仿宋" w:hAnsi="仿宋" w:eastAsia="仿宋"/>
          <w:sz w:val="32"/>
          <w:szCs w:val="32"/>
          <w:highlight w:val="none"/>
        </w:rPr>
        <w:t xml:space="preserve">项目最高限价：</w:t>
      </w:r>
      <w:r>
        <w:rPr>
          <w:rFonts w:hint="eastAsia" w:ascii="仿宋" w:hAnsi="仿宋" w:eastAsia="仿宋"/>
          <w:sz w:val="32"/>
          <w:szCs w:val="32"/>
          <w:highlight w:val="none"/>
        </w:rPr>
        <w:t xml:space="preserve">845.7</w:t>
      </w:r>
      <w:r>
        <w:rPr>
          <w:rFonts w:ascii="仿宋" w:hAnsi="仿宋" w:eastAsia="仿宋"/>
          <w:sz w:val="32"/>
          <w:szCs w:val="32"/>
          <w:highlight w:val="none"/>
        </w:rPr>
        <w:t xml:space="preserve">万元</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5</w:t>
      </w:r>
      <w:r>
        <w:rPr>
          <w:rFonts w:ascii="仿宋" w:hAnsi="仿宋" w:eastAsia="仿宋"/>
          <w:sz w:val="32"/>
          <w:szCs w:val="32"/>
          <w:highlight w:val="none"/>
        </w:rPr>
        <w:t xml:space="preserve">.采购需求：</w:t>
      </w:r>
      <w:r>
        <w:rPr>
          <w:rFonts w:ascii="仿宋" w:hAnsi="仿宋" w:eastAsia="仿宋"/>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538"/>
        <w:gridCol w:w="1626"/>
        <w:gridCol w:w="994"/>
        <w:gridCol w:w="4156"/>
      </w:tblGrid>
      <w:tr>
        <w:trPr>
          <w:trHeight w:val="454"/>
        </w:trPr>
        <w:tc>
          <w:tcPr>
            <w:tcW w:w="499" w:type="dxa"/>
            <w:vAlign w:val="center"/>
            <w:textDirection w:val="lrTb"/>
            <w:noWrap w:val="false"/>
          </w:tcPr>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包号</w:t>
            </w:r>
            <w:r>
              <w:rPr>
                <w:rFonts w:ascii="仿宋" w:hAnsi="仿宋" w:eastAsia="仿宋"/>
                <w:bCs/>
                <w:sz w:val="32"/>
                <w:szCs w:val="32"/>
                <w:highlight w:val="none"/>
              </w:rPr>
            </w:r>
            <w:r/>
          </w:p>
        </w:tc>
        <w:tc>
          <w:tcPr>
            <w:tcW w:w="832" w:type="dxa"/>
            <w:vAlign w:val="center"/>
            <w:textDirection w:val="lrTb"/>
            <w:noWrap w:val="false"/>
          </w:tcPr>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标的名称</w:t>
            </w:r>
            <w:r>
              <w:rPr>
                <w:rFonts w:ascii="仿宋" w:hAnsi="仿宋" w:eastAsia="仿宋"/>
                <w:bCs/>
                <w:sz w:val="32"/>
                <w:szCs w:val="32"/>
                <w:highlight w:val="none"/>
              </w:rPr>
            </w:r>
            <w:r/>
          </w:p>
        </w:tc>
        <w:tc>
          <w:tcPr>
            <w:tcW w:w="880" w:type="dxa"/>
            <w:vAlign w:val="center"/>
            <w:textDirection w:val="lrTb"/>
            <w:noWrap w:val="false"/>
          </w:tcPr>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采购包预算金额</w:t>
            </w:r>
            <w:r>
              <w:rPr>
                <w:rFonts w:ascii="仿宋" w:hAnsi="仿宋" w:eastAsia="仿宋"/>
                <w:bCs/>
                <w:sz w:val="32"/>
                <w:szCs w:val="32"/>
                <w:highlight w:val="none"/>
              </w:rPr>
            </w:r>
            <w:r/>
          </w:p>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（万元）</w:t>
            </w:r>
            <w:r>
              <w:rPr>
                <w:rFonts w:ascii="仿宋" w:hAnsi="仿宋" w:eastAsia="仿宋"/>
                <w:bCs/>
                <w:sz w:val="32"/>
                <w:szCs w:val="32"/>
                <w:highlight w:val="none"/>
              </w:rPr>
            </w:r>
            <w:r/>
          </w:p>
        </w:tc>
        <w:tc>
          <w:tcPr>
            <w:tcW w:w="538" w:type="dxa"/>
            <w:vAlign w:val="center"/>
            <w:textDirection w:val="lrTb"/>
            <w:noWrap w:val="false"/>
          </w:tcPr>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数量</w:t>
            </w:r>
            <w:r>
              <w:rPr>
                <w:rFonts w:ascii="仿宋" w:hAnsi="仿宋" w:eastAsia="仿宋"/>
                <w:bCs/>
                <w:sz w:val="32"/>
                <w:szCs w:val="32"/>
                <w:highlight w:val="none"/>
              </w:rPr>
            </w:r>
            <w:r/>
          </w:p>
        </w:tc>
        <w:tc>
          <w:tcPr>
            <w:tcW w:w="2249" w:type="dxa"/>
            <w:vAlign w:val="center"/>
            <w:textDirection w:val="lrTb"/>
            <w:noWrap w:val="false"/>
          </w:tcPr>
          <w:p>
            <w:pPr>
              <w:pStyle w:val="1072"/>
              <w:jc w:val="center"/>
              <w:rPr>
                <w:rFonts w:ascii="仿宋" w:hAnsi="仿宋" w:eastAsia="仿宋"/>
                <w:sz w:val="32"/>
                <w:szCs w:val="32"/>
                <w:highlight w:val="none"/>
              </w:rPr>
            </w:pPr>
            <w:r>
              <w:rPr>
                <w:rFonts w:ascii="仿宋" w:hAnsi="仿宋" w:eastAsia="仿宋"/>
                <w:sz w:val="32"/>
                <w:szCs w:val="32"/>
                <w:highlight w:val="none"/>
              </w:rPr>
              <w:t xml:space="preserve">简要技术需求或服务要求</w:t>
            </w:r>
            <w:r>
              <w:rPr>
                <w:rFonts w:ascii="仿宋" w:hAnsi="仿宋" w:eastAsia="仿宋"/>
                <w:sz w:val="32"/>
                <w:szCs w:val="32"/>
                <w:highlight w:val="none"/>
              </w:rPr>
            </w:r>
            <w:r/>
          </w:p>
        </w:tc>
      </w:tr>
      <w:tr>
        <w:trPr>
          <w:trHeight w:val="454"/>
        </w:trPr>
        <w:tc>
          <w:tcPr>
            <w:tcW w:w="499" w:type="dxa"/>
            <w:vAlign w:val="center"/>
            <w:textDirection w:val="lrTb"/>
            <w:noWrap w:val="false"/>
          </w:tcPr>
          <w:p>
            <w:pPr>
              <w:pStyle w:val="1072"/>
              <w:jc w:val="center"/>
              <w:rPr>
                <w:rFonts w:ascii="仿宋" w:hAnsi="仿宋" w:eastAsia="仿宋"/>
                <w:bCs/>
                <w:sz w:val="32"/>
                <w:szCs w:val="32"/>
                <w:highlight w:val="none"/>
              </w:rPr>
            </w:pPr>
            <w:r>
              <w:rPr>
                <w:rFonts w:ascii="仿宋" w:hAnsi="仿宋" w:eastAsia="仿宋"/>
                <w:bCs/>
                <w:sz w:val="32"/>
                <w:szCs w:val="32"/>
                <w:highlight w:val="none"/>
              </w:rPr>
              <w:t xml:space="preserve">01</w:t>
            </w:r>
            <w:r>
              <w:rPr>
                <w:rFonts w:ascii="仿宋" w:hAnsi="仿宋" w:eastAsia="仿宋"/>
                <w:bCs/>
                <w:sz w:val="32"/>
                <w:szCs w:val="32"/>
                <w:highlight w:val="none"/>
              </w:rPr>
            </w:r>
            <w:r/>
          </w:p>
        </w:tc>
        <w:tc>
          <w:tcPr>
            <w:tcW w:w="832" w:type="dxa"/>
            <w:vAlign w:val="center"/>
            <w:textDirection w:val="lrTb"/>
            <w:noWrap w:val="false"/>
          </w:tcPr>
          <w:p>
            <w:pPr>
              <w:pStyle w:val="1072"/>
              <w:jc w:val="center"/>
              <w:spacing w:line="560" w:lineRule="exact"/>
              <w:rPr>
                <w:rFonts w:ascii="仿宋" w:hAnsi="仿宋" w:eastAsia="仿宋"/>
                <w:bCs/>
                <w:sz w:val="32"/>
                <w:szCs w:val="32"/>
                <w:highlight w:val="none"/>
              </w:rPr>
            </w:pPr>
            <w:r>
              <w:rPr>
                <w:rFonts w:hint="eastAsia" w:ascii="仿宋" w:hAnsi="仿宋" w:eastAsia="仿宋"/>
                <w:sz w:val="32"/>
                <w:szCs w:val="32"/>
                <w:highlight w:val="none"/>
              </w:rPr>
              <w:t xml:space="preserve">保安服务</w:t>
            </w:r>
            <w:r>
              <w:rPr>
                <w:rFonts w:ascii="仿宋" w:hAnsi="仿宋" w:eastAsia="仿宋"/>
                <w:bCs/>
                <w:sz w:val="32"/>
                <w:szCs w:val="32"/>
                <w:highlight w:val="none"/>
              </w:rPr>
            </w:r>
            <w:r/>
          </w:p>
        </w:tc>
        <w:tc>
          <w:tcPr>
            <w:tcW w:w="880" w:type="dxa"/>
            <w:vAlign w:val="center"/>
            <w:textDirection w:val="lrTb"/>
            <w:noWrap w:val="false"/>
          </w:tcPr>
          <w:p>
            <w:pPr>
              <w:pStyle w:val="1072"/>
              <w:jc w:val="center"/>
              <w:spacing w:line="560" w:lineRule="exact"/>
              <w:rPr>
                <w:rFonts w:ascii="仿宋" w:hAnsi="仿宋" w:eastAsia="仿宋"/>
                <w:bCs/>
                <w:sz w:val="32"/>
                <w:szCs w:val="32"/>
                <w:highlight w:val="none"/>
              </w:rPr>
            </w:pPr>
            <w:r>
              <w:rPr>
                <w:rFonts w:hint="eastAsia" w:ascii="仿宋" w:hAnsi="仿宋" w:eastAsia="仿宋"/>
                <w:sz w:val="32"/>
                <w:szCs w:val="32"/>
                <w:highlight w:val="none"/>
              </w:rPr>
              <w:t xml:space="preserve">845.7</w:t>
            </w:r>
            <w:r>
              <w:rPr>
                <w:rFonts w:ascii="仿宋" w:hAnsi="仿宋" w:eastAsia="仿宋"/>
                <w:bCs/>
                <w:sz w:val="32"/>
                <w:szCs w:val="32"/>
                <w:highlight w:val="none"/>
              </w:rPr>
            </w:r>
            <w:r/>
          </w:p>
        </w:tc>
        <w:tc>
          <w:tcPr>
            <w:tcW w:w="538" w:type="dxa"/>
            <w:vAlign w:val="center"/>
            <w:textDirection w:val="lrTb"/>
            <w:noWrap w:val="false"/>
          </w:tcPr>
          <w:p>
            <w:pPr>
              <w:pStyle w:val="1072"/>
              <w:jc w:val="center"/>
              <w:spacing w:line="560" w:lineRule="exact"/>
              <w:rPr>
                <w:rFonts w:ascii="仿宋" w:hAnsi="仿宋" w:eastAsia="仿宋"/>
                <w:bCs/>
                <w:sz w:val="32"/>
                <w:szCs w:val="32"/>
                <w:highlight w:val="none"/>
              </w:rPr>
            </w:pPr>
            <w:r>
              <w:rPr>
                <w:rFonts w:hint="eastAsia" w:ascii="仿宋" w:hAnsi="仿宋" w:eastAsia="仿宋"/>
                <w:sz w:val="32"/>
                <w:szCs w:val="32"/>
                <w:highlight w:val="none"/>
              </w:rPr>
              <w:t xml:space="preserve">3年</w:t>
            </w:r>
            <w:r>
              <w:rPr>
                <w:rFonts w:ascii="仿宋" w:hAnsi="仿宋" w:eastAsia="仿宋"/>
                <w:bCs/>
                <w:sz w:val="32"/>
                <w:szCs w:val="32"/>
                <w:highlight w:val="none"/>
              </w:rPr>
            </w:r>
            <w:r/>
          </w:p>
        </w:tc>
        <w:tc>
          <w:tcPr>
            <w:tcW w:w="2249" w:type="dxa"/>
            <w:vAlign w:val="center"/>
            <w:textDirection w:val="lrTb"/>
            <w:noWrap w:val="false"/>
          </w:tcPr>
          <w:p>
            <w:pPr>
              <w:pStyle w:val="1072"/>
              <w:jc w:val="center"/>
              <w:spacing w:line="560" w:lineRule="exact"/>
              <w:rPr>
                <w:rFonts w:ascii="仿宋" w:hAnsi="仿宋" w:eastAsia="仿宋"/>
                <w:b/>
                <w:bCs/>
                <w:sz w:val="32"/>
                <w:szCs w:val="32"/>
                <w:highlight w:val="none"/>
              </w:rPr>
            </w:pPr>
            <w:r>
              <w:rPr>
                <w:rFonts w:hint="eastAsia" w:ascii="仿宋" w:hAnsi="仿宋" w:eastAsia="仿宋" w:cs="Times New Roman"/>
                <w:sz w:val="32"/>
                <w:szCs w:val="32"/>
                <w:highlight w:val="none"/>
              </w:rPr>
              <w:t xml:space="preserve">包含院区公共秩序、治安管理；医患纠纷应急处理及安全保卫；消控监控值班服务、协助消防安全巡查；安全防护巡查；停车管理等服务。</w:t>
            </w:r>
            <w:r>
              <w:rPr>
                <w:rFonts w:ascii="仿宋" w:hAnsi="仿宋" w:eastAsia="仿宋"/>
                <w:b/>
                <w:bCs/>
                <w:sz w:val="32"/>
                <w:szCs w:val="32"/>
                <w:highlight w:val="none"/>
              </w:rPr>
            </w:r>
            <w:r/>
          </w:p>
        </w:tc>
      </w:tr>
    </w:tbl>
    <w:p>
      <w:pPr>
        <w:pStyle w:val="1072"/>
        <w:ind w:firstLine="640"/>
        <w:spacing w:line="360" w:lineRule="auto"/>
        <w:rPr>
          <w:rFonts w:ascii="仿宋" w:hAnsi="仿宋" w:eastAsia="仿宋"/>
          <w:sz w:val="32"/>
          <w:szCs w:val="32"/>
          <w:highlight w:val="none"/>
          <w:u w:val="single"/>
        </w:rPr>
      </w:pPr>
      <w:r>
        <w:rPr>
          <w:rFonts w:hint="eastAsia" w:ascii="仿宋" w:hAnsi="仿宋" w:eastAsia="仿宋"/>
          <w:sz w:val="32"/>
          <w:szCs w:val="32"/>
          <w:highlight w:val="none"/>
        </w:rPr>
        <w:t xml:space="preserve">6</w:t>
      </w:r>
      <w:r>
        <w:rPr>
          <w:rFonts w:ascii="仿宋" w:hAnsi="仿宋" w:eastAsia="仿宋"/>
          <w:sz w:val="32"/>
          <w:szCs w:val="32"/>
          <w:highlight w:val="none"/>
        </w:rPr>
        <w:t xml:space="preserve">.</w:t>
      </w:r>
      <w:r>
        <w:rPr>
          <w:rFonts w:hint="eastAsia" w:ascii="仿宋" w:hAnsi="仿宋" w:eastAsia="仿宋"/>
          <w:sz w:val="32"/>
          <w:szCs w:val="32"/>
          <w:highlight w:val="none"/>
        </w:rPr>
        <w:t xml:space="preserve">合同履行期限：三年，合同一年一签，其中：前三个月为试用期，试用期满须经采购人考核，考核不合格，采购人有权解除合同。每年合同期满经采购人考核合格后续签下一年度合同。</w:t>
      </w:r>
      <w:r>
        <w:rPr>
          <w:rFonts w:ascii="仿宋" w:hAnsi="仿宋" w:eastAsia="仿宋"/>
          <w:sz w:val="32"/>
          <w:szCs w:val="32"/>
          <w:highlight w:val="none"/>
          <w:u w:val="singl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7</w:t>
      </w:r>
      <w:r>
        <w:rPr>
          <w:rFonts w:ascii="仿宋" w:hAnsi="仿宋" w:eastAsia="仿宋"/>
          <w:sz w:val="32"/>
          <w:szCs w:val="32"/>
          <w:highlight w:val="none"/>
        </w:rPr>
        <w:t xml:space="preserve">.本项目是否接受联合体投标：□是  ■否。</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8.</w:t>
      </w:r>
      <w:r>
        <w:rPr>
          <w:rFonts w:ascii="仿宋" w:hAnsi="仿宋" w:eastAsia="仿宋"/>
          <w:sz w:val="32"/>
          <w:szCs w:val="32"/>
          <w:highlight w:val="none"/>
        </w:rPr>
        <w:t xml:space="preserve">本项目是否接受</w:t>
      </w:r>
      <w:r>
        <w:rPr>
          <w:rFonts w:hint="eastAsia" w:ascii="仿宋" w:hAnsi="仿宋" w:eastAsia="仿宋"/>
          <w:sz w:val="32"/>
          <w:szCs w:val="32"/>
          <w:highlight w:val="none"/>
        </w:rPr>
        <w:t xml:space="preserve">进口产品</w:t>
      </w:r>
      <w:r>
        <w:rPr>
          <w:rFonts w:ascii="仿宋" w:hAnsi="仿宋" w:eastAsia="仿宋"/>
          <w:sz w:val="32"/>
          <w:szCs w:val="32"/>
          <w:highlight w:val="none"/>
        </w:rPr>
        <w:t xml:space="preserve">投标：□是  ■否。</w:t>
      </w:r>
      <w:r>
        <w:rPr>
          <w:rFonts w:ascii="仿宋" w:hAnsi="仿宋" w:eastAsia="仿宋"/>
          <w:sz w:val="32"/>
          <w:szCs w:val="32"/>
          <w:highlight w:val="none"/>
        </w:rPr>
      </w:r>
      <w:r/>
    </w:p>
    <w:p>
      <w:pPr>
        <w:pStyle w:val="1074"/>
        <w:ind w:firstLine="643"/>
        <w:jc w:val="left"/>
        <w:spacing w:before="0" w:line="360" w:lineRule="auto"/>
        <w:rPr>
          <w:rFonts w:ascii="仿宋" w:hAnsi="仿宋" w:eastAsia="仿宋"/>
          <w:sz w:val="32"/>
          <w:szCs w:val="32"/>
          <w:highlight w:val="none"/>
        </w:rPr>
      </w:pPr>
      <w:r/>
      <w:bookmarkStart w:id="10" w:name="_Toc28359080"/>
      <w:r/>
      <w:bookmarkStart w:id="11" w:name="_Toc35393791"/>
      <w:r/>
      <w:bookmarkStart w:id="12" w:name="_Toc35393622"/>
      <w:r/>
      <w:bookmarkStart w:id="13" w:name="_Toc28359003"/>
      <w:r>
        <w:rPr>
          <w:rFonts w:ascii="仿宋" w:hAnsi="仿宋" w:eastAsia="仿宋"/>
          <w:sz w:val="32"/>
          <w:szCs w:val="32"/>
          <w:highlight w:val="none"/>
        </w:rPr>
        <w:t xml:space="preserve">二、申请人的资格要求（须同时满足）</w:t>
      </w:r>
      <w:bookmarkEnd w:id="10"/>
      <w:r/>
      <w:bookmarkEnd w:id="11"/>
      <w:r/>
      <w:bookmarkEnd w:id="12"/>
      <w:r/>
      <w:bookmarkEnd w:id="13"/>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1.满足《中华人民共和国政府采购法》第二十二条规定</w:t>
      </w:r>
      <w:r>
        <w:rPr>
          <w:rFonts w:hint="eastAsia" w:ascii="仿宋" w:hAnsi="仿宋" w:eastAsia="仿宋"/>
          <w:sz w:val="32"/>
          <w:szCs w:val="32"/>
          <w:highlight w:val="none"/>
        </w:rPr>
        <w:t xml:space="preserve">以及下列情形：</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bookmarkStart w:id="14" w:name="_Toc28359081"/>
      <w:r/>
      <w:bookmarkStart w:id="15" w:name="_Toc28359004"/>
      <w:r>
        <w:rPr>
          <w:rFonts w:ascii="仿宋" w:hAnsi="仿宋" w:eastAsia="仿宋"/>
          <w:sz w:val="32"/>
          <w:szCs w:val="32"/>
          <w:highlight w:val="none"/>
        </w:rPr>
        <w:t xml:space="preserve">2.落实政府采购政策需满足的资格要求：</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2.1 中小企业政策</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□本项目不专门面向中小企业预留采购份额。</w:t>
      </w:r>
      <w:r>
        <w:rPr>
          <w:rFonts w:ascii="仿宋" w:hAnsi="仿宋" w:eastAsia="仿宋"/>
          <w:sz w:val="32"/>
          <w:szCs w:val="32"/>
          <w:highlight w:val="none"/>
        </w:rPr>
      </w:r>
      <w:r/>
    </w:p>
    <w:p>
      <w:pPr>
        <w:pStyle w:val="1072"/>
        <w:ind w:firstLine="640"/>
        <w:spacing w:line="360" w:lineRule="auto"/>
        <w:rPr>
          <w:rFonts w:ascii="仿宋" w:hAnsi="仿宋" w:eastAsia="仿宋"/>
          <w:b/>
          <w:sz w:val="32"/>
          <w:szCs w:val="32"/>
          <w:highlight w:val="none"/>
        </w:rPr>
      </w:pPr>
      <w:r>
        <w:rPr>
          <w:rFonts w:hint="eastAsia" w:ascii="仿宋" w:hAnsi="仿宋" w:eastAsia="仿宋"/>
          <w:sz w:val="32"/>
          <w:szCs w:val="32"/>
          <w:highlight w:val="none"/>
        </w:rPr>
        <w:t xml:space="preserve">■</w:t>
      </w:r>
      <w:r>
        <w:rPr>
          <w:rFonts w:ascii="仿宋" w:hAnsi="仿宋" w:eastAsia="仿宋"/>
          <w:sz w:val="32"/>
          <w:szCs w:val="32"/>
          <w:highlight w:val="none"/>
        </w:rPr>
        <w:t xml:space="preserve">本项目专门面向  </w:t>
      </w:r>
      <w:r>
        <w:rPr>
          <w:rFonts w:hint="eastAsia" w:ascii="仿宋" w:hAnsi="仿宋" w:eastAsia="仿宋"/>
          <w:sz w:val="32"/>
          <w:szCs w:val="32"/>
          <w:highlight w:val="none"/>
        </w:rPr>
        <w:t xml:space="preserve">■</w:t>
      </w:r>
      <w:r>
        <w:rPr>
          <w:rFonts w:ascii="仿宋" w:hAnsi="仿宋" w:eastAsia="仿宋"/>
          <w:sz w:val="32"/>
          <w:szCs w:val="32"/>
          <w:highlight w:val="none"/>
        </w:rPr>
        <w:t xml:space="preserve">中小 □小微企业  采购。即：</w:t>
      </w:r>
      <w:r>
        <w:rPr>
          <w:rFonts w:ascii="仿宋" w:hAnsi="仿宋" w:eastAsia="仿宋"/>
          <w:b/>
          <w:sz w:val="32"/>
          <w:szCs w:val="32"/>
          <w:highlight w:val="none"/>
        </w:rPr>
        <w:t xml:space="preserve">提供的服务全部由符合政策要求的中小/小微企业承接。</w:t>
      </w:r>
      <w:r>
        <w:rPr>
          <w:rFonts w:ascii="仿宋" w:hAnsi="仿宋" w:eastAsia="仿宋"/>
          <w:b/>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□本项目预留部分采购项目预算专门面向中小企业采购。</w:t>
      </w:r>
      <w:r>
        <w:rPr>
          <w:rFonts w:ascii="仿宋" w:hAnsi="仿宋" w:eastAsia="仿宋"/>
          <w:b/>
          <w:sz w:val="32"/>
          <w:szCs w:val="32"/>
          <w:highlight w:val="none"/>
        </w:rPr>
        <w:t xml:space="preserve">对于预留份额，提供的货物由符合政策要求的中小企业制造、服务由符合政策要求的中小企业承接。</w:t>
      </w:r>
      <w:r>
        <w:rPr>
          <w:rFonts w:ascii="仿宋" w:hAnsi="仿宋" w:eastAsia="仿宋"/>
          <w:sz w:val="32"/>
          <w:szCs w:val="32"/>
          <w:highlight w:val="none"/>
        </w:rPr>
        <w:t xml:space="preserve">预留份额通过以下措施进行：</w:t>
      </w:r>
      <w:r>
        <w:rPr>
          <w:rFonts w:hint="eastAsia" w:ascii="仿宋" w:hAnsi="仿宋" w:eastAsia="仿宋"/>
          <w:b/>
          <w:sz w:val="32"/>
          <w:szCs w:val="32"/>
          <w:highlight w:val="none"/>
        </w:rPr>
        <w:t xml:space="preserve">获得采购合同的投标人应承诺将采购项目中不低于40%的金额分包给一家或多家中小企业。</w:t>
      </w:r>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2.2 其它落实政府采购政策的资格要求（如有）：</w:t>
      </w:r>
      <w:r>
        <w:rPr>
          <w:rFonts w:hint="eastAsia" w:ascii="仿宋" w:hAnsi="仿宋" w:eastAsia="仿宋"/>
          <w:sz w:val="32"/>
          <w:szCs w:val="32"/>
          <w:highlight w:val="none"/>
          <w:u w:val="single"/>
        </w:rPr>
        <w:t xml:space="preserve">/</w:t>
      </w: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1072"/>
        <w:ind w:firstLine="640"/>
        <w:spacing w:line="360" w:lineRule="auto"/>
        <w:rPr>
          <w:rFonts w:ascii="仿宋" w:hAnsi="仿宋" w:eastAsia="仿宋"/>
          <w:i/>
          <w:iCs/>
          <w:sz w:val="32"/>
          <w:szCs w:val="32"/>
          <w:highlight w:val="none"/>
          <w:u w:val="single"/>
        </w:rPr>
      </w:pPr>
      <w:r>
        <w:rPr>
          <w:rFonts w:ascii="仿宋" w:hAnsi="仿宋" w:eastAsia="仿宋"/>
          <w:sz w:val="32"/>
          <w:szCs w:val="32"/>
          <w:highlight w:val="none"/>
        </w:rPr>
        <w:t xml:space="preserve">3.本项目的特定资格要求：</w:t>
      </w:r>
      <w:r>
        <w:rPr>
          <w:rFonts w:ascii="仿宋" w:hAnsi="仿宋" w:eastAsia="仿宋"/>
          <w:i/>
          <w:iCs/>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highlight w:val="none"/>
        </w:rPr>
      </w:pPr>
      <w:r>
        <w:rPr>
          <w:rFonts w:ascii="仿宋" w:hAnsi="仿宋" w:eastAsia="仿宋"/>
          <w:sz w:val="32"/>
          <w:szCs w:val="32"/>
          <w:highlight w:val="none"/>
        </w:rPr>
        <w:t xml:space="preserve">3.1本项目是否接受分支机构参与投标：□是   </w:t>
      </w:r>
      <w:r>
        <w:rPr>
          <w:rFonts w:hint="eastAsia" w:ascii="仿宋" w:hAnsi="仿宋" w:eastAsia="仿宋"/>
          <w:sz w:val="32"/>
          <w:szCs w:val="32"/>
          <w:highlight w:val="none"/>
        </w:rPr>
        <w:t xml:space="preserve">■</w:t>
      </w:r>
      <w:r>
        <w:rPr>
          <w:rFonts w:ascii="仿宋" w:hAnsi="仿宋" w:eastAsia="仿宋"/>
          <w:sz w:val="32"/>
          <w:szCs w:val="32"/>
          <w:highlight w:val="none"/>
        </w:rPr>
        <w:t xml:space="preserve">否；</w:t>
      </w:r>
      <w:r>
        <w:rPr>
          <w:rFonts w:ascii="仿宋" w:hAnsi="仿宋" w:eastAsia="仿宋"/>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highlight w:val="none"/>
        </w:rPr>
      </w:pPr>
      <w:r>
        <w:rPr>
          <w:rFonts w:ascii="仿宋" w:hAnsi="仿宋" w:eastAsia="仿宋"/>
          <w:sz w:val="32"/>
          <w:szCs w:val="32"/>
          <w:highlight w:val="none"/>
        </w:rPr>
        <w:t xml:space="preserve">3.2本项目是否属于政府购买服务：</w:t>
      </w:r>
      <w:r>
        <w:rPr>
          <w:rFonts w:ascii="仿宋" w:hAnsi="仿宋" w:eastAsia="仿宋"/>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highlight w:val="none"/>
        </w:rPr>
      </w:pPr>
      <w:r>
        <w:rPr>
          <w:rFonts w:hint="eastAsia" w:ascii="仿宋" w:hAnsi="仿宋" w:eastAsia="仿宋"/>
          <w:sz w:val="32"/>
          <w:szCs w:val="32"/>
          <w:highlight w:val="none"/>
        </w:rPr>
        <w:t xml:space="preserve">■</w:t>
      </w:r>
      <w:r>
        <w:rPr>
          <w:rFonts w:ascii="仿宋" w:hAnsi="仿宋" w:eastAsia="仿宋"/>
          <w:sz w:val="32"/>
          <w:szCs w:val="32"/>
          <w:highlight w:val="none"/>
        </w:rPr>
        <w:t xml:space="preserve">否</w:t>
      </w:r>
      <w:r>
        <w:rPr>
          <w:rFonts w:ascii="仿宋" w:hAnsi="仿宋" w:eastAsia="仿宋"/>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highlight w:val="none"/>
        </w:rPr>
      </w:pPr>
      <w:r>
        <w:rPr>
          <w:rFonts w:ascii="仿宋" w:hAnsi="仿宋" w:eastAsia="仿宋"/>
          <w:sz w:val="32"/>
          <w:szCs w:val="32"/>
          <w:highlight w:val="none"/>
        </w:rPr>
        <w:t xml:space="preserve">□是，公益一类事业单位、使用事业编制且由财政拨款保障的群团组织，不得作为承接主体；</w:t>
      </w:r>
      <w:r>
        <w:rPr>
          <w:rFonts w:ascii="仿宋" w:hAnsi="仿宋" w:eastAsia="仿宋"/>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highlight w:val="none"/>
          <w:u w:val="single"/>
        </w:rPr>
      </w:pPr>
      <w:r>
        <w:rPr>
          <w:rFonts w:ascii="仿宋" w:hAnsi="仿宋" w:eastAsia="仿宋"/>
          <w:sz w:val="32"/>
          <w:szCs w:val="32"/>
          <w:highlight w:val="none"/>
        </w:rPr>
        <w:t xml:space="preserve">3.3其他特定资格要求：</w:t>
      </w:r>
      <w:r>
        <w:rPr>
          <w:rFonts w:hint="eastAsia" w:ascii="仿宋" w:hAnsi="仿宋" w:eastAsia="仿宋"/>
          <w:b/>
          <w:bCs/>
          <w:sz w:val="32"/>
          <w:szCs w:val="32"/>
          <w:highlight w:val="none"/>
        </w:rPr>
        <w:t xml:space="preserve">具有公安部门审批颁发的有效的《保安服务许可证》</w:t>
      </w:r>
      <w:r>
        <w:rPr>
          <w:rFonts w:hint="eastAsia" w:ascii="仿宋" w:hAnsi="仿宋" w:eastAsia="仿宋"/>
          <w:sz w:val="32"/>
          <w:szCs w:val="32"/>
          <w:highlight w:val="none"/>
        </w:rPr>
        <w:t xml:space="preserve">。</w:t>
      </w:r>
      <w:r>
        <w:rPr>
          <w:rFonts w:ascii="仿宋" w:hAnsi="仿宋" w:eastAsia="仿宋"/>
          <w:i/>
          <w:iCs/>
          <w:sz w:val="32"/>
          <w:szCs w:val="32"/>
          <w:highlight w:val="none"/>
          <w:u w:val="single"/>
        </w:rPr>
      </w:r>
      <w:r/>
    </w:p>
    <w:p>
      <w:pPr>
        <w:pStyle w:val="1074"/>
        <w:ind w:firstLine="643"/>
        <w:jc w:val="left"/>
        <w:spacing w:before="0" w:line="360" w:lineRule="auto"/>
        <w:widowControl/>
        <w:rPr>
          <w:rFonts w:ascii="仿宋" w:hAnsi="仿宋" w:eastAsia="仿宋"/>
          <w:sz w:val="32"/>
          <w:szCs w:val="32"/>
          <w:highlight w:val="none"/>
        </w:rPr>
      </w:pPr>
      <w:r/>
      <w:bookmarkEnd w:id="14"/>
      <w:r/>
      <w:bookmarkEnd w:id="15"/>
      <w:r/>
      <w:bookmarkStart w:id="16" w:name="_Toc35393623"/>
      <w:r/>
      <w:bookmarkStart w:id="17" w:name="_Toc35393792"/>
      <w:r>
        <w:rPr>
          <w:rFonts w:ascii="仿宋" w:hAnsi="仿宋" w:eastAsia="仿宋"/>
          <w:sz w:val="32"/>
          <w:szCs w:val="32"/>
          <w:highlight w:val="none"/>
        </w:rPr>
        <w:t xml:space="preserve">三、获取招标文件</w:t>
      </w:r>
      <w:bookmarkEnd w:id="16"/>
      <w:r/>
      <w:bookmarkEnd w:id="17"/>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lang w:bidi="ar"/>
        </w:rPr>
      </w:pPr>
      <w:r>
        <w:rPr>
          <w:rFonts w:ascii="仿宋" w:hAnsi="仿宋" w:eastAsia="仿宋"/>
          <w:sz w:val="32"/>
          <w:szCs w:val="32"/>
          <w:highlight w:val="none"/>
          <w:lang w:bidi="ar"/>
        </w:rPr>
        <w:t xml:space="preserve">1.时间：</w:t>
      </w:r>
      <w:r>
        <w:rPr>
          <w:rFonts w:hint="eastAsia" w:ascii="仿宋" w:hAnsi="仿宋" w:eastAsia="仿宋"/>
          <w:sz w:val="32"/>
          <w:szCs w:val="32"/>
          <w:highlight w:val="none"/>
          <w:lang w:val="en-US" w:eastAsia="zh-CN" w:bidi="ar"/>
        </w:rPr>
        <w:t xml:space="preserve">2026</w:t>
      </w:r>
      <w:r>
        <w:rPr>
          <w:rFonts w:hint="eastAsia" w:ascii="仿宋" w:hAnsi="仿宋" w:eastAsia="仿宋" w:cs="宋体"/>
          <w:sz w:val="32"/>
          <w:szCs w:val="32"/>
          <w:highlight w:val="none"/>
        </w:rPr>
        <w:t xml:space="preserve">年</w:t>
      </w:r>
      <w:r>
        <w:rPr>
          <w:rFonts w:hint="eastAsia" w:ascii="仿宋" w:hAnsi="仿宋" w:eastAsia="仿宋" w:cs="宋体"/>
          <w:sz w:val="32"/>
          <w:szCs w:val="32"/>
          <w:highlight w:val="none"/>
          <w:lang w:val="en-US" w:eastAsia="zh-CN"/>
        </w:rPr>
        <w:t xml:space="preserve">10</w:t>
      </w:r>
      <w:r>
        <w:rPr>
          <w:rFonts w:hint="eastAsia" w:ascii="仿宋" w:hAnsi="仿宋" w:eastAsia="仿宋" w:cs="宋体"/>
          <w:sz w:val="32"/>
          <w:szCs w:val="32"/>
          <w:highlight w:val="none"/>
        </w:rPr>
        <w:t xml:space="preserve">月20</w:t>
      </w:r>
      <w:r>
        <w:rPr>
          <w:rFonts w:hint="eastAsia" w:ascii="仿宋" w:hAnsi="仿宋" w:eastAsia="仿宋" w:cs="宋体"/>
          <w:sz w:val="32"/>
          <w:szCs w:val="32"/>
          <w:highlight w:val="none"/>
        </w:rPr>
        <w:t xml:space="preserve">日</w:t>
      </w:r>
      <w:r>
        <w:rPr>
          <w:rFonts w:hint="eastAsia" w:ascii="仿宋" w:hAnsi="仿宋" w:eastAsia="仿宋"/>
          <w:sz w:val="32"/>
          <w:szCs w:val="32"/>
          <w:highlight w:val="none"/>
          <w:lang w:bidi="ar"/>
        </w:rPr>
        <w:t xml:space="preserve">至</w:t>
      </w:r>
      <w:r>
        <w:rPr>
          <w:rFonts w:hint="eastAsia" w:ascii="仿宋" w:hAnsi="仿宋" w:eastAsia="仿宋"/>
          <w:sz w:val="32"/>
          <w:szCs w:val="32"/>
          <w:highlight w:val="none"/>
          <w:lang w:val="en-US" w:eastAsia="zh-CN" w:bidi="ar"/>
        </w:rPr>
        <w:t xml:space="preserve">2026</w:t>
      </w:r>
      <w:r>
        <w:rPr>
          <w:rFonts w:hint="eastAsia" w:ascii="仿宋" w:hAnsi="仿宋" w:eastAsia="仿宋" w:cs="宋体"/>
          <w:sz w:val="32"/>
          <w:szCs w:val="32"/>
          <w:highlight w:val="none"/>
        </w:rPr>
        <w:t xml:space="preserve">年</w:t>
      </w:r>
      <w:r>
        <w:rPr>
          <w:rFonts w:hint="eastAsia" w:ascii="仿宋" w:hAnsi="仿宋" w:eastAsia="仿宋" w:cs="宋体"/>
          <w:sz w:val="32"/>
          <w:szCs w:val="32"/>
          <w:highlight w:val="none"/>
          <w:lang w:val="en-US" w:eastAsia="zh-CN"/>
        </w:rPr>
        <w:t xml:space="preserve">10</w:t>
      </w:r>
      <w:r>
        <w:rPr>
          <w:rFonts w:hint="eastAsia" w:ascii="仿宋" w:hAnsi="仿宋" w:eastAsia="仿宋" w:cs="宋体"/>
          <w:sz w:val="32"/>
          <w:szCs w:val="32"/>
          <w:highlight w:val="none"/>
        </w:rPr>
        <w:t xml:space="preserve">月</w:t>
      </w:r>
      <w:r>
        <w:rPr>
          <w:rFonts w:hint="eastAsia" w:ascii="仿宋" w:hAnsi="仿宋" w:eastAsia="仿宋" w:cs="宋体"/>
          <w:sz w:val="32"/>
          <w:szCs w:val="32"/>
          <w:highlight w:val="none"/>
          <w:lang w:val="en-US" w:eastAsia="zh-CN"/>
        </w:rPr>
        <w:t xml:space="preserve">26</w:t>
      </w:r>
      <w:r>
        <w:rPr>
          <w:rFonts w:hint="eastAsia" w:ascii="仿宋" w:hAnsi="仿宋" w:eastAsia="仿宋" w:cs="宋体"/>
          <w:sz w:val="32"/>
          <w:szCs w:val="32"/>
          <w:highlight w:val="none"/>
        </w:rPr>
        <w:t xml:space="preserve">日</w:t>
      </w:r>
      <w:r>
        <w:rPr>
          <w:rFonts w:hint="eastAsia" w:ascii="仿宋" w:hAnsi="仿宋" w:eastAsia="仿宋"/>
          <w:sz w:val="32"/>
          <w:szCs w:val="32"/>
          <w:highlight w:val="none"/>
          <w:lang w:bidi="ar"/>
        </w:rPr>
        <w:t xml:space="preserve">（北京时间）。</w:t>
      </w:r>
      <w:r>
        <w:rPr>
          <w:rFonts w:ascii="仿宋" w:hAnsi="仿宋" w:eastAsia="仿宋"/>
          <w:sz w:val="32"/>
          <w:szCs w:val="32"/>
          <w:highlight w:val="none"/>
          <w:lang w:bidi="ar"/>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lang w:bidi="ar"/>
        </w:rPr>
        <w:t xml:space="preserve">2.地点：</w:t>
      </w:r>
      <w:r>
        <w:rPr>
          <w:rFonts w:hint="eastAsia" w:ascii="仿宋" w:hAnsi="仿宋" w:eastAsia="仿宋"/>
          <w:sz w:val="32"/>
          <w:szCs w:val="32"/>
          <w:highlight w:val="none"/>
          <w:lang w:bidi="ar"/>
        </w:rPr>
        <w:t xml:space="preserve">“苏采云”政府采购一体化平台。</w:t>
      </w:r>
      <w:r>
        <w:rPr>
          <w:rFonts w:ascii="仿宋" w:hAnsi="仿宋" w:eastAsia="仿宋"/>
          <w:sz w:val="32"/>
          <w:szCs w:val="32"/>
          <w:highlight w:val="none"/>
        </w:rPr>
      </w:r>
      <w:r/>
    </w:p>
    <w:p>
      <w:pPr>
        <w:pStyle w:val="1072"/>
        <w:ind w:firstLine="640"/>
        <w:jc w:val="left"/>
        <w:spacing w:line="360" w:lineRule="auto"/>
        <w:widowControl/>
        <w:rPr>
          <w:rFonts w:ascii="仿宋" w:hAnsi="仿宋" w:eastAsia="仿宋"/>
          <w:sz w:val="32"/>
          <w:szCs w:val="32"/>
          <w:highlight w:val="none"/>
          <w:lang w:bidi="ar"/>
        </w:rPr>
      </w:pPr>
      <w:r>
        <w:rPr>
          <w:rFonts w:ascii="仿宋" w:hAnsi="仿宋" w:eastAsia="仿宋"/>
          <w:sz w:val="32"/>
          <w:szCs w:val="32"/>
          <w:highlight w:val="none"/>
          <w:lang w:bidi="ar"/>
        </w:rPr>
        <w:t xml:space="preserve">3.方式：</w:t>
      </w:r>
      <w:r>
        <w:rPr>
          <w:rFonts w:hint="eastAsia" w:ascii="仿宋" w:hAnsi="仿宋" w:eastAsia="仿宋"/>
          <w:sz w:val="32"/>
          <w:szCs w:val="32"/>
          <w:highlight w:val="none"/>
          <w:lang w:bidi="ar"/>
        </w:rPr>
        <w:t xml:space="preserve">“苏采云”政府采购一体化平台自行免费下载</w:t>
      </w:r>
      <w:r>
        <w:rPr>
          <w:rFonts w:ascii="Calibri" w:hAnsi="Calibri" w:eastAsia="仿宋" w:cs="Calibri"/>
          <w:sz w:val="32"/>
          <w:szCs w:val="32"/>
          <w:highlight w:val="none"/>
          <w:lang w:bidi="ar"/>
        </w:rPr>
        <w:t xml:space="preserve"> </w:t>
      </w:r>
      <w:r>
        <w:rPr>
          <w:rFonts w:hint="eastAsia" w:ascii="Calibri" w:hAnsi="Calibri" w:eastAsia="仿宋" w:cs="Calibri"/>
          <w:sz w:val="32"/>
          <w:szCs w:val="32"/>
          <w:highlight w:val="none"/>
          <w:lang w:bidi="ar"/>
        </w:rPr>
        <w:t xml:space="preserve">。</w:t>
      </w:r>
      <w:r>
        <w:rPr>
          <w:rFonts w:ascii="仿宋" w:hAnsi="仿宋" w:eastAsia="仿宋"/>
          <w:sz w:val="32"/>
          <w:szCs w:val="32"/>
          <w:highlight w:val="none"/>
          <w:lang w:bidi="ar"/>
        </w:rPr>
      </w:r>
      <w:r/>
    </w:p>
    <w:p>
      <w:pPr>
        <w:pStyle w:val="1072"/>
        <w:ind w:firstLine="640"/>
        <w:jc w:val="left"/>
        <w:spacing w:line="360" w:lineRule="auto"/>
        <w:widowControl/>
        <w:rPr>
          <w:rFonts w:ascii="仿宋" w:hAnsi="仿宋" w:eastAsia="仿宋"/>
          <w:sz w:val="32"/>
          <w:szCs w:val="32"/>
          <w:highlight w:val="none"/>
        </w:rPr>
      </w:pPr>
      <w:r>
        <w:rPr>
          <w:rFonts w:ascii="仿宋" w:hAnsi="仿宋" w:eastAsia="仿宋"/>
          <w:sz w:val="32"/>
          <w:szCs w:val="32"/>
          <w:highlight w:val="none"/>
          <w:lang w:bidi="ar"/>
        </w:rPr>
        <w:t xml:space="preserve">4.售价：</w:t>
      </w:r>
      <w:r>
        <w:rPr>
          <w:rFonts w:hint="eastAsia" w:ascii="仿宋" w:hAnsi="仿宋" w:eastAsia="仿宋"/>
          <w:sz w:val="32"/>
          <w:szCs w:val="32"/>
          <w:highlight w:val="none"/>
          <w:lang w:bidi="ar"/>
        </w:rPr>
        <w:t xml:space="preserve">0元</w:t>
      </w:r>
      <w:r>
        <w:rPr>
          <w:rFonts w:ascii="仿宋" w:hAnsi="仿宋" w:eastAsia="仿宋"/>
          <w:sz w:val="32"/>
          <w:szCs w:val="32"/>
          <w:highlight w:val="none"/>
          <w:lang w:bidi="ar"/>
        </w:rPr>
        <w:t xml:space="preserve">。</w:t>
      </w:r>
      <w:r>
        <w:rPr>
          <w:rFonts w:ascii="仿宋" w:hAnsi="仿宋" w:eastAsia="仿宋"/>
          <w:sz w:val="32"/>
          <w:szCs w:val="32"/>
          <w:highlight w:val="none"/>
        </w:rPr>
      </w:r>
      <w:r/>
    </w:p>
    <w:p>
      <w:pPr>
        <w:pStyle w:val="1074"/>
        <w:ind w:firstLine="643"/>
        <w:jc w:val="left"/>
        <w:spacing w:before="0" w:line="360" w:lineRule="auto"/>
        <w:widowControl/>
        <w:rPr>
          <w:rFonts w:ascii="仿宋" w:hAnsi="仿宋" w:eastAsia="仿宋"/>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sz w:val="32"/>
          <w:szCs w:val="32"/>
          <w:highlight w:val="none"/>
        </w:rPr>
        <w:t xml:space="preserve">四、提交投标文件</w:t>
      </w:r>
      <w:bookmarkEnd w:id="18"/>
      <w:r/>
      <w:bookmarkEnd w:id="19"/>
      <w:r>
        <w:rPr>
          <w:rFonts w:ascii="仿宋" w:hAnsi="仿宋" w:eastAsia="仿宋"/>
          <w:sz w:val="32"/>
          <w:szCs w:val="32"/>
          <w:highlight w:val="none"/>
        </w:rPr>
        <w:t xml:space="preserve">截止时间、开标时间和地点</w:t>
      </w:r>
      <w:bookmarkEnd w:id="20"/>
      <w:r/>
      <w:bookmarkEnd w:id="21"/>
      <w:r>
        <w:rPr>
          <w:rFonts w:ascii="仿宋" w:hAnsi="仿宋" w:eastAsia="仿宋"/>
          <w:sz w:val="32"/>
          <w:szCs w:val="32"/>
          <w:highlight w:val="none"/>
        </w:rPr>
      </w:r>
      <w:r/>
    </w:p>
    <w:p>
      <w:pPr>
        <w:pStyle w:val="1072"/>
        <w:ind w:firstLine="640"/>
        <w:spacing w:line="360" w:lineRule="auto"/>
        <w:rPr>
          <w:rFonts w:ascii="仿宋" w:hAnsi="仿宋" w:eastAsia="仿宋"/>
          <w:bCs/>
          <w:sz w:val="32"/>
          <w:szCs w:val="32"/>
          <w:highlight w:val="none"/>
          <w:u w:val="single"/>
        </w:rPr>
      </w:pPr>
      <w:r>
        <w:rPr>
          <w:rFonts w:ascii="仿宋" w:hAnsi="仿宋" w:eastAsia="仿宋"/>
          <w:sz w:val="32"/>
          <w:szCs w:val="32"/>
          <w:highlight w:val="none"/>
          <w:lang w:bidi="ar"/>
        </w:rPr>
        <w:t xml:space="preserve">投标截止时间、开标时间：</w:t>
      </w:r>
      <w:r>
        <w:rPr>
          <w:rFonts w:hint="eastAsia" w:ascii="仿宋" w:hAnsi="仿宋" w:eastAsia="仿宋"/>
          <w:sz w:val="32"/>
          <w:szCs w:val="32"/>
          <w:highlight w:val="none"/>
          <w:lang w:val="en-US" w:eastAsia="zh-CN" w:bidi="ar"/>
        </w:rPr>
        <w:t xml:space="preserve">2026年11月09日14点00分（北京时间）</w:t>
      </w:r>
      <w:r>
        <w:rPr>
          <w:rFonts w:ascii="仿宋" w:hAnsi="仿宋" w:eastAsia="仿宋"/>
          <w:iCs/>
          <w:sz w:val="32"/>
          <w:szCs w:val="32"/>
          <w:highlight w:val="none"/>
          <w:lang w:bidi="ar"/>
        </w:rPr>
        <w:t xml:space="preserve">。</w:t>
      </w:r>
      <w:r>
        <w:rPr>
          <w:rFonts w:ascii="仿宋" w:hAnsi="仿宋" w:eastAsia="仿宋"/>
          <w:bCs/>
          <w:sz w:val="32"/>
          <w:szCs w:val="32"/>
          <w:highlight w:val="none"/>
          <w:u w:val="single"/>
        </w:rPr>
      </w:r>
      <w:r/>
    </w:p>
    <w:p>
      <w:pPr>
        <w:pStyle w:val="1072"/>
        <w:ind w:firstLine="640"/>
        <w:spacing w:line="360" w:lineRule="auto"/>
        <w:rPr>
          <w:rFonts w:ascii="仿宋" w:hAnsi="仿宋" w:eastAsia="仿宋"/>
          <w:b/>
          <w:bCs/>
          <w:sz w:val="32"/>
          <w:szCs w:val="32"/>
          <w:highlight w:val="none"/>
        </w:rPr>
      </w:pPr>
      <w:r>
        <w:rPr>
          <w:rFonts w:ascii="仿宋" w:hAnsi="仿宋" w:eastAsia="仿宋"/>
          <w:sz w:val="32"/>
          <w:szCs w:val="32"/>
          <w:highlight w:val="none"/>
          <w:lang w:bidi="ar"/>
        </w:rPr>
        <w:t xml:space="preserve">地点：</w:t>
      </w:r>
      <w:r>
        <w:rPr>
          <w:rFonts w:hint="eastAsia" w:ascii="仿宋" w:hAnsi="仿宋" w:eastAsia="仿宋"/>
          <w:sz w:val="32"/>
          <w:szCs w:val="32"/>
          <w:highlight w:val="none"/>
          <w:lang w:bidi="ar"/>
        </w:rPr>
        <w:t xml:space="preserve">“苏采云”政府采购一体化平台。</w:t>
      </w:r>
      <w:r>
        <w:rPr>
          <w:rFonts w:ascii="仿宋" w:hAnsi="仿宋" w:eastAsia="仿宋"/>
          <w:b/>
          <w:bCs/>
          <w:sz w:val="32"/>
          <w:szCs w:val="32"/>
          <w:highlight w:val="none"/>
        </w:rPr>
      </w:r>
      <w:r/>
    </w:p>
    <w:p>
      <w:pPr>
        <w:pStyle w:val="1074"/>
        <w:ind w:firstLine="643"/>
        <w:jc w:val="left"/>
        <w:spacing w:before="0" w:line="360" w:lineRule="auto"/>
        <w:rPr>
          <w:rFonts w:ascii="仿宋" w:hAnsi="仿宋" w:eastAsia="仿宋"/>
          <w:sz w:val="32"/>
          <w:szCs w:val="32"/>
          <w:highlight w:val="none"/>
        </w:rPr>
      </w:pPr>
      <w:r/>
      <w:bookmarkStart w:id="22" w:name="_Toc28359084"/>
      <w:r/>
      <w:bookmarkStart w:id="23" w:name="_Toc35393625"/>
      <w:r/>
      <w:bookmarkStart w:id="24" w:name="_Toc35393794"/>
      <w:r/>
      <w:bookmarkStart w:id="25" w:name="_Toc28359007"/>
      <w:r>
        <w:rPr>
          <w:rFonts w:ascii="仿宋" w:hAnsi="仿宋" w:eastAsia="仿宋"/>
          <w:sz w:val="32"/>
          <w:szCs w:val="32"/>
          <w:highlight w:val="none"/>
        </w:rPr>
        <w:t xml:space="preserve">五、公告期限</w:t>
      </w:r>
      <w:bookmarkEnd w:id="22"/>
      <w:r/>
      <w:bookmarkEnd w:id="23"/>
      <w:r/>
      <w:bookmarkEnd w:id="24"/>
      <w:r/>
      <w:bookmarkEnd w:id="25"/>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自本公告发布之日起5个工作日。</w:t>
      </w:r>
      <w:r>
        <w:rPr>
          <w:rFonts w:ascii="仿宋" w:hAnsi="仿宋" w:eastAsia="仿宋"/>
          <w:sz w:val="32"/>
          <w:szCs w:val="32"/>
          <w:highlight w:val="none"/>
        </w:rPr>
      </w:r>
      <w:r/>
    </w:p>
    <w:p>
      <w:pPr>
        <w:pStyle w:val="1074"/>
        <w:ind w:firstLine="643"/>
        <w:jc w:val="left"/>
        <w:spacing w:before="0" w:line="360" w:lineRule="auto"/>
        <w:rPr>
          <w:rFonts w:ascii="仿宋" w:hAnsi="仿宋" w:eastAsia="仿宋"/>
          <w:sz w:val="32"/>
          <w:szCs w:val="32"/>
          <w:highlight w:val="none"/>
        </w:rPr>
      </w:pPr>
      <w:r/>
      <w:bookmarkStart w:id="26" w:name="_Toc35393626"/>
      <w:r/>
      <w:bookmarkStart w:id="27" w:name="_Toc35393795"/>
      <w:r>
        <w:rPr>
          <w:rFonts w:ascii="仿宋" w:hAnsi="仿宋" w:eastAsia="仿宋"/>
          <w:sz w:val="32"/>
          <w:szCs w:val="32"/>
          <w:highlight w:val="none"/>
        </w:rPr>
        <w:t xml:space="preserve">六、其他补充事宜</w:t>
      </w:r>
      <w:bookmarkEnd w:id="26"/>
      <w:r/>
      <w:bookmarkEnd w:id="27"/>
      <w:r>
        <w:rPr>
          <w:rFonts w:ascii="仿宋" w:hAnsi="仿宋" w:eastAsia="仿宋"/>
          <w:sz w:val="32"/>
          <w:szCs w:val="32"/>
          <w:highlight w:val="none"/>
        </w:rPr>
      </w:r>
      <w:r/>
    </w:p>
    <w:p>
      <w:pPr>
        <w:pStyle w:val="1072"/>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1.本项目需要落实的政府采购政策：</w:t>
      </w:r>
      <w:r>
        <w:rPr>
          <w:rFonts w:hint="eastAsia" w:ascii="仿宋" w:hAnsi="仿宋" w:eastAsia="仿宋"/>
          <w:sz w:val="32"/>
          <w:szCs w:val="32"/>
          <w:highlight w:val="none"/>
          <w:u w:val="single"/>
          <w:lang w:bidi="ar"/>
        </w:rPr>
        <w:t xml:space="preserve">/</w:t>
      </w:r>
      <w:r>
        <w:rPr>
          <w:rFonts w:ascii="仿宋" w:hAnsi="仿宋" w:eastAsia="仿宋"/>
          <w:sz w:val="32"/>
          <w:szCs w:val="32"/>
          <w:highlight w:val="none"/>
          <w:lang w:bidi="ar"/>
        </w:rPr>
        <w:t xml:space="preserve">。</w:t>
      </w:r>
      <w:r>
        <w:rPr>
          <w:rFonts w:ascii="仿宋" w:hAnsi="仿宋" w:eastAsia="仿宋"/>
          <w:sz w:val="32"/>
          <w:szCs w:val="32"/>
          <w:highlight w:val="none"/>
        </w:rPr>
        <w:t xml:space="preserve"> </w:t>
      </w:r>
      <w:r>
        <w:rPr>
          <w:rFonts w:ascii="仿宋" w:hAnsi="仿宋" w:eastAsia="仿宋"/>
          <w:sz w:val="32"/>
          <w:szCs w:val="32"/>
          <w:highlight w:val="none"/>
        </w:rPr>
      </w:r>
      <w:r/>
    </w:p>
    <w:p>
      <w:pPr>
        <w:pStyle w:val="1072"/>
        <w:ind w:firstLine="640"/>
        <w:jc w:val="left"/>
        <w:spacing w:line="360" w:lineRule="auto"/>
        <w:rPr>
          <w:rFonts w:hint="eastAsia" w:ascii="仿宋" w:hAnsi="仿宋" w:eastAsia="仿宋"/>
          <w:sz w:val="32"/>
          <w:szCs w:val="32"/>
          <w:highlight w:val="none"/>
          <w:lang w:bidi="ar"/>
        </w:rPr>
      </w:pPr>
      <w:r>
        <w:rPr>
          <w:rFonts w:ascii="仿宋" w:hAnsi="仿宋" w:eastAsia="仿宋"/>
          <w:sz w:val="32"/>
          <w:szCs w:val="32"/>
          <w:highlight w:val="none"/>
        </w:rPr>
        <w:t xml:space="preserve">2.</w:t>
      </w:r>
      <w:r>
        <w:rPr>
          <w:rFonts w:hint="eastAsia" w:ascii="仿宋" w:hAnsi="仿宋" w:eastAsia="仿宋"/>
          <w:sz w:val="32"/>
          <w:szCs w:val="32"/>
          <w:highlight w:val="none"/>
          <w:lang w:bidi="ar"/>
        </w:rPr>
        <w:t xml:space="preserve">根据省财政厅《关</w:t>
      </w:r>
      <w:r>
        <w:rPr>
          <w:rFonts w:hint="eastAsia" w:ascii="仿宋" w:hAnsi="仿宋" w:eastAsia="仿宋"/>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highlight w:val="none"/>
          <w:lang w:bidi="ar"/>
        </w:rPr>
      </w:r>
      <w:r/>
    </w:p>
    <w:p>
      <w:pPr>
        <w:pStyle w:val="1072"/>
        <w:ind w:firstLine="640"/>
        <w:spacing w:line="360" w:lineRule="auto"/>
        <w:rPr>
          <w:rFonts w:hint="eastAsia" w:ascii="仿宋" w:hAnsi="仿宋" w:eastAsia="仿宋"/>
          <w:sz w:val="32"/>
          <w:szCs w:val="32"/>
          <w:highlight w:val="none"/>
          <w:lang w:bidi="ar"/>
        </w:rPr>
      </w:pPr>
      <w:r>
        <w:rPr>
          <w:rFonts w:hint="eastAsia" w:ascii="仿宋" w:hAnsi="仿宋" w:eastAsia="仿宋"/>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highlight w:val="none"/>
          <w:lang w:bidi="ar"/>
        </w:rPr>
      </w:r>
      <w:r/>
    </w:p>
    <w:p>
      <w:pPr>
        <w:pStyle w:val="1072"/>
        <w:ind w:firstLine="640"/>
        <w:spacing w:line="360" w:lineRule="auto"/>
        <w:rPr>
          <w:rFonts w:ascii="仿宋" w:hAnsi="仿宋" w:eastAsia="仿宋"/>
          <w:sz w:val="32"/>
          <w:szCs w:val="32"/>
          <w:highlight w:val="none"/>
          <w:lang w:val="zh-TW" w:bidi="ar"/>
        </w:rPr>
      </w:pPr>
      <w:r>
        <w:rPr>
          <w:rFonts w:hint="eastAsia" w:ascii="仿宋" w:hAnsi="仿宋" w:eastAsia="仿宋"/>
          <w:sz w:val="32"/>
          <w:szCs w:val="32"/>
          <w:highlight w:val="none"/>
          <w:lang w:bidi="ar"/>
        </w:rPr>
        <w:t xml:space="preserve">3</w:t>
      </w:r>
      <w:r>
        <w:rPr>
          <w:rFonts w:hint="eastAsia" w:ascii="仿宋" w:hAnsi="仿宋" w:eastAsia="仿宋"/>
          <w:sz w:val="32"/>
          <w:szCs w:val="32"/>
          <w:highlight w:val="none"/>
          <w:lang w:val="zh-TW" w:bidi="ar"/>
        </w:rPr>
        <w:t xml:space="preserve">.关于常州市中小企业政府采购信用融资：</w:t>
      </w:r>
      <w:r>
        <w:rPr>
          <w:rFonts w:ascii="仿宋" w:hAnsi="仿宋" w:eastAsia="仿宋"/>
          <w:sz w:val="32"/>
          <w:szCs w:val="32"/>
          <w:highlight w:val="none"/>
          <w:lang w:val="zh-TW" w:bidi="ar"/>
        </w:rPr>
      </w:r>
      <w:r/>
    </w:p>
    <w:p>
      <w:pPr>
        <w:pStyle w:val="1072"/>
        <w:ind w:firstLine="640"/>
        <w:spacing w:line="360" w:lineRule="auto"/>
        <w:rPr>
          <w:rFonts w:ascii="仿宋" w:hAnsi="仿宋" w:eastAsia="仿宋"/>
          <w:sz w:val="32"/>
          <w:szCs w:val="32"/>
          <w:highlight w:val="none"/>
          <w:lang w:val="zh-TW" w:bidi="ar"/>
        </w:rPr>
      </w:pPr>
      <w:r>
        <w:rPr>
          <w:rFonts w:hint="eastAsia" w:ascii="仿宋" w:hAnsi="仿宋" w:eastAsia="仿宋"/>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highlight w:val="none"/>
          <w:lang w:val="zh-TW" w:bidi="ar"/>
        </w:rPr>
      </w:r>
      <w:r/>
    </w:p>
    <w:p>
      <w:pPr>
        <w:pStyle w:val="1074"/>
        <w:ind w:firstLine="643"/>
        <w:jc w:val="left"/>
        <w:spacing w:before="0" w:line="360" w:lineRule="auto"/>
        <w:rPr>
          <w:rFonts w:ascii="仿宋" w:hAnsi="仿宋" w:eastAsia="仿宋"/>
          <w:sz w:val="32"/>
          <w:szCs w:val="32"/>
          <w:highlight w:val="none"/>
        </w:rPr>
      </w:pPr>
      <w:r/>
      <w:bookmarkStart w:id="28" w:name="_Toc35393627"/>
      <w:r/>
      <w:bookmarkStart w:id="29" w:name="_Toc28359085"/>
      <w:r/>
      <w:bookmarkStart w:id="30" w:name="_Toc28359008"/>
      <w:r/>
      <w:bookmarkStart w:id="31" w:name="_Toc35393796"/>
      <w:r>
        <w:rPr>
          <w:rFonts w:ascii="仿宋" w:hAnsi="仿宋" w:eastAsia="仿宋"/>
          <w:sz w:val="32"/>
          <w:szCs w:val="32"/>
          <w:highlight w:val="none"/>
        </w:rPr>
        <w:t xml:space="preserve">七、对本次招标提出询问，请按以下方式联系。</w:t>
      </w:r>
      <w:bookmarkEnd w:id="28"/>
      <w:r/>
      <w:bookmarkEnd w:id="29"/>
      <w:r/>
      <w:bookmarkEnd w:id="30"/>
      <w:r/>
      <w:bookmarkEnd w:id="31"/>
      <w:r>
        <w:rPr>
          <w:rFonts w:ascii="仿宋" w:hAnsi="仿宋" w:eastAsia="仿宋"/>
          <w:sz w:val="32"/>
          <w:szCs w:val="32"/>
          <w:highlight w:val="none"/>
        </w:rPr>
      </w:r>
      <w:r/>
    </w:p>
    <w:p>
      <w:pPr>
        <w:pStyle w:val="1072"/>
        <w:ind w:firstLine="643"/>
        <w:jc w:val="left"/>
        <w:spacing w:line="360" w:lineRule="auto"/>
        <w:widowControl/>
        <w:rPr>
          <w:rFonts w:ascii="仿宋" w:hAnsi="仿宋" w:eastAsia="仿宋"/>
          <w:b/>
          <w:sz w:val="32"/>
          <w:szCs w:val="32"/>
          <w:highlight w:val="none"/>
        </w:rPr>
      </w:pPr>
      <w:r>
        <w:rPr>
          <w:rFonts w:ascii="仿宋" w:hAnsi="仿宋" w:eastAsia="仿宋"/>
          <w:b/>
          <w:sz w:val="32"/>
          <w:szCs w:val="32"/>
          <w:highlight w:val="none"/>
        </w:rPr>
        <w:t xml:space="preserve">1.采购人信息</w:t>
      </w:r>
      <w:r>
        <w:rPr>
          <w:rFonts w:ascii="仿宋" w:hAnsi="仿宋" w:eastAsia="仿宋"/>
          <w:b/>
          <w:sz w:val="32"/>
          <w:szCs w:val="32"/>
          <w:highlight w:val="none"/>
        </w:rPr>
      </w:r>
      <w:r/>
    </w:p>
    <w:p>
      <w:pPr>
        <w:pStyle w:val="1072"/>
        <w:ind w:left="-2" w:firstLine="640"/>
        <w:jc w:val="left"/>
        <w:spacing w:line="360" w:lineRule="auto"/>
        <w:rPr>
          <w:rFonts w:hint="eastAsia" w:ascii="仿宋" w:hAnsi="仿宋" w:eastAsia="仿宋"/>
          <w:sz w:val="32"/>
          <w:szCs w:val="32"/>
          <w:highlight w:val="none"/>
        </w:rPr>
      </w:pPr>
      <w:r/>
      <w:bookmarkStart w:id="32" w:name="_Toc28359009"/>
      <w:r/>
      <w:bookmarkStart w:id="33" w:name="_Toc28359086"/>
      <w:r>
        <w:rPr>
          <w:rFonts w:hint="eastAsia" w:ascii="仿宋" w:hAnsi="仿宋" w:eastAsia="仿宋"/>
          <w:sz w:val="32"/>
          <w:szCs w:val="32"/>
          <w:highlight w:val="none"/>
        </w:rPr>
        <w:t xml:space="preserve">名    称：常州市肿瘤医院 </w:t>
      </w:r>
      <w:r>
        <w:rPr>
          <w:rFonts w:hint="eastAsia" w:ascii="仿宋" w:hAnsi="仿宋" w:eastAsia="仿宋"/>
          <w:sz w:val="32"/>
          <w:szCs w:val="32"/>
          <w:highlight w:val="none"/>
        </w:rPr>
      </w:r>
      <w:r/>
    </w:p>
    <w:p>
      <w:pPr>
        <w:pStyle w:val="1072"/>
        <w:ind w:left="-2"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址：常州市新北区红河路68号</w:t>
      </w:r>
      <w:r>
        <w:rPr>
          <w:rFonts w:hint="eastAsia" w:ascii="仿宋" w:hAnsi="仿宋" w:eastAsia="仿宋"/>
          <w:sz w:val="32"/>
          <w:szCs w:val="32"/>
          <w:highlight w:val="none"/>
        </w:rPr>
      </w:r>
      <w:r/>
    </w:p>
    <w:p>
      <w:pPr>
        <w:pStyle w:val="1072"/>
        <w:ind w:firstLine="640"/>
        <w:jc w:val="left"/>
        <w:spacing w:line="360" w:lineRule="auto"/>
        <w:rPr>
          <w:rFonts w:hint="eastAsia" w:ascii="仿宋" w:hAnsi="仿宋" w:eastAsia="仿宋"/>
          <w:color w:val="ff0000"/>
          <w:sz w:val="32"/>
          <w:szCs w:val="32"/>
          <w:highlight w:val="none"/>
        </w:rPr>
      </w:pPr>
      <w:r>
        <w:rPr>
          <w:rFonts w:hint="eastAsia" w:ascii="仿宋" w:hAnsi="仿宋" w:eastAsia="仿宋"/>
          <w:sz w:val="32"/>
          <w:szCs w:val="32"/>
          <w:highlight w:val="none"/>
        </w:rPr>
        <w:t xml:space="preserve">联系方式：刘女士  0519-69807043</w:t>
      </w:r>
      <w:r>
        <w:rPr>
          <w:rFonts w:hint="eastAsia" w:ascii="仿宋" w:hAnsi="仿宋" w:eastAsia="仿宋"/>
          <w:color w:val="ff0000"/>
          <w:sz w:val="32"/>
          <w:szCs w:val="32"/>
          <w:highlight w:val="none"/>
        </w:rPr>
      </w:r>
      <w:r/>
    </w:p>
    <w:p>
      <w:pPr>
        <w:pStyle w:val="1072"/>
        <w:ind w:firstLine="643"/>
        <w:jc w:val="left"/>
        <w:spacing w:line="360" w:lineRule="auto"/>
        <w:rPr>
          <w:rFonts w:ascii="仿宋" w:hAnsi="仿宋" w:eastAsia="仿宋"/>
          <w:b/>
          <w:sz w:val="32"/>
          <w:szCs w:val="32"/>
          <w:highlight w:val="none"/>
        </w:rPr>
      </w:pPr>
      <w:r>
        <w:rPr>
          <w:rFonts w:ascii="仿宋" w:hAnsi="仿宋" w:eastAsia="仿宋"/>
          <w:b/>
          <w:sz w:val="32"/>
          <w:szCs w:val="32"/>
          <w:highlight w:val="none"/>
        </w:rPr>
        <w:t xml:space="preserve">2.采购代理机构信息</w:t>
      </w:r>
      <w:bookmarkEnd w:id="32"/>
      <w:r/>
      <w:bookmarkEnd w:id="33"/>
      <w:r>
        <w:rPr>
          <w:rFonts w:ascii="仿宋" w:hAnsi="仿宋" w:eastAsia="仿宋"/>
          <w:b/>
          <w:sz w:val="32"/>
          <w:szCs w:val="32"/>
          <w:highlight w:val="none"/>
        </w:rPr>
      </w:r>
      <w:r/>
    </w:p>
    <w:p>
      <w:pPr>
        <w:pStyle w:val="1072"/>
        <w:ind w:firstLine="640"/>
        <w:spacing w:line="360" w:lineRule="auto"/>
        <w:rPr>
          <w:rFonts w:hint="eastAsia" w:ascii="仿宋" w:hAnsi="仿宋" w:eastAsia="仿宋"/>
          <w:sz w:val="32"/>
          <w:szCs w:val="32"/>
          <w:highlight w:val="none"/>
        </w:rPr>
      </w:pPr>
      <w:r/>
      <w:bookmarkStart w:id="34" w:name="_Toc28359010"/>
      <w:r/>
      <w:bookmarkStart w:id="35" w:name="_Toc28359087"/>
      <w:r>
        <w:rPr>
          <w:rFonts w:hint="eastAsia" w:ascii="仿宋" w:hAnsi="仿宋" w:eastAsia="仿宋"/>
          <w:sz w:val="32"/>
          <w:szCs w:val="32"/>
          <w:highlight w:val="none"/>
        </w:rPr>
        <w:t xml:space="preserve">名    称：常州市城投建设工程招标有限公司</w:t>
      </w:r>
      <w:r>
        <w:rPr>
          <w:rFonts w:hint="eastAsia" w:ascii="仿宋" w:hAnsi="仿宋" w:eastAsia="仿宋"/>
          <w:sz w:val="32"/>
          <w:szCs w:val="32"/>
          <w:highlight w:val="none"/>
        </w:rPr>
      </w:r>
      <w:r/>
    </w:p>
    <w:p>
      <w:pPr>
        <w:pStyle w:val="1072"/>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址：常州市新北区通江中路396号中创大厦4楼</w:t>
      </w:r>
      <w:r>
        <w:rPr>
          <w:rFonts w:hint="eastAsia" w:ascii="仿宋" w:hAnsi="仿宋" w:eastAsia="仿宋"/>
          <w:sz w:val="32"/>
          <w:szCs w:val="32"/>
          <w:highlight w:val="none"/>
        </w:rPr>
      </w:r>
      <w:r/>
    </w:p>
    <w:p>
      <w:pPr>
        <w:pStyle w:val="1072"/>
        <w:ind w:firstLine="640"/>
        <w:spacing w:line="360" w:lineRule="auto"/>
        <w:rPr>
          <w:rFonts w:hint="eastAsia" w:ascii="仿宋" w:hAnsi="仿宋" w:eastAsia="仿宋"/>
          <w:b/>
          <w:sz w:val="32"/>
          <w:szCs w:val="32"/>
          <w:highlight w:val="none"/>
        </w:rPr>
      </w:pPr>
      <w:r>
        <w:rPr>
          <w:rFonts w:hint="eastAsia" w:ascii="仿宋" w:hAnsi="仿宋" w:eastAsia="仿宋"/>
          <w:sz w:val="32"/>
          <w:szCs w:val="32"/>
          <w:highlight w:val="none"/>
        </w:rPr>
        <w:t xml:space="preserve">联系方式：0519-81580101</w:t>
      </w:r>
      <w:r>
        <w:rPr>
          <w:rFonts w:ascii="仿宋" w:hAnsi="仿宋" w:eastAsia="仿宋"/>
          <w:b/>
          <w:sz w:val="32"/>
          <w:szCs w:val="32"/>
          <w:highlight w:val="none"/>
        </w:rPr>
        <w:t xml:space="preserve"> </w:t>
      </w:r>
      <w:r>
        <w:rPr>
          <w:rFonts w:hint="eastAsia" w:ascii="仿宋" w:hAnsi="仿宋" w:eastAsia="仿宋"/>
          <w:b/>
          <w:sz w:val="32"/>
          <w:szCs w:val="32"/>
          <w:highlight w:val="none"/>
        </w:rPr>
      </w:r>
      <w:r/>
    </w:p>
    <w:p>
      <w:pPr>
        <w:pStyle w:val="1072"/>
        <w:ind w:firstLine="643"/>
        <w:spacing w:line="360" w:lineRule="auto"/>
        <w:rPr>
          <w:rFonts w:hint="eastAsia" w:ascii="仿宋" w:hAnsi="仿宋" w:eastAsia="仿宋"/>
          <w:b/>
          <w:sz w:val="32"/>
          <w:szCs w:val="32"/>
          <w:highlight w:val="none"/>
        </w:rPr>
      </w:pPr>
      <w:r>
        <w:rPr>
          <w:rFonts w:ascii="仿宋" w:hAnsi="仿宋" w:eastAsia="仿宋"/>
          <w:b/>
          <w:sz w:val="32"/>
          <w:szCs w:val="32"/>
          <w:highlight w:val="none"/>
        </w:rPr>
        <w:t xml:space="preserve">3.项目联系方式</w:t>
      </w:r>
      <w:bookmarkEnd w:id="34"/>
      <w:r/>
      <w:bookmarkEnd w:id="35"/>
      <w:r>
        <w:rPr>
          <w:rFonts w:hint="eastAsia" w:ascii="仿宋" w:hAnsi="仿宋" w:eastAsia="仿宋"/>
          <w:b/>
          <w:sz w:val="32"/>
          <w:szCs w:val="32"/>
          <w:highlight w:val="none"/>
        </w:rPr>
      </w:r>
      <w:r/>
    </w:p>
    <w:p>
      <w:pPr>
        <w:pStyle w:val="1072"/>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项目联系人：魏海玲</w:t>
      </w:r>
      <w:r>
        <w:rPr>
          <w:rFonts w:hint="eastAsia" w:ascii="仿宋" w:hAnsi="仿宋" w:eastAsia="仿宋"/>
          <w:sz w:val="32"/>
          <w:szCs w:val="32"/>
          <w:highlight w:val="none"/>
        </w:rPr>
      </w:r>
      <w:r/>
    </w:p>
    <w:p>
      <w:pPr>
        <w:pStyle w:val="1072"/>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电      话：0519-81580152  81580191  81580192（转分机号6033）</w:t>
      </w:r>
      <w:r>
        <w:rPr>
          <w:rFonts w:hint="eastAsia" w:ascii="仿宋" w:hAnsi="仿宋" w:eastAsia="仿宋"/>
          <w:sz w:val="32"/>
          <w:szCs w:val="32"/>
          <w:highlight w:val="none"/>
        </w:rPr>
      </w:r>
      <w:r/>
    </w:p>
    <w:p>
      <w:pPr>
        <w:pStyle w:val="1072"/>
        <w:ind w:firstLine="640"/>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本公示信息已征得相关当事人同意后发布。</w:t>
      </w:r>
      <w:r>
        <w:rPr>
          <w:rFonts w:hint="eastAsia" w:ascii="仿宋" w:hAnsi="仿宋" w:eastAsia="仿宋"/>
          <w:sz w:val="32"/>
          <w:szCs w:val="32"/>
          <w:highlight w:val="none"/>
        </w:rPr>
      </w:r>
      <w:r/>
    </w:p>
    <w:p>
      <w:pPr>
        <w:pStyle w:val="1072"/>
        <w:jc w:val="center"/>
        <w:spacing w:line="360" w:lineRule="auto"/>
        <w:rPr>
          <w:rFonts w:ascii="宋体" w:hAnsi="宋体"/>
          <w:b/>
          <w:sz w:val="32"/>
          <w:szCs w:val="32"/>
          <w:highlight w:val="none"/>
        </w:rPr>
        <w:outlineLvl w:val="0"/>
      </w:pPr>
      <w:r>
        <w:rPr>
          <w:rFonts w:ascii="宋体" w:hAnsi="宋体"/>
          <w:sz w:val="24"/>
          <w:highlight w:val="none"/>
        </w:rPr>
        <w:br w:type="page" w:clear="all"/>
      </w:r>
      <w:bookmarkStart w:id="36" w:name="_Toc264969275"/>
      <w:r/>
      <w:bookmarkStart w:id="37" w:name="_Toc305158928"/>
      <w:r/>
      <w:bookmarkStart w:id="38" w:name="_Toc195842950"/>
      <w:r/>
      <w:bookmarkStart w:id="39" w:name="_Toc265228423"/>
      <w:r/>
      <w:bookmarkStart w:id="40" w:name="_Toc226965856"/>
      <w:r/>
      <w:bookmarkStart w:id="41" w:name="_Toc305158854"/>
      <w:r/>
      <w:bookmarkStart w:id="42" w:name="_Toc127151777"/>
      <w:r/>
      <w:bookmarkStart w:id="43" w:name="_Toc353825548"/>
      <w:r/>
      <w:bookmarkStart w:id="44" w:name="_Toc99301420"/>
      <w:r/>
      <w:bookmarkStart w:id="45" w:name="_Toc353873938"/>
      <w:r/>
      <w:bookmarkStart w:id="46" w:name="_Toc127161488"/>
      <w:r/>
      <w:bookmarkStart w:id="47" w:name="_Toc512937850"/>
      <w:r/>
      <w:bookmarkStart w:id="48" w:name="_Toc150774783"/>
      <w:r>
        <w:rPr>
          <w:rFonts w:ascii="宋体" w:hAnsi="宋体"/>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highlight w:val="none"/>
        </w:rPr>
      </w:r>
      <w:r/>
    </w:p>
    <w:p>
      <w:pPr>
        <w:pStyle w:val="1074"/>
        <w:spacing w:before="0" w:line="360" w:lineRule="auto"/>
        <w:tabs>
          <w:tab w:val="center" w:pos="4592" w:leader="none"/>
          <w:tab w:val="left" w:pos="7860" w:leader="none"/>
        </w:tabs>
        <w:rPr>
          <w:rFonts w:ascii="宋体" w:hAnsi="宋体" w:eastAsia="宋体"/>
          <w:sz w:val="28"/>
          <w:highlight w:val="none"/>
        </w:rPr>
      </w:pPr>
      <w:r/>
      <w:bookmarkStart w:id="49" w:name="_Toc520356144"/>
      <w:r/>
      <w:bookmarkStart w:id="50" w:name="_Toc151193761"/>
      <w:r/>
      <w:bookmarkStart w:id="51" w:name="_Toc164229360"/>
      <w:r/>
      <w:bookmarkStart w:id="52" w:name="_Toc150480757"/>
      <w:r/>
      <w:bookmarkStart w:id="53" w:name="_Toc150509270"/>
      <w:r/>
      <w:bookmarkStart w:id="54" w:name="_Toc151193907"/>
      <w:r/>
      <w:bookmarkStart w:id="55" w:name="_Toc151193833"/>
      <w:r/>
      <w:bookmarkStart w:id="56" w:name="_Toc151193689"/>
      <w:r/>
      <w:bookmarkStart w:id="57" w:name="_Toc164351613"/>
      <w:r/>
      <w:bookmarkStart w:id="58" w:name="_Toc142311021"/>
      <w:r/>
      <w:bookmarkStart w:id="59" w:name="_Toc151193617"/>
      <w:r/>
      <w:bookmarkStart w:id="60" w:name="_Toc164608788"/>
      <w:r/>
      <w:bookmarkStart w:id="61" w:name="_Toc195842884"/>
      <w:r/>
      <w:bookmarkStart w:id="62" w:name="_Toc226965709"/>
      <w:r/>
      <w:bookmarkStart w:id="63" w:name="_Toc149720812"/>
      <w:r/>
      <w:bookmarkStart w:id="64" w:name="_Toc226309763"/>
      <w:r/>
      <w:bookmarkStart w:id="65" w:name="_Toc127161433"/>
      <w:r/>
      <w:bookmarkStart w:id="66" w:name="_Toc127151519"/>
      <w:r/>
      <w:bookmarkStart w:id="67" w:name="_Toc164608633"/>
      <w:r/>
      <w:bookmarkStart w:id="68" w:name="_Toc226965792"/>
      <w:r/>
      <w:bookmarkStart w:id="69" w:name="_Toc151190146"/>
      <w:r/>
      <w:bookmarkStart w:id="70" w:name="_Toc164229214"/>
      <w:r/>
      <w:bookmarkStart w:id="71" w:name="_Toc226337215"/>
      <w:r/>
      <w:bookmarkStart w:id="72" w:name="_Toc150774619"/>
      <w:r/>
      <w:bookmarkStart w:id="73" w:name="_Toc127151720"/>
      <w:r/>
      <w:bookmarkStart w:id="74" w:name="_Toc150774724"/>
      <w:r>
        <w:rPr>
          <w:rFonts w:ascii="宋体" w:hAnsi="宋体" w:eastAsia="宋体"/>
          <w:sz w:val="28"/>
          <w:highlight w:val="none"/>
        </w:rPr>
        <w:t xml:space="preserve">投标人须知资料表</w:t>
      </w:r>
      <w:r>
        <w:rPr>
          <w:rFonts w:ascii="宋体" w:hAnsi="宋体" w:eastAsia="宋体"/>
          <w:sz w:val="28"/>
          <w:highlight w:val="none"/>
        </w:rPr>
      </w:r>
      <w:r/>
    </w:p>
    <w:p>
      <w:pPr>
        <w:pStyle w:val="1072"/>
        <w:jc w:val="center"/>
        <w:rPr>
          <w:rFonts w:ascii="宋体" w:hAnsi="宋体"/>
          <w:b/>
          <w:sz w:val="28"/>
          <w:szCs w:val="28"/>
          <w:highlight w:val="none"/>
        </w:rPr>
      </w:pPr>
      <w:r>
        <w:rPr>
          <w:rFonts w:ascii="宋体" w:hAnsi="宋体"/>
          <w:b/>
          <w:sz w:val="28"/>
          <w:szCs w:val="28"/>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hint="eastAsia" w:ascii="宋体" w:hAnsi="宋体" w:cs="宋体"/>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1072"/>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540" w:type="dxa"/>
            <w:vAlign w:val="center"/>
            <w:textDirection w:val="lrTb"/>
            <w:noWrap w:val="false"/>
          </w:tcPr>
          <w:p>
            <w:pPr>
              <w:pStyle w:val="1072"/>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■服务</w:t>
            </w:r>
            <w:r>
              <w:rPr>
                <w:rFonts w:hint="eastAsia" w:ascii="宋体" w:hAnsi="宋体" w:cs="宋体"/>
                <w:sz w:val="24"/>
                <w:highlight w:val="none"/>
              </w:rPr>
            </w:r>
            <w:r/>
          </w:p>
          <w:p>
            <w:pPr>
              <w:pStyle w:val="1072"/>
              <w:jc w:val="left"/>
              <w:rPr>
                <w:rFonts w:hint="eastAsia" w:ascii="宋体" w:hAnsi="宋体" w:cs="宋体"/>
                <w:sz w:val="24"/>
                <w:highlight w:val="none"/>
                <w:u w:val="single"/>
              </w:rPr>
            </w:pPr>
            <w:r>
              <w:rPr>
                <w:rFonts w:hint="eastAsia" w:ascii="宋体" w:hAnsi="宋体" w:cs="宋体"/>
                <w:sz w:val="24"/>
                <w:highlight w:val="none"/>
              </w:rPr>
              <w:t xml:space="preserve">□货物</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科研仪器设备</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■否</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核心产品</w:t>
            </w:r>
            <w:r>
              <w:rPr>
                <w:rFonts w:hint="eastAsia" w:ascii="宋体" w:hAnsi="宋体" w:cs="宋体"/>
                <w:sz w:val="24"/>
                <w:highlight w:val="none"/>
              </w:rPr>
            </w:r>
            <w:r/>
          </w:p>
        </w:tc>
        <w:tc>
          <w:tcPr>
            <w:tcW w:w="7540" w:type="dxa"/>
            <w:vAlign w:val="center"/>
            <w:textDirection w:val="lrTb"/>
            <w:noWrap w:val="false"/>
          </w:tcPr>
          <w:p>
            <w:pPr>
              <w:pStyle w:val="1114"/>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关于核心产品本项目__包不适用。</w:t>
            </w:r>
            <w:r>
              <w:rPr>
                <w:rFonts w:hAnsi="宋体" w:cs="宋体"/>
                <w:sz w:val="24"/>
                <w:szCs w:val="24"/>
                <w:highlight w:val="none"/>
              </w:rPr>
            </w:r>
            <w:r/>
          </w:p>
          <w:p>
            <w:pPr>
              <w:pStyle w:val="1114"/>
              <w:rPr>
                <w:rFonts w:hAnsi="宋体" w:cs="宋体"/>
                <w:sz w:val="24"/>
                <w:szCs w:val="24"/>
                <w:highlight w:val="none"/>
              </w:rPr>
            </w:pPr>
            <w:r>
              <w:rPr>
                <w:rFonts w:hAnsi="宋体" w:cs="宋体"/>
                <w:sz w:val="24"/>
                <w:szCs w:val="24"/>
                <w:highlight w:val="none"/>
              </w:rPr>
              <w:t xml:space="preserve">□本项目__包为单一产品采购项目。</w:t>
            </w:r>
            <w:r>
              <w:rPr>
                <w:rFonts w:hAnsi="宋体" w:cs="宋体"/>
                <w:sz w:val="24"/>
                <w:szCs w:val="24"/>
                <w:highlight w:val="none"/>
              </w:rPr>
            </w:r>
            <w:r/>
          </w:p>
          <w:p>
            <w:pPr>
              <w:pStyle w:val="1072"/>
              <w:jc w:val="left"/>
              <w:rPr>
                <w:rFonts w:hint="eastAsia" w:ascii="宋体" w:hAnsi="宋体" w:cs="宋体"/>
                <w:sz w:val="24"/>
                <w:highlight w:val="none"/>
              </w:rPr>
            </w:pPr>
            <w:r>
              <w:rPr>
                <w:rFonts w:hAnsi="宋体" w:cs="宋体"/>
                <w:sz w:val="24"/>
                <w:highlight w:val="none"/>
              </w:rPr>
              <w:t xml:space="preserve">□</w:t>
            </w:r>
            <w:r>
              <w:rPr>
                <w:rFonts w:hint="eastAsia" w:ascii="宋体" w:hAnsi="宋体" w:cs="宋体"/>
                <w:sz w:val="24"/>
                <w:highlight w:val="none"/>
              </w:rPr>
              <w:t xml:space="preserve">本项目__包为非单一产品采购项目，核心产品为：____。</w:t>
            </w:r>
            <w:r>
              <w:rPr>
                <w:rFonts w:hint="eastAsia" w:ascii="宋体" w:hAnsi="宋体" w:cs="宋体"/>
                <w:sz w:val="24"/>
                <w:highlight w:val="none"/>
              </w:rPr>
            </w:r>
            <w:r/>
          </w:p>
        </w:tc>
      </w:tr>
      <w:tr>
        <w:trPr>
          <w:trHeight w:val="20"/>
        </w:trPr>
        <w:tc>
          <w:tcPr>
            <w:tcW w:w="988" w:type="dxa"/>
            <w:vAlign w:val="center"/>
            <w:vMerge w:val="restart"/>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1072"/>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1114"/>
              <w:rPr>
                <w:rFonts w:hAnsi="宋体" w:cs="宋体"/>
                <w:sz w:val="24"/>
                <w:szCs w:val="24"/>
                <w:highlight w:val="none"/>
              </w:rPr>
            </w:pPr>
            <w:r>
              <w:rPr>
                <w:rFonts w:hAnsi="宋体" w:cs="宋体"/>
                <w:sz w:val="24"/>
                <w:szCs w:val="24"/>
                <w:highlight w:val="none"/>
              </w:rPr>
              <w:t xml:space="preserve">考察地点：</w:t>
            </w:r>
            <w:r>
              <w:rPr>
                <w:rFonts w:hAnsi="宋体" w:cs="宋体"/>
                <w:sz w:val="24"/>
                <w:highlight w:val="none"/>
                <w:u w:val="single"/>
              </w:rPr>
              <w:t xml:space="preserve">/</w:t>
            </w:r>
            <w:r>
              <w:rPr>
                <w:rFonts w:hAnsi="宋体" w:cs="宋体"/>
                <w:sz w:val="24"/>
                <w:szCs w:val="24"/>
                <w:highlight w:val="none"/>
              </w:rPr>
              <w:t xml:space="preserve">。</w:t>
            </w:r>
            <w:r>
              <w:rPr>
                <w:rFonts w:hAnsi="宋体" w:cs="宋体"/>
                <w:sz w:val="24"/>
                <w:szCs w:val="24"/>
                <w:highlight w:val="none"/>
              </w:rPr>
            </w:r>
            <w:r/>
          </w:p>
        </w:tc>
      </w:tr>
      <w:tr>
        <w:trPr>
          <w:trHeight w:val="20"/>
        </w:trPr>
        <w:tc>
          <w:tcPr>
            <w:tcW w:w="988" w:type="dxa"/>
            <w:vAlign w:val="center"/>
            <w:vMerge w:val="continue"/>
            <w:textDirection w:val="lrTb"/>
            <w:noWrap w:val="false"/>
          </w:tcPr>
          <w:p>
            <w:pPr>
              <w:pStyle w:val="1114"/>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开标前答疑会</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w:t>
            </w:r>
            <w:r>
              <w:rPr>
                <w:rFonts w:hint="eastAsia" w:ascii="宋体" w:hAnsi="宋体" w:cs="宋体"/>
                <w:sz w:val="24"/>
                <w:highlight w:val="none"/>
                <w:lang w:bidi="ar"/>
              </w:rPr>
              <w:t xml:space="preserve">分</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样品</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投标样品递交：</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■不需要</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□需要</w:t>
            </w:r>
            <w:r>
              <w:rPr>
                <w:rFonts w:hint="eastAsia" w:ascii="宋体" w:hAnsi="宋体" w:cs="宋体"/>
                <w:sz w:val="24"/>
                <w:highlight w:val="none"/>
              </w:rPr>
            </w:r>
            <w:r/>
          </w:p>
        </w:tc>
      </w:tr>
      <w:tr>
        <w:trPr>
          <w:trHeight w:val="517"/>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rPr>
              <w:t xml:space="preserve">租赁和商务服务业</w:t>
            </w:r>
            <w:r>
              <w:rPr>
                <w:rFonts w:hint="eastAsia" w:ascii="宋体" w:hAnsi="宋体" w:cs="宋体"/>
                <w:sz w:val="24"/>
                <w:highlight w:val="none"/>
              </w:rPr>
              <w:t xml:space="preserve">。</w:t>
            </w:r>
            <w:r>
              <w:rPr>
                <w:rFonts w:hint="eastAsia" w:ascii="宋体" w:hAnsi="宋体" w:cs="宋体"/>
                <w:sz w:val="24"/>
                <w:highlight w:val="none"/>
              </w:rPr>
            </w:r>
            <w:r/>
          </w:p>
        </w:tc>
      </w:tr>
      <w:tr>
        <w:trPr>
          <w:trHeight w:val="517"/>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5.9</w:t>
            </w:r>
            <w:r>
              <w:rPr>
                <w:rFonts w:hAnsi="宋体" w:cs="宋体"/>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sz w:val="24"/>
                <w:highlight w:val="none"/>
              </w:rPr>
            </w:pPr>
            <w:r>
              <w:rPr>
                <w:rFonts w:hint="eastAsia"/>
                <w:sz w:val="24"/>
                <w:highlight w:val="none"/>
              </w:rPr>
              <w:t xml:space="preserve">本国产品政策支持</w:t>
            </w:r>
            <w:r>
              <w:rPr>
                <w:rFonts w:hint="eastAsia" w:ascii="宋体" w:hAnsi="宋体" w:cs="宋体"/>
                <w:sz w:val="24"/>
                <w:highlight w:val="none"/>
              </w:rPr>
            </w:r>
            <w:r/>
          </w:p>
        </w:tc>
        <w:tc>
          <w:tcPr>
            <w:tcW w:w="7540" w:type="dxa"/>
            <w:vAlign w:val="center"/>
            <w:textDirection w:val="lrTb"/>
            <w:noWrap w:val="false"/>
          </w:tcPr>
          <w:p>
            <w:pPr>
              <w:pStyle w:val="1072"/>
              <w:jc w:val="left"/>
              <w:spacing w:line="360" w:lineRule="exact"/>
              <w:rPr>
                <w:rFonts w:hint="eastAsia"/>
                <w:sz w:val="24"/>
                <w:highlight w:val="none"/>
              </w:rPr>
            </w:pPr>
            <w:r>
              <w:rPr>
                <w:sz w:val="24"/>
                <w:highlight w:val="none"/>
              </w:rPr>
              <w:t xml:space="preserve">关于</w:t>
            </w:r>
            <w:r>
              <w:rPr>
                <w:rFonts w:hint="eastAsia"/>
                <w:sz w:val="24"/>
                <w:highlight w:val="none"/>
              </w:rPr>
              <w:t xml:space="preserve">对采购本国产品给予政策支持，本项目：</w:t>
            </w:r>
            <w:r>
              <w:rPr>
                <w:rFonts w:hint="eastAsia"/>
                <w:sz w:val="24"/>
                <w:highlight w:val="none"/>
              </w:rPr>
              <w:fldChar w:fldCharType="begin"/>
            </w:r>
            <w:r>
              <w:rPr>
                <w:rFonts w:hint="eastAsia"/>
                <w:sz w:val="24"/>
                <w:highlight w:val="none"/>
              </w:rPr>
              <w:instrText xml:space="preserve"> eq \o \ac(□)</w:instrText>
            </w:r>
            <w:r>
              <w:rPr>
                <w:rFonts w:hint="eastAsia"/>
                <w:sz w:val="24"/>
                <w:highlight w:val="none"/>
              </w:rPr>
              <w:fldChar w:fldCharType="end"/>
            </w:r>
            <w:r>
              <w:rPr>
                <w:rFonts w:hint="eastAsia"/>
                <w:sz w:val="24"/>
                <w:highlight w:val="none"/>
              </w:rPr>
              <w:t xml:space="preserve">适用 </w:t>
            </w:r>
            <w:r>
              <w:rPr>
                <w:rFonts w:hint="eastAsia" w:ascii="宋体" w:hAnsi="宋体" w:cs="宋体"/>
                <w:sz w:val="24"/>
                <w:highlight w:val="none"/>
              </w:rPr>
              <w:t xml:space="preserve">■</w:t>
            </w:r>
            <w:r>
              <w:rPr>
                <w:rFonts w:hint="eastAsia"/>
                <w:sz w:val="24"/>
                <w:highlight w:val="none"/>
              </w:rPr>
              <w:t xml:space="preserve">不适用。</w:t>
            </w:r>
            <w:r>
              <w:rPr>
                <w:rFonts w:hint="eastAsia"/>
                <w:sz w:val="24"/>
                <w:highlight w:val="none"/>
              </w:rPr>
            </w:r>
            <w:r/>
          </w:p>
          <w:p>
            <w:pPr>
              <w:pStyle w:val="1074"/>
              <w:jc w:val="both"/>
              <w:keepLines w:val="0"/>
              <w:keepNext w:val="0"/>
              <w:spacing w:before="0" w:line="360" w:lineRule="exact"/>
              <w:shd w:val="clear" w:color="auto" w:fill="ffffff"/>
              <w:widowControl/>
              <w:rPr>
                <w:rFonts w:hint="eastAsia" w:ascii="宋体" w:hAnsi="宋体" w:cs="宋体"/>
                <w:sz w:val="24"/>
                <w:highlight w:val="none"/>
              </w:rPr>
            </w:pPr>
            <w:r>
              <w:rPr>
                <w:rFonts w:hint="eastAsia" w:ascii="Times New Roman" w:hAnsi="Times New Roman" w:eastAsia="宋体"/>
                <w:b w:val="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highlight w:val="none"/>
              </w:rPr>
            </w:r>
            <w:r/>
          </w:p>
        </w:tc>
      </w:tr>
      <w:tr>
        <w:trPr>
          <w:trHeight w:val="841"/>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br w:type="page" w:clear="all"/>
            </w:r>
            <w:r>
              <w:rPr>
                <w:rFonts w:hAnsi="宋体" w:cs="宋体"/>
                <w:sz w:val="24"/>
                <w:szCs w:val="24"/>
                <w:highlight w:val="none"/>
              </w:rPr>
              <w:t xml:space="preserve">11.2</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投标报价的特殊规定：</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■无</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□有，具体情形：_____。</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投标保证金</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■不允许</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rPr>
                <w:rFonts w:hint="eastAsia" w:ascii="宋体" w:hAnsi="宋体" w:cs="宋体"/>
                <w:sz w:val="24"/>
                <w:highlight w:val="none"/>
              </w:rPr>
            </w:r>
            <w:r/>
          </w:p>
          <w:p>
            <w:pPr>
              <w:pStyle w:val="1072"/>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lang w:bidi="ar"/>
              </w:rPr>
              <w:t xml:space="preserve">/</w:t>
            </w:r>
            <w:r>
              <w:rPr>
                <w:rFonts w:hint="eastAsia" w:ascii="宋体" w:hAnsi="宋体" w:cs="宋体"/>
                <w:sz w:val="24"/>
                <w:highlight w:val="none"/>
              </w:rPr>
              <w:t xml:space="preserve">。</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询问送达形式：投标人对招标文件如有疑问，请将疑问于</w:t>
            </w:r>
            <w:r>
              <w:rPr>
                <w:rFonts w:hint="eastAsia" w:ascii="宋体" w:hAnsi="宋体" w:cs="宋体"/>
                <w:b/>
                <w:bCs/>
                <w:sz w:val="24"/>
                <w:highlight w:val="none"/>
                <w:lang w:val="en-US" w:eastAsia="zh-CN"/>
              </w:rPr>
              <w:t xml:space="preserve">2026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27</w:t>
            </w:r>
            <w:r>
              <w:rPr>
                <w:rFonts w:hint="eastAsia" w:ascii="宋体" w:hAnsi="宋体" w:cs="宋体"/>
                <w:b/>
                <w:sz w:val="24"/>
                <w:highlight w:val="none"/>
              </w:rPr>
              <w:t xml:space="preserve">日11点00分</w:t>
            </w:r>
            <w:r>
              <w:rPr>
                <w:rFonts w:hint="eastAsia" w:ascii="宋体" w:hAnsi="宋体" w:cs="宋体"/>
                <w:sz w:val="24"/>
                <w:highlight w:val="none"/>
              </w:rPr>
              <w:t xml:space="preserve">（北京时间）前以书面形式提交或传真至常州市城投建设工程招标有限公司。传真：0519-81580105，邮箱：czctzb@163.com。</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联系部门：技术部；</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联系电话：0519-81580152  81580191  81580192（转分机号6033）；</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通讯地址：常州市城投建设工程招标有限公司（常州市新北区通江中路396号中创大厦4楼）。</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cs="宋体"/>
                <w:sz w:val="24"/>
                <w:szCs w:val="24"/>
                <w:highlight w:val="none"/>
              </w:rPr>
              <w:t xml:space="preserve">27</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540" w:type="dxa"/>
            <w:vAlign w:val="center"/>
            <w:textDirection w:val="lrTb"/>
            <w:noWrap w:val="false"/>
          </w:tcPr>
          <w:p>
            <w:pPr>
              <w:pStyle w:val="1072"/>
              <w:jc w:val="left"/>
              <w:rPr>
                <w:rFonts w:hint="eastAsia" w:ascii="宋体" w:hAnsi="宋体" w:cs="宋体"/>
                <w:b/>
                <w:sz w:val="24"/>
                <w:highlight w:val="none"/>
              </w:rPr>
            </w:pPr>
            <w:r>
              <w:rPr>
                <w:rFonts w:hint="eastAsia" w:ascii="宋体" w:hAnsi="宋体" w:cs="宋体"/>
                <w:b/>
                <w:sz w:val="24"/>
                <w:highlight w:val="none"/>
              </w:rPr>
              <w:t xml:space="preserve">（一）收费对象：</w:t>
            </w:r>
            <w:r>
              <w:rPr>
                <w:rFonts w:hint="eastAsia" w:ascii="宋体" w:hAnsi="宋体" w:cs="宋体"/>
                <w:b/>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1072"/>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bCs/>
                <w:sz w:val="24"/>
                <w:highlight w:val="none"/>
              </w:rPr>
              <w:t xml:space="preserve">因采购人预算金额包含代理费，本项目向</w:t>
            </w:r>
            <w:r>
              <w:rPr>
                <w:rFonts w:hint="eastAsia" w:ascii="宋体" w:hAnsi="宋体" w:cs="宋体"/>
                <w:sz w:val="24"/>
                <w:highlight w:val="none"/>
              </w:rPr>
              <w:t xml:space="preserve">中标人收取</w:t>
            </w:r>
            <w:r>
              <w:rPr>
                <w:rFonts w:hint="eastAsia" w:ascii="宋体" w:hAnsi="宋体" w:cs="宋体"/>
                <w:bCs/>
                <w:sz w:val="24"/>
                <w:highlight w:val="none"/>
              </w:rPr>
              <w:t xml:space="preserve">代理费</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8"/>
              </w:numPr>
              <w:jc w:val="left"/>
              <w:rPr>
                <w:rFonts w:hint="eastAsia" w:ascii="宋体" w:hAnsi="宋体" w:cs="宋体"/>
                <w:b/>
                <w:sz w:val="24"/>
                <w:highlight w:val="none"/>
              </w:rPr>
            </w:pPr>
            <w:r>
              <w:rPr>
                <w:rFonts w:hint="eastAsia" w:ascii="宋体" w:hAnsi="宋体" w:cs="宋体"/>
                <w:b/>
                <w:sz w:val="24"/>
                <w:highlight w:val="none"/>
              </w:rPr>
              <w:t xml:space="preserve">收费标准：</w:t>
            </w:r>
            <w:r>
              <w:rPr>
                <w:rFonts w:hint="eastAsia" w:ascii="宋体" w:hAnsi="宋体" w:cs="宋体"/>
                <w:bCs/>
                <w:sz w:val="24"/>
                <w:highlight w:val="none"/>
              </w:rPr>
              <w:t xml:space="preserve">中标人须按其总中标金额的0.9%计算并支付代理费。代理费按上述计算方法不足人民币3000元的，按人民币3000元收取。</w:t>
            </w:r>
            <w:r>
              <w:rPr>
                <w:rFonts w:hint="eastAsia" w:ascii="宋体" w:hAnsi="宋体" w:cs="宋体"/>
                <w:b/>
                <w:sz w:val="24"/>
                <w:highlight w:val="none"/>
              </w:rPr>
            </w:r>
            <w:r/>
          </w:p>
          <w:p>
            <w:pPr>
              <w:pStyle w:val="1072"/>
              <w:jc w:val="left"/>
              <w:rPr>
                <w:rFonts w:hint="eastAsia" w:ascii="宋体" w:hAnsi="宋体" w:cs="宋体"/>
                <w:sz w:val="24"/>
                <w:highlight w:val="none"/>
              </w:rPr>
            </w:pPr>
            <w:r>
              <w:rPr>
                <w:rFonts w:hint="eastAsia" w:ascii="宋体" w:hAnsi="宋体" w:cs="宋体"/>
                <w:b/>
                <w:sz w:val="24"/>
                <w:highlight w:val="none"/>
              </w:rPr>
              <w:t xml:space="preserve">（三）缴纳时间：</w:t>
            </w:r>
            <w:r>
              <w:rPr>
                <w:rFonts w:hint="eastAsia" w:ascii="宋体" w:hAnsi="宋体" w:cs="宋体"/>
                <w:bCs/>
                <w:sz w:val="24"/>
                <w:highlight w:val="none"/>
              </w:rPr>
              <w:t xml:space="preserve">中标供应商应</w:t>
            </w:r>
            <w:r>
              <w:rPr>
                <w:rFonts w:hint="eastAsia" w:ascii="宋体" w:hAnsi="宋体" w:cs="宋体"/>
                <w:sz w:val="24"/>
                <w:highlight w:val="none"/>
              </w:rPr>
              <w:t xml:space="preserve">在领取中标通知书时将  年代理费支付至常州市城投建设工程招标有限公司账户。</w:t>
            </w:r>
            <w:r>
              <w:rPr>
                <w:rFonts w:hint="eastAsia" w:ascii="宋体" w:hAnsi="宋体" w:cs="宋体"/>
                <w:sz w:val="24"/>
                <w:highlight w:val="none"/>
              </w:rPr>
            </w:r>
            <w:r/>
          </w:p>
          <w:p>
            <w:pPr>
              <w:pStyle w:val="1072"/>
              <w:ind w:firstLine="472"/>
              <w:jc w:val="left"/>
              <w:rPr>
                <w:rFonts w:hint="eastAsia" w:ascii="宋体" w:hAnsi="宋体" w:cs="宋体"/>
                <w:sz w:val="24"/>
                <w:highlight w:val="none"/>
              </w:rPr>
            </w:pPr>
            <w:r>
              <w:rPr>
                <w:rFonts w:hint="eastAsia" w:ascii="宋体" w:hAnsi="宋体" w:cs="宋体"/>
                <w:sz w:val="24"/>
                <w:highlight w:val="none"/>
              </w:rPr>
              <w:t xml:space="preserve">收款单位：常州市城投建设工程招标有限公司</w:t>
            </w:r>
            <w:r>
              <w:rPr>
                <w:rFonts w:hint="eastAsia" w:ascii="宋体" w:hAnsi="宋体" w:cs="宋体"/>
                <w:sz w:val="24"/>
                <w:highlight w:val="none"/>
              </w:rPr>
            </w:r>
            <w:r/>
          </w:p>
          <w:p>
            <w:pPr>
              <w:pStyle w:val="1072"/>
              <w:ind w:firstLine="472"/>
              <w:jc w:val="left"/>
              <w:rPr>
                <w:rFonts w:hint="eastAsia" w:ascii="宋体" w:hAnsi="宋体" w:cs="宋体"/>
                <w:sz w:val="24"/>
                <w:highlight w:val="none"/>
              </w:rPr>
            </w:pPr>
            <w:r>
              <w:rPr>
                <w:rFonts w:hint="eastAsia" w:ascii="宋体" w:hAnsi="宋体" w:cs="宋体"/>
                <w:sz w:val="24"/>
                <w:highlight w:val="none"/>
              </w:rPr>
              <w:t xml:space="preserve">开户银行：中国建设银行常州大成苑支行</w:t>
            </w:r>
            <w:r>
              <w:rPr>
                <w:rFonts w:hint="eastAsia" w:ascii="宋体" w:hAnsi="宋体" w:cs="宋体"/>
                <w:sz w:val="24"/>
                <w:highlight w:val="none"/>
              </w:rPr>
            </w:r>
            <w:r/>
          </w:p>
          <w:p>
            <w:pPr>
              <w:pStyle w:val="1072"/>
              <w:ind w:firstLine="472"/>
              <w:jc w:val="left"/>
              <w:rPr>
                <w:rFonts w:hint="eastAsia" w:ascii="宋体" w:hAnsi="宋体" w:cs="宋体"/>
                <w:sz w:val="24"/>
                <w:highlight w:val="none"/>
              </w:rPr>
            </w:pPr>
            <w:r>
              <w:rPr>
                <w:rFonts w:hint="eastAsia" w:ascii="宋体" w:hAnsi="宋体" w:cs="宋体"/>
                <w:sz w:val="24"/>
                <w:highlight w:val="none"/>
              </w:rPr>
              <w:t xml:space="preserve">银行账号：32001624236052500905</w:t>
            </w:r>
            <w:r>
              <w:rPr>
                <w:rFonts w:hint="eastAsia" w:ascii="宋体" w:hAnsi="宋体" w:cs="宋体"/>
                <w:sz w:val="24"/>
                <w:highlight w:val="none"/>
              </w:rPr>
            </w:r>
            <w:r/>
          </w:p>
        </w:tc>
      </w:tr>
      <w:tr>
        <w:trPr>
          <w:trHeight w:val="20"/>
        </w:trPr>
        <w:tc>
          <w:tcPr>
            <w:tcW w:w="988" w:type="dxa"/>
            <w:vAlign w:val="center"/>
            <w:textDirection w:val="lrTb"/>
            <w:noWrap w:val="false"/>
          </w:tcPr>
          <w:p>
            <w:pPr>
              <w:pStyle w:val="1114"/>
              <w:jc w:val="center"/>
              <w:rPr>
                <w:rFonts w:hAnsi="宋体" w:cs="宋体"/>
                <w:sz w:val="24"/>
                <w:szCs w:val="24"/>
                <w:highlight w:val="none"/>
              </w:rPr>
            </w:pPr>
            <w:r>
              <w:rPr>
                <w:rFonts w:hAnsi="宋体"/>
                <w:sz w:val="24"/>
                <w:szCs w:val="24"/>
                <w:highlight w:val="none"/>
              </w:rPr>
              <w:t xml:space="preserve">2</w:t>
            </w:r>
            <w:r>
              <w:rPr>
                <w:rFonts w:hAnsi="宋体"/>
                <w:sz w:val="24"/>
                <w:szCs w:val="24"/>
                <w:highlight w:val="none"/>
              </w:rPr>
              <w:t xml:space="preserve">6</w:t>
            </w:r>
            <w:r>
              <w:rPr>
                <w:rFonts w:hAnsi="宋体" w:cs="宋体"/>
                <w:sz w:val="24"/>
                <w:szCs w:val="24"/>
                <w:highlight w:val="none"/>
              </w:rPr>
            </w:r>
            <w:r/>
          </w:p>
        </w:tc>
        <w:tc>
          <w:tcPr>
            <w:tcW w:w="1701" w:type="dxa"/>
            <w:vAlign w:val="center"/>
            <w:textDirection w:val="lrTb"/>
            <w:noWrap w:val="false"/>
          </w:tcPr>
          <w:p>
            <w:pPr>
              <w:pStyle w:val="1072"/>
              <w:jc w:val="center"/>
              <w:rPr>
                <w:rFonts w:hint="eastAsia" w:ascii="宋体" w:hAnsi="宋体" w:cs="宋体"/>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rFonts w:hint="eastAsia" w:ascii="宋体" w:hAnsi="宋体" w:cs="宋体"/>
                <w:sz w:val="24"/>
                <w:highlight w:val="none"/>
              </w:rPr>
            </w:r>
            <w:r/>
          </w:p>
        </w:tc>
        <w:tc>
          <w:tcPr>
            <w:tcW w:w="7540" w:type="dxa"/>
            <w:vAlign w:val="center"/>
            <w:textDirection w:val="lrTb"/>
            <w:noWrap w:val="false"/>
          </w:tcPr>
          <w:p>
            <w:pPr>
              <w:pStyle w:val="1072"/>
              <w:ind w:firstLine="472"/>
              <w:jc w:val="left"/>
              <w:rPr>
                <w:rFonts w:hint="eastAsia" w:ascii="宋体" w:hAnsi="宋体" w:cs="宋体"/>
                <w:b/>
                <w:sz w:val="24"/>
                <w:highlight w:val="none"/>
              </w:rPr>
            </w:pPr>
            <w:r>
              <w:rPr>
                <w:rFonts w:hint="eastAsia"/>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sz w:val="24"/>
                <w:highlight w:val="none"/>
              </w:rPr>
              <w:t xml:space="preserve">建设工程招标有限公司</w:t>
            </w:r>
            <w:r>
              <w:rPr>
                <w:rFonts w:hint="eastAsia"/>
                <w:sz w:val="24"/>
                <w:highlight w:val="none"/>
              </w:rPr>
              <w:t xml:space="preserve">，联系方式见《第一章 投标邀请》）</w:t>
            </w:r>
            <w:r>
              <w:rPr>
                <w:rFonts w:hint="eastAsia" w:ascii="宋体" w:hAnsi="宋体" w:cs="宋体"/>
                <w:b/>
                <w:sz w:val="24"/>
                <w:highlight w:val="none"/>
              </w:rPr>
            </w:r>
            <w:r/>
          </w:p>
        </w:tc>
      </w:tr>
    </w:tbl>
    <w:p>
      <w:pPr>
        <w:pStyle w:val="1072"/>
        <w:jc w:val="both"/>
        <w:spacing w:line="360" w:lineRule="auto"/>
        <w:tabs>
          <w:tab w:val="left" w:pos="5580" w:leader="none"/>
        </w:tabs>
        <w:rPr>
          <w:rFonts w:hint="eastAsia" w:ascii="宋体" w:hAnsi="宋体" w:cs="宋体"/>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highlight w:val="none"/>
        </w:rPr>
        <w:br w:type="page" w:clear="all"/>
      </w:r>
      <w:r/>
    </w:p>
    <w:p>
      <w:pPr>
        <w:pStyle w:val="1072"/>
        <w:jc w:val="center"/>
        <w:spacing w:before="240" w:after="240"/>
        <w:rPr>
          <w:rFonts w:hint="eastAsia" w:ascii="宋体" w:hAnsi="宋体" w:cs="宋体"/>
          <w:b/>
          <w:sz w:val="28"/>
          <w:szCs w:val="28"/>
          <w:highlight w:val="none"/>
        </w:rPr>
      </w:pPr>
      <w:r/>
      <w:bookmarkStart w:id="75" w:name="_Toc305158859"/>
      <w:r/>
      <w:bookmarkStart w:id="76" w:name="_Toc150480755"/>
      <w:r/>
      <w:bookmarkStart w:id="77" w:name="_Toc264969207"/>
      <w:r/>
      <w:bookmarkStart w:id="78" w:name="_Toc150774722"/>
      <w:r/>
      <w:bookmarkStart w:id="79" w:name="_Toc305158785"/>
      <w:r/>
      <w:bookmarkStart w:id="80" w:name="_Toc226337213"/>
      <w:r/>
      <w:bookmarkStart w:id="81" w:name="_Toc195842882"/>
      <w:r/>
      <w:bookmarkStart w:id="82" w:name="_Toc353873932"/>
      <w:r/>
      <w:bookmarkStart w:id="83" w:name="_Toc226965790"/>
      <w:r/>
      <w:bookmarkStart w:id="84" w:name="_Toc353873662"/>
      <w:r/>
      <w:bookmarkStart w:id="85" w:name="_Toc265228355"/>
      <w:r/>
      <w:bookmarkStart w:id="86" w:name="_Toc127151517"/>
      <w:r/>
      <w:bookmarkStart w:id="87" w:name="_Toc353825542"/>
      <w:r/>
      <w:bookmarkStart w:id="88" w:name="_Toc142311019"/>
      <w:r>
        <w:rPr>
          <w:rFonts w:hint="eastAsia" w:ascii="宋体" w:hAnsi="宋体" w:cs="宋体"/>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9" w:name="_Toc127151518"/>
      <w:r/>
      <w:bookmarkStart w:id="90" w:name="_Toc520356143"/>
      <w:r>
        <w:rPr>
          <w:rFonts w:hint="eastAsia" w:ascii="宋体" w:hAnsi="宋体" w:eastAsia="宋体" w:cs="宋体"/>
          <w:sz w:val="28"/>
          <w:highlight w:val="none"/>
        </w:rPr>
        <w:tab/>
      </w:r>
      <w:bookmarkStart w:id="91" w:name="_Toc142311020"/>
      <w:r/>
      <w:bookmarkStart w:id="92" w:name="_Toc151193832"/>
      <w:r/>
      <w:bookmarkStart w:id="93" w:name="_Toc151193688"/>
      <w:r/>
      <w:bookmarkStart w:id="94" w:name="_Toc151190145"/>
      <w:r/>
      <w:bookmarkStart w:id="95" w:name="_Toc150774618"/>
      <w:r/>
      <w:bookmarkStart w:id="96" w:name="_Toc226309762"/>
      <w:r/>
      <w:bookmarkStart w:id="97" w:name="_Toc305158786"/>
      <w:r/>
      <w:bookmarkStart w:id="98" w:name="_Toc226965791"/>
      <w:r/>
      <w:bookmarkStart w:id="99" w:name="_Toc150480756"/>
      <w:r/>
      <w:bookmarkStart w:id="100" w:name="_Toc151193906"/>
      <w:r/>
      <w:bookmarkStart w:id="101" w:name="_Toc150509269"/>
      <w:r/>
      <w:bookmarkStart w:id="102" w:name="_Toc305158860"/>
      <w:r/>
      <w:bookmarkStart w:id="103" w:name="_Toc226965708"/>
      <w:r/>
      <w:bookmarkStart w:id="104" w:name="_Toc264969208"/>
      <w:r/>
      <w:bookmarkStart w:id="105" w:name="_Toc226337214"/>
      <w:r/>
      <w:bookmarkStart w:id="106" w:name="_Toc151193760"/>
      <w:r/>
      <w:bookmarkStart w:id="107" w:name="_Toc265228356"/>
      <w:r/>
      <w:bookmarkStart w:id="108" w:name="_Toc151193616"/>
      <w:r/>
      <w:bookmarkStart w:id="109" w:name="_Toc195842883"/>
      <w:r/>
      <w:bookmarkStart w:id="110" w:name="_Toc150774723"/>
      <w:r>
        <w:rPr>
          <w:rFonts w:hint="eastAsia" w:ascii="宋体" w:hAnsi="宋体" w:eastAsia="宋体" w:cs="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highlight w:val="none"/>
        </w:rPr>
        <w:tab/>
      </w:r>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111" w:name="_Toc305158787"/>
      <w:r/>
      <w:bookmarkStart w:id="112" w:name="_Toc305158861"/>
      <w:r/>
      <w:bookmarkStart w:id="113" w:name="_Toc265228357"/>
      <w:r/>
      <w:bookmarkStart w:id="114" w:name="_Toc264969209"/>
      <w:r>
        <w:rPr>
          <w:rFonts w:hint="eastAsia" w:ascii="宋体" w:hAnsi="宋体" w:cs="宋体"/>
          <w:b/>
          <w:sz w:val="24"/>
          <w:highlight w:val="none"/>
        </w:rPr>
        <w:t xml:space="preserve">采购人、采购代理机构、投标人</w:t>
      </w:r>
      <w:bookmarkEnd w:id="111"/>
      <w:r/>
      <w:bookmarkEnd w:id="112"/>
      <w:r/>
      <w:bookmarkEnd w:id="113"/>
      <w:r/>
      <w:bookmarkEnd w:id="114"/>
      <w:r>
        <w:rPr>
          <w:rFonts w:hint="eastAsia" w:ascii="宋体" w:hAnsi="宋体" w:cs="宋体"/>
          <w:b/>
          <w:sz w:val="24"/>
          <w:highlight w:val="none"/>
        </w:rPr>
        <w:t xml:space="preserve">、联合体</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115" w:name="_Toc127151721"/>
      <w:r/>
      <w:bookmarkStart w:id="116" w:name="_Toc264969210"/>
      <w:r/>
      <w:bookmarkStart w:id="117" w:name="_Toc127151520"/>
      <w:r/>
      <w:bookmarkStart w:id="118" w:name="_Toc226309764"/>
      <w:r/>
      <w:bookmarkStart w:id="119" w:name="_Toc265228358"/>
      <w:r/>
      <w:bookmarkStart w:id="120" w:name="_Toc305158788"/>
      <w:r/>
      <w:bookmarkStart w:id="121" w:name="_Toc150509271"/>
      <w:r/>
      <w:bookmarkStart w:id="122" w:name="_Toc150774620"/>
      <w:r/>
      <w:bookmarkStart w:id="123" w:name="_Toc226965710"/>
      <w:r/>
      <w:bookmarkStart w:id="124" w:name="_Toc151193618"/>
      <w:r/>
      <w:bookmarkStart w:id="125" w:name="_Toc127161434"/>
      <w:r/>
      <w:bookmarkStart w:id="126" w:name="_Toc151193908"/>
      <w:r/>
      <w:bookmarkStart w:id="127" w:name="_Toc226965793"/>
      <w:r/>
      <w:bookmarkStart w:id="128" w:name="_Toc151193762"/>
      <w:r/>
      <w:bookmarkStart w:id="129" w:name="_Toc164351614"/>
      <w:r/>
      <w:bookmarkStart w:id="130" w:name="_Toc142311022"/>
      <w:r/>
      <w:bookmarkStart w:id="131" w:name="_Toc149720813"/>
      <w:r/>
      <w:bookmarkStart w:id="132" w:name="_Toc164229215"/>
      <w:r/>
      <w:bookmarkStart w:id="133" w:name="_Toc150774725"/>
      <w:r/>
      <w:bookmarkStart w:id="134" w:name="_Toc151193834"/>
      <w:r/>
      <w:bookmarkStart w:id="135" w:name="_Toc150480758"/>
      <w:r/>
      <w:bookmarkStart w:id="136" w:name="_Toc226337216"/>
      <w:r/>
      <w:bookmarkStart w:id="137" w:name="_Toc164229361"/>
      <w:r/>
      <w:bookmarkStart w:id="138" w:name="_Toc151190147"/>
      <w:r/>
      <w:bookmarkStart w:id="139" w:name="_Toc195842885"/>
      <w:r/>
      <w:bookmarkStart w:id="140" w:name="_Toc305158862"/>
      <w:r/>
      <w:bookmarkStart w:id="141" w:name="_Toc151193690"/>
      <w:r/>
      <w:bookmarkStart w:id="142" w:name="_Toc164608789"/>
      <w:r/>
      <w:bookmarkStart w:id="143" w:name="_Toc164608634"/>
      <w:r>
        <w:rPr>
          <w:rFonts w:hint="eastAsia" w:ascii="宋体" w:hAnsi="宋体" w:cs="宋体"/>
          <w:b/>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highlight w:val="none"/>
        </w:rPr>
        <w:t xml:space="preserve">、项目属性、科研仪器设备采购、核心产品</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项目属性见《投标人须知资料表》。</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核心产品见《投标人须知资料表》。</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现场考察、开标前答疑会</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4" w:name="_Toc226309766"/>
      <w:r/>
      <w:bookmarkStart w:id="145" w:name="_Toc127151522"/>
      <w:r/>
      <w:bookmarkStart w:id="146" w:name="_Toc151193692"/>
      <w:r/>
      <w:bookmarkStart w:id="147" w:name="_Toc195842887"/>
      <w:r/>
      <w:bookmarkStart w:id="148" w:name="_Toc150480760"/>
      <w:r/>
      <w:bookmarkStart w:id="149" w:name="_Toc151193836"/>
      <w:r/>
      <w:bookmarkStart w:id="150" w:name="_Toc151193620"/>
      <w:r/>
      <w:bookmarkStart w:id="151" w:name="_Toc150774622"/>
      <w:r/>
      <w:bookmarkStart w:id="152" w:name="_Toc305158864"/>
      <w:r/>
      <w:bookmarkStart w:id="153" w:name="_Toc151193910"/>
      <w:r/>
      <w:bookmarkStart w:id="154" w:name="_Toc150509273"/>
      <w:r/>
      <w:bookmarkStart w:id="155" w:name="_Toc151190149"/>
      <w:r/>
      <w:bookmarkStart w:id="156" w:name="_Toc305158790"/>
      <w:r/>
      <w:bookmarkStart w:id="157" w:name="_Toc142311024"/>
      <w:r/>
      <w:bookmarkStart w:id="158" w:name="_Toc151193764"/>
      <w:r/>
      <w:bookmarkStart w:id="159" w:name="_Toc150774727"/>
      <w:r/>
      <w:bookmarkStart w:id="160" w:name="_Toc264969212"/>
      <w:r/>
      <w:bookmarkStart w:id="161" w:name="_Toc520356146"/>
      <w:r/>
      <w:bookmarkStart w:id="162" w:name="_Toc226337218"/>
      <w:r/>
      <w:bookmarkStart w:id="163" w:name="_Toc265228360"/>
      <w:r/>
      <w:bookmarkStart w:id="164" w:name="_Toc226965795"/>
      <w:r/>
      <w:bookmarkStart w:id="165" w:name="_Toc226965712"/>
      <w:r>
        <w:rPr>
          <w:rFonts w:hint="eastAsia" w:ascii="宋体" w:hAnsi="宋体" w:cs="宋体"/>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样品</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sz w:val="24"/>
          <w:highlight w:val="none"/>
        </w:rPr>
        <w:outlineLvl w:val="1"/>
      </w:pPr>
      <w:r>
        <w:rPr>
          <w:rFonts w:hint="eastAsia" w:ascii="宋体" w:hAnsi="宋体" w:cs="宋体"/>
          <w:b/>
          <w:sz w:val="24"/>
          <w:highlight w:val="none"/>
        </w:rPr>
        <w:t xml:space="preserve">政府采购政策</w:t>
      </w:r>
      <w:r>
        <w:rPr>
          <w:rFonts w:hint="eastAsia" w:ascii="宋体" w:hAnsi="宋体" w:cs="宋体"/>
          <w:sz w:val="24"/>
          <w:highlight w:val="none"/>
        </w:rPr>
        <w:t xml:space="preserve">（包括但不限于下列具体政策要求）</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进口产品</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中小企业、监狱企业及残疾人福利性单位</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中小企业定义：</w:t>
      </w:r>
      <w:r>
        <w:rPr>
          <w:rFonts w:hint="eastAsia" w:ascii="宋体" w:hAnsi="宋体" w:cs="宋体"/>
          <w:sz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rPr>
          <w:rFonts w:hint="eastAsia" w:ascii="宋体" w:hAnsi="宋体" w:cs="宋体"/>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hint="eastAsia" w:ascii="宋体" w:hAnsi="宋体" w:cs="宋体"/>
          <w:sz w:val="24"/>
          <w:highlight w:val="none"/>
        </w:rPr>
      </w:r>
      <w:r/>
    </w:p>
    <w:p>
      <w:pPr>
        <w:pStyle w:val="1167"/>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政府采购节能产品、环境标志产品</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支持乡村产业振兴管理</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highlight w:val="none"/>
        </w:rPr>
      </w:pPr>
      <w:r>
        <w:rPr>
          <w:rFonts w:hint="eastAsia" w:ascii="宋体" w:hAnsi="宋体" w:cs="宋体"/>
          <w:b/>
          <w:sz w:val="24"/>
          <w:highlight w:val="none"/>
        </w:rPr>
        <w:t xml:space="preserve">正版软件</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信息安全产品</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。关于信息安全相关规定依据《关于信息安全产品实施政府采购的通知》（财库〔2010〕48 号）。</w:t>
      </w:r>
      <w:r>
        <w:rPr>
          <w:rFonts w:hint="eastAsia" w:ascii="宋体" w:hAnsi="宋体" w:cs="宋体"/>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政府采购创新产品政策</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highlight w:val="none"/>
        </w:rPr>
      </w:r>
      <w:r/>
    </w:p>
    <w:p>
      <w:pPr>
        <w:pStyle w:val="1072"/>
        <w:ind w:firstLine="482"/>
        <w:spacing w:line="360" w:lineRule="auto"/>
        <w:rPr>
          <w:rFonts w:hint="eastAsia" w:ascii="宋体" w:hAnsi="宋体"/>
          <w:b/>
          <w:bCs/>
          <w:sz w:val="24"/>
          <w:highlight w:val="none"/>
        </w:rPr>
      </w:pPr>
      <w:r>
        <w:rPr>
          <w:rFonts w:hint="eastAsia" w:ascii="宋体" w:hAnsi="宋体"/>
          <w:b/>
          <w:bCs/>
          <w:sz w:val="24"/>
          <w:highlight w:val="none"/>
        </w:rPr>
        <w:t xml:space="preserve">5.9采购本国产品的支持政策</w:t>
      </w:r>
      <w:r>
        <w:rPr>
          <w:rFonts w:hint="eastAsia" w:ascii="宋体" w:hAnsi="宋体"/>
          <w:b/>
          <w:bCs/>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投标费用</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highlight w:val="none"/>
        </w:rPr>
      </w:r>
      <w:r/>
    </w:p>
    <w:p>
      <w:pPr>
        <w:pStyle w:val="1072"/>
        <w:ind w:firstLine="560"/>
        <w:spacing w:line="360" w:lineRule="auto"/>
        <w:tabs>
          <w:tab w:val="left" w:pos="1080" w:leader="none"/>
        </w:tabs>
        <w:rPr>
          <w:rFonts w:hint="eastAsia" w:ascii="宋体" w:hAnsi="宋体" w:cs="宋体"/>
          <w:sz w:val="28"/>
          <w:highlight w:val="none"/>
        </w:rPr>
      </w:pPr>
      <w:r/>
      <w:bookmarkStart w:id="166" w:name="_1.8_计量单位"/>
      <w:r/>
      <w:bookmarkEnd w:id="166"/>
      <w:r>
        <w:rPr>
          <w:rFonts w:hint="eastAsia" w:ascii="宋体" w:hAnsi="宋体" w:cs="宋体"/>
          <w:sz w:val="28"/>
          <w:highlight w:val="none"/>
        </w:rPr>
      </w:r>
      <w:r/>
    </w:p>
    <w:p>
      <w:pPr>
        <w:pStyle w:val="1074"/>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167" w:name="_Toc226337219"/>
      <w:r/>
      <w:bookmarkStart w:id="168" w:name="_Toc151190150"/>
      <w:r/>
      <w:bookmarkStart w:id="169" w:name="_Toc164229218"/>
      <w:r/>
      <w:bookmarkStart w:id="170" w:name="_Toc226965713"/>
      <w:r/>
      <w:bookmarkStart w:id="171" w:name="_Toc305158791"/>
      <w:r/>
      <w:bookmarkStart w:id="172" w:name="_Toc150774728"/>
      <w:r/>
      <w:bookmarkStart w:id="173" w:name="_Toc151193837"/>
      <w:r/>
      <w:bookmarkStart w:id="174" w:name="_Toc151193765"/>
      <w:r/>
      <w:bookmarkStart w:id="175" w:name="_Toc127151724"/>
      <w:r/>
      <w:bookmarkStart w:id="176" w:name="_Toc226965796"/>
      <w:r/>
      <w:bookmarkStart w:id="177" w:name="_Toc164608792"/>
      <w:r/>
      <w:bookmarkStart w:id="178" w:name="_Toc149720816"/>
      <w:r/>
      <w:bookmarkStart w:id="179" w:name="_Toc151193621"/>
      <w:r/>
      <w:bookmarkStart w:id="180" w:name="_Toc195842888"/>
      <w:r/>
      <w:bookmarkStart w:id="181" w:name="_Toc151193693"/>
      <w:r/>
      <w:bookmarkStart w:id="182" w:name="_Toc164351617"/>
      <w:r/>
      <w:bookmarkStart w:id="183" w:name="_Toc127151523"/>
      <w:r/>
      <w:bookmarkStart w:id="184" w:name="_Toc265228361"/>
      <w:r/>
      <w:bookmarkStart w:id="185" w:name="_Toc150480761"/>
      <w:r/>
      <w:bookmarkStart w:id="186" w:name="_Toc226309767"/>
      <w:r/>
      <w:bookmarkStart w:id="187" w:name="_Toc164229364"/>
      <w:r/>
      <w:bookmarkStart w:id="188" w:name="_Toc150774623"/>
      <w:r/>
      <w:bookmarkStart w:id="189" w:name="_Toc151193911"/>
      <w:r/>
      <w:bookmarkStart w:id="190" w:name="_Toc164608637"/>
      <w:r/>
      <w:bookmarkStart w:id="191" w:name="_Toc305158865"/>
      <w:r/>
      <w:bookmarkStart w:id="192" w:name="_Toc142311025"/>
      <w:r/>
      <w:bookmarkStart w:id="193" w:name="_Toc150509274"/>
      <w:r/>
      <w:bookmarkStart w:id="194" w:name="_Toc127161437"/>
      <w:r/>
      <w:bookmarkStart w:id="195" w:name="_Toc264969213"/>
      <w:r/>
      <w:bookmarkStart w:id="196" w:name="_Toc520356147"/>
      <w:r>
        <w:rPr>
          <w:rFonts w:hint="eastAsia" w:ascii="宋体" w:hAnsi="宋体" w:cs="宋体"/>
          <w:b/>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highlight w:val="none"/>
        </w:rPr>
        <w:t xml:space="preserve">成</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招标文件包括以下部分：</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投标邀请</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投标人须知</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资格审查</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评标程序、评标方法和评标标准</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采购需求</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拟签订的合同文本</w:t>
      </w:r>
      <w:r>
        <w:rPr>
          <w:rFonts w:hint="eastAsia" w:ascii="宋体" w:hAnsi="宋体" w:cs="宋体"/>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highlight w:val="none"/>
        </w:rPr>
      </w:pPr>
      <w:r>
        <w:rPr>
          <w:rFonts w:hint="eastAsia" w:ascii="宋体" w:hAnsi="宋体" w:cs="宋体"/>
          <w:sz w:val="24"/>
          <w:highlight w:val="none"/>
        </w:rPr>
        <w:t xml:space="preserve">投标文件格式</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对招标文件的澄清或修改</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highlight w:val="none"/>
        </w:rPr>
      </w:r>
      <w:r/>
    </w:p>
    <w:p>
      <w:pPr>
        <w:pStyle w:val="1074"/>
        <w:ind w:firstLine="562"/>
        <w:spacing w:before="0" w:line="360" w:lineRule="auto"/>
        <w:rPr>
          <w:rFonts w:hint="eastAsia" w:ascii="宋体" w:hAnsi="宋体" w:eastAsia="宋体" w:cs="宋体"/>
          <w:sz w:val="28"/>
          <w:highlight w:val="none"/>
        </w:rPr>
      </w:pPr>
      <w:r/>
      <w:bookmarkStart w:id="197" w:name="_Toc151193914"/>
      <w:r/>
      <w:bookmarkStart w:id="198" w:name="_Toc150774731"/>
      <w:r/>
      <w:bookmarkStart w:id="199" w:name="_Toc151190153"/>
      <w:r/>
      <w:bookmarkStart w:id="200" w:name="_Toc264969216"/>
      <w:r/>
      <w:bookmarkStart w:id="201" w:name="_Toc151193768"/>
      <w:r/>
      <w:bookmarkStart w:id="202" w:name="_Toc195842891"/>
      <w:r/>
      <w:bookmarkStart w:id="203" w:name="_Toc520356150"/>
      <w:r/>
      <w:bookmarkStart w:id="204" w:name="_Toc226965799"/>
      <w:r/>
      <w:bookmarkStart w:id="205" w:name="_Toc151193840"/>
      <w:r/>
      <w:bookmarkStart w:id="206" w:name="_Toc142311028"/>
      <w:r/>
      <w:bookmarkStart w:id="207" w:name="_Toc305158794"/>
      <w:r/>
      <w:bookmarkStart w:id="208" w:name="_Toc226965716"/>
      <w:r/>
      <w:bookmarkStart w:id="209" w:name="_Toc150480764"/>
      <w:r/>
      <w:bookmarkStart w:id="210" w:name="_Toc516367020"/>
      <w:r/>
      <w:bookmarkStart w:id="211" w:name="_Toc226337222"/>
      <w:r/>
      <w:bookmarkStart w:id="212" w:name="_Toc150509277"/>
      <w:r/>
      <w:bookmarkStart w:id="213" w:name="_Toc151193624"/>
      <w:r/>
      <w:bookmarkStart w:id="214" w:name="_Toc127151526"/>
      <w:r/>
      <w:bookmarkStart w:id="215" w:name="_Toc265228364"/>
      <w:r/>
      <w:bookmarkStart w:id="216" w:name="_Toc151193696"/>
      <w:r/>
      <w:bookmarkStart w:id="217" w:name="_Toc226309770"/>
      <w:r/>
      <w:bookmarkStart w:id="218" w:name="_Toc305158868"/>
      <w:r/>
      <w:bookmarkStart w:id="219" w:name="_Toc150774626"/>
      <w:r>
        <w:rPr>
          <w:rFonts w:hint="eastAsia" w:ascii="宋体" w:hAnsi="宋体" w:eastAsia="宋体" w:cs="宋体"/>
          <w:sz w:val="28"/>
          <w:highlight w:val="none"/>
        </w:rPr>
        <w:t xml:space="preserve">三   投标文件</w:t>
      </w:r>
      <w:bookmarkEnd w:id="210"/>
      <w:r>
        <w:rPr>
          <w:rFonts w:hint="eastAsia" w:ascii="宋体" w:hAnsi="宋体" w:eastAsia="宋体" w:cs="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220" w:name="_Toc164229368"/>
      <w:r/>
      <w:bookmarkStart w:id="221" w:name="_Toc226309771"/>
      <w:r/>
      <w:bookmarkStart w:id="222" w:name="_Toc226965717"/>
      <w:r/>
      <w:bookmarkStart w:id="223" w:name="_Toc127161441"/>
      <w:r/>
      <w:bookmarkStart w:id="224" w:name="_Toc305158795"/>
      <w:r/>
      <w:bookmarkStart w:id="225" w:name="_Toc127151527"/>
      <w:r/>
      <w:bookmarkStart w:id="226" w:name="_Toc226965800"/>
      <w:r/>
      <w:bookmarkStart w:id="227" w:name="_Toc151193915"/>
      <w:r/>
      <w:bookmarkStart w:id="228" w:name="_Toc151193769"/>
      <w:r/>
      <w:bookmarkStart w:id="229" w:name="_Toc127151728"/>
      <w:r/>
      <w:bookmarkStart w:id="230" w:name="_Toc164229222"/>
      <w:r/>
      <w:bookmarkStart w:id="231" w:name="_Toc195842892"/>
      <w:r/>
      <w:bookmarkStart w:id="232" w:name="_Toc164608641"/>
      <w:r/>
      <w:bookmarkStart w:id="233" w:name="_Toc151193625"/>
      <w:r/>
      <w:bookmarkStart w:id="234" w:name="_Toc164351621"/>
      <w:r/>
      <w:bookmarkStart w:id="235" w:name="_Toc516367021"/>
      <w:r/>
      <w:bookmarkStart w:id="236" w:name="_Toc305158869"/>
      <w:r/>
      <w:bookmarkStart w:id="237" w:name="_Toc150774732"/>
      <w:r/>
      <w:bookmarkStart w:id="238" w:name="_Toc150480765"/>
      <w:r/>
      <w:bookmarkStart w:id="239" w:name="_Toc149720820"/>
      <w:r/>
      <w:bookmarkStart w:id="240" w:name="_Toc264969217"/>
      <w:r/>
      <w:bookmarkStart w:id="241" w:name="_Toc164608796"/>
      <w:r/>
      <w:bookmarkStart w:id="242" w:name="_Toc150509278"/>
      <w:r/>
      <w:bookmarkStart w:id="243" w:name="_Toc151190154"/>
      <w:r/>
      <w:bookmarkStart w:id="244" w:name="_Toc151193697"/>
      <w:r/>
      <w:bookmarkStart w:id="245" w:name="_Toc265228365"/>
      <w:r/>
      <w:bookmarkStart w:id="246" w:name="_Toc151193841"/>
      <w:r/>
      <w:bookmarkStart w:id="247" w:name="_Toc142311029"/>
      <w:r/>
      <w:bookmarkStart w:id="248" w:name="_Toc226337223"/>
      <w:r/>
      <w:bookmarkStart w:id="249" w:name="_Toc150774627"/>
      <w:r/>
      <w:bookmarkStart w:id="250" w:name="_Toc520356151"/>
      <w:r>
        <w:rPr>
          <w:rFonts w:hint="eastAsia" w:ascii="宋体" w:hAnsi="宋体" w:cs="宋体"/>
          <w:b/>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highlight w:val="none"/>
        </w:rPr>
        <w:t xml:space="preserve">及投标语言</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除招标文件有特殊要求外，本项目投标所使用的计量单位，应采用中华人民共和国法定计量单位。</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251" w:name="_Toc127151729"/>
      <w:r/>
      <w:bookmarkStart w:id="252" w:name="_Toc164608642"/>
      <w:r/>
      <w:bookmarkStart w:id="253" w:name="_Toc151193626"/>
      <w:r/>
      <w:bookmarkStart w:id="254" w:name="_Toc305158870"/>
      <w:r/>
      <w:bookmarkStart w:id="255" w:name="_Toc142311030"/>
      <w:r/>
      <w:bookmarkStart w:id="256" w:name="_Toc226309772"/>
      <w:r/>
      <w:bookmarkStart w:id="257" w:name="_Toc150480766"/>
      <w:r/>
      <w:bookmarkStart w:id="258" w:name="_Ref467306195"/>
      <w:r/>
      <w:bookmarkStart w:id="259" w:name="_Toc516367022"/>
      <w:r/>
      <w:bookmarkStart w:id="260" w:name="_Ref467306676"/>
      <w:r/>
      <w:bookmarkStart w:id="261" w:name="_Toc149720821"/>
      <w:r/>
      <w:bookmarkStart w:id="262" w:name="_Toc150509279"/>
      <w:r/>
      <w:bookmarkStart w:id="263" w:name="_Toc150774628"/>
      <w:r/>
      <w:bookmarkStart w:id="264" w:name="_Toc127161442"/>
      <w:r/>
      <w:bookmarkStart w:id="265" w:name="_Toc151193698"/>
      <w:r/>
      <w:bookmarkStart w:id="266" w:name="_Toc265228366"/>
      <w:r/>
      <w:bookmarkStart w:id="267" w:name="_Toc151193770"/>
      <w:r/>
      <w:bookmarkStart w:id="268" w:name="_Toc151193842"/>
      <w:r/>
      <w:bookmarkStart w:id="269" w:name="_Toc164229369"/>
      <w:r/>
      <w:bookmarkStart w:id="270" w:name="_Toc305158796"/>
      <w:r/>
      <w:bookmarkStart w:id="271" w:name="_Toc164229223"/>
      <w:r/>
      <w:bookmarkStart w:id="272" w:name="_Toc151190155"/>
      <w:r/>
      <w:bookmarkStart w:id="273" w:name="_Toc164351622"/>
      <w:r/>
      <w:bookmarkStart w:id="274" w:name="_Toc264969218"/>
      <w:r/>
      <w:bookmarkStart w:id="275" w:name="_Toc127151528"/>
      <w:r/>
      <w:bookmarkStart w:id="276" w:name="_Toc226337224"/>
      <w:r/>
      <w:bookmarkStart w:id="277" w:name="_Toc164608797"/>
      <w:r/>
      <w:bookmarkStart w:id="278" w:name="_Toc226965718"/>
      <w:r/>
      <w:bookmarkStart w:id="279" w:name="_Toc520356152"/>
      <w:r/>
      <w:bookmarkStart w:id="280" w:name="_Toc195842893"/>
      <w:r/>
      <w:bookmarkStart w:id="281" w:name="_Toc226965801"/>
      <w:r/>
      <w:bookmarkStart w:id="282" w:name="_Toc151193916"/>
      <w:r/>
      <w:bookmarkStart w:id="283" w:name="_Toc150774733"/>
      <w:r>
        <w:rPr>
          <w:rFonts w:hint="eastAsia" w:ascii="宋体" w:hAnsi="宋体" w:cs="宋体"/>
          <w:b/>
          <w:sz w:val="24"/>
          <w:highlight w:val="none"/>
        </w:rPr>
        <w:t xml:space="preserve">投标文件</w:t>
      </w:r>
      <w:bookmarkEnd w:id="258"/>
      <w:r/>
      <w:bookmarkEnd w:id="259"/>
      <w:r/>
      <w:bookmarkEnd w:id="260"/>
      <w:r>
        <w:rPr>
          <w:rFonts w:hint="eastAsia" w:ascii="宋体" w:hAnsi="宋体" w:cs="宋体"/>
          <w:b/>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bookmarkStart w:id="284" w:name="_Ref467052588"/>
      <w:r>
        <w:rPr>
          <w:rFonts w:hint="eastAsia" w:ascii="宋体" w:hAnsi="宋体" w:cs="宋体"/>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第四章《评标程序、评标方法和评标标准》中涉及的证明文件。</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投标人认为应附的其他材料。</w:t>
      </w:r>
      <w:bookmarkEnd w:id="284"/>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285" w:name="_Toc149720823"/>
      <w:r/>
      <w:bookmarkStart w:id="286" w:name="_Toc164229225"/>
      <w:r/>
      <w:bookmarkStart w:id="287" w:name="_Toc150509281"/>
      <w:r/>
      <w:bookmarkStart w:id="288" w:name="_Toc151193628"/>
      <w:r/>
      <w:bookmarkStart w:id="289" w:name="_Toc151193772"/>
      <w:r/>
      <w:bookmarkStart w:id="290" w:name="_Toc151190157"/>
      <w:r/>
      <w:bookmarkStart w:id="291" w:name="_Toc150480768"/>
      <w:r/>
      <w:bookmarkStart w:id="292" w:name="_Toc164351624"/>
      <w:r/>
      <w:bookmarkStart w:id="293" w:name="_Toc164229371"/>
      <w:r/>
      <w:bookmarkStart w:id="294" w:name="_Toc164608799"/>
      <w:r/>
      <w:bookmarkStart w:id="295" w:name="_Toc520356155"/>
      <w:r/>
      <w:bookmarkStart w:id="296" w:name="_Toc164608644"/>
      <w:r/>
      <w:bookmarkStart w:id="297" w:name="_Toc150774630"/>
      <w:r/>
      <w:bookmarkStart w:id="298" w:name="_Toc150774735"/>
      <w:r/>
      <w:bookmarkStart w:id="299" w:name="_Toc127161444"/>
      <w:r/>
      <w:bookmarkStart w:id="300" w:name="_Toc127151530"/>
      <w:r/>
      <w:bookmarkStart w:id="301" w:name="_Toc151193918"/>
      <w:r/>
      <w:bookmarkStart w:id="302" w:name="_Toc151193844"/>
      <w:r/>
      <w:bookmarkStart w:id="303" w:name="_Toc127151731"/>
      <w:r/>
      <w:bookmarkStart w:id="304" w:name="_Toc151193700"/>
      <w:r/>
      <w:bookmarkStart w:id="305" w:name="_Toc142311032"/>
      <w:r/>
      <w:bookmarkStart w:id="306" w:name="_Toc195842895"/>
      <w:r>
        <w:rPr>
          <w:rFonts w:hint="eastAsia" w:ascii="宋体" w:hAnsi="宋体" w:cs="宋体"/>
          <w:b/>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所有投标均以人民币报价。</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按照招标文件要求完成本项目的全部相关服务费用；</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307" w:name="_Toc195842896"/>
      <w:r/>
      <w:bookmarkStart w:id="308" w:name="_Toc150774631"/>
      <w:r/>
      <w:bookmarkStart w:id="309" w:name="_Toc226337227"/>
      <w:r/>
      <w:bookmarkStart w:id="310" w:name="_Toc305158799"/>
      <w:r/>
      <w:bookmarkStart w:id="311" w:name="_Toc164608645"/>
      <w:r/>
      <w:bookmarkStart w:id="312" w:name="_Toc264969221"/>
      <w:r/>
      <w:bookmarkStart w:id="313" w:name="_Toc151193919"/>
      <w:r/>
      <w:bookmarkStart w:id="314" w:name="_Toc265228369"/>
      <w:r/>
      <w:bookmarkStart w:id="315" w:name="_Toc150480769"/>
      <w:r/>
      <w:bookmarkStart w:id="316" w:name="_Toc151193773"/>
      <w:r/>
      <w:bookmarkStart w:id="317" w:name="_Toc305158873"/>
      <w:r/>
      <w:bookmarkStart w:id="318" w:name="_Toc226309775"/>
      <w:r/>
      <w:bookmarkStart w:id="319" w:name="_Toc520356156"/>
      <w:r/>
      <w:bookmarkStart w:id="320" w:name="_Toc151193845"/>
      <w:r/>
      <w:bookmarkStart w:id="321" w:name="_Toc164229226"/>
      <w:r/>
      <w:bookmarkStart w:id="322" w:name="_Toc226965721"/>
      <w:r/>
      <w:bookmarkStart w:id="323" w:name="_Toc149720824"/>
      <w:r/>
      <w:bookmarkStart w:id="324" w:name="_Toc164351625"/>
      <w:r/>
      <w:bookmarkStart w:id="325" w:name="_Toc127151531"/>
      <w:r/>
      <w:bookmarkStart w:id="326" w:name="_Toc164608800"/>
      <w:r/>
      <w:bookmarkStart w:id="327" w:name="_Toc127161445"/>
      <w:r/>
      <w:bookmarkStart w:id="328" w:name="_Toc226965804"/>
      <w:r/>
      <w:bookmarkStart w:id="329" w:name="_Toc150509282"/>
      <w:r/>
      <w:bookmarkStart w:id="330" w:name="_Toc151193629"/>
      <w:r/>
      <w:bookmarkStart w:id="331" w:name="_Toc127151732"/>
      <w:r/>
      <w:bookmarkStart w:id="332" w:name="_Toc142311033"/>
      <w:r/>
      <w:bookmarkStart w:id="333" w:name="_Toc164229372"/>
      <w:r/>
      <w:bookmarkStart w:id="334" w:name="_Toc151190158"/>
      <w:r/>
      <w:bookmarkStart w:id="335" w:name="_Toc150774736"/>
      <w:r/>
      <w:bookmarkStart w:id="336" w:name="_Toc151193701"/>
      <w:r/>
      <w:bookmarkStart w:id="337" w:name="_Ref467306513"/>
      <w:r>
        <w:rPr>
          <w:rFonts w:hint="eastAsia" w:ascii="宋体" w:hAnsi="宋体" w:cs="宋体"/>
          <w:b/>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highlight w:val="none"/>
        </w:rPr>
      </w:r>
      <w:r/>
    </w:p>
    <w:p>
      <w:pPr>
        <w:pStyle w:val="1072"/>
        <w:ind w:firstLine="480"/>
        <w:spacing w:line="360" w:lineRule="auto"/>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根据江苏省和常州市的相关文件规定，免收投标保证金。</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338" w:name="_Toc264969222"/>
      <w:r/>
      <w:bookmarkStart w:id="339" w:name="_Toc226337228"/>
      <w:r/>
      <w:bookmarkStart w:id="340" w:name="_Toc151193846"/>
      <w:r/>
      <w:bookmarkStart w:id="341" w:name="_Toc150774632"/>
      <w:r/>
      <w:bookmarkStart w:id="342" w:name="_Toc226309776"/>
      <w:r/>
      <w:bookmarkStart w:id="343" w:name="_Toc520356157"/>
      <w:r/>
      <w:bookmarkStart w:id="344" w:name="_Toc195842897"/>
      <w:r/>
      <w:bookmarkStart w:id="345" w:name="_Toc142311034"/>
      <w:r/>
      <w:bookmarkStart w:id="346" w:name="_Toc150509283"/>
      <w:r/>
      <w:bookmarkStart w:id="347" w:name="_Toc151193920"/>
      <w:r/>
      <w:bookmarkStart w:id="348" w:name="_Toc151193702"/>
      <w:r/>
      <w:bookmarkStart w:id="349" w:name="_Toc226965722"/>
      <w:r/>
      <w:bookmarkStart w:id="350" w:name="_Toc164229373"/>
      <w:r/>
      <w:bookmarkStart w:id="351" w:name="_Toc150774737"/>
      <w:r/>
      <w:bookmarkStart w:id="352" w:name="_Toc149720825"/>
      <w:r/>
      <w:bookmarkStart w:id="353" w:name="_Toc164229227"/>
      <w:r/>
      <w:bookmarkStart w:id="354" w:name="_Toc305158800"/>
      <w:r/>
      <w:bookmarkStart w:id="355" w:name="_Toc150480770"/>
      <w:r/>
      <w:bookmarkStart w:id="356" w:name="_Toc265228370"/>
      <w:r/>
      <w:bookmarkStart w:id="357" w:name="_Toc127151733"/>
      <w:r/>
      <w:bookmarkStart w:id="358" w:name="_Toc226965805"/>
      <w:r/>
      <w:bookmarkStart w:id="359" w:name="_Toc127151532"/>
      <w:r/>
      <w:bookmarkStart w:id="360" w:name="_Toc151190159"/>
      <w:r/>
      <w:bookmarkStart w:id="361" w:name="_Toc305158874"/>
      <w:r/>
      <w:bookmarkStart w:id="362" w:name="_Toc151193630"/>
      <w:r/>
      <w:bookmarkStart w:id="363" w:name="_Toc127161446"/>
      <w:r/>
      <w:bookmarkStart w:id="364" w:name="_Toc164351626"/>
      <w:r/>
      <w:bookmarkStart w:id="365" w:name="_Toc164608801"/>
      <w:r/>
      <w:bookmarkStart w:id="366" w:name="_Toc151193774"/>
      <w:r/>
      <w:bookmarkStart w:id="367" w:name="_Toc164608646"/>
      <w:r>
        <w:rPr>
          <w:rFonts w:hint="eastAsia" w:ascii="宋体" w:hAnsi="宋体" w:cs="宋体"/>
          <w:b/>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368" w:name="_Toc164229374"/>
      <w:r/>
      <w:bookmarkStart w:id="369" w:name="_Toc151193631"/>
      <w:r/>
      <w:bookmarkStart w:id="370" w:name="_Toc520356158"/>
      <w:r/>
      <w:bookmarkStart w:id="371" w:name="_Toc127151734"/>
      <w:r/>
      <w:bookmarkStart w:id="372" w:name="_Toc305158875"/>
      <w:r/>
      <w:bookmarkStart w:id="373" w:name="_Toc127161447"/>
      <w:r/>
      <w:bookmarkStart w:id="374" w:name="_Toc151193921"/>
      <w:r/>
      <w:bookmarkStart w:id="375" w:name="_Toc164608647"/>
      <w:r/>
      <w:bookmarkStart w:id="376" w:name="_Toc226965723"/>
      <w:r/>
      <w:bookmarkStart w:id="377" w:name="_Toc195842898"/>
      <w:r/>
      <w:bookmarkStart w:id="378" w:name="_Toc142311035"/>
      <w:r/>
      <w:bookmarkStart w:id="379" w:name="_Toc226337229"/>
      <w:r/>
      <w:bookmarkStart w:id="380" w:name="_Toc151193775"/>
      <w:r/>
      <w:bookmarkStart w:id="381" w:name="_Toc164351627"/>
      <w:r/>
      <w:bookmarkStart w:id="382" w:name="_Toc151193703"/>
      <w:r/>
      <w:bookmarkStart w:id="383" w:name="_Toc151193847"/>
      <w:r/>
      <w:bookmarkStart w:id="384" w:name="_Toc150774633"/>
      <w:r/>
      <w:bookmarkStart w:id="385" w:name="_Toc226965806"/>
      <w:r/>
      <w:bookmarkStart w:id="386" w:name="_Toc164608802"/>
      <w:r/>
      <w:bookmarkStart w:id="387" w:name="_Toc226309777"/>
      <w:r/>
      <w:bookmarkStart w:id="388" w:name="_Toc305158801"/>
      <w:r/>
      <w:bookmarkStart w:id="389" w:name="_Toc164229228"/>
      <w:r/>
      <w:bookmarkStart w:id="390" w:name="_Toc265228371"/>
      <w:r/>
      <w:bookmarkStart w:id="391" w:name="_Toc127151533"/>
      <w:r/>
      <w:bookmarkStart w:id="392" w:name="_Toc151190160"/>
      <w:r/>
      <w:bookmarkStart w:id="393" w:name="_Toc149720826"/>
      <w:r/>
      <w:bookmarkStart w:id="394" w:name="_Toc150509284"/>
      <w:r/>
      <w:bookmarkStart w:id="395" w:name="_Toc264969223"/>
      <w:r/>
      <w:bookmarkStart w:id="396" w:name="_Toc150480771"/>
      <w:r/>
      <w:bookmarkStart w:id="397" w:name="_Toc150774738"/>
      <w:r>
        <w:rPr>
          <w:rFonts w:hint="eastAsia" w:ascii="宋体" w:hAnsi="宋体" w:cs="宋体"/>
          <w:b/>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highlight w:val="none"/>
        </w:rPr>
        <w:t xml:space="preserve">、加盖公章</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bookmarkStart w:id="398" w:name="_Toc150480772"/>
      <w:r/>
      <w:bookmarkStart w:id="399" w:name="_Toc195842899"/>
      <w:r/>
      <w:bookmarkStart w:id="400" w:name="_Toc150774634"/>
      <w:r/>
      <w:bookmarkStart w:id="401" w:name="_Toc151190161"/>
      <w:r/>
      <w:bookmarkStart w:id="402" w:name="_Toc151193922"/>
      <w:r/>
      <w:bookmarkStart w:id="403" w:name="_Toc305158802"/>
      <w:r/>
      <w:bookmarkStart w:id="404" w:name="_Toc226965724"/>
      <w:r/>
      <w:bookmarkStart w:id="405" w:name="_Toc150774739"/>
      <w:r/>
      <w:bookmarkStart w:id="406" w:name="_Toc142311036"/>
      <w:r/>
      <w:bookmarkStart w:id="407" w:name="_Toc520356159"/>
      <w:r/>
      <w:bookmarkStart w:id="408" w:name="_Toc127151534"/>
      <w:r/>
      <w:bookmarkStart w:id="409" w:name="_Toc226309778"/>
      <w:r/>
      <w:bookmarkStart w:id="410" w:name="_Toc264969224"/>
      <w:r/>
      <w:bookmarkStart w:id="411" w:name="_Toc151193704"/>
      <w:r/>
      <w:bookmarkStart w:id="412" w:name="_Toc151193776"/>
      <w:r/>
      <w:bookmarkStart w:id="413" w:name="_Toc151193848"/>
      <w:r/>
      <w:bookmarkStart w:id="414" w:name="_Toc305158876"/>
      <w:r/>
      <w:bookmarkStart w:id="415" w:name="_Toc265228372"/>
      <w:r/>
      <w:bookmarkStart w:id="416" w:name="_Toc150509285"/>
      <w:r/>
      <w:bookmarkStart w:id="417" w:name="_Toc226965807"/>
      <w:r/>
      <w:bookmarkStart w:id="418" w:name="_Toc226337230"/>
      <w:r/>
      <w:bookmarkStart w:id="419" w:name="_Toc151193632"/>
      <w:r>
        <w:rPr>
          <w:rFonts w:hint="eastAsia" w:ascii="宋体" w:hAnsi="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招标文件要求加盖公章的内容，一般通过投标文件编制工具加盖电子签章。</w:t>
      </w:r>
      <w:r>
        <w:rPr>
          <w:rFonts w:hint="eastAsia" w:ascii="宋体" w:hAnsi="宋体" w:cs="宋体"/>
          <w:sz w:val="24"/>
          <w:highlight w:val="none"/>
        </w:rPr>
      </w:r>
      <w:r/>
    </w:p>
    <w:p>
      <w:pPr>
        <w:pStyle w:val="1072"/>
        <w:ind w:firstLine="420"/>
        <w:spacing w:line="360" w:lineRule="auto"/>
        <w:tabs>
          <w:tab w:val="left" w:pos="900" w:leader="none"/>
          <w:tab w:val="left" w:pos="1080" w:leader="none"/>
        </w:tabs>
        <w:rPr>
          <w:rFonts w:hint="eastAsia" w:ascii="宋体" w:hAnsi="宋体" w:cs="宋体"/>
          <w:highlight w:val="none"/>
        </w:rPr>
      </w:pPr>
      <w:r>
        <w:rPr>
          <w:rFonts w:hint="eastAsia" w:ascii="宋体" w:hAnsi="宋体" w:cs="宋体"/>
          <w:highlight w:val="none"/>
        </w:rPr>
      </w:r>
      <w:r/>
    </w:p>
    <w:p>
      <w:pPr>
        <w:pStyle w:val="1074"/>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420" w:name="_Toc264969225"/>
      <w:r/>
      <w:bookmarkStart w:id="421" w:name="_Toc127151736"/>
      <w:r/>
      <w:bookmarkStart w:id="422" w:name="_Toc520356160"/>
      <w:r/>
      <w:bookmarkStart w:id="423" w:name="_Toc164608804"/>
      <w:r/>
      <w:bookmarkStart w:id="424" w:name="_Toc151193777"/>
      <w:r/>
      <w:bookmarkStart w:id="425" w:name="_Toc149720828"/>
      <w:r/>
      <w:bookmarkStart w:id="426" w:name="_Toc305158803"/>
      <w:r/>
      <w:bookmarkStart w:id="427" w:name="_Toc195842900"/>
      <w:r/>
      <w:bookmarkStart w:id="428" w:name="_Toc127151535"/>
      <w:r/>
      <w:bookmarkStart w:id="429" w:name="_Toc127161449"/>
      <w:r/>
      <w:bookmarkStart w:id="430" w:name="_Toc142311037"/>
      <w:r/>
      <w:bookmarkStart w:id="431" w:name="_Toc151190162"/>
      <w:r/>
      <w:bookmarkStart w:id="432" w:name="_Toc150509286"/>
      <w:r/>
      <w:bookmarkStart w:id="433" w:name="_Toc265228373"/>
      <w:r/>
      <w:bookmarkStart w:id="434" w:name="_Toc226309779"/>
      <w:r/>
      <w:bookmarkStart w:id="435" w:name="_Toc164608649"/>
      <w:r/>
      <w:bookmarkStart w:id="436" w:name="_Toc151193633"/>
      <w:r/>
      <w:bookmarkStart w:id="437" w:name="_Toc226337231"/>
      <w:r/>
      <w:bookmarkStart w:id="438" w:name="_Toc164229376"/>
      <w:r/>
      <w:bookmarkStart w:id="439" w:name="_Toc226965808"/>
      <w:r/>
      <w:bookmarkStart w:id="440" w:name="_Toc150480773"/>
      <w:r/>
      <w:bookmarkStart w:id="441" w:name="_Toc226965725"/>
      <w:r/>
      <w:bookmarkStart w:id="442" w:name="_Toc151193705"/>
      <w:r/>
      <w:bookmarkStart w:id="443" w:name="_Toc151193849"/>
      <w:r/>
      <w:bookmarkStart w:id="444" w:name="_Toc150774635"/>
      <w:r/>
      <w:bookmarkStart w:id="445" w:name="_Toc305158877"/>
      <w:r/>
      <w:bookmarkStart w:id="446" w:name="_Toc151193923"/>
      <w:r/>
      <w:bookmarkStart w:id="447" w:name="_Toc164351629"/>
      <w:r/>
      <w:bookmarkStart w:id="448" w:name="_Toc164229230"/>
      <w:r/>
      <w:bookmarkStart w:id="449" w:name="_Toc150774740"/>
      <w:r>
        <w:rPr>
          <w:rFonts w:hint="eastAsia" w:ascii="宋体" w:hAnsi="宋体" w:cs="宋体"/>
          <w:b/>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highlight w:val="none"/>
        </w:rPr>
        <w:t xml:space="preserve">提交</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。投标人根据招标文件及</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供应商操作手册要求编制、生成并提交电子投标文件。</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采购人及采购代理机构拒绝接受通过政府采购一体化平台“苏采云”以外任何形式提交的投标文件。</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450" w:name="_Toc164608650"/>
      <w:r/>
      <w:bookmarkStart w:id="451" w:name="_Toc226337232"/>
      <w:r/>
      <w:bookmarkStart w:id="452" w:name="_Toc305158878"/>
      <w:r/>
      <w:bookmarkStart w:id="453" w:name="_Toc150480774"/>
      <w:r/>
      <w:bookmarkStart w:id="454" w:name="_Toc149720829"/>
      <w:r/>
      <w:bookmarkStart w:id="455" w:name="_Toc150774636"/>
      <w:r/>
      <w:bookmarkStart w:id="456" w:name="_Toc265228374"/>
      <w:r/>
      <w:bookmarkStart w:id="457" w:name="_Toc150509287"/>
      <w:r/>
      <w:bookmarkStart w:id="458" w:name="_Toc520356161"/>
      <w:r/>
      <w:bookmarkStart w:id="459" w:name="_Toc226965726"/>
      <w:r/>
      <w:bookmarkStart w:id="460" w:name="_Toc127151737"/>
      <w:r/>
      <w:bookmarkStart w:id="461" w:name="_Toc151193924"/>
      <w:r/>
      <w:bookmarkStart w:id="462" w:name="_Toc164351630"/>
      <w:r/>
      <w:bookmarkStart w:id="463" w:name="_Toc151193706"/>
      <w:r/>
      <w:bookmarkStart w:id="464" w:name="_Toc305158804"/>
      <w:r/>
      <w:bookmarkStart w:id="465" w:name="_Toc164608805"/>
      <w:r/>
      <w:bookmarkStart w:id="466" w:name="_Toc151190163"/>
      <w:r/>
      <w:bookmarkStart w:id="467" w:name="_Toc164229231"/>
      <w:r/>
      <w:bookmarkStart w:id="468" w:name="_Toc150774741"/>
      <w:r/>
      <w:bookmarkStart w:id="469" w:name="_Toc151193850"/>
      <w:r/>
      <w:bookmarkStart w:id="470" w:name="_Toc151193778"/>
      <w:r/>
      <w:bookmarkStart w:id="471" w:name="_Toc127151536"/>
      <w:r/>
      <w:bookmarkStart w:id="472" w:name="_Toc226309780"/>
      <w:r/>
      <w:bookmarkStart w:id="473" w:name="_Toc164229377"/>
      <w:r/>
      <w:bookmarkStart w:id="474" w:name="_Toc127161450"/>
      <w:r/>
      <w:bookmarkStart w:id="475" w:name="_Toc142311038"/>
      <w:r/>
      <w:bookmarkStart w:id="476" w:name="_Toc264969226"/>
      <w:r/>
      <w:bookmarkStart w:id="477" w:name="_Toc195842901"/>
      <w:r/>
      <w:bookmarkStart w:id="478" w:name="_Toc226965809"/>
      <w:r/>
      <w:bookmarkStart w:id="479" w:name="_Toc151193634"/>
      <w:r>
        <w:rPr>
          <w:rFonts w:hint="eastAsia" w:ascii="宋体" w:hAnsi="宋体" w:cs="宋体"/>
          <w:b/>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highlight w:val="none"/>
        </w:rPr>
        <w:t xml:space="preserve">时间</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投标人应在招标文件要求提交投标文件截止时间前，将电子投标文件提交至政府采购一体化平台“苏采云”。</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480" w:name="_Toc305158805"/>
      <w:r/>
      <w:bookmarkStart w:id="481" w:name="_Toc226965810"/>
      <w:r/>
      <w:bookmarkStart w:id="482" w:name="_Toc151190164"/>
      <w:r/>
      <w:bookmarkStart w:id="483" w:name="_Toc305158879"/>
      <w:r/>
      <w:bookmarkStart w:id="484" w:name="_Toc151193779"/>
      <w:r/>
      <w:bookmarkStart w:id="485" w:name="_Toc226309781"/>
      <w:r/>
      <w:bookmarkStart w:id="486" w:name="_Toc150509288"/>
      <w:r/>
      <w:bookmarkStart w:id="487" w:name="_Toc142311039"/>
      <w:r/>
      <w:bookmarkStart w:id="488" w:name="_Toc127151537"/>
      <w:r/>
      <w:bookmarkStart w:id="489" w:name="_Toc151193851"/>
      <w:r/>
      <w:bookmarkStart w:id="490" w:name="_Toc151193635"/>
      <w:r/>
      <w:bookmarkStart w:id="491" w:name="_Toc265228375"/>
      <w:r/>
      <w:bookmarkStart w:id="492" w:name="_Toc164608806"/>
      <w:r/>
      <w:bookmarkStart w:id="493" w:name="_Toc150774637"/>
      <w:r/>
      <w:bookmarkStart w:id="494" w:name="_Toc226965727"/>
      <w:r/>
      <w:bookmarkStart w:id="495" w:name="_Toc520356162"/>
      <w:r/>
      <w:bookmarkStart w:id="496" w:name="_Toc127161451"/>
      <w:r/>
      <w:bookmarkStart w:id="497" w:name="_Toc195842902"/>
      <w:r/>
      <w:bookmarkStart w:id="498" w:name="_Toc226337233"/>
      <w:r/>
      <w:bookmarkStart w:id="499" w:name="_Toc164229378"/>
      <w:r/>
      <w:bookmarkStart w:id="500" w:name="_Toc151193925"/>
      <w:r/>
      <w:bookmarkStart w:id="501" w:name="_Toc164229232"/>
      <w:r/>
      <w:bookmarkStart w:id="502" w:name="_Toc150774742"/>
      <w:r/>
      <w:bookmarkStart w:id="503" w:name="_Toc149720830"/>
      <w:r/>
      <w:bookmarkStart w:id="504" w:name="_Toc164608651"/>
      <w:r/>
      <w:bookmarkStart w:id="505" w:name="_Toc264969227"/>
      <w:r/>
      <w:bookmarkStart w:id="506" w:name="_Toc151193707"/>
      <w:r/>
      <w:bookmarkStart w:id="507" w:name="_Toc164351631"/>
      <w:r/>
      <w:bookmarkStart w:id="508" w:name="_Toc127151738"/>
      <w:r/>
      <w:bookmarkStart w:id="509" w:name="_Toc150480775"/>
      <w:r>
        <w:rPr>
          <w:rFonts w:hint="eastAsia" w:ascii="宋体" w:hAnsi="宋体" w:cs="宋体"/>
          <w:b/>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投标截止时间前，投标人可以通过政府采购一体化平台“苏采云”对所提交的投标文件进行补充、修改或者撤回。</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投标人对投标文件的补充、修改的内容应当按照招标文件要求签署、加盖公章，作为投标文件的组成部分。</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074"/>
        <w:ind w:firstLine="562"/>
        <w:spacing w:before="0" w:line="360" w:lineRule="auto"/>
        <w:rPr>
          <w:rFonts w:hint="eastAsia" w:ascii="宋体" w:hAnsi="宋体" w:eastAsia="宋体" w:cs="宋体"/>
          <w:sz w:val="28"/>
          <w:highlight w:val="none"/>
        </w:rPr>
      </w:pPr>
      <w:r/>
      <w:bookmarkStart w:id="510" w:name="_Toc195842903"/>
      <w:r/>
      <w:bookmarkStart w:id="511" w:name="_Toc150774638"/>
      <w:r/>
      <w:bookmarkStart w:id="512" w:name="_Toc305158806"/>
      <w:r/>
      <w:bookmarkStart w:id="513" w:name="_Toc151193636"/>
      <w:r/>
      <w:bookmarkStart w:id="514" w:name="_Toc265228376"/>
      <w:r/>
      <w:bookmarkStart w:id="515" w:name="_Toc150509289"/>
      <w:r/>
      <w:bookmarkStart w:id="516" w:name="_Toc150480776"/>
      <w:r/>
      <w:bookmarkStart w:id="517" w:name="_Toc305158880"/>
      <w:r/>
      <w:bookmarkStart w:id="518" w:name="_Toc151193926"/>
      <w:r/>
      <w:bookmarkStart w:id="519" w:name="_Toc150774743"/>
      <w:r/>
      <w:bookmarkStart w:id="520" w:name="_Toc127151538"/>
      <w:r/>
      <w:bookmarkStart w:id="521" w:name="_Toc226965811"/>
      <w:r/>
      <w:bookmarkStart w:id="522" w:name="_Toc226965728"/>
      <w:r/>
      <w:bookmarkStart w:id="523" w:name="_Toc226309782"/>
      <w:r/>
      <w:bookmarkStart w:id="524" w:name="_Toc142311040"/>
      <w:r/>
      <w:bookmarkStart w:id="525" w:name="_Toc151193708"/>
      <w:r/>
      <w:bookmarkStart w:id="526" w:name="_Toc151193852"/>
      <w:r/>
      <w:bookmarkStart w:id="527" w:name="_Toc151190165"/>
      <w:r/>
      <w:bookmarkStart w:id="528" w:name="_Toc226337234"/>
      <w:r/>
      <w:bookmarkStart w:id="529" w:name="_Toc151193780"/>
      <w:r/>
      <w:bookmarkStart w:id="530" w:name="_Toc520356163"/>
      <w:r/>
      <w:bookmarkStart w:id="531" w:name="_Toc264969228"/>
      <w:r>
        <w:rPr>
          <w:rFonts w:hint="eastAsia" w:ascii="宋体" w:hAnsi="宋体" w:eastAsia="宋体" w:cs="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532" w:name="_Toc520356164"/>
      <w:r/>
      <w:bookmarkStart w:id="533" w:name="_Toc151193853"/>
      <w:r/>
      <w:bookmarkStart w:id="534" w:name="_Toc151193709"/>
      <w:r/>
      <w:bookmarkStart w:id="535" w:name="_Toc195842904"/>
      <w:r/>
      <w:bookmarkStart w:id="536" w:name="_Toc226965729"/>
      <w:r/>
      <w:bookmarkStart w:id="537" w:name="_Toc164229380"/>
      <w:r/>
      <w:bookmarkStart w:id="538" w:name="_Toc305158881"/>
      <w:r/>
      <w:bookmarkStart w:id="539" w:name="_Toc151190166"/>
      <w:r/>
      <w:bookmarkStart w:id="540" w:name="_Toc150509290"/>
      <w:r/>
      <w:bookmarkStart w:id="541" w:name="_Toc305158807"/>
      <w:r/>
      <w:bookmarkStart w:id="542" w:name="_Toc265228377"/>
      <w:r/>
      <w:bookmarkStart w:id="543" w:name="_Toc151193927"/>
      <w:r/>
      <w:bookmarkStart w:id="544" w:name="_Toc127151539"/>
      <w:r/>
      <w:bookmarkStart w:id="545" w:name="_Toc150774639"/>
      <w:r/>
      <w:bookmarkStart w:id="546" w:name="_Toc150774744"/>
      <w:r/>
      <w:bookmarkStart w:id="547" w:name="_Toc226337235"/>
      <w:r/>
      <w:bookmarkStart w:id="548" w:name="_Toc164608808"/>
      <w:r/>
      <w:bookmarkStart w:id="549" w:name="_Toc164351633"/>
      <w:r/>
      <w:bookmarkStart w:id="550" w:name="_Toc226309783"/>
      <w:r/>
      <w:bookmarkStart w:id="551" w:name="_Toc151193637"/>
      <w:r/>
      <w:bookmarkStart w:id="552" w:name="_Toc150480777"/>
      <w:r/>
      <w:bookmarkStart w:id="553" w:name="_Toc127161453"/>
      <w:r/>
      <w:bookmarkStart w:id="554" w:name="_Toc164608653"/>
      <w:r/>
      <w:bookmarkStart w:id="555" w:name="_Toc226965812"/>
      <w:r/>
      <w:bookmarkStart w:id="556" w:name="_Toc164229234"/>
      <w:r/>
      <w:bookmarkStart w:id="557" w:name="_Toc149720832"/>
      <w:r/>
      <w:bookmarkStart w:id="558" w:name="_Toc127151740"/>
      <w:r/>
      <w:bookmarkStart w:id="559" w:name="_Toc264969229"/>
      <w:r/>
      <w:bookmarkStart w:id="560" w:name="_Toc151193781"/>
      <w:r/>
      <w:bookmarkStart w:id="561" w:name="_Toc142311041"/>
      <w:r>
        <w:rPr>
          <w:rFonts w:hint="eastAsia" w:ascii="宋体" w:hAnsi="宋体" w:cs="宋体"/>
          <w:b/>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采购人或采购代理机构将按招标文件的规定，在投标截止时间的同一时间和招标文件预先确定的地点组织开标。</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highlight w:val="none"/>
        </w:rPr>
        <w:t xml:space="preserve">。投标人超过规定时间未确认但是未提出疑义的，系统将视同已确认。</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投标人不足3家的，不予开标。</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如果在采购活动过程中出现以下情形，导致</w:t>
      </w:r>
      <w:r>
        <w:rPr>
          <w:rFonts w:hint="eastAsia" w:ascii="宋体" w:hAnsi="宋体" w:cs="宋体"/>
          <w:sz w:val="24"/>
          <w:highlight w:val="none"/>
          <w:lang w:bidi="ar"/>
        </w:rPr>
        <w:t xml:space="preserve">政府采购一体化平台“苏采云”</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 1)平台系统发生故障而无法登录访问的；</w:t>
      </w:r>
      <w:r>
        <w:rPr>
          <w:rFonts w:hint="eastAsia" w:ascii="宋体" w:hAnsi="宋体" w:cs="宋体"/>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hint="eastAsia" w:ascii="宋体" w:hAnsi="宋体" w:cs="宋体"/>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hint="eastAsia" w:ascii="宋体" w:hAnsi="宋体" w:cs="宋体"/>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hint="eastAsia" w:ascii="宋体" w:hAnsi="宋体" w:cs="宋体"/>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hint="eastAsia" w:ascii="宋体" w:hAnsi="宋体" w:cs="宋体"/>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资格审查</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见第三章《资格审查》。</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End w:id="562"/>
      <w:r/>
      <w:bookmarkStart w:id="563" w:name="_Toc265228378"/>
      <w:r/>
      <w:bookmarkStart w:id="564" w:name="_Toc151193782"/>
      <w:r/>
      <w:bookmarkStart w:id="565" w:name="_Toc151193854"/>
      <w:r/>
      <w:bookmarkStart w:id="566" w:name="_Toc127151540"/>
      <w:r/>
      <w:bookmarkStart w:id="567" w:name="_Toc150774640"/>
      <w:r/>
      <w:bookmarkStart w:id="568" w:name="_Toc195842905"/>
      <w:r/>
      <w:bookmarkStart w:id="569" w:name="_Toc164608654"/>
      <w:r/>
      <w:bookmarkStart w:id="570" w:name="_Toc264969230"/>
      <w:r/>
      <w:bookmarkStart w:id="571" w:name="_Toc127161454"/>
      <w:r/>
      <w:bookmarkStart w:id="572" w:name="_Toc305158808"/>
      <w:r/>
      <w:bookmarkStart w:id="573" w:name="_Toc150774745"/>
      <w:r/>
      <w:bookmarkStart w:id="574" w:name="_Toc151193928"/>
      <w:r/>
      <w:bookmarkStart w:id="575" w:name="_Toc151193638"/>
      <w:r/>
      <w:bookmarkStart w:id="576" w:name="_Toc142311042"/>
      <w:r/>
      <w:bookmarkStart w:id="577" w:name="_Toc226965730"/>
      <w:r/>
      <w:bookmarkStart w:id="578" w:name="_Toc151193710"/>
      <w:r/>
      <w:bookmarkStart w:id="579" w:name="_Toc305158882"/>
      <w:r/>
      <w:bookmarkStart w:id="580" w:name="_Toc127151741"/>
      <w:r/>
      <w:bookmarkStart w:id="581" w:name="_Toc164351634"/>
      <w:r/>
      <w:bookmarkStart w:id="582" w:name="_Toc151190167"/>
      <w:r/>
      <w:bookmarkStart w:id="583" w:name="_Toc226309784"/>
      <w:r/>
      <w:bookmarkStart w:id="584" w:name="_Toc150480778"/>
      <w:r/>
      <w:bookmarkStart w:id="585" w:name="_Toc226965813"/>
      <w:r/>
      <w:bookmarkStart w:id="586" w:name="_Toc150509291"/>
      <w:r/>
      <w:bookmarkStart w:id="587" w:name="_Toc164229235"/>
      <w:r/>
      <w:bookmarkStart w:id="588" w:name="_Toc164608809"/>
      <w:r/>
      <w:bookmarkStart w:id="589" w:name="_Toc226337236"/>
      <w:r/>
      <w:bookmarkStart w:id="590" w:name="_Toc164229381"/>
      <w:r/>
      <w:bookmarkStart w:id="591" w:name="_Toc149720833"/>
      <w:r>
        <w:rPr>
          <w:rFonts w:hint="eastAsia" w:ascii="宋体" w:hAnsi="宋体" w:cs="宋体"/>
          <w:b/>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评标程序、评标方法和评标标准</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见第四章《评标程序、评标方法和评标标准》。</w:t>
      </w:r>
      <w:r>
        <w:rPr>
          <w:rFonts w:hint="eastAsia" w:ascii="宋体" w:hAnsi="宋体" w:cs="宋体"/>
          <w:sz w:val="24"/>
          <w:highlight w:val="none"/>
        </w:rPr>
      </w:r>
      <w:r/>
    </w:p>
    <w:p>
      <w:pPr>
        <w:pStyle w:val="1072"/>
        <w:ind w:firstLine="480"/>
        <w:spacing w:line="360" w:lineRule="auto"/>
        <w:tabs>
          <w:tab w:val="left" w:pos="360" w:leader="none"/>
          <w:tab w:val="left" w:pos="1080" w:leader="none"/>
        </w:tabs>
        <w:rPr>
          <w:rFonts w:hint="eastAsia" w:ascii="宋体" w:hAnsi="宋体" w:cs="宋体"/>
          <w:sz w:val="24"/>
          <w:highlight w:val="none"/>
        </w:rPr>
      </w:pPr>
      <w:r>
        <w:rPr>
          <w:rFonts w:hint="eastAsia" w:ascii="宋体" w:hAnsi="宋体" w:cs="宋体"/>
          <w:sz w:val="24"/>
          <w:highlight w:val="none"/>
        </w:rPr>
      </w:r>
      <w:r/>
    </w:p>
    <w:p>
      <w:pPr>
        <w:pStyle w:val="1074"/>
        <w:ind w:firstLine="562"/>
        <w:spacing w:before="0" w:line="360" w:lineRule="auto"/>
        <w:rPr>
          <w:rFonts w:hint="eastAsia" w:ascii="宋体" w:hAnsi="宋体" w:eastAsia="宋体" w:cs="宋体"/>
          <w:sz w:val="28"/>
          <w:highlight w:val="none"/>
        </w:rPr>
      </w:pPr>
      <w:r/>
      <w:bookmarkStart w:id="594" w:name="_Toc127151545"/>
      <w:r/>
      <w:bookmarkStart w:id="595" w:name="_Toc142311047"/>
      <w:r/>
      <w:bookmarkStart w:id="596" w:name="_Toc226965735"/>
      <w:r/>
      <w:bookmarkStart w:id="597" w:name="_Toc226337241"/>
      <w:r/>
      <w:bookmarkStart w:id="598" w:name="_Toc150509296"/>
      <w:r/>
      <w:bookmarkStart w:id="599" w:name="_Toc305158813"/>
      <w:r/>
      <w:bookmarkStart w:id="600" w:name="_Toc226965818"/>
      <w:r/>
      <w:bookmarkStart w:id="601" w:name="_Toc195842910"/>
      <w:r/>
      <w:bookmarkStart w:id="602" w:name="_Toc265228383"/>
      <w:r/>
      <w:bookmarkStart w:id="603" w:name="_Toc264969235"/>
      <w:r/>
      <w:bookmarkStart w:id="604" w:name="_Toc150774645"/>
      <w:r/>
      <w:bookmarkStart w:id="605" w:name="_Toc151193715"/>
      <w:r/>
      <w:bookmarkStart w:id="606" w:name="_Toc305158887"/>
      <w:r/>
      <w:bookmarkStart w:id="607" w:name="_Toc150774750"/>
      <w:r/>
      <w:bookmarkStart w:id="608" w:name="_Toc151193787"/>
      <w:r/>
      <w:bookmarkStart w:id="609" w:name="_Toc151193643"/>
      <w:r/>
      <w:bookmarkStart w:id="610" w:name="_Toc151193859"/>
      <w:r/>
      <w:bookmarkStart w:id="611" w:name="_Toc150480783"/>
      <w:r/>
      <w:bookmarkStart w:id="612" w:name="_Toc226309789"/>
      <w:r/>
      <w:bookmarkStart w:id="613" w:name="_Toc151190172"/>
      <w:r/>
      <w:bookmarkStart w:id="614" w:name="_Toc151193933"/>
      <w:r>
        <w:rPr>
          <w:rFonts w:hint="eastAsia" w:ascii="宋体" w:hAnsi="宋体" w:eastAsia="宋体" w:cs="宋体"/>
          <w:sz w:val="28"/>
          <w:highlight w:val="none"/>
        </w:rPr>
        <w:t xml:space="preserve">六   </w:t>
      </w:r>
      <w:bookmarkEnd w:id="593"/>
      <w:r>
        <w:rPr>
          <w:rFonts w:hint="eastAsia" w:ascii="宋体" w:hAnsi="宋体" w:eastAsia="宋体" w:cs="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37243"/>
      <w:r/>
      <w:bookmarkStart w:id="616" w:name="_Toc151193789"/>
      <w:r/>
      <w:bookmarkStart w:id="617" w:name="_Toc226965737"/>
      <w:r/>
      <w:bookmarkStart w:id="618" w:name="_Toc264969237"/>
      <w:r/>
      <w:bookmarkStart w:id="619" w:name="_Toc127151748"/>
      <w:r/>
      <w:bookmarkStart w:id="620" w:name="_Toc164229242"/>
      <w:r/>
      <w:bookmarkStart w:id="621" w:name="_Toc150774647"/>
      <w:r/>
      <w:bookmarkStart w:id="622" w:name="_Toc305158889"/>
      <w:r/>
      <w:bookmarkStart w:id="623" w:name="_Toc150480785"/>
      <w:r/>
      <w:bookmarkStart w:id="624" w:name="_Toc150774752"/>
      <w:r/>
      <w:bookmarkStart w:id="625" w:name="_Toc149720840"/>
      <w:r/>
      <w:bookmarkStart w:id="626" w:name="_Toc226309791"/>
      <w:r/>
      <w:bookmarkStart w:id="627" w:name="_Toc164351641"/>
      <w:r/>
      <w:bookmarkStart w:id="628" w:name="_Toc164229388"/>
      <w:r/>
      <w:bookmarkStart w:id="629" w:name="_Toc151193645"/>
      <w:r/>
      <w:bookmarkStart w:id="630" w:name="_Toc127151547"/>
      <w:r/>
      <w:bookmarkStart w:id="631" w:name="_Toc142311049"/>
      <w:r/>
      <w:bookmarkStart w:id="632" w:name="_Toc127161461"/>
      <w:r/>
      <w:bookmarkStart w:id="633" w:name="_Toc265228385"/>
      <w:r/>
      <w:bookmarkStart w:id="634" w:name="_Toc195842912"/>
      <w:r/>
      <w:bookmarkStart w:id="635" w:name="_Toc164608816"/>
      <w:r/>
      <w:bookmarkStart w:id="636" w:name="_Toc151190174"/>
      <w:r/>
      <w:bookmarkStart w:id="637" w:name="_Toc164608661"/>
      <w:r/>
      <w:bookmarkStart w:id="638" w:name="_Toc226965820"/>
      <w:r/>
      <w:bookmarkStart w:id="639" w:name="_Toc151193861"/>
      <w:r/>
      <w:bookmarkStart w:id="640" w:name="_Toc150509298"/>
      <w:r/>
      <w:bookmarkStart w:id="641" w:name="_Toc151193717"/>
      <w:r/>
      <w:bookmarkStart w:id="642" w:name="_Toc305158815"/>
      <w:r/>
      <w:bookmarkStart w:id="643" w:name="_Toc151193935"/>
      <w:r>
        <w:rPr>
          <w:rFonts w:hint="eastAsia" w:ascii="宋体" w:hAnsi="宋体" w:eastAsia="宋体" w:cs="宋体"/>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采购人将在评标报告确定的中标候选人名单中按顺序确定中标人，中标候选人并列的，由采购人依法确定。</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Start w:id="644" w:name="_Toc142311051"/>
      <w:r/>
      <w:bookmarkStart w:id="645" w:name="_Toc164608663"/>
      <w:r/>
      <w:bookmarkStart w:id="646" w:name="_Toc127151750"/>
      <w:r/>
      <w:bookmarkStart w:id="647" w:name="_Toc305158817"/>
      <w:r/>
      <w:bookmarkStart w:id="648" w:name="_Toc264969239"/>
      <w:r/>
      <w:bookmarkStart w:id="649" w:name="_Toc151193719"/>
      <w:r/>
      <w:bookmarkStart w:id="650" w:name="_Toc149720842"/>
      <w:r/>
      <w:bookmarkStart w:id="651" w:name="_Toc151193863"/>
      <w:r/>
      <w:bookmarkStart w:id="652" w:name="_Toc520356176"/>
      <w:r/>
      <w:bookmarkStart w:id="653" w:name="_Ref467307090"/>
      <w:r/>
      <w:bookmarkStart w:id="654" w:name="_Ref467306425"/>
      <w:r/>
      <w:bookmarkStart w:id="655" w:name="_Toc151193647"/>
      <w:r/>
      <w:bookmarkStart w:id="656" w:name="_Toc164229244"/>
      <w:r/>
      <w:bookmarkStart w:id="657" w:name="_Toc127151549"/>
      <w:r/>
      <w:bookmarkStart w:id="658" w:name="_Toc150774649"/>
      <w:r/>
      <w:bookmarkStart w:id="659" w:name="_Toc164229390"/>
      <w:r/>
      <w:bookmarkStart w:id="660" w:name="_Toc151193791"/>
      <w:r/>
      <w:bookmarkStart w:id="661" w:name="_Toc305158891"/>
      <w:r/>
      <w:bookmarkStart w:id="662" w:name="_Toc164608818"/>
      <w:r/>
      <w:bookmarkStart w:id="663" w:name="_Toc150480787"/>
      <w:r/>
      <w:bookmarkStart w:id="664" w:name="_Toc226965739"/>
      <w:r/>
      <w:bookmarkStart w:id="665" w:name="_Toc151190176"/>
      <w:r/>
      <w:bookmarkStart w:id="666" w:name="_Toc226337245"/>
      <w:r/>
      <w:bookmarkStart w:id="667" w:name="_Toc265228387"/>
      <w:r/>
      <w:bookmarkStart w:id="668" w:name="_Toc150509300"/>
      <w:r/>
      <w:bookmarkStart w:id="669" w:name="_Toc151193937"/>
      <w:r/>
      <w:bookmarkStart w:id="670" w:name="_Toc226965822"/>
      <w:r/>
      <w:bookmarkStart w:id="671" w:name="_Toc164351643"/>
      <w:r/>
      <w:bookmarkStart w:id="672" w:name="_Toc195842914"/>
      <w:r/>
      <w:bookmarkStart w:id="673" w:name="_Toc150774754"/>
      <w:r/>
      <w:bookmarkStart w:id="674" w:name="_Toc127161463"/>
      <w:r/>
      <w:bookmarkStart w:id="675" w:name="_Toc226309793"/>
      <w:r>
        <w:rPr>
          <w:rFonts w:hint="eastAsia" w:ascii="宋体" w:hAnsi="宋体" w:cs="宋体"/>
          <w:b/>
          <w:sz w:val="24"/>
          <w:highlight w:val="none"/>
        </w:rPr>
        <w:t xml:space="preserve">中标公告与中标通知书</w:t>
      </w:r>
      <w:bookmarkEnd w:id="647"/>
      <w:r/>
      <w:bookmarkEnd w:id="661"/>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sz w:val="24"/>
          <w:highlight w:val="none"/>
        </w:rPr>
        <w:t xml:space="preserve">，同时向中标人发出中标通知书，中标公告期限为1个工作日。</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废标</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在招标采购中，出现下列情形之一的，应予废标：</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符合专业条件的供应商或者对招标文件作实质响应的供应商不足三家的；</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投标人的报价均超过了采购预算，采购人不能支付的；</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因重大变故，采购任务取消的。</w:t>
      </w:r>
      <w:r>
        <w:rPr>
          <w:rFonts w:hint="eastAsia" w:ascii="宋体" w:hAnsi="宋体" w:cs="宋体"/>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pacing w:val="2"/>
          <w:sz w:val="24"/>
          <w:highlight w:val="none"/>
        </w:rPr>
        <w:t xml:space="preserve">平台系统</w:t>
      </w:r>
      <w:r>
        <w:rPr>
          <w:rFonts w:hint="eastAsia" w:ascii="宋体" w:hAnsi="宋体" w:cs="宋体"/>
          <w:sz w:val="24"/>
          <w:highlight w:val="none"/>
        </w:rPr>
        <w:t xml:space="preserve">出现序号18.8的所述情形，情况严重且影响采购活动公平、公正性的。</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废标后，采购人将废标理由通知所有投标人。</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608819"/>
      <w:r/>
      <w:bookmarkStart w:id="677" w:name="_Ref467307062"/>
      <w:r/>
      <w:bookmarkStart w:id="678" w:name="_Toc149720843"/>
      <w:r/>
      <w:bookmarkStart w:id="679" w:name="_Toc164229391"/>
      <w:r/>
      <w:bookmarkStart w:id="680" w:name="_Toc151193864"/>
      <w:r/>
      <w:bookmarkStart w:id="681" w:name="_Toc127161464"/>
      <w:r/>
      <w:bookmarkStart w:id="682" w:name="_Toc164608664"/>
      <w:r/>
      <w:bookmarkStart w:id="683" w:name="_Toc150774650"/>
      <w:r/>
      <w:bookmarkStart w:id="684" w:name="_Toc151193792"/>
      <w:r/>
      <w:bookmarkStart w:id="685" w:name="_Toc150774755"/>
      <w:r/>
      <w:bookmarkStart w:id="686" w:name="_Toc305158818"/>
      <w:r/>
      <w:bookmarkStart w:id="687" w:name="_Toc150509301"/>
      <w:r/>
      <w:bookmarkStart w:id="688" w:name="_Toc142311052"/>
      <w:r/>
      <w:bookmarkStart w:id="689" w:name="_Toc265228388"/>
      <w:r/>
      <w:bookmarkStart w:id="690" w:name="_Toc226965740"/>
      <w:r/>
      <w:bookmarkStart w:id="691" w:name="_Ref467306377"/>
      <w:r/>
      <w:bookmarkStart w:id="692" w:name="_Toc127151550"/>
      <w:r/>
      <w:bookmarkStart w:id="693" w:name="_Toc226309794"/>
      <w:r/>
      <w:bookmarkStart w:id="694" w:name="_Toc151190177"/>
      <w:r/>
      <w:bookmarkStart w:id="695" w:name="_Toc264969240"/>
      <w:r/>
      <w:bookmarkStart w:id="696" w:name="_Toc151193938"/>
      <w:r/>
      <w:bookmarkStart w:id="697" w:name="_Toc150480788"/>
      <w:r/>
      <w:bookmarkStart w:id="698" w:name="_Toc195842915"/>
      <w:r/>
      <w:bookmarkStart w:id="699" w:name="_Ref467307204"/>
      <w:r/>
      <w:bookmarkStart w:id="700" w:name="_Toc151193648"/>
      <w:r/>
      <w:bookmarkStart w:id="701" w:name="_Toc226965823"/>
      <w:r/>
      <w:bookmarkStart w:id="702" w:name="_Toc226337246"/>
      <w:r/>
      <w:bookmarkStart w:id="703" w:name="_Ref467306978"/>
      <w:r/>
      <w:bookmarkStart w:id="704" w:name="_Toc151193720"/>
      <w:r/>
      <w:bookmarkStart w:id="705" w:name="_Toc164351644"/>
      <w:r/>
      <w:bookmarkStart w:id="706" w:name="_Toc164229245"/>
      <w:r/>
      <w:bookmarkStart w:id="707" w:name="_Toc520356175"/>
      <w:r/>
      <w:bookmarkStart w:id="708" w:name="_Toc127151751"/>
      <w:r/>
      <w:bookmarkStart w:id="709" w:name="_Toc305158892"/>
      <w:r>
        <w:rPr>
          <w:rFonts w:hint="eastAsia" w:ascii="宋体" w:hAnsi="宋体" w:cs="宋体"/>
          <w:b/>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联合体中标的，联合体各方应当共同与采购人签订合同，就中标项目向采购人承担连带责任。</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。中标人就采购项目和分包项目向采购人负责，分包供应商就分包项目承担责任。</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bookmarkEnd w:id="652"/>
      <w:r/>
      <w:bookmarkEnd w:id="653"/>
      <w:r/>
      <w:bookmarkEnd w:id="654"/>
      <w:r>
        <w:rPr>
          <w:rFonts w:hint="eastAsia" w:ascii="宋体" w:hAnsi="宋体" w:cs="宋体"/>
          <w:b/>
          <w:sz w:val="24"/>
          <w:highlight w:val="none"/>
        </w:rPr>
        <w:t xml:space="preserve">询问与质疑</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投标人对政府采购活动事项有疑问的，可依法提出询问，并按《投标人须知资料表》载明的形式送达采购人或采购代理机构。</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质疑</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rFonts w:hint="eastAsia" w:ascii="宋体" w:hAnsi="宋体" w:cs="宋体"/>
          <w:highlight w:val="none"/>
        </w:rPr>
        <w:fldChar w:fldCharType="begin"/>
      </w:r>
      <w:r>
        <w:rPr>
          <w:rFonts w:hint="eastAsia" w:ascii="宋体" w:hAnsi="宋体" w:cs="宋体"/>
          <w:highlight w:val="none"/>
        </w:rPr>
        <w:instrText xml:space="preserve"> HYPERLINK "http://gks.mof.gov.cn/ztztz/zhengfucaigouguanli/201802/t20180201_2804589.htm" </w:instrText>
      </w:r>
      <w:r>
        <w:rPr>
          <w:rFonts w:hint="eastAsia" w:ascii="宋体" w:hAnsi="宋体" w:cs="宋体"/>
          <w:highlight w:val="none"/>
        </w:rPr>
        <w:fldChar w:fldCharType="separate"/>
      </w:r>
      <w:r>
        <w:rPr>
          <w:rStyle w:val="1148"/>
          <w:rFonts w:hint="eastAsia" w:ascii="宋体" w:hAnsi="宋体" w:cs="宋体"/>
          <w:highlight w:val="none"/>
        </w:rPr>
        <w:t xml:space="preserve">http://gk</w:t>
      </w:r>
      <w:bookmarkStart w:id="710" w:name="_Hlt100654014"/>
      <w:r>
        <w:rPr>
          <w:rStyle w:val="1148"/>
          <w:rFonts w:hint="eastAsia" w:ascii="宋体" w:hAnsi="宋体" w:cs="宋体"/>
          <w:highlight w:val="none"/>
        </w:rPr>
        <w:t xml:space="preserve">s</w:t>
      </w:r>
      <w:bookmarkEnd w:id="710"/>
      <w:r>
        <w:rPr>
          <w:rStyle w:val="1148"/>
          <w:rFonts w:hint="eastAsia" w:ascii="宋体" w:hAnsi="宋体" w:cs="宋体"/>
          <w:highlight w:val="none"/>
        </w:rPr>
        <w:t xml:space="preserve">.m</w:t>
      </w:r>
      <w:bookmarkStart w:id="711" w:name="_Hlt100653994"/>
      <w:r/>
      <w:bookmarkStart w:id="712" w:name="_Hlt100653993"/>
      <w:r>
        <w:rPr>
          <w:rStyle w:val="1148"/>
          <w:rFonts w:hint="eastAsia" w:ascii="宋体" w:hAnsi="宋体" w:cs="宋体"/>
          <w:highlight w:val="none"/>
        </w:rPr>
        <w:t xml:space="preserve">o</w:t>
      </w:r>
      <w:bookmarkEnd w:id="711"/>
      <w:r/>
      <w:bookmarkEnd w:id="712"/>
      <w:r>
        <w:rPr>
          <w:rStyle w:val="1148"/>
          <w:rFonts w:hint="eastAsia" w:ascii="宋体" w:hAnsi="宋体" w:cs="宋体"/>
          <w:highlight w:val="none"/>
        </w:rPr>
        <w:t xml:space="preserve">f.gov.cn/ztztz/zhengfucaigouguanli/201802/t20180201_2804589.htm</w:t>
      </w:r>
      <w:r>
        <w:rPr>
          <w:rFonts w:hint="eastAsia" w:ascii="宋体" w:hAnsi="宋体" w:cs="宋体"/>
          <w:highlight w:val="none"/>
        </w:rPr>
        <w:fldChar w:fldCharType="end"/>
      </w:r>
      <w:r>
        <w:rPr>
          <w:rFonts w:hint="eastAsia" w:ascii="宋体" w:hAnsi="宋体" w:cs="宋体"/>
          <w:highlight w:val="none"/>
        </w:rPr>
        <w:t xml:space="preserve">）</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highlight w:val="none"/>
        </w:rPr>
      </w:pPr>
      <w:r>
        <w:rPr>
          <w:rFonts w:hint="eastAsia" w:ascii="宋体" w:hAnsi="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接收询问和质疑的联系部门、联系电话和通讯地址见《投标人须知资料表》。</w:t>
      </w:r>
      <w:r>
        <w:rPr>
          <w:rFonts w:hint="eastAsia" w:ascii="宋体" w:hAnsi="宋体" w:cs="宋体"/>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代理费</w:t>
      </w:r>
      <w:r>
        <w:rPr>
          <w:rFonts w:hint="eastAsia" w:ascii="宋体" w:hAnsi="宋体" w:cs="宋体"/>
          <w:b/>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highlight w:val="none"/>
        </w:rPr>
      </w:r>
      <w:r/>
    </w:p>
    <w:p>
      <w:pPr>
        <w:pStyle w:val="1072"/>
        <w:ind w:left="360"/>
        <w:spacing w:line="360" w:lineRule="auto"/>
        <w:tabs>
          <w:tab w:val="left" w:pos="360" w:leader="none"/>
          <w:tab w:val="left" w:pos="1080" w:leader="none"/>
        </w:tabs>
        <w:rPr>
          <w:rFonts w:hint="eastAsia" w:ascii="宋体" w:hAnsi="宋体" w:cs="宋体"/>
          <w:sz w:val="24"/>
          <w:highlight w:val="none"/>
        </w:rPr>
      </w:pPr>
      <w:r>
        <w:rPr>
          <w:rFonts w:hint="eastAsia" w:ascii="宋体" w:hAnsi="宋体" w:cs="宋体"/>
          <w:sz w:val="24"/>
          <w:highlight w:val="none"/>
        </w:rPr>
      </w:r>
      <w:r/>
    </w:p>
    <w:p>
      <w:pPr>
        <w:pStyle w:val="1072"/>
        <w:jc w:val="center"/>
        <w:spacing w:line="360" w:lineRule="auto"/>
        <w:rPr>
          <w:rFonts w:hint="eastAsia" w:ascii="宋体" w:hAnsi="宋体" w:cs="宋体"/>
          <w:b/>
          <w:sz w:val="36"/>
          <w:szCs w:val="36"/>
          <w:highlight w:val="none"/>
        </w:rPr>
        <w:outlineLvl w:val="0"/>
      </w:pPr>
      <w:r/>
      <w:bookmarkStart w:id="713" w:name="_Toc150480792"/>
      <w:r/>
      <w:bookmarkStart w:id="714" w:name="_Toc353873934"/>
      <w:r/>
      <w:bookmarkStart w:id="715" w:name="_Toc150774759"/>
      <w:r/>
      <w:bookmarkStart w:id="716" w:name="_Toc127151554"/>
      <w:r/>
      <w:bookmarkStart w:id="717" w:name="_Toc142311056"/>
      <w:r/>
      <w:bookmarkStart w:id="718" w:name="_Toc353825544"/>
      <w:r/>
      <w:bookmarkStart w:id="719" w:name="_Toc305158896"/>
      <w:r/>
      <w:bookmarkStart w:id="720" w:name="_Toc226965827"/>
      <w:r/>
      <w:bookmarkStart w:id="721" w:name="_Toc305158822"/>
      <w:r/>
      <w:bookmarkStart w:id="722" w:name="_Toc265228392"/>
      <w:r/>
      <w:bookmarkStart w:id="723" w:name="_Toc264969244"/>
      <w:r/>
      <w:bookmarkStart w:id="724" w:name="_Toc226337250"/>
      <w:r/>
      <w:bookmarkStart w:id="725" w:name="_Toc353873664"/>
      <w:r>
        <w:rPr>
          <w:rFonts w:hint="eastAsia" w:ascii="宋体" w:hAnsi="宋体" w:cs="宋体"/>
          <w:sz w:val="24"/>
          <w:highlight w:val="none"/>
        </w:rPr>
        <w:br w:type="page" w:clear="all"/>
      </w:r>
      <w:bookmarkStart w:id="726" w:name="_Toc99301421"/>
      <w:r>
        <w:rPr>
          <w:rFonts w:hint="eastAsia" w:ascii="宋体" w:hAnsi="宋体" w:cs="宋体"/>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highlight w:val="none"/>
        </w:rPr>
        <w:t xml:space="preserve">资格审查</w:t>
      </w:r>
      <w:bookmarkEnd w:id="726"/>
      <w:r/>
      <w:bookmarkStart w:id="727" w:name="_Toc487900382"/>
      <w:r>
        <w:rPr>
          <w:rFonts w:hint="eastAsia" w:ascii="宋体" w:hAnsi="宋体" w:cs="宋体"/>
          <w:b/>
          <w:sz w:val="36"/>
          <w:szCs w:val="36"/>
          <w:highlight w:val="none"/>
        </w:rPr>
      </w:r>
      <w:r/>
    </w:p>
    <w:p>
      <w:pPr>
        <w:pStyle w:val="1072"/>
        <w:jc w:val="center"/>
        <w:spacing w:line="360" w:lineRule="auto"/>
        <w:tabs>
          <w:tab w:val="left" w:pos="360" w:leader="none"/>
          <w:tab w:val="left" w:pos="900" w:leader="none"/>
        </w:tabs>
        <w:rPr>
          <w:rFonts w:hint="eastAsia" w:ascii="宋体" w:hAnsi="宋体" w:cs="宋体"/>
          <w:b/>
          <w:sz w:val="24"/>
          <w:highlight w:val="none"/>
        </w:rPr>
        <w:outlineLvl w:val="1"/>
      </w:pPr>
      <w:r/>
      <w:bookmarkStart w:id="728" w:name="_Toc99301422"/>
      <w:r>
        <w:rPr>
          <w:rFonts w:hint="eastAsia" w:ascii="宋体" w:hAnsi="宋体" w:cs="宋体"/>
          <w:b/>
          <w:sz w:val="24"/>
          <w:highlight w:val="none"/>
        </w:rPr>
        <w:t xml:space="preserve">一、资格审查程序</w:t>
      </w:r>
      <w:bookmarkEnd w:id="728"/>
      <w:r>
        <w:rPr>
          <w:rFonts w:hint="eastAsia" w:ascii="宋体" w:hAnsi="宋体" w:cs="宋体"/>
          <w:b/>
          <w:sz w:val="24"/>
          <w:highlight w:val="none"/>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hint="eastAsia" w:ascii="宋体" w:hAnsi="宋体" w:cs="宋体"/>
          <w:sz w:val="24"/>
          <w:highlight w:val="none"/>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hint="eastAsia" w:ascii="宋体" w:hAnsi="宋体" w:cs="宋体"/>
          <w:sz w:val="24"/>
          <w:highlight w:val="none"/>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12"/>
        </w:numPr>
        <w:ind w:left="0" w:firstLine="480"/>
        <w:spacing w:line="360" w:lineRule="auto"/>
        <w:tabs>
          <w:tab w:val="left" w:pos="284" w:leader="none"/>
          <w:tab w:val="left" w:pos="900"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rPr>
          <w:rFonts w:hint="eastAsia" w:ascii="宋体" w:hAnsi="宋体" w:cs="宋体"/>
          <w:sz w:val="24"/>
          <w:highlight w:val="none"/>
        </w:rPr>
      </w:r>
      <w:r/>
    </w:p>
    <w:p>
      <w:pPr>
        <w:pStyle w:val="1072"/>
        <w:jc w:val="left"/>
        <w:widowControl/>
        <w:rPr>
          <w:rFonts w:hint="eastAsia" w:ascii="宋体" w:hAnsi="宋体" w:cs="宋体"/>
          <w:sz w:val="24"/>
          <w:highlight w:val="none"/>
        </w:rPr>
      </w:pPr>
      <w:r>
        <w:rPr>
          <w:rFonts w:hint="eastAsia" w:ascii="宋体" w:hAnsi="宋体" w:cs="宋体"/>
          <w:sz w:val="24"/>
          <w:highlight w:val="none"/>
        </w:rPr>
      </w:r>
      <w:r/>
    </w:p>
    <w:p>
      <w:pPr>
        <w:pStyle w:val="1072"/>
        <w:jc w:val="center"/>
        <w:spacing w:line="360" w:lineRule="auto"/>
        <w:tabs>
          <w:tab w:val="left" w:pos="360"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二、资格审查要求</w:t>
      </w:r>
      <w:r>
        <w:rPr>
          <w:rFonts w:hint="eastAsia" w:ascii="宋体" w:hAnsi="宋体" w:cs="宋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highlight w:val="none"/>
              </w:rPr>
            </w:pPr>
            <w:r/>
            <w:bookmarkStart w:id="729" w:name="_Hlt487972895"/>
            <w:r/>
            <w:bookmarkEnd w:id="729"/>
            <w:r>
              <w:rPr>
                <w:rFonts w:hint="eastAsia" w:ascii="宋体" w:hAnsi="宋体" w:cs="宋体"/>
                <w:b/>
                <w:sz w:val="24"/>
                <w:highlight w:val="none"/>
              </w:rPr>
              <w:t xml:space="preserve">序号</w:t>
            </w:r>
            <w:r>
              <w:rPr>
                <w:rFonts w:hint="eastAsia" w:ascii="宋体" w:hAnsi="宋体" w:cs="宋体"/>
                <w:b/>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rPr>
                <w:rFonts w:hint="eastAsia" w:ascii="宋体" w:hAnsi="宋体" w:cs="宋体"/>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highlight w:val="none"/>
              </w:rPr>
              <w:t xml:space="preserve">www.creditchina.gov.cn</w:t>
            </w:r>
            <w:r>
              <w:rPr>
                <w:rFonts w:hint="eastAsia" w:ascii="宋体" w:hAnsi="宋体" w:cs="宋体"/>
                <w:sz w:val="24"/>
                <w:highlight w:val="none"/>
              </w:rPr>
              <w:t xml:space="preserve">、</w:t>
            </w:r>
            <w:r>
              <w:rPr>
                <w:rFonts w:hint="eastAsia" w:ascii="宋体" w:hAnsi="宋体" w:cs="宋体"/>
                <w:highlight w:val="none"/>
              </w:rPr>
              <w:t xml:space="preserve">www.ccgp.gov.cn</w:t>
            </w:r>
            <w:r>
              <w:rPr>
                <w:rFonts w:hint="eastAsia" w:ascii="宋体" w:hAnsi="宋体" w:cs="宋体"/>
                <w:sz w:val="24"/>
                <w:highlight w:val="none"/>
              </w:rPr>
              <w:t xml:space="preserve">）；</w:t>
            </w:r>
            <w:r>
              <w:rPr>
                <w:rFonts w:hint="eastAsia" w:ascii="宋体" w:hAnsi="宋体" w:cs="宋体"/>
                <w:sz w:val="24"/>
                <w:highlight w:val="none"/>
              </w:rPr>
            </w:r>
            <w:r/>
          </w:p>
          <w:p>
            <w:pPr>
              <w:pStyle w:val="1072"/>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hint="eastAsia" w:ascii="宋体" w:hAnsi="宋体" w:cs="宋体"/>
                <w:sz w:val="24"/>
                <w:highlight w:val="none"/>
              </w:rPr>
            </w:r>
            <w:r/>
          </w:p>
          <w:p>
            <w:pPr>
              <w:pStyle w:val="1072"/>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rPr>
                <w:rFonts w:hint="eastAsia" w:ascii="宋体" w:hAnsi="宋体" w:cs="宋体"/>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rPr>
                <w:rFonts w:hint="eastAsia" w:ascii="宋体" w:hAnsi="宋体" w:cs="宋体"/>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如有，见第一章《投标邀请》</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rPr>
                <w:rFonts w:hint="eastAsia" w:ascii="宋体" w:hAnsi="宋体" w:cs="宋体"/>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color w:val="000000"/>
                <w:sz w:val="24"/>
                <w:highlight w:val="none"/>
              </w:rPr>
              <w:t xml:space="preserve">如有，见</w:t>
            </w:r>
            <w:r>
              <w:rPr>
                <w:rFonts w:hint="eastAsia" w:ascii="宋体" w:hAnsi="宋体" w:cs="宋体"/>
                <w:sz w:val="24"/>
                <w:highlight w:val="none"/>
              </w:rPr>
              <w:t xml:space="preserve">第一章《投标邀请》</w:t>
            </w:r>
            <w:r>
              <w:rPr>
                <w:rFonts w:hint="eastAsia" w:ascii="宋体" w:hAnsi="宋体" w:cs="宋体"/>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提供证明文件的电子件或电子证照</w:t>
            </w:r>
            <w:r>
              <w:rPr>
                <w:rFonts w:hint="eastAsia" w:ascii="宋体" w:hAnsi="宋体" w:cs="宋体"/>
                <w:sz w:val="24"/>
                <w:highlight w:val="none"/>
              </w:rPr>
            </w:r>
            <w:r/>
          </w:p>
        </w:tc>
      </w:tr>
    </w:tbl>
    <w:p>
      <w:pPr>
        <w:pStyle w:val="1072"/>
        <w:jc w:val="left"/>
        <w:widowControl/>
        <w:rPr>
          <w:rFonts w:hint="eastAsia" w:ascii="宋体" w:hAnsi="宋体" w:cs="宋体"/>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226965858"/>
      <w:r/>
      <w:bookmarkStart w:id="733" w:name="_Toc353825550"/>
      <w:r/>
      <w:bookmarkStart w:id="734" w:name="_Toc127161490"/>
      <w:r>
        <w:rPr>
          <w:rFonts w:hint="eastAsia" w:ascii="宋体" w:hAnsi="宋体" w:cs="宋体"/>
          <w:sz w:val="24"/>
          <w:highlight w:val="none"/>
        </w:rPr>
        <w:br w:type="page" w:clear="all"/>
      </w:r>
      <w:r>
        <w:rPr>
          <w:rFonts w:hint="eastAsia" w:ascii="宋体" w:hAnsi="宋体" w:cs="宋体"/>
          <w:sz w:val="24"/>
          <w:highlight w:val="none"/>
        </w:rPr>
      </w:r>
      <w:r/>
    </w:p>
    <w:p>
      <w:pPr>
        <w:pStyle w:val="1072"/>
        <w:jc w:val="center"/>
        <w:spacing w:line="360" w:lineRule="auto"/>
        <w:rPr>
          <w:rFonts w:hint="eastAsia" w:ascii="宋体" w:hAnsi="宋体" w:cs="宋体"/>
          <w:b/>
          <w:sz w:val="36"/>
          <w:szCs w:val="36"/>
          <w:highlight w:val="none"/>
        </w:rPr>
        <w:outlineLvl w:val="0"/>
      </w:pPr>
      <w:r/>
      <w:bookmarkStart w:id="735" w:name="_Toc99301423"/>
      <w:r>
        <w:rPr>
          <w:rFonts w:hint="eastAsia" w:ascii="宋体" w:hAnsi="宋体" w:cs="宋体"/>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highlight w:val="none"/>
        </w:rPr>
        <w:t xml:space="preserve">评标程序、评标方法和评标标准</w:t>
      </w:r>
      <w:bookmarkEnd w:id="735"/>
      <w:r>
        <w:rPr>
          <w:rFonts w:hint="eastAsia" w:ascii="宋体" w:hAnsi="宋体" w:cs="宋体"/>
          <w:b/>
          <w:sz w:val="36"/>
          <w:szCs w:val="36"/>
          <w:highlight w:val="none"/>
        </w:rPr>
      </w:r>
      <w:r/>
    </w:p>
    <w:p>
      <w:pPr>
        <w:pStyle w:val="1072"/>
        <w:jc w:val="center"/>
        <w:spacing w:line="360" w:lineRule="auto"/>
        <w:tabs>
          <w:tab w:val="left" w:pos="360" w:leader="none"/>
          <w:tab w:val="left" w:pos="900" w:leader="none"/>
        </w:tabs>
        <w:rPr>
          <w:rFonts w:hint="eastAsia" w:ascii="宋体" w:hAnsi="宋体" w:cs="宋体"/>
          <w:b/>
          <w:highlight w:val="none"/>
        </w:rPr>
        <w:outlineLvl w:val="1"/>
      </w:pPr>
      <w:r>
        <w:rPr>
          <w:rFonts w:hint="eastAsia" w:ascii="宋体" w:hAnsi="宋体" w:cs="宋体"/>
          <w:b/>
          <w:sz w:val="24"/>
          <w:highlight w:val="none"/>
        </w:rPr>
        <w:t xml:space="preserve">一、评标程序</w:t>
      </w:r>
      <w:r>
        <w:rPr>
          <w:rFonts w:hint="eastAsia" w:ascii="宋体" w:hAnsi="宋体" w:cs="宋体"/>
          <w:b/>
          <w:highlight w:val="none"/>
        </w:rPr>
      </w:r>
      <w:r/>
    </w:p>
    <w:p>
      <w:pPr>
        <w:pStyle w:val="1072"/>
        <w:numPr>
          <w:ilvl w:val="0"/>
          <w:numId w:val="13"/>
        </w:numPr>
        <w:ind w:left="0" w:firstLine="482"/>
        <w:spacing w:line="360" w:lineRule="auto"/>
        <w:tabs>
          <w:tab w:val="left" w:pos="360" w:leader="none"/>
          <w:tab w:val="left" w:pos="851" w:leader="none"/>
          <w:tab w:val="left" w:pos="900" w:leader="none"/>
        </w:tabs>
        <w:rPr>
          <w:rFonts w:hint="eastAsia" w:ascii="宋体" w:hAnsi="宋体" w:cs="宋体"/>
          <w:b/>
          <w:sz w:val="24"/>
          <w:highlight w:val="none"/>
        </w:rPr>
        <w:outlineLvl w:val="1"/>
      </w:pPr>
      <w:r/>
      <w:bookmarkStart w:id="737" w:name="_Toc151193783"/>
      <w:r/>
      <w:bookmarkStart w:id="738" w:name="_Toc164229236"/>
      <w:r/>
      <w:bookmarkStart w:id="739" w:name="_Toc226965814"/>
      <w:r/>
      <w:bookmarkStart w:id="740" w:name="_Toc150774641"/>
      <w:r/>
      <w:bookmarkStart w:id="741" w:name="_Toc164608810"/>
      <w:r/>
      <w:bookmarkStart w:id="742" w:name="_Toc305158883"/>
      <w:r/>
      <w:bookmarkStart w:id="743" w:name="_Toc164229382"/>
      <w:r/>
      <w:bookmarkStart w:id="744" w:name="_Toc151193929"/>
      <w:r/>
      <w:bookmarkStart w:id="745" w:name="_Toc195842906"/>
      <w:r/>
      <w:bookmarkStart w:id="746" w:name="_Toc150509292"/>
      <w:r/>
      <w:bookmarkStart w:id="747" w:name="_Toc127151541"/>
      <w:r/>
      <w:bookmarkStart w:id="748" w:name="_Toc151190168"/>
      <w:r/>
      <w:bookmarkStart w:id="749" w:name="_Toc226337237"/>
      <w:r/>
      <w:bookmarkStart w:id="750" w:name="_Toc226309785"/>
      <w:r/>
      <w:bookmarkStart w:id="751" w:name="_Toc164351635"/>
      <w:r/>
      <w:bookmarkStart w:id="752" w:name="_Toc264969231"/>
      <w:r/>
      <w:bookmarkStart w:id="753" w:name="_Toc127151742"/>
      <w:r/>
      <w:bookmarkStart w:id="754" w:name="_Toc265228379"/>
      <w:r/>
      <w:bookmarkStart w:id="755" w:name="_Toc149720834"/>
      <w:r/>
      <w:bookmarkStart w:id="756" w:name="_Toc150774746"/>
      <w:r/>
      <w:bookmarkStart w:id="757" w:name="_Toc142311043"/>
      <w:r/>
      <w:bookmarkStart w:id="758" w:name="_Toc151193855"/>
      <w:r/>
      <w:bookmarkStart w:id="759" w:name="_Toc226965731"/>
      <w:r/>
      <w:bookmarkStart w:id="760" w:name="_Toc151193711"/>
      <w:r/>
      <w:bookmarkStart w:id="761" w:name="_Toc305158809"/>
      <w:r/>
      <w:bookmarkStart w:id="762" w:name="_Toc150480779"/>
      <w:r/>
      <w:bookmarkStart w:id="763" w:name="_Toc127161455"/>
      <w:r/>
      <w:bookmarkStart w:id="764" w:name="_Toc164608655"/>
      <w:r/>
      <w:bookmarkStart w:id="765" w:name="_Toc151193639"/>
      <w:r/>
      <w:bookmarkStart w:id="766" w:name="_Toc353873941"/>
      <w:r/>
      <w:bookmarkStart w:id="767" w:name="_Toc353825551"/>
      <w:r/>
      <w:bookmarkStart w:id="768" w:name="_Toc195842920"/>
      <w:r/>
      <w:bookmarkStart w:id="769" w:name="_Toc127151555"/>
      <w:r/>
      <w:bookmarkStart w:id="770" w:name="_Toc226965828"/>
      <w:r/>
      <w:bookmarkStart w:id="771" w:name="_Toc226337251"/>
      <w:r/>
      <w:bookmarkStart w:id="772" w:name="_Toc150774760"/>
      <w:r/>
      <w:bookmarkStart w:id="773" w:name="_Toc265228393"/>
      <w:r/>
      <w:bookmarkStart w:id="774" w:name="_Toc353873665"/>
      <w:r/>
      <w:bookmarkStart w:id="775" w:name="_Toc353825545"/>
      <w:r/>
      <w:bookmarkStart w:id="776" w:name="_Toc142311057"/>
      <w:r/>
      <w:bookmarkStart w:id="777" w:name="_Toc353873935"/>
      <w:r/>
      <w:bookmarkStart w:id="778" w:name="_Toc305158823"/>
      <w:r/>
      <w:bookmarkStart w:id="779" w:name="_Toc305158897"/>
      <w:r/>
      <w:bookmarkStart w:id="780" w:name="_Toc150480793"/>
      <w:r/>
      <w:bookmarkStart w:id="781" w:name="_Toc264969245"/>
      <w:r>
        <w:rPr>
          <w:rFonts w:hint="eastAsia" w:ascii="宋体" w:hAnsi="宋体" w:cs="宋体"/>
          <w:b/>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highlight w:val="none"/>
        </w:rPr>
      </w:r>
      <w:r/>
    </w:p>
    <w:p>
      <w:pPr>
        <w:pStyle w:val="1072"/>
        <w:numPr>
          <w:ilvl w:val="1"/>
          <w:numId w:val="13"/>
        </w:numPr>
        <w:ind w:left="0" w:firstLine="480"/>
        <w:spacing w:line="360" w:lineRule="auto"/>
        <w:tabs>
          <w:tab w:val="left" w:pos="993"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highlight w:val="none"/>
        </w:rPr>
      </w:r>
      <w:r/>
    </w:p>
    <w:p>
      <w:pPr>
        <w:pStyle w:val="1072"/>
        <w:numPr>
          <w:ilvl w:val="1"/>
          <w:numId w:val="13"/>
        </w:numPr>
        <w:ind w:left="0" w:firstLine="480"/>
        <w:spacing w:line="360" w:lineRule="auto"/>
        <w:tabs>
          <w:tab w:val="left" w:pos="993"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投标函、</w:t>
            </w:r>
            <w:r>
              <w:rPr>
                <w:rFonts w:hint="eastAsia" w:ascii="宋体" w:hAnsi="宋体" w:cs="宋体"/>
                <w:sz w:val="24"/>
                <w:highlight w:val="none"/>
              </w:rPr>
              <w:t xml:space="preserve">法定代表人资格证明书、授权委托书和政府采购供应商信用承诺书</w:t>
            </w:r>
            <w:r>
              <w:rPr>
                <w:rFonts w:hint="eastAsia" w:ascii="宋体" w:hAnsi="宋体" w:cs="宋体"/>
                <w:sz w:val="24"/>
                <w:highlight w:val="none"/>
              </w:rPr>
            </w:r>
            <w:r/>
          </w:p>
        </w:tc>
        <w:tc>
          <w:tcPr>
            <w:tcW w:w="3620"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按招标文件要求提供投标函、</w:t>
            </w:r>
            <w:r>
              <w:rPr>
                <w:rFonts w:hint="eastAsia" w:ascii="宋体" w:hAnsi="宋体" w:cs="宋体"/>
                <w:sz w:val="24"/>
                <w:highlight w:val="none"/>
              </w:rPr>
              <w:t xml:space="preserve">法定代表人资格证明书、授权委托书和政府采购供应商信用承诺书</w:t>
            </w:r>
            <w:r>
              <w:rPr>
                <w:rFonts w:hint="eastAsia" w:ascii="宋体" w:hAnsi="宋体" w:cs="宋体"/>
                <w:sz w:val="24"/>
                <w:highlight w:val="none"/>
              </w:rPr>
              <w:t xml:space="preserve">；</w:t>
            </w:r>
            <w:r>
              <w:rPr>
                <w:rFonts w:hint="eastAsia" w:ascii="宋体" w:hAnsi="宋体" w:cs="宋体"/>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投标完整性</w:t>
            </w:r>
            <w:r>
              <w:rPr>
                <w:rFonts w:hint="eastAsia" w:ascii="宋体" w:hAnsi="宋体" w:cs="宋体"/>
                <w:sz w:val="24"/>
                <w:highlight w:val="none"/>
              </w:rPr>
            </w:r>
            <w:r/>
          </w:p>
        </w:tc>
        <w:tc>
          <w:tcPr>
            <w:tcW w:w="3620"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未将一个采购包中的内容拆开投标；</w:t>
            </w:r>
            <w:r>
              <w:rPr>
                <w:rFonts w:hint="eastAsia" w:ascii="宋体" w:hAnsi="宋体" w:cs="宋体"/>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3620"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投标报价未</w:t>
            </w:r>
            <w:r>
              <w:rPr>
                <w:rFonts w:hint="eastAsia" w:ascii="宋体" w:hAnsi="宋体" w:cs="宋体"/>
                <w:sz w:val="24"/>
                <w:highlight w:val="none"/>
              </w:rPr>
              <w:t xml:space="preserve">超过招标文件中规定的项目/采购包预算金额或者项目/采购包最高限价</w:t>
            </w:r>
            <w:r>
              <w:rPr>
                <w:rFonts w:hint="eastAsia" w:ascii="宋体" w:hAnsi="宋体" w:cs="宋体"/>
                <w:sz w:val="24"/>
                <w:highlight w:val="none"/>
              </w:rPr>
              <w:t xml:space="preserve">；</w:t>
            </w:r>
            <w:r>
              <w:rPr>
                <w:rFonts w:hint="eastAsia" w:ascii="宋体" w:hAnsi="宋体" w:cs="宋体"/>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报价唯一性</w:t>
            </w:r>
            <w:r>
              <w:rPr>
                <w:rFonts w:hint="eastAsia" w:ascii="宋体" w:hAnsi="宋体" w:cs="宋体"/>
                <w:sz w:val="24"/>
                <w:highlight w:val="none"/>
              </w:rPr>
            </w:r>
            <w:r/>
          </w:p>
        </w:tc>
        <w:tc>
          <w:tcPr>
            <w:tcW w:w="3620"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sz w:val="24"/>
                <w:highlight w:val="none"/>
              </w:rPr>
              <w:t xml:space="preserve">；</w:t>
            </w:r>
            <w:r>
              <w:rPr>
                <w:rFonts w:hint="eastAsia" w:ascii="宋体" w:hAnsi="宋体" w:cs="宋体"/>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rPr>
            </w:r>
            <w:r/>
          </w:p>
        </w:tc>
        <w:tc>
          <w:tcPr>
            <w:tcW w:w="3620" w:type="dxa"/>
            <w:vAlign w:val="center"/>
            <w:textDirection w:val="lrTb"/>
            <w:noWrap w:val="false"/>
          </w:tcPr>
          <w:p>
            <w:pPr>
              <w:pStyle w:val="1072"/>
              <w:jc w:val="left"/>
              <w:widowControl/>
              <w:rPr>
                <w:rFonts w:hint="eastAsia" w:ascii="宋体" w:hAnsi="宋体" w:cs="宋体"/>
                <w:sz w:val="24"/>
                <w:highlight w:val="none"/>
              </w:rPr>
            </w:pPr>
            <w:r>
              <w:rPr>
                <w:rFonts w:hint="eastAsia" w:ascii="宋体" w:hAnsi="宋体" w:cs="宋体"/>
                <w:sz w:val="24"/>
                <w:highlight w:val="none"/>
              </w:rPr>
              <w:t xml:space="preserve">投标文件中承诺的投标有效期满足招标文件中载明的投标有效期的；</w:t>
            </w:r>
            <w:r>
              <w:rPr>
                <w:rFonts w:hint="eastAsia" w:ascii="宋体" w:hAnsi="宋体" w:cs="宋体"/>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highlight w:val="none"/>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投标文件有关事项的澄清或者说明</w:t>
      </w:r>
      <w:r>
        <w:rPr>
          <w:rFonts w:hint="eastAsia" w:ascii="宋体" w:hAnsi="宋体" w:cs="宋体"/>
          <w:b/>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highlight w:val="none"/>
        </w:rPr>
        <w:t xml:space="preserve">无效投标处理</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1"/>
          <w:numId w:val="13"/>
        </w:numPr>
        <w:ind w:left="0" w:firstLine="420"/>
        <w:spacing w:line="360" w:lineRule="auto"/>
        <w:tabs>
          <w:tab w:val="left" w:pos="0" w:leader="none"/>
          <w:tab w:val="left" w:pos="42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评审过程中出现下列情形之一的，评标委员会应当启动异常低价响应审查程序：</w:t>
      </w:r>
      <w:r>
        <w:rPr>
          <w:rFonts w:hint="eastAsia" w:ascii="宋体" w:hAnsi="宋体" w:cs="宋体"/>
          <w:sz w:val="24"/>
          <w:highlight w:val="none"/>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sz w:val="24"/>
          <w:highlight w:val="none"/>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sz w:val="24"/>
          <w:highlight w:val="none"/>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投标报价低于采购项目最高限价45%的，即投标报价＜采购项目最高限价×45%；</w:t>
      </w:r>
      <w:r>
        <w:rPr>
          <w:rFonts w:hint="eastAsia" w:ascii="宋体" w:hAnsi="宋体" w:cs="宋体"/>
          <w:sz w:val="24"/>
          <w:highlight w:val="none"/>
        </w:rPr>
      </w:r>
      <w:r/>
    </w:p>
    <w:p>
      <w:pPr>
        <w:pStyle w:val="1072"/>
        <w:numPr>
          <w:ilvl w:val="2"/>
          <w:numId w:val="13"/>
        </w:numPr>
        <w:ind w:left="0" w:firstLine="42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评标委员会基于专业判断，认为供应商报价过低，有可能影响产品质量或者不能诚信履约的其他情形。</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highlight w:val="none"/>
        </w:rPr>
      </w:pPr>
      <w:r>
        <w:rPr>
          <w:rFonts w:hint="eastAsia" w:ascii="宋体" w:hAnsi="宋体" w:cs="宋体"/>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投标文件报价出现前后不一致的，按照下列规定修正：</w:t>
      </w:r>
      <w:r>
        <w:rPr>
          <w:rFonts w:hint="eastAsia" w:ascii="宋体" w:hAnsi="宋体" w:cs="宋体"/>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招标文件对于报价修正是否另有规定：</w:t>
      </w:r>
      <w:r>
        <w:rPr>
          <w:rFonts w:hint="eastAsia" w:ascii="宋体" w:hAnsi="宋体" w:cs="宋体"/>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w:t>
      </w:r>
      <w:r>
        <w:rPr>
          <w:rFonts w:hint="eastAsia" w:ascii="宋体" w:hAnsi="宋体" w:cs="宋体"/>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■无，按下述2.4.2-2.4.7项规定修正。</w:t>
      </w:r>
      <w:r>
        <w:rPr>
          <w:rFonts w:hint="eastAsia" w:ascii="宋体" w:hAnsi="宋体" w:cs="宋体"/>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highlight w:val="none"/>
        </w:rPr>
      </w:pPr>
      <w:r>
        <w:rPr>
          <w:rFonts w:hint="eastAsia" w:ascii="宋体" w:hAnsi="宋体" w:cs="宋体"/>
          <w:b/>
          <w:bCs/>
          <w:sz w:val="24"/>
          <w:highlight w:val="none"/>
        </w:rPr>
        <w:t xml:space="preserve">落实政府采购政策的价格调整</w:t>
      </w:r>
      <w:r>
        <w:rPr>
          <w:rFonts w:hint="eastAsia" w:ascii="宋体" w:hAnsi="宋体" w:cs="宋体"/>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highlight w:val="none"/>
        </w:rPr>
      </w:pPr>
      <w:r>
        <w:rPr>
          <w:rFonts w:hint="eastAsia" w:ascii="宋体" w:hAnsi="宋体" w:cs="宋体"/>
          <w:b/>
          <w:sz w:val="24"/>
          <w:highlight w:val="none"/>
        </w:rPr>
        <w:t xml:space="preserve">小微企业</w:t>
      </w:r>
      <w:r>
        <w:rPr>
          <w:rFonts w:hint="eastAsia" w:ascii="宋体" w:hAnsi="宋体" w:cs="宋体"/>
          <w:b/>
          <w:bCs/>
          <w:sz w:val="24"/>
          <w:highlight w:val="none"/>
        </w:rPr>
        <w:t xml:space="preserve">价格扣除</w:t>
      </w:r>
      <w:r>
        <w:rPr>
          <w:rFonts w:hint="eastAsia" w:ascii="宋体" w:hAnsi="宋体" w:cs="宋体"/>
          <w:b/>
          <w:bCs/>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10</w:t>
      </w:r>
      <w:r>
        <w:rPr>
          <w:rFonts w:hint="eastAsia" w:ascii="宋体" w:hAnsi="宋体" w:cs="宋体"/>
          <w:sz w:val="24"/>
          <w:highlight w:val="none"/>
        </w:rPr>
        <w:t xml:space="preserve">%的扣除，用扣除后的价格参加评审。</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rPr>
          <w:rFonts w:hint="eastAsia" w:ascii="宋体" w:hAnsi="宋体" w:cs="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highlight w:val="none"/>
        </w:rPr>
      </w:pPr>
      <w:r>
        <w:rPr>
          <w:rFonts w:hint="eastAsia" w:ascii="宋体" w:hAnsi="宋体"/>
          <w:b/>
          <w:bCs/>
          <w:sz w:val="24"/>
          <w:highlight w:val="none"/>
        </w:rPr>
        <w:t xml:space="preserve">采购本国产品的支持政策</w:t>
      </w:r>
      <w:r>
        <w:rPr>
          <w:rFonts w:hint="eastAsia" w:ascii="宋体" w:hAnsi="宋体"/>
          <w:b/>
          <w:bCs/>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highlight w:val="none"/>
        </w:rPr>
      </w:pPr>
      <w:r>
        <w:rPr>
          <w:rFonts w:hint="eastAsia" w:ascii="宋体" w:hAnsi="宋体"/>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sz w:val="24"/>
          <w:highlight w:val="none"/>
        </w:rPr>
        <w:t xml:space="preserve">20%</w:t>
      </w:r>
      <w:r>
        <w:rPr>
          <w:rFonts w:hint="eastAsia" w:ascii="宋体" w:hAnsi="宋体"/>
          <w:sz w:val="24"/>
          <w:highlight w:val="none"/>
        </w:rPr>
        <w:t xml:space="preserve">的价格扣除，用扣除后的价格参与评审。</w:t>
      </w:r>
      <w:r>
        <w:rPr>
          <w:rFonts w:hint="eastAsia" w:ascii="宋体" w:hAnsi="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highlight w:val="none"/>
        </w:rPr>
      </w:pPr>
      <w:r>
        <w:rPr>
          <w:rFonts w:hint="eastAsia" w:ascii="宋体" w:hAnsi="宋体"/>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highlight w:val="none"/>
        </w:rPr>
      </w:pPr>
      <w:r>
        <w:rPr>
          <w:rFonts w:hint="eastAsia" w:ascii="宋体" w:hAnsi="宋体"/>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highlight w:val="none"/>
        </w:rPr>
      </w:pPr>
      <w:r>
        <w:rPr>
          <w:rFonts w:hint="eastAsia" w:ascii="宋体" w:hAnsi="宋体"/>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highlight w:val="none"/>
        </w:rPr>
      </w:r>
      <w:r/>
    </w:p>
    <w:p>
      <w:pPr>
        <w:pStyle w:val="1072"/>
        <w:numPr>
          <w:ilvl w:val="3"/>
          <w:numId w:val="13"/>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highlight w:val="none"/>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投标文件的比较和评价</w:t>
      </w:r>
      <w:bookmarkEnd w:id="766"/>
      <w:r/>
      <w:bookmarkEnd w:id="767"/>
      <w:r>
        <w:rPr>
          <w:rFonts w:hint="eastAsia" w:ascii="宋体" w:hAnsi="宋体" w:cs="宋体"/>
          <w:b/>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评标方法和评标标准</w:t>
      </w:r>
      <w:r>
        <w:rPr>
          <w:rFonts w:hint="eastAsia" w:ascii="宋体" w:hAnsi="宋体" w:cs="宋体"/>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highlight w:val="none"/>
        </w:rPr>
      </w:pPr>
      <w:r>
        <w:rPr>
          <w:rFonts w:hint="eastAsia" w:ascii="宋体" w:hAnsi="宋体" w:cs="宋体"/>
          <w:sz w:val="24"/>
          <w:highlight w:val="none"/>
        </w:rPr>
        <w:t xml:space="preserve">本项目采用的评标方法为：</w:t>
      </w:r>
      <w:r>
        <w:rPr>
          <w:rFonts w:hint="eastAsia" w:ascii="宋体" w:hAnsi="宋体" w:cs="宋体"/>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rPr>
          <w:rFonts w:hint="eastAsia" w:ascii="宋体" w:hAnsi="宋体" w:cs="宋体"/>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■随机抽取</w:t>
      </w:r>
      <w:r>
        <w:rPr>
          <w:rFonts w:hint="eastAsia" w:ascii="宋体" w:hAnsi="宋体" w:cs="宋体"/>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highlight w:val="none"/>
          <w:u w:val="single"/>
        </w:rPr>
      </w:pPr>
      <w:r>
        <w:rPr>
          <w:rFonts w:hint="eastAsia" w:ascii="宋体" w:hAnsi="宋体" w:cs="宋体"/>
          <w:sz w:val="24"/>
          <w:highlight w:val="none"/>
        </w:rPr>
        <w:t xml:space="preserve">□其他方式，具体要求：</w:t>
      </w:r>
      <w:r>
        <w:rPr>
          <w:rFonts w:hint="eastAsia" w:ascii="宋体" w:hAnsi="宋体" w:cs="宋体"/>
          <w:sz w:val="24"/>
          <w:highlight w:val="none"/>
          <w:u w:val="single"/>
        </w:rPr>
        <w:t xml:space="preserve">/</w:t>
      </w:r>
      <w:r>
        <w:rPr>
          <w:rFonts w:hint="eastAsia" w:ascii="宋体" w:hAnsi="宋体" w:cs="宋体"/>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hint="eastAsia" w:ascii="宋体" w:hAnsi="宋体" w:cs="宋体"/>
          <w:sz w:val="24"/>
          <w:highlight w:val="none"/>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确定</w:t>
      </w:r>
      <w:bookmarkStart w:id="783" w:name="_Toc305158888"/>
      <w:r/>
      <w:bookmarkStart w:id="784" w:name="_Toc226309790"/>
      <w:r/>
      <w:bookmarkStart w:id="785" w:name="_Toc164229387"/>
      <w:r/>
      <w:bookmarkStart w:id="786" w:name="_Toc151193788"/>
      <w:r/>
      <w:bookmarkStart w:id="787" w:name="_Toc150480784"/>
      <w:r/>
      <w:bookmarkStart w:id="788" w:name="_Toc150509297"/>
      <w:r/>
      <w:bookmarkStart w:id="789" w:name="_Toc150774751"/>
      <w:r/>
      <w:bookmarkStart w:id="790" w:name="_Ref467307010"/>
      <w:r/>
      <w:bookmarkStart w:id="791" w:name="_Toc151193644"/>
      <w:r/>
      <w:bookmarkStart w:id="792" w:name="_Toc127151747"/>
      <w:r/>
      <w:bookmarkStart w:id="793" w:name="_Toc305158814"/>
      <w:r/>
      <w:bookmarkStart w:id="794" w:name="_Toc127161460"/>
      <w:r/>
      <w:bookmarkStart w:id="795" w:name="_Toc142311048"/>
      <w:r/>
      <w:bookmarkStart w:id="796" w:name="_Toc164608815"/>
      <w:r/>
      <w:bookmarkStart w:id="797" w:name="_Toc164351640"/>
      <w:r/>
      <w:bookmarkStart w:id="798" w:name="_Toc226965736"/>
      <w:r/>
      <w:bookmarkStart w:id="799" w:name="_Toc520356170"/>
      <w:r/>
      <w:bookmarkStart w:id="800" w:name="_Toc226337242"/>
      <w:r/>
      <w:bookmarkStart w:id="801" w:name="_Toc150774646"/>
      <w:r/>
      <w:bookmarkStart w:id="802" w:name="_Toc164608660"/>
      <w:r/>
      <w:bookmarkStart w:id="803" w:name="_Toc264969236"/>
      <w:r/>
      <w:bookmarkStart w:id="804" w:name="_Toc226965819"/>
      <w:r/>
      <w:bookmarkStart w:id="805" w:name="_Toc127151546"/>
      <w:r/>
      <w:bookmarkStart w:id="806" w:name="_Toc151190173"/>
      <w:r/>
      <w:bookmarkStart w:id="807" w:name="_Toc265228384"/>
      <w:r/>
      <w:bookmarkStart w:id="808" w:name="_Toc164229241"/>
      <w:r/>
      <w:bookmarkStart w:id="809" w:name="_Toc195842911"/>
      <w:r/>
      <w:bookmarkStart w:id="810" w:name="_Toc151193860"/>
      <w:r/>
      <w:bookmarkStart w:id="811" w:name="_Toc151193934"/>
      <w:r/>
      <w:bookmarkStart w:id="812" w:name="_Toc151193716"/>
      <w:r/>
      <w:bookmarkStart w:id="813" w:name="_Toc149720839"/>
      <w:r>
        <w:rPr>
          <w:rFonts w:hint="eastAsia" w:ascii="宋体" w:hAnsi="宋体" w:cs="宋体"/>
          <w:b/>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highlight w:val="none"/>
        </w:rPr>
      </w:r>
      <w:r/>
    </w:p>
    <w:p>
      <w:pPr>
        <w:pStyle w:val="1114"/>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随机抽取</w:t>
      </w:r>
      <w:r>
        <w:rPr>
          <w:rFonts w:hAnsi="宋体" w:cs="宋体"/>
          <w:sz w:val="24"/>
          <w:szCs w:val="24"/>
          <w:highlight w:val="none"/>
        </w:rPr>
      </w:r>
      <w:r/>
    </w:p>
    <w:p>
      <w:pPr>
        <w:pStyle w:val="1114"/>
        <w:ind w:firstLine="480"/>
        <w:spacing w:line="360" w:lineRule="auto"/>
        <w:tabs>
          <w:tab w:val="left" w:pos="0" w:leader="none"/>
          <w:tab w:val="left" w:pos="567" w:leader="none"/>
          <w:tab w:val="left" w:pos="2127" w:leader="none"/>
        </w:tabs>
        <w:rPr>
          <w:rFonts w:hAnsi="宋体" w:cs="宋体"/>
          <w:sz w:val="24"/>
          <w:szCs w:val="24"/>
          <w:highlight w:val="none"/>
        </w:rPr>
      </w:pPr>
      <w:r>
        <w:rPr>
          <w:rFonts w:hAnsi="宋体" w:cs="宋体"/>
          <w:sz w:val="24"/>
          <w:szCs w:val="24"/>
          <w:highlight w:val="none"/>
        </w:rPr>
        <w:t xml:space="preserve">□其他方式，具体要求：</w:t>
      </w:r>
      <w:r>
        <w:rPr>
          <w:rFonts w:hAnsi="宋体" w:cs="宋体"/>
          <w:sz w:val="24"/>
          <w:highlight w:val="none"/>
          <w:u w:val="single"/>
        </w:rPr>
        <w:t xml:space="preserve">/</w:t>
      </w:r>
      <w:r>
        <w:rPr>
          <w:rFonts w:hAnsi="宋体" w:cs="宋体"/>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highlight w:val="none"/>
        </w:rPr>
      </w:r>
      <w:r/>
    </w:p>
    <w:p>
      <w:pPr>
        <w:pStyle w:val="1072"/>
        <w:numPr>
          <w:ilvl w:val="0"/>
          <w:numId w:val="13"/>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highlight w:val="none"/>
        </w:rPr>
        <w:outlineLvl w:val="1"/>
      </w:pPr>
      <w:r>
        <w:rPr>
          <w:rFonts w:hint="eastAsia" w:ascii="宋体" w:hAnsi="宋体" w:cs="宋体"/>
          <w:b/>
          <w:sz w:val="24"/>
          <w:highlight w:val="none"/>
        </w:rPr>
        <w:t xml:space="preserve">报告违法行为</w:t>
      </w:r>
      <w:r>
        <w:rPr>
          <w:rFonts w:hint="eastAsia" w:ascii="宋体" w:hAnsi="宋体" w:cs="宋体"/>
          <w:b/>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highlight w:val="none"/>
        </w:rPr>
      </w:r>
      <w:r/>
    </w:p>
    <w:p>
      <w:pPr>
        <w:pStyle w:val="1072"/>
        <w:ind w:firstLine="482"/>
        <w:jc w:val="left"/>
        <w:widowControl/>
        <w:tabs>
          <w:tab w:val="left" w:pos="0" w:leader="none"/>
          <w:tab w:val="left" w:pos="567" w:leader="none"/>
        </w:tabs>
        <w:rPr>
          <w:rFonts w:ascii="宋体" w:hAnsi="宋体"/>
          <w:b/>
          <w:sz w:val="24"/>
          <w:highlight w:val="none"/>
        </w:rPr>
      </w:pPr>
      <w:r>
        <w:rPr>
          <w:rFonts w:ascii="宋体" w:hAnsi="宋体"/>
          <w:b/>
          <w:sz w:val="24"/>
          <w:highlight w:val="none"/>
        </w:rPr>
        <w:br w:type="page" w:clear="all"/>
      </w:r>
      <w:r>
        <w:rPr>
          <w:rFonts w:ascii="宋体" w:hAnsi="宋体"/>
          <w:b/>
          <w:sz w:val="24"/>
          <w:highlight w:val="none"/>
        </w:rPr>
      </w:r>
      <w:r/>
    </w:p>
    <w:p>
      <w:pPr>
        <w:pStyle w:val="1072"/>
        <w:jc w:val="center"/>
        <w:spacing w:line="360" w:lineRule="auto"/>
        <w:tabs>
          <w:tab w:val="left" w:pos="360" w:leader="none"/>
          <w:tab w:val="left" w:pos="900" w:leader="none"/>
        </w:tabs>
        <w:rPr>
          <w:rFonts w:ascii="宋体" w:hAnsi="宋体"/>
          <w:b/>
          <w:highlight w:val="none"/>
        </w:rPr>
        <w:outlineLvl w:val="1"/>
      </w:pPr>
      <w:r>
        <w:rPr>
          <w:rFonts w:ascii="宋体" w:hAnsi="宋体"/>
          <w:b/>
          <w:sz w:val="24"/>
          <w:highlight w:val="none"/>
        </w:rPr>
        <w:t xml:space="preserve">二、评标标准</w:t>
      </w:r>
      <w:r>
        <w:rPr>
          <w:rFonts w:ascii="宋体" w:hAnsi="宋体"/>
          <w:b/>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sz w:val="24"/>
          <w:highlight w:val="none"/>
        </w:rPr>
      </w:pPr>
      <w:r>
        <w:rPr>
          <w:rFonts w:ascii="宋体" w:hAnsi="宋体"/>
          <w:sz w:val="24"/>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867"/>
        <w:gridCol w:w="693"/>
        <w:gridCol w:w="4575"/>
        <w:gridCol w:w="2330"/>
      </w:tblGrid>
      <w:tr>
        <w:trPr/>
        <w:tc>
          <w:tcPr>
            <w:tcW w:w="437" w:type="dxa"/>
            <w:vAlign w:val="center"/>
            <w:textDirection w:val="lrTb"/>
            <w:noWrap w:val="false"/>
          </w:tcPr>
          <w:p>
            <w:pPr>
              <w:pStyle w:val="1072"/>
              <w:ind w:firstLine="28"/>
              <w:jc w:val="center"/>
              <w:rPr>
                <w:rFonts w:ascii="宋体" w:hAnsi="宋体"/>
                <w:b/>
                <w:sz w:val="24"/>
                <w:highlight w:val="none"/>
              </w:rPr>
            </w:pPr>
            <w:r>
              <w:rPr>
                <w:rFonts w:ascii="宋体" w:hAnsi="宋体"/>
                <w:b/>
                <w:sz w:val="24"/>
                <w:highlight w:val="none"/>
              </w:rPr>
              <w:t xml:space="preserve">序号</w:t>
            </w:r>
            <w:r>
              <w:rPr>
                <w:rFonts w:ascii="宋体" w:hAnsi="宋体"/>
                <w:b/>
                <w:sz w:val="24"/>
                <w:highlight w:val="none"/>
              </w:rPr>
            </w:r>
            <w:r/>
          </w:p>
        </w:tc>
        <w:tc>
          <w:tcPr>
            <w:tcW w:w="467" w:type="dxa"/>
            <w:vAlign w:val="center"/>
            <w:textDirection w:val="lrTb"/>
            <w:noWrap w:val="false"/>
          </w:tcPr>
          <w:p>
            <w:pPr>
              <w:pStyle w:val="1072"/>
              <w:ind w:firstLine="28"/>
              <w:jc w:val="center"/>
              <w:rPr>
                <w:rFonts w:ascii="宋体" w:hAnsi="宋体"/>
                <w:b/>
                <w:sz w:val="24"/>
                <w:highlight w:val="none"/>
              </w:rPr>
            </w:pPr>
            <w:r>
              <w:rPr>
                <w:rFonts w:ascii="宋体" w:hAnsi="宋体"/>
                <w:b/>
                <w:sz w:val="24"/>
                <w:highlight w:val="none"/>
              </w:rPr>
              <w:t xml:space="preserve">评分因素</w:t>
            </w:r>
            <w:r>
              <w:rPr>
                <w:rFonts w:ascii="宋体" w:hAnsi="宋体"/>
                <w:b/>
                <w:sz w:val="24"/>
                <w:highlight w:val="none"/>
              </w:rPr>
            </w:r>
            <w:r/>
          </w:p>
        </w:tc>
        <w:tc>
          <w:tcPr>
            <w:tcW w:w="373" w:type="dxa"/>
            <w:vAlign w:val="center"/>
            <w:textDirection w:val="lrTb"/>
            <w:noWrap w:val="false"/>
          </w:tcPr>
          <w:p>
            <w:pPr>
              <w:pStyle w:val="1072"/>
              <w:ind w:firstLine="28"/>
              <w:jc w:val="center"/>
              <w:rPr>
                <w:rFonts w:ascii="宋体" w:hAnsi="宋体"/>
                <w:b/>
                <w:sz w:val="24"/>
                <w:highlight w:val="none"/>
              </w:rPr>
            </w:pPr>
            <w:r>
              <w:rPr>
                <w:rFonts w:ascii="宋体" w:hAnsi="宋体"/>
                <w:b/>
                <w:sz w:val="24"/>
                <w:highlight w:val="none"/>
              </w:rPr>
              <w:t xml:space="preserve">分值</w:t>
            </w:r>
            <w:r>
              <w:rPr>
                <w:rFonts w:ascii="宋体" w:hAnsi="宋体"/>
                <w:b/>
                <w:sz w:val="24"/>
                <w:highlight w:val="none"/>
              </w:rPr>
            </w:r>
            <w:r/>
          </w:p>
        </w:tc>
        <w:tc>
          <w:tcPr>
            <w:tcW w:w="2465" w:type="dxa"/>
            <w:vAlign w:val="center"/>
            <w:textDirection w:val="lrTb"/>
            <w:noWrap w:val="false"/>
          </w:tcPr>
          <w:p>
            <w:pPr>
              <w:pStyle w:val="1072"/>
              <w:ind w:firstLine="28"/>
              <w:jc w:val="center"/>
              <w:rPr>
                <w:rFonts w:ascii="宋体" w:hAnsi="宋体"/>
                <w:b/>
                <w:sz w:val="24"/>
                <w:highlight w:val="none"/>
              </w:rPr>
            </w:pPr>
            <w:r>
              <w:rPr>
                <w:rFonts w:ascii="宋体" w:hAnsi="宋体"/>
                <w:b/>
                <w:sz w:val="24"/>
                <w:highlight w:val="none"/>
              </w:rPr>
              <w:t xml:space="preserve">评分标准</w:t>
            </w:r>
            <w:r>
              <w:rPr>
                <w:rFonts w:ascii="宋体" w:hAnsi="宋体"/>
                <w:b/>
                <w:sz w:val="24"/>
                <w:highlight w:val="none"/>
              </w:rPr>
            </w:r>
            <w:r/>
          </w:p>
        </w:tc>
        <w:tc>
          <w:tcPr>
            <w:tcW w:w="1255" w:type="dxa"/>
            <w:vAlign w:val="center"/>
            <w:textDirection w:val="lrTb"/>
            <w:noWrap w:val="false"/>
          </w:tcPr>
          <w:p>
            <w:pPr>
              <w:pStyle w:val="1317"/>
              <w:spacing w:before="0" w:after="0" w:line="240" w:lineRule="auto"/>
              <w:rPr>
                <w:rFonts w:ascii="宋体" w:hAnsi="宋体" w:eastAsia="宋体"/>
                <w:szCs w:val="24"/>
                <w:highlight w:val="none"/>
              </w:rPr>
            </w:pPr>
            <w:r>
              <w:rPr>
                <w:rFonts w:ascii="宋体" w:hAnsi="宋体" w:eastAsia="宋体"/>
                <w:szCs w:val="24"/>
                <w:highlight w:val="none"/>
              </w:rPr>
              <w:t xml:space="preserve">说明</w:t>
            </w:r>
            <w:r>
              <w:rPr>
                <w:rFonts w:ascii="宋体" w:hAnsi="宋体" w:eastAsia="宋体"/>
                <w:szCs w:val="24"/>
                <w:highlight w:val="none"/>
              </w:rPr>
            </w:r>
            <w:r/>
          </w:p>
        </w:tc>
      </w:tr>
      <w:tr>
        <w:trPr>
          <w:trHeight w:val="631"/>
        </w:trPr>
        <w:tc>
          <w:tcPr>
            <w:tcW w:w="437" w:type="dxa"/>
            <w:vAlign w:val="center"/>
            <w:textDirection w:val="lrTb"/>
            <w:noWrap w:val="false"/>
          </w:tcPr>
          <w:p>
            <w:pPr>
              <w:pStyle w:val="1072"/>
              <w:ind w:firstLine="28"/>
              <w:jc w:val="center"/>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价格分</w:t>
            </w:r>
            <w:r>
              <w:rPr>
                <w:rFonts w:ascii="宋体" w:hAnsi="宋体"/>
                <w:sz w:val="24"/>
                <w:highlight w:val="none"/>
              </w:rPr>
            </w:r>
            <w:r/>
          </w:p>
        </w:tc>
        <w:tc>
          <w:tcPr>
            <w:tcW w:w="373"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10</w:t>
            </w:r>
            <w:r>
              <w:rPr>
                <w:rFonts w:ascii="宋体" w:hAnsi="宋体"/>
                <w:sz w:val="24"/>
                <w:highlight w:val="none"/>
              </w:rPr>
            </w:r>
            <w:r/>
          </w:p>
        </w:tc>
        <w:tc>
          <w:tcPr>
            <w:tcW w:w="2465" w:type="dxa"/>
            <w:vAlign w:val="center"/>
            <w:textDirection w:val="lrTb"/>
            <w:noWrap w:val="false"/>
          </w:tcPr>
          <w:p>
            <w:pPr>
              <w:pStyle w:val="1072"/>
              <w:rPr>
                <w:rFonts w:ascii="宋体" w:hAnsi="宋体"/>
                <w:sz w:val="24"/>
                <w:highlight w:val="none"/>
              </w:rPr>
            </w:pPr>
            <w:r>
              <w:rPr>
                <w:rFonts w:ascii="宋体" w:hAnsi="宋体"/>
                <w:sz w:val="24"/>
                <w:highlight w:val="none"/>
              </w:rPr>
              <w:t xml:space="preserve">满足招标文件要求且投标价格最低的投标报价为评标基准价，其价格分为满分。其他投标人的价格分统一按照下列公式计算：</w:t>
            </w:r>
            <w:r>
              <w:rPr>
                <w:rFonts w:ascii="宋体" w:hAnsi="宋体"/>
                <w:sz w:val="24"/>
                <w:highlight w:val="none"/>
              </w:rPr>
            </w:r>
            <w:r/>
          </w:p>
          <w:p>
            <w:pPr>
              <w:pStyle w:val="1072"/>
              <w:rPr>
                <w:rFonts w:ascii="宋体" w:hAnsi="宋体"/>
                <w:sz w:val="24"/>
                <w:highlight w:val="none"/>
              </w:rPr>
            </w:pPr>
            <w:r>
              <w:rPr>
                <w:rFonts w:ascii="宋体" w:hAnsi="宋体"/>
                <w:sz w:val="24"/>
                <w:highlight w:val="none"/>
              </w:rPr>
              <w:t xml:space="preserve">投标报价得分＝（评标基准价/投标报价）×分值。</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hint="eastAsia" w:ascii="宋体" w:hAnsi="宋体"/>
                <w:sz w:val="24"/>
                <w:highlight w:val="none"/>
              </w:rPr>
              <w:t xml:space="preserve">此处投标报价指经过报价修正，及</w:t>
            </w:r>
            <w:r>
              <w:rPr>
                <w:rFonts w:ascii="宋体" w:hAnsi="宋体"/>
                <w:sz w:val="24"/>
                <w:highlight w:val="none"/>
              </w:rPr>
              <w:t xml:space="preserve">因落实政府采购政策进行价格调整</w:t>
            </w:r>
            <w:r>
              <w:rPr>
                <w:rFonts w:hint="eastAsia" w:ascii="宋体" w:hAnsi="宋体"/>
                <w:sz w:val="24"/>
                <w:highlight w:val="none"/>
              </w:rPr>
              <w:t xml:space="preserve">后</w:t>
            </w:r>
            <w:r>
              <w:rPr>
                <w:rFonts w:ascii="宋体" w:hAnsi="宋体"/>
                <w:sz w:val="24"/>
                <w:highlight w:val="none"/>
              </w:rPr>
              <w:t xml:space="preserve">的</w:t>
            </w:r>
            <w:r>
              <w:rPr>
                <w:rFonts w:hint="eastAsia" w:ascii="宋体" w:hAnsi="宋体"/>
                <w:sz w:val="24"/>
                <w:highlight w:val="none"/>
              </w:rPr>
              <w:t xml:space="preserve">报价</w:t>
            </w:r>
            <w:r>
              <w:rPr>
                <w:rFonts w:ascii="宋体" w:hAnsi="宋体"/>
                <w:sz w:val="24"/>
                <w:highlight w:val="none"/>
              </w:rPr>
              <w:t xml:space="preserve">，详见第</w:t>
            </w:r>
            <w:r>
              <w:rPr>
                <w:rFonts w:hint="eastAsia" w:ascii="宋体" w:hAnsi="宋体"/>
                <w:sz w:val="24"/>
                <w:highlight w:val="none"/>
              </w:rPr>
              <w:t xml:space="preserve">三</w:t>
            </w:r>
            <w:r>
              <w:rPr>
                <w:rFonts w:ascii="宋体" w:hAnsi="宋体"/>
                <w:sz w:val="24"/>
                <w:highlight w:val="none"/>
              </w:rPr>
              <w:t xml:space="preserve">章《评标方法和评标标准》</w:t>
            </w: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及</w:t>
            </w:r>
            <w:r>
              <w:rPr>
                <w:rFonts w:ascii="宋体" w:hAnsi="宋体"/>
                <w:sz w:val="24"/>
                <w:highlight w:val="none"/>
              </w:rPr>
              <w:t xml:space="preserve">2.5。</w:t>
            </w: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主观分</w:t>
            </w:r>
            <w:r>
              <w:rPr>
                <w:rFonts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rPr>
              <w:t xml:space="preserve">4</w:t>
            </w:r>
            <w:r>
              <w:rPr>
                <w:rFonts w:hint="eastAsia" w:ascii="宋体" w:hAnsi="宋体"/>
                <w:sz w:val="24"/>
                <w:highlight w:val="none"/>
                <w:lang w:val="en-US" w:eastAsia="zh-CN"/>
              </w:rPr>
              <w:t xml:space="preserve">4</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ascii="宋体" w:hAnsi="宋体"/>
                <w:sz w:val="24"/>
                <w:highlight w:val="none"/>
              </w:rPr>
            </w:pP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2.1</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总体服务方案</w:t>
            </w:r>
            <w:r>
              <w:rPr>
                <w:rFonts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投标人针对本项目提供总体服务方案，至少包含①管理目标、思路及质保措施②内部管理架构及机制③各岗位的职责④岗位操作规程等。</w:t>
            </w:r>
            <w:r>
              <w:rPr>
                <w:rFonts w:hint="eastAsia" w:ascii="宋体" w:hAnsi="宋体"/>
                <w:sz w:val="24"/>
                <w:highlight w:val="none"/>
              </w:rPr>
            </w:r>
            <w:r/>
          </w:p>
          <w:p>
            <w:pPr>
              <w:pStyle w:val="1072"/>
              <w:rPr>
                <w:rFonts w:ascii="宋体" w:hAnsi="宋体"/>
                <w:sz w:val="24"/>
                <w:highlight w:val="none"/>
              </w:rPr>
            </w:pPr>
            <w:r>
              <w:rPr>
                <w:rFonts w:hint="eastAsia" w:ascii="宋体" w:hAnsi="宋体"/>
                <w:sz w:val="24"/>
                <w:highlight w:val="none"/>
              </w:rPr>
              <w:t xml:space="preserve">方案合理完善、规范、清晰且可操作性强，整体与项目实际需求贴合得6分；方案合理性、完善性、规范性、清晰性、可操作性一般，基本能满足项目需求得4分；方案合理性、完善性、规范性、清晰性、可操作性有缺项的得2分；无相关内容不得分。</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2.2</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日常服务管理方案</w:t>
            </w:r>
            <w:r>
              <w:rPr>
                <w:rFonts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投标人针对本项目提供日常服务管理方案，至少包含①管理服务标准②服务考核标准③装备及设施配备情况等。</w:t>
            </w:r>
            <w:r>
              <w:rPr>
                <w:rFonts w:hint="eastAsia" w:ascii="宋体" w:hAnsi="宋体"/>
                <w:sz w:val="24"/>
                <w:highlight w:val="none"/>
              </w:rPr>
            </w:r>
            <w:r/>
          </w:p>
          <w:p>
            <w:pPr>
              <w:pStyle w:val="1072"/>
              <w:rPr>
                <w:rFonts w:ascii="宋体" w:hAnsi="宋体"/>
                <w:sz w:val="24"/>
                <w:highlight w:val="none"/>
              </w:rPr>
            </w:pPr>
            <w:r>
              <w:rPr>
                <w:rFonts w:hint="eastAsia" w:ascii="宋体" w:hAnsi="宋体"/>
                <w:sz w:val="24"/>
                <w:highlight w:val="none"/>
              </w:rPr>
              <w:t xml:space="preserve">方案合理完善、规范、清晰且可操作性强，整体与项目实际需求贴合得</w:t>
            </w:r>
            <w:r>
              <w:rPr>
                <w:rFonts w:hint="eastAsia" w:ascii="宋体" w:hAnsi="宋体"/>
                <w:sz w:val="24"/>
                <w:highlight w:val="none"/>
                <w:lang w:val="en-US" w:eastAsia="zh-CN"/>
              </w:rPr>
              <w:t xml:space="preserve">5</w:t>
            </w:r>
            <w:r>
              <w:rPr>
                <w:rFonts w:hint="eastAsia" w:ascii="宋体" w:hAnsi="宋体"/>
                <w:sz w:val="24"/>
                <w:highlight w:val="none"/>
              </w:rPr>
              <w:t xml:space="preserve">分；方案合理性、完善性、规范性、清晰性、可操作性一般，基本能满足项目需求得</w:t>
            </w:r>
            <w:r>
              <w:rPr>
                <w:rFonts w:hint="eastAsia" w:ascii="宋体" w:hAnsi="宋体"/>
                <w:sz w:val="24"/>
                <w:highlight w:val="none"/>
                <w:lang w:val="en-US" w:eastAsia="zh-CN"/>
              </w:rPr>
              <w:t xml:space="preserve">3</w:t>
            </w:r>
            <w:r>
              <w:rPr>
                <w:rFonts w:hint="eastAsia" w:ascii="宋体" w:hAnsi="宋体"/>
                <w:sz w:val="24"/>
                <w:highlight w:val="none"/>
              </w:rPr>
              <w:t xml:space="preserve">分；方案合理性、完善性、规范性、清晰性、可操作性有缺项的得</w:t>
            </w:r>
            <w:r>
              <w:rPr>
                <w:rFonts w:hint="eastAsia" w:ascii="宋体" w:hAnsi="宋体"/>
                <w:sz w:val="24"/>
                <w:highlight w:val="none"/>
                <w:lang w:val="en-US" w:eastAsia="zh-CN"/>
              </w:rPr>
              <w:t xml:space="preserve">1</w:t>
            </w:r>
            <w:r>
              <w:rPr>
                <w:rFonts w:hint="eastAsia" w:ascii="宋体" w:hAnsi="宋体"/>
                <w:sz w:val="24"/>
                <w:highlight w:val="none"/>
              </w:rPr>
              <w:t xml:space="preserve">分；无相关内容不得分。</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2.3</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服务管理制度</w:t>
            </w:r>
            <w:r>
              <w:rPr>
                <w:rFonts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投标人针对本项目提供服务管理制度，至少包含①人事管理制度②绩效考核、奖惩制度③档案管理制度④消防管理制度等。</w:t>
            </w:r>
            <w:r>
              <w:rPr>
                <w:rFonts w:hint="eastAsia" w:ascii="宋体" w:hAnsi="宋体"/>
                <w:sz w:val="24"/>
                <w:highlight w:val="none"/>
              </w:rPr>
            </w:r>
            <w:r/>
          </w:p>
          <w:p>
            <w:pPr>
              <w:pStyle w:val="1072"/>
              <w:rPr>
                <w:rFonts w:ascii="宋体" w:hAnsi="宋体"/>
                <w:sz w:val="24"/>
                <w:highlight w:val="none"/>
              </w:rPr>
            </w:pPr>
            <w:r>
              <w:rPr>
                <w:rFonts w:hint="eastAsia" w:ascii="宋体" w:hAnsi="宋体"/>
                <w:sz w:val="24"/>
                <w:highlight w:val="none"/>
              </w:rPr>
              <w:t xml:space="preserve">方案合理完善、规范、清晰且可操作性强，整体与项目实际需求贴合得</w:t>
            </w:r>
            <w:r>
              <w:rPr>
                <w:rFonts w:hint="eastAsia" w:ascii="宋体" w:hAnsi="宋体"/>
                <w:sz w:val="24"/>
                <w:highlight w:val="none"/>
                <w:lang w:val="en-US" w:eastAsia="zh-CN"/>
              </w:rPr>
              <w:t xml:space="preserve">5</w:t>
            </w:r>
            <w:r>
              <w:rPr>
                <w:rFonts w:hint="eastAsia" w:ascii="宋体" w:hAnsi="宋体"/>
                <w:sz w:val="24"/>
                <w:highlight w:val="none"/>
              </w:rPr>
              <w:t xml:space="preserve">分；方案合理性、完善性、规范性、清晰性、可操作性一般，基本能满足项目需求得</w:t>
            </w:r>
            <w:r>
              <w:rPr>
                <w:rFonts w:hint="eastAsia" w:ascii="宋体" w:hAnsi="宋体"/>
                <w:sz w:val="24"/>
                <w:highlight w:val="none"/>
                <w:lang w:val="en-US" w:eastAsia="zh-CN"/>
              </w:rPr>
              <w:t xml:space="preserve">3</w:t>
            </w:r>
            <w:r>
              <w:rPr>
                <w:rFonts w:hint="eastAsia" w:ascii="宋体" w:hAnsi="宋体"/>
                <w:sz w:val="24"/>
                <w:highlight w:val="none"/>
              </w:rPr>
              <w:t xml:space="preserve">分；方案合理性、完善性、规范性、清晰性、可操作性有缺项的得</w:t>
            </w:r>
            <w:r>
              <w:rPr>
                <w:rFonts w:hint="eastAsia" w:ascii="宋体" w:hAnsi="宋体"/>
                <w:sz w:val="24"/>
                <w:highlight w:val="none"/>
                <w:lang w:val="en-US" w:eastAsia="zh-CN"/>
              </w:rPr>
              <w:t xml:space="preserve">1</w:t>
            </w:r>
            <w:r>
              <w:rPr>
                <w:rFonts w:hint="eastAsia" w:ascii="宋体" w:hAnsi="宋体"/>
                <w:sz w:val="24"/>
                <w:highlight w:val="none"/>
              </w:rPr>
              <w:t xml:space="preserve">分；无相关内容不得分。</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2.4</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保安服务方案</w:t>
            </w:r>
            <w:r>
              <w:rPr>
                <w:rFonts w:hint="eastAsia" w:ascii="宋体" w:hAnsi="宋体"/>
                <w:sz w:val="24"/>
                <w:highlight w:val="none"/>
              </w:rPr>
            </w:r>
            <w:r/>
          </w:p>
        </w:tc>
        <w:tc>
          <w:tcPr>
            <w:tcW w:w="373"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投标人针对本项目提供保安服务方案，至少包含①安保维护、②安保巡逻、③安保消防等。</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方案合理完善、规范、清晰且可操作性强，整体与项目实际需求贴合得6分；方案合理性、完善性、规范性、清晰性、可操作性一般，基本能满足项目需求得4分；方案合理性、完善性、规范性、清晰性、可操作性有缺项的得2分；无相关内容不得分。</w:t>
            </w:r>
            <w:r>
              <w:rPr>
                <w:rFonts w:hint="eastAsia"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2.5</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消控监控服务方案</w:t>
            </w:r>
            <w:r>
              <w:rPr>
                <w:rFonts w:hint="eastAsia" w:ascii="宋体" w:hAnsi="宋体"/>
                <w:sz w:val="24"/>
                <w:highlight w:val="none"/>
              </w:rPr>
            </w:r>
            <w:r/>
          </w:p>
        </w:tc>
        <w:tc>
          <w:tcPr>
            <w:tcW w:w="373"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投标人针对本项目提供消控监控服务方案，至少包含①消防设备监控、②视频监控管理、③运行保障措施等。</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方案合理完善、规范、清晰且可操作性强，整体与项目实际需求贴合得6分；方案合理性、完善性、规范性、清晰性、可操作性一般，基本能满足项目需求得4分；方案合理性、完善性、规范性、清晰性、可操作性有缺项的得2分；无相关内容不得分。</w:t>
            </w:r>
            <w:r>
              <w:rPr>
                <w:rFonts w:hint="eastAsia"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2.6</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人员组织框架</w:t>
            </w:r>
            <w:r>
              <w:rPr>
                <w:rFonts w:hint="eastAsia"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投标人针对本项目提供人员组织框架，至少包含①人员配置明细②岗位职责及分工等。</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方案合理完善、规范、清晰且可操作性强，整体与项目实际需求贴合得</w:t>
            </w:r>
            <w:r>
              <w:rPr>
                <w:rFonts w:hint="eastAsia" w:ascii="宋体" w:hAnsi="宋体"/>
                <w:sz w:val="24"/>
                <w:highlight w:val="none"/>
                <w:lang w:val="en-US" w:eastAsia="zh-CN"/>
              </w:rPr>
              <w:t xml:space="preserve">5</w:t>
            </w:r>
            <w:r>
              <w:rPr>
                <w:rFonts w:hint="eastAsia" w:ascii="宋体" w:hAnsi="宋体"/>
                <w:sz w:val="24"/>
                <w:highlight w:val="none"/>
              </w:rPr>
              <w:t xml:space="preserve">分；方案合理性、完善性、规范性、清晰性、可操作性一般，基本能满足项目需求得</w:t>
            </w:r>
            <w:r>
              <w:rPr>
                <w:rFonts w:hint="eastAsia" w:ascii="宋体" w:hAnsi="宋体"/>
                <w:sz w:val="24"/>
                <w:highlight w:val="none"/>
                <w:lang w:val="en-US" w:eastAsia="zh-CN"/>
              </w:rPr>
              <w:t xml:space="preserve">3</w:t>
            </w:r>
            <w:r>
              <w:rPr>
                <w:rFonts w:hint="eastAsia" w:ascii="宋体" w:hAnsi="宋体"/>
                <w:sz w:val="24"/>
                <w:highlight w:val="none"/>
              </w:rPr>
              <w:t xml:space="preserve">分；方案合理性、完善性、规范性、清晰性、可操作性有缺项的得</w:t>
            </w:r>
            <w:r>
              <w:rPr>
                <w:rFonts w:hint="eastAsia" w:ascii="宋体" w:hAnsi="宋体"/>
                <w:sz w:val="24"/>
                <w:highlight w:val="none"/>
                <w:lang w:val="en-US" w:eastAsia="zh-CN"/>
              </w:rPr>
              <w:t xml:space="preserve">1</w:t>
            </w:r>
            <w:r>
              <w:rPr>
                <w:rFonts w:hint="eastAsia" w:ascii="宋体" w:hAnsi="宋体"/>
                <w:sz w:val="24"/>
                <w:highlight w:val="none"/>
              </w:rPr>
              <w:t xml:space="preserve">分；无相关内容不得分。</w:t>
            </w:r>
            <w:r>
              <w:rPr>
                <w:rFonts w:hint="eastAsia"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2.7</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人员培训方案</w:t>
            </w:r>
            <w:r>
              <w:rPr>
                <w:rFonts w:hint="eastAsia"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投标人针对本项目提供人员培训方案，至少包含①培训的相关制度②培训的计划频次③培训的相关内容。</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方案合理完善、规范、清晰且可操作性强，整体与项目实际需求贴合得</w:t>
            </w:r>
            <w:r>
              <w:rPr>
                <w:rFonts w:hint="eastAsia" w:ascii="宋体" w:hAnsi="宋体"/>
                <w:sz w:val="24"/>
                <w:highlight w:val="none"/>
                <w:lang w:val="en-US" w:eastAsia="zh-CN"/>
              </w:rPr>
              <w:t xml:space="preserve">5</w:t>
            </w:r>
            <w:r>
              <w:rPr>
                <w:rFonts w:hint="eastAsia" w:ascii="宋体" w:hAnsi="宋体"/>
                <w:sz w:val="24"/>
                <w:highlight w:val="none"/>
              </w:rPr>
              <w:t xml:space="preserve">分；方案合理性、完善性、规范性、清晰性、可操作性一般，基本能满足项目需求得</w:t>
            </w:r>
            <w:r>
              <w:rPr>
                <w:rFonts w:hint="eastAsia" w:ascii="宋体" w:hAnsi="宋体"/>
                <w:sz w:val="24"/>
                <w:highlight w:val="none"/>
                <w:lang w:val="en-US" w:eastAsia="zh-CN"/>
              </w:rPr>
              <w:t xml:space="preserve">3</w:t>
            </w:r>
            <w:r>
              <w:rPr>
                <w:rFonts w:hint="eastAsia" w:ascii="宋体" w:hAnsi="宋体"/>
                <w:sz w:val="24"/>
                <w:highlight w:val="none"/>
              </w:rPr>
              <w:t xml:space="preserve">分；方案合理性、完善性、规范性、清晰性、可操作性有缺项的得</w:t>
            </w:r>
            <w:r>
              <w:rPr>
                <w:rFonts w:hint="eastAsia" w:ascii="宋体" w:hAnsi="宋体"/>
                <w:sz w:val="24"/>
                <w:highlight w:val="none"/>
                <w:lang w:val="en-US" w:eastAsia="zh-CN"/>
              </w:rPr>
              <w:t xml:space="preserve">1</w:t>
            </w:r>
            <w:r>
              <w:rPr>
                <w:rFonts w:hint="eastAsia" w:ascii="宋体" w:hAnsi="宋体"/>
                <w:sz w:val="24"/>
                <w:highlight w:val="none"/>
              </w:rPr>
              <w:t xml:space="preserve">分；无相关内容不得分。</w:t>
            </w:r>
            <w:r>
              <w:rPr>
                <w:rFonts w:hint="eastAsia"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2.8</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应急处理预案</w:t>
            </w:r>
            <w:r>
              <w:rPr>
                <w:rFonts w:hint="eastAsia"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rPr>
                <w:rFonts w:hint="eastAsia" w:ascii="宋体" w:hAnsi="宋体" w:eastAsia="宋体"/>
                <w:sz w:val="24"/>
                <w:highlight w:val="none"/>
                <w:lang w:eastAsia="zh-CN"/>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投标人针对本项目提供应急处理预案，至少包含①灾害性天气预案②治安应急预案③消防应急预案④其他应急预案（如医闹、车辆事故等）。 </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方案合理完善、规范、清晰且可操作性强，整体与项目实际需求贴合得6分；方案合理性、完善性、规范性、清晰性、可操作性一般，基本能满足项目需求得4分；方案合理性、完善性、规范性、清晰性、可操作性有缺项的得2分；无相关内容不得分。</w:t>
            </w:r>
            <w:r>
              <w:rPr>
                <w:rFonts w:hint="eastAsia"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客观分</w:t>
            </w:r>
            <w:r>
              <w:rPr>
                <w:rFonts w:ascii="宋体" w:hAnsi="宋体"/>
                <w:sz w:val="24"/>
                <w:highlight w:val="none"/>
              </w:rPr>
            </w:r>
            <w:r/>
          </w:p>
        </w:tc>
        <w:tc>
          <w:tcPr>
            <w:tcW w:w="373" w:type="dxa"/>
            <w:vAlign w:val="center"/>
            <w:textDirection w:val="lrTb"/>
            <w:noWrap w:val="false"/>
          </w:tcPr>
          <w:p>
            <w:pPr>
              <w:pStyle w:val="1072"/>
              <w:ind w:firstLine="28"/>
              <w:jc w:val="center"/>
              <w:rPr>
                <w:rFonts w:ascii="宋体" w:hAnsi="宋体" w:eastAsia="宋体"/>
                <w:sz w:val="24"/>
                <w:highlight w:val="none"/>
                <w:lang w:val="en-US" w:eastAsia="zh-CN"/>
              </w:rPr>
            </w:pPr>
            <w:r>
              <w:rPr>
                <w:rFonts w:hint="eastAsia" w:ascii="宋体" w:hAnsi="宋体"/>
                <w:sz w:val="24"/>
                <w:highlight w:val="none"/>
                <w:lang w:val="en-US" w:eastAsia="zh-CN"/>
              </w:rPr>
              <w:t xml:space="preserve">46</w:t>
            </w:r>
            <w:r>
              <w:rPr>
                <w:rFonts w:ascii="宋体" w:hAnsi="宋体" w:eastAsia="宋体"/>
                <w:sz w:val="24"/>
                <w:highlight w:val="none"/>
                <w:lang w:val="en-US" w:eastAsia="zh-CN"/>
              </w:rPr>
            </w:r>
            <w:r/>
          </w:p>
        </w:tc>
        <w:tc>
          <w:tcPr>
            <w:tcW w:w="2465" w:type="dxa"/>
            <w:vAlign w:val="center"/>
            <w:textDirection w:val="lrTb"/>
            <w:noWrap w:val="false"/>
          </w:tcPr>
          <w:p>
            <w:pPr>
              <w:pStyle w:val="1072"/>
              <w:rPr>
                <w:rFonts w:ascii="宋体" w:hAnsi="宋体"/>
                <w:sz w:val="24"/>
                <w:highlight w:val="none"/>
              </w:rPr>
            </w:pP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3.1</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类似业绩</w:t>
            </w:r>
            <w:r>
              <w:rPr>
                <w:rFonts w:ascii="宋体" w:hAnsi="宋体"/>
                <w:sz w:val="24"/>
                <w:highlight w:val="none"/>
              </w:rPr>
            </w:r>
            <w:r/>
          </w:p>
        </w:tc>
        <w:tc>
          <w:tcPr>
            <w:tcW w:w="373"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15</w:t>
            </w:r>
            <w:r>
              <w:rPr>
                <w:rFonts w:ascii="宋体" w:hAnsi="宋体"/>
                <w:sz w:val="24"/>
                <w:highlight w:val="none"/>
              </w:rPr>
            </w:r>
            <w:r/>
          </w:p>
        </w:tc>
        <w:tc>
          <w:tcPr>
            <w:tcW w:w="2465" w:type="dxa"/>
            <w:vAlign w:val="center"/>
            <w:textDirection w:val="lrTb"/>
            <w:noWrap w:val="false"/>
          </w:tcPr>
          <w:p>
            <w:pPr>
              <w:pStyle w:val="1072"/>
              <w:rPr>
                <w:rFonts w:ascii="宋体" w:hAnsi="宋体"/>
                <w:sz w:val="24"/>
                <w:highlight w:val="none"/>
              </w:rPr>
            </w:pPr>
            <w:r>
              <w:rPr>
                <w:rFonts w:hint="eastAsia" w:ascii="宋体" w:hAnsi="宋体"/>
                <w:sz w:val="24"/>
                <w:highlight w:val="none"/>
              </w:rPr>
              <w:t xml:space="preserve">投标人自2023年1月1日（以合同签订时间为准）以来承担的行政机关或事业单位的服务业绩（合同内容必须体现安保或保安服务内容），每有一个得3分，最高得15分。</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hint="eastAsia" w:ascii="宋体" w:hAnsi="宋体"/>
                <w:sz w:val="24"/>
                <w:highlight w:val="none"/>
              </w:rPr>
              <w:t xml:space="preserve">投标文件中提供业绩合同和中标通知书扫描件加盖公章，未提供或缺项不得分。</w:t>
            </w: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3.2</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体系认证</w:t>
            </w:r>
            <w:r>
              <w:rPr>
                <w:rFonts w:ascii="宋体" w:hAnsi="宋体"/>
                <w:sz w:val="24"/>
                <w:highlight w:val="none"/>
              </w:rPr>
            </w:r>
            <w:r/>
          </w:p>
        </w:tc>
        <w:tc>
          <w:tcPr>
            <w:tcW w:w="373" w:type="dxa"/>
            <w:vAlign w:val="center"/>
            <w:textDirection w:val="lrTb"/>
            <w:noWrap w:val="false"/>
          </w:tcPr>
          <w:p>
            <w:pPr>
              <w:pStyle w:val="1072"/>
              <w:ind w:firstLine="28"/>
              <w:jc w:val="center"/>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rPr>
            </w:r>
            <w:r/>
          </w:p>
        </w:tc>
        <w:tc>
          <w:tcPr>
            <w:tcW w:w="2465" w:type="dxa"/>
            <w:vAlign w:val="center"/>
            <w:textDirection w:val="lrTb"/>
            <w:noWrap w:val="false"/>
          </w:tcPr>
          <w:p>
            <w:pPr>
              <w:pStyle w:val="1072"/>
              <w:rPr>
                <w:rFonts w:ascii="宋体" w:hAnsi="宋体"/>
                <w:sz w:val="24"/>
                <w:highlight w:val="none"/>
              </w:rPr>
            </w:pPr>
            <w:r>
              <w:rPr>
                <w:rFonts w:hint="eastAsia" w:ascii="宋体" w:hAnsi="宋体"/>
                <w:sz w:val="24"/>
                <w:highlight w:val="none"/>
              </w:rPr>
              <w:t xml:space="preserve">具有有效的质量管理体系认证、环境管理体系认证、职业健康安全管理体系认证，有一项得3分，最高得9分。</w:t>
            </w:r>
            <w:r>
              <w:rPr>
                <w:rFonts w:ascii="宋体" w:hAnsi="宋体"/>
                <w:sz w:val="24"/>
                <w:highlight w:val="none"/>
              </w:rPr>
            </w:r>
            <w:r/>
          </w:p>
        </w:tc>
        <w:tc>
          <w:tcPr>
            <w:tcW w:w="1255" w:type="dxa"/>
            <w:vAlign w:val="center"/>
            <w:textDirection w:val="lrTb"/>
            <w:noWrap w:val="false"/>
          </w:tcPr>
          <w:p>
            <w:pPr>
              <w:pStyle w:val="1072"/>
              <w:ind w:left="-38"/>
              <w:rPr>
                <w:rFonts w:ascii="宋体" w:hAnsi="宋体"/>
                <w:sz w:val="24"/>
                <w:highlight w:val="none"/>
              </w:rPr>
            </w:pPr>
            <w:r>
              <w:rPr>
                <w:rFonts w:hint="eastAsia" w:ascii="宋体" w:hAnsi="宋体"/>
                <w:sz w:val="24"/>
                <w:highlight w:val="none"/>
              </w:rPr>
              <w:t xml:space="preserve">投标文件中同时提供证书及对应证书在国家认证认可监督管理委员会网站（</w:t>
            </w:r>
            <w:bookmarkStart w:id="814" w:name="OLE_LINK1"/>
            <w:r>
              <w:rPr>
                <w:rFonts w:hint="eastAsia" w:ascii="宋体" w:hAnsi="宋体"/>
                <w:sz w:val="24"/>
                <w:highlight w:val="none"/>
              </w:rPr>
              <w:t xml:space="preserve">http://www.cnca.gov.cn/</w:t>
            </w:r>
            <w:bookmarkEnd w:id="814"/>
            <w:r>
              <w:rPr>
                <w:rFonts w:hint="eastAsia" w:ascii="宋体" w:hAnsi="宋体"/>
                <w:sz w:val="24"/>
                <w:highlight w:val="none"/>
              </w:rPr>
              <w:t xml:space="preserve">）查询为“有效”状态扫描件加盖公章，未提供的或无效的不得分。</w:t>
            </w:r>
            <w:r>
              <w:rPr>
                <w:rFonts w:ascii="宋体" w:hAnsi="宋体"/>
                <w:sz w:val="24"/>
                <w:highlight w:val="none"/>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3.3</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szCs w:val="24"/>
                <w:highlight w:val="none"/>
                <w:lang w:val="en-US" w:eastAsia="zh-CN" w:bidi="ar-SA"/>
              </w:rPr>
            </w:pPr>
            <w:r>
              <w:rPr>
                <w:rFonts w:hint="eastAsia" w:ascii="宋体" w:hAnsi="宋体"/>
                <w:sz w:val="24"/>
                <w:highlight w:val="none"/>
              </w:rPr>
              <w:t xml:space="preserve">保安队长</w:t>
            </w:r>
            <w:r>
              <w:rPr>
                <w:rFonts w:hint="eastAsia" w:ascii="宋体" w:hAnsi="宋体"/>
                <w:sz w:val="24"/>
                <w:szCs w:val="24"/>
                <w:highlight w:val="none"/>
                <w:lang w:val="en-US" w:eastAsia="zh-CN" w:bidi="ar-SA"/>
              </w:rPr>
            </w:r>
            <w:r/>
          </w:p>
        </w:tc>
        <w:tc>
          <w:tcPr>
            <w:tcW w:w="373" w:type="dxa"/>
            <w:vAlign w:val="center"/>
            <w:textDirection w:val="lrTb"/>
            <w:noWrap w:val="false"/>
          </w:tcPr>
          <w:p>
            <w:pPr>
              <w:pStyle w:val="1072"/>
              <w:ind w:firstLine="28"/>
              <w:jc w:val="center"/>
              <w:rPr>
                <w:rFonts w:hint="eastAsia" w:ascii="宋体" w:hAnsi="宋体" w:eastAsia="宋体"/>
                <w:sz w:val="24"/>
                <w:szCs w:val="24"/>
                <w:highlight w:val="none"/>
                <w:lang w:val="en-US" w:eastAsia="zh-CN" w:bidi="ar-SA"/>
              </w:rPr>
            </w:pPr>
            <w:r>
              <w:rPr>
                <w:rFonts w:hint="eastAsia" w:ascii="宋体" w:hAnsi="宋体"/>
                <w:sz w:val="24"/>
                <w:highlight w:val="none"/>
                <w:lang w:val="en-US" w:eastAsia="zh-CN"/>
              </w:rPr>
              <w:t xml:space="preserve">6</w:t>
            </w:r>
            <w:r>
              <w:rPr>
                <w:rFonts w:hint="eastAsia" w:ascii="宋体" w:hAnsi="宋体" w:eastAsia="宋体"/>
                <w:sz w:val="24"/>
                <w:szCs w:val="24"/>
                <w:highlight w:val="none"/>
                <w:lang w:val="en-US" w:eastAsia="zh-CN" w:bidi="ar-SA"/>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拟派保安队长</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限评1人</w:t>
            </w:r>
            <w:r>
              <w:rPr>
                <w:rFonts w:hint="eastAsia" w:ascii="宋体" w:hAnsi="宋体"/>
                <w:sz w:val="24"/>
                <w:highlight w:val="none"/>
                <w:lang w:eastAsia="zh-CN"/>
              </w:rPr>
              <w:t xml:space="preserve">）</w:t>
            </w:r>
            <w:r>
              <w:rPr>
                <w:rFonts w:hint="eastAsia" w:ascii="宋体" w:hAnsi="宋体"/>
                <w:sz w:val="24"/>
                <w:highlight w:val="none"/>
              </w:rPr>
              <w:t xml:space="preserve">：</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1、具有大专及以上学历的得2分，具有高中文凭的得1分； </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2、具有高级（三级）保安员证书的得2分；</w:t>
            </w:r>
            <w:r>
              <w:rPr>
                <w:rFonts w:hint="eastAsia" w:ascii="宋体" w:hAnsi="宋体"/>
                <w:sz w:val="24"/>
                <w:highlight w:val="none"/>
              </w:rPr>
            </w:r>
            <w:r/>
          </w:p>
          <w:p>
            <w:pPr>
              <w:pStyle w:val="1072"/>
              <w:rPr>
                <w:rFonts w:ascii="宋体" w:hAnsi="宋体"/>
                <w:sz w:val="24"/>
                <w:highlight w:val="none"/>
              </w:rPr>
            </w:pPr>
            <w:r>
              <w:rPr>
                <w:rFonts w:hint="eastAsia" w:ascii="宋体" w:hAnsi="宋体"/>
                <w:sz w:val="24"/>
                <w:highlight w:val="none"/>
              </w:rPr>
              <w:t xml:space="preserve">3、具有</w:t>
            </w:r>
            <w:r>
              <w:rPr>
                <w:rFonts w:hint="eastAsia" w:ascii="宋体" w:hAnsi="宋体"/>
                <w:sz w:val="24"/>
                <w:highlight w:val="none"/>
                <w:lang w:val="en-US" w:eastAsia="zh-CN"/>
              </w:rPr>
              <w:t xml:space="preserve">退出现役证书（含退伍证、退役证）</w:t>
            </w:r>
            <w:r>
              <w:rPr>
                <w:rFonts w:hint="eastAsia" w:ascii="宋体" w:hAnsi="宋体"/>
                <w:sz w:val="24"/>
                <w:highlight w:val="none"/>
              </w:rPr>
              <w:t xml:space="preserve">的得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ascii="宋体" w:hAnsi="宋体"/>
                <w:sz w:val="24"/>
                <w:highlight w:val="none"/>
              </w:rPr>
            </w:r>
            <w:r/>
          </w:p>
          <w:p>
            <w:pPr>
              <w:pStyle w:val="1072"/>
              <w:rPr>
                <w:rFonts w:hint="eastAsia" w:ascii="宋体" w:hAnsi="宋体"/>
                <w:sz w:val="24"/>
                <w:szCs w:val="24"/>
                <w:highlight w:val="none"/>
                <w:lang w:val="en-US" w:eastAsia="zh-CN" w:bidi="ar-SA"/>
              </w:rPr>
            </w:pPr>
            <w:r>
              <w:rPr>
                <w:rFonts w:hint="eastAsia" w:ascii="宋体" w:hAnsi="宋体"/>
                <w:sz w:val="24"/>
                <w:highlight w:val="none"/>
              </w:rPr>
              <w:t xml:space="preserve">本项最高得分</w:t>
            </w:r>
            <w:r>
              <w:rPr>
                <w:rFonts w:hint="eastAsia" w:ascii="宋体" w:hAnsi="宋体"/>
                <w:sz w:val="24"/>
                <w:highlight w:val="none"/>
                <w:lang w:val="en-US" w:eastAsia="zh-CN"/>
              </w:rPr>
              <w:t xml:space="preserve">6</w:t>
            </w:r>
            <w:r>
              <w:rPr>
                <w:rFonts w:hint="eastAsia" w:ascii="宋体" w:hAnsi="宋体"/>
                <w:sz w:val="24"/>
                <w:highlight w:val="none"/>
              </w:rPr>
              <w:t xml:space="preserve">分。</w:t>
            </w:r>
            <w:r>
              <w:rPr>
                <w:rFonts w:hint="eastAsia" w:ascii="宋体" w:hAnsi="宋体"/>
                <w:sz w:val="24"/>
                <w:szCs w:val="24"/>
                <w:highlight w:val="none"/>
                <w:lang w:val="en-US" w:eastAsia="zh-CN" w:bidi="ar-SA"/>
              </w:rPr>
            </w:r>
            <w:r/>
          </w:p>
        </w:tc>
        <w:tc>
          <w:tcPr>
            <w:tcW w:w="1255" w:type="dxa"/>
            <w:vAlign w:val="center"/>
            <w:textDirection w:val="lrTb"/>
            <w:noWrap w:val="false"/>
          </w:tcPr>
          <w:p>
            <w:pPr>
              <w:pStyle w:val="1072"/>
              <w:ind w:left="-38"/>
              <w:rPr>
                <w:rFonts w:hint="eastAsia" w:ascii="宋体" w:hAnsi="宋体"/>
                <w:sz w:val="24"/>
                <w:szCs w:val="24"/>
                <w:highlight w:val="none"/>
                <w:lang w:val="en-US" w:eastAsia="zh-CN" w:bidi="ar-SA"/>
              </w:rPr>
            </w:pPr>
            <w:r>
              <w:rPr>
                <w:rFonts w:hint="eastAsia" w:ascii="宋体" w:hAnsi="宋体"/>
                <w:sz w:val="24"/>
                <w:highlight w:val="none"/>
              </w:rPr>
              <w:t xml:space="preserve">投标文件中提供相应证书扫描件</w:t>
            </w:r>
            <w:r>
              <w:rPr>
                <w:rFonts w:hint="eastAsia" w:ascii="宋体" w:hAnsi="宋体"/>
                <w:sz w:val="24"/>
                <w:highlight w:val="none"/>
                <w:lang w:val="en-US" w:eastAsia="zh-CN"/>
              </w:rPr>
              <w:t xml:space="preserve">和投标人为其缴纳的2026年9月-11月中任意1个月的社保记录；缺项不得分。</w:t>
            </w:r>
            <w:r>
              <w:rPr>
                <w:rFonts w:hint="eastAsia" w:ascii="宋体" w:hAnsi="宋体"/>
                <w:sz w:val="24"/>
                <w:szCs w:val="24"/>
                <w:highlight w:val="none"/>
                <w:lang w:val="en-US" w:eastAsia="zh-CN" w:bidi="ar-SA"/>
              </w:rPr>
            </w:r>
            <w:r/>
          </w:p>
        </w:tc>
      </w:tr>
      <w:tr>
        <w:trPr>
          <w:trHeight w:val="90"/>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3.4</w:t>
            </w:r>
            <w:r>
              <w:rPr>
                <w:rFonts w:ascii="宋体" w:hAnsi="宋体"/>
                <w:sz w:val="24"/>
                <w:highlight w:val="none"/>
              </w:rPr>
            </w:r>
            <w:r/>
          </w:p>
        </w:tc>
        <w:tc>
          <w:tcPr>
            <w:tcW w:w="467" w:type="dxa"/>
            <w:vAlign w:val="center"/>
            <w:textDirection w:val="lrTb"/>
            <w:noWrap w:val="false"/>
          </w:tcPr>
          <w:p>
            <w:pPr>
              <w:pStyle w:val="1072"/>
              <w:ind w:firstLine="28"/>
              <w:jc w:val="center"/>
              <w:rPr>
                <w:rFonts w:ascii="宋体" w:hAnsi="宋体"/>
                <w:sz w:val="24"/>
                <w:szCs w:val="24"/>
                <w:highlight w:val="none"/>
                <w:lang w:val="en-US" w:eastAsia="zh-CN" w:bidi="ar-SA"/>
              </w:rPr>
            </w:pPr>
            <w:r>
              <w:rPr>
                <w:rFonts w:hint="eastAsia" w:ascii="宋体" w:hAnsi="宋体"/>
                <w:sz w:val="24"/>
                <w:highlight w:val="none"/>
              </w:rPr>
              <w:t xml:space="preserve">保安班长</w:t>
            </w:r>
            <w:r>
              <w:rPr>
                <w:rFonts w:ascii="宋体" w:hAnsi="宋体"/>
                <w:sz w:val="24"/>
                <w:szCs w:val="24"/>
                <w:highlight w:val="none"/>
                <w:lang w:val="en-US" w:eastAsia="zh-CN" w:bidi="ar-SA"/>
              </w:rPr>
            </w:r>
            <w:r/>
          </w:p>
        </w:tc>
        <w:tc>
          <w:tcPr>
            <w:tcW w:w="373" w:type="dxa"/>
            <w:vAlign w:val="center"/>
            <w:textDirection w:val="lrTb"/>
            <w:noWrap w:val="false"/>
          </w:tcPr>
          <w:p>
            <w:pPr>
              <w:pStyle w:val="1072"/>
              <w:ind w:firstLine="28"/>
              <w:jc w:val="center"/>
              <w:rPr>
                <w:rFonts w:hint="eastAsia" w:ascii="宋体" w:hAnsi="宋体"/>
                <w:sz w:val="24"/>
                <w:szCs w:val="24"/>
                <w:highlight w:val="none"/>
                <w:lang w:val="en-US" w:eastAsia="zh-CN" w:bidi="ar-SA"/>
              </w:rPr>
            </w:pPr>
            <w:r>
              <w:rPr>
                <w:rFonts w:hint="eastAsia" w:ascii="宋体" w:hAnsi="宋体"/>
                <w:sz w:val="24"/>
                <w:highlight w:val="none"/>
              </w:rPr>
              <w:t xml:space="preserve">6</w:t>
            </w:r>
            <w:r>
              <w:rPr>
                <w:rFonts w:hint="eastAsia" w:ascii="宋体" w:hAnsi="宋体"/>
                <w:sz w:val="24"/>
                <w:szCs w:val="24"/>
                <w:highlight w:val="none"/>
                <w:lang w:val="en-US" w:eastAsia="zh-CN" w:bidi="ar-SA"/>
              </w:rPr>
            </w:r>
            <w:r/>
          </w:p>
        </w:tc>
        <w:tc>
          <w:tcPr>
            <w:tcW w:w="2465" w:type="dxa"/>
            <w:vAlign w:val="center"/>
            <w:textDirection w:val="lrTb"/>
            <w:noWrap w:val="false"/>
          </w:tcPr>
          <w:p>
            <w:pPr>
              <w:pStyle w:val="1072"/>
              <w:rPr>
                <w:rFonts w:hint="eastAsia" w:ascii="宋体" w:hAnsi="宋体"/>
                <w:sz w:val="24"/>
                <w:highlight w:val="none"/>
              </w:rPr>
            </w:pPr>
            <w:r>
              <w:rPr>
                <w:rFonts w:hint="eastAsia" w:ascii="宋体" w:hAnsi="宋体"/>
                <w:sz w:val="24"/>
                <w:highlight w:val="none"/>
              </w:rPr>
              <w:t xml:space="preserve">拟派保安班长</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限评3人</w:t>
            </w:r>
            <w:r>
              <w:rPr>
                <w:rFonts w:hint="eastAsia" w:ascii="宋体" w:hAnsi="宋体"/>
                <w:sz w:val="24"/>
                <w:highlight w:val="none"/>
                <w:lang w:eastAsia="zh-CN"/>
              </w:rPr>
              <w:t xml:space="preserve">）</w:t>
            </w:r>
            <w:r>
              <w:rPr>
                <w:rFonts w:hint="eastAsia" w:ascii="宋体" w:hAnsi="宋体"/>
                <w:sz w:val="24"/>
                <w:highlight w:val="none"/>
              </w:rPr>
              <w:t xml:space="preserve">：</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1.具有大专及以上学历或</w:t>
            </w:r>
            <w:r>
              <w:rPr>
                <w:rFonts w:hint="eastAsia" w:ascii="宋体" w:hAnsi="宋体"/>
                <w:sz w:val="24"/>
                <w:highlight w:val="none"/>
                <w:lang w:val="en-US" w:eastAsia="zh-CN"/>
              </w:rPr>
              <w:t xml:space="preserve">退出现役证书（含退伍证、退役证）</w:t>
            </w:r>
            <w:r>
              <w:rPr>
                <w:rFonts w:hint="eastAsia" w:ascii="宋体" w:hAnsi="宋体"/>
                <w:sz w:val="24"/>
                <w:highlight w:val="none"/>
              </w:rPr>
              <w:t xml:space="preserve">的，有1人得1分，最高得3分。</w:t>
            </w:r>
            <w:r>
              <w:rPr>
                <w:rFonts w:hint="eastAsia" w:ascii="宋体" w:hAnsi="宋体"/>
                <w:sz w:val="24"/>
                <w:highlight w:val="none"/>
              </w:rPr>
            </w:r>
            <w:r/>
          </w:p>
          <w:p>
            <w:pPr>
              <w:pStyle w:val="1072"/>
              <w:rPr>
                <w:rFonts w:hint="eastAsia" w:ascii="宋体" w:hAnsi="宋体"/>
                <w:sz w:val="24"/>
                <w:highlight w:val="none"/>
              </w:rPr>
            </w:pPr>
            <w:r>
              <w:rPr>
                <w:rFonts w:hint="eastAsia" w:ascii="宋体" w:hAnsi="宋体"/>
                <w:sz w:val="24"/>
                <w:highlight w:val="none"/>
              </w:rPr>
              <w:t xml:space="preserve">2.具有三级及以上保安员证的，有1人得3分，最高得3分。</w:t>
            </w:r>
            <w:r>
              <w:rPr>
                <w:rFonts w:hint="eastAsia" w:ascii="宋体" w:hAnsi="宋体"/>
                <w:sz w:val="24"/>
                <w:highlight w:val="none"/>
              </w:rPr>
            </w:r>
            <w:r/>
          </w:p>
          <w:p>
            <w:pPr>
              <w:pStyle w:val="1072"/>
              <w:rPr>
                <w:rFonts w:hint="eastAsia"/>
                <w:sz w:val="21"/>
                <w:szCs w:val="24"/>
                <w:highlight w:val="none"/>
                <w:lang w:val="en-US" w:eastAsia="zh-CN" w:bidi="ar-SA"/>
              </w:rPr>
            </w:pPr>
            <w:r>
              <w:rPr>
                <w:rFonts w:hint="eastAsia" w:ascii="宋体" w:hAnsi="宋体"/>
                <w:sz w:val="24"/>
                <w:highlight w:val="none"/>
              </w:rPr>
              <w:t xml:space="preserve">本项最高得分</w:t>
            </w:r>
            <w:r>
              <w:rPr>
                <w:rFonts w:hint="eastAsia" w:ascii="宋体" w:hAnsi="宋体"/>
                <w:sz w:val="24"/>
                <w:highlight w:val="none"/>
                <w:lang w:val="en-US" w:eastAsia="zh-CN"/>
              </w:rPr>
              <w:t xml:space="preserve">6</w:t>
            </w:r>
            <w:r>
              <w:rPr>
                <w:rFonts w:hint="eastAsia" w:ascii="宋体" w:hAnsi="宋体"/>
                <w:sz w:val="24"/>
                <w:highlight w:val="none"/>
              </w:rPr>
              <w:t xml:space="preserve">分。</w:t>
            </w:r>
            <w:r>
              <w:rPr>
                <w:rFonts w:hint="eastAsia"/>
                <w:sz w:val="21"/>
                <w:szCs w:val="24"/>
                <w:highlight w:val="none"/>
                <w:lang w:val="en-US" w:eastAsia="zh-CN" w:bidi="ar-SA"/>
              </w:rPr>
            </w:r>
            <w:r/>
          </w:p>
        </w:tc>
        <w:tc>
          <w:tcPr>
            <w:tcW w:w="1255" w:type="dxa"/>
            <w:vAlign w:val="center"/>
            <w:textDirection w:val="lrTb"/>
            <w:noWrap w:val="false"/>
          </w:tcPr>
          <w:p>
            <w:pPr>
              <w:pStyle w:val="1072"/>
              <w:ind w:left="-38"/>
              <w:rPr>
                <w:rFonts w:hint="eastAsia" w:ascii="宋体" w:hAnsi="宋体"/>
                <w:sz w:val="24"/>
                <w:szCs w:val="24"/>
                <w:highlight w:val="none"/>
                <w:lang w:val="en-US" w:eastAsia="zh-CN" w:bidi="ar-SA"/>
              </w:rPr>
            </w:pPr>
            <w:r>
              <w:rPr>
                <w:rFonts w:hint="eastAsia" w:ascii="宋体" w:hAnsi="宋体"/>
                <w:sz w:val="24"/>
                <w:highlight w:val="none"/>
              </w:rPr>
              <w:t xml:space="preserve">投标文件中提供相应证书扫描件</w:t>
            </w:r>
            <w:r>
              <w:rPr>
                <w:rFonts w:hint="eastAsia" w:ascii="宋体" w:hAnsi="宋体"/>
                <w:sz w:val="24"/>
                <w:highlight w:val="none"/>
                <w:lang w:val="en-US" w:eastAsia="zh-CN"/>
              </w:rPr>
              <w:t xml:space="preserve">和投标人为其缴纳的2026年9月-11月中任意1个月的社保记录；缺项不得分。</w:t>
            </w:r>
            <w:r>
              <w:rPr>
                <w:rFonts w:hint="eastAsia" w:ascii="宋体" w:hAnsi="宋体"/>
                <w:sz w:val="24"/>
                <w:szCs w:val="24"/>
                <w:highlight w:val="none"/>
                <w:lang w:val="en-US" w:eastAsia="zh-CN" w:bidi="ar-SA"/>
              </w:rPr>
            </w:r>
            <w:r/>
          </w:p>
        </w:tc>
      </w:tr>
      <w:tr>
        <w:trPr/>
        <w:tc>
          <w:tcPr>
            <w:tcW w:w="437" w:type="dxa"/>
            <w:vAlign w:val="center"/>
            <w:textDirection w:val="lrTb"/>
            <w:noWrap w:val="false"/>
          </w:tcPr>
          <w:p>
            <w:pPr>
              <w:pStyle w:val="1072"/>
              <w:ind w:firstLine="28"/>
              <w:jc w:val="center"/>
              <w:rPr>
                <w:rFonts w:ascii="宋体" w:hAnsi="宋体"/>
                <w:sz w:val="24"/>
                <w:highlight w:val="none"/>
              </w:rPr>
            </w:pPr>
            <w:r>
              <w:rPr>
                <w:rFonts w:hint="eastAsia" w:ascii="宋体" w:hAnsi="宋体"/>
                <w:sz w:val="24"/>
                <w:highlight w:val="none"/>
              </w:rPr>
              <w:t xml:space="preserve">3.5</w:t>
            </w:r>
            <w:r>
              <w:rPr>
                <w:rFonts w:ascii="宋体" w:hAnsi="宋体"/>
                <w:sz w:val="24"/>
                <w:highlight w:val="none"/>
              </w:rPr>
            </w:r>
            <w:r/>
          </w:p>
        </w:tc>
        <w:tc>
          <w:tcPr>
            <w:tcW w:w="467" w:type="dxa"/>
            <w:vAlign w:val="center"/>
            <w:textDirection w:val="lrTb"/>
            <w:noWrap w:val="false"/>
          </w:tcPr>
          <w:p>
            <w:pPr>
              <w:pStyle w:val="1072"/>
              <w:ind w:firstLine="28"/>
              <w:jc w:val="center"/>
              <w:rPr>
                <w:rFonts w:hint="eastAsia" w:ascii="宋体" w:hAnsi="宋体"/>
                <w:sz w:val="24"/>
                <w:szCs w:val="24"/>
                <w:highlight w:val="none"/>
                <w:lang w:val="en-US" w:eastAsia="zh-CN" w:bidi="ar-SA"/>
              </w:rPr>
            </w:pPr>
            <w:r>
              <w:rPr>
                <w:rFonts w:hint="eastAsia" w:ascii="宋体" w:hAnsi="宋体"/>
                <w:sz w:val="24"/>
                <w:highlight w:val="none"/>
              </w:rPr>
              <w:t xml:space="preserve">消控人员（除</w:t>
            </w:r>
            <w:r>
              <w:rPr>
                <w:rFonts w:hint="eastAsia" w:ascii="宋体" w:hAnsi="宋体" w:cs="宋体"/>
                <w:sz w:val="24"/>
                <w:highlight w:val="none"/>
              </w:rPr>
              <w:t xml:space="preserve">消控班长</w:t>
            </w:r>
            <w:r>
              <w:rPr>
                <w:rFonts w:hint="eastAsia" w:ascii="宋体" w:hAnsi="宋体"/>
                <w:sz w:val="24"/>
                <w:highlight w:val="none"/>
              </w:rPr>
              <w:t xml:space="preserve">）</w:t>
            </w:r>
            <w:r>
              <w:rPr>
                <w:rFonts w:hint="eastAsia" w:ascii="宋体" w:hAnsi="宋体"/>
                <w:sz w:val="24"/>
                <w:szCs w:val="24"/>
                <w:highlight w:val="none"/>
                <w:lang w:val="en-US" w:eastAsia="zh-CN" w:bidi="ar-SA"/>
              </w:rPr>
            </w:r>
            <w:r/>
          </w:p>
        </w:tc>
        <w:tc>
          <w:tcPr>
            <w:tcW w:w="373" w:type="dxa"/>
            <w:vAlign w:val="center"/>
            <w:textDirection w:val="lrTb"/>
            <w:noWrap w:val="false"/>
          </w:tcPr>
          <w:p>
            <w:pPr>
              <w:pStyle w:val="1072"/>
              <w:ind w:firstLine="28"/>
              <w:jc w:val="center"/>
              <w:rPr>
                <w:rFonts w:ascii="宋体" w:hAnsi="宋体" w:eastAsia="宋体"/>
                <w:sz w:val="24"/>
                <w:szCs w:val="24"/>
                <w:highlight w:val="none"/>
                <w:lang w:val="en-US" w:eastAsia="zh-CN" w:bidi="ar-SA"/>
              </w:rPr>
            </w:pPr>
            <w:r>
              <w:rPr>
                <w:rFonts w:hint="eastAsia" w:ascii="宋体" w:hAnsi="宋体"/>
                <w:sz w:val="24"/>
                <w:highlight w:val="none"/>
                <w:lang w:val="en-US" w:eastAsia="zh-CN"/>
              </w:rPr>
              <w:t xml:space="preserve">10</w:t>
            </w:r>
            <w:r>
              <w:rPr>
                <w:rFonts w:ascii="宋体" w:hAnsi="宋体" w:eastAsia="宋体"/>
                <w:sz w:val="24"/>
                <w:szCs w:val="24"/>
                <w:highlight w:val="none"/>
                <w:lang w:val="en-US" w:eastAsia="zh-CN" w:bidi="ar-SA"/>
              </w:rPr>
            </w:r>
            <w:r/>
          </w:p>
        </w:tc>
        <w:tc>
          <w:tcPr>
            <w:tcW w:w="2465" w:type="dxa"/>
            <w:vAlign w:val="center"/>
            <w:textDirection w:val="lrTb"/>
            <w:noWrap w:val="false"/>
          </w:tcPr>
          <w:p>
            <w:pPr>
              <w:pStyle w:val="1072"/>
              <w:rPr>
                <w:rFonts w:hint="eastAsia" w:ascii="宋体" w:hAnsi="宋体"/>
                <w:sz w:val="24"/>
                <w:highlight w:val="none"/>
                <w:lang w:eastAsia="zh-CN"/>
              </w:rPr>
            </w:pPr>
            <w:r>
              <w:rPr>
                <w:rFonts w:hint="eastAsia" w:ascii="宋体" w:hAnsi="宋体"/>
                <w:sz w:val="24"/>
                <w:highlight w:val="none"/>
              </w:rPr>
              <w:t xml:space="preserve">拟派消控人员</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不含消控班长</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1072"/>
              <w:rPr>
                <w:rFonts w:hint="eastAsia" w:ascii="宋体" w:hAnsi="宋体"/>
                <w:sz w:val="24"/>
                <w:szCs w:val="24"/>
                <w:highlight w:val="none"/>
                <w:lang w:val="en-US" w:eastAsia="zh-CN" w:bidi="ar-SA"/>
              </w:rPr>
            </w:pPr>
            <w:r>
              <w:rPr>
                <w:rFonts w:hint="eastAsia" w:ascii="宋体" w:hAnsi="宋体"/>
                <w:sz w:val="24"/>
                <w:highlight w:val="none"/>
                <w:lang w:val="en-US" w:eastAsia="zh-CN"/>
              </w:rPr>
              <w:t xml:space="preserve">持有</w:t>
            </w:r>
            <w:r>
              <w:rPr>
                <w:rFonts w:hint="eastAsia" w:ascii="宋体" w:hAnsi="宋体"/>
                <w:sz w:val="24"/>
                <w:highlight w:val="none"/>
              </w:rPr>
              <w:t xml:space="preserve">中级（</w:t>
            </w:r>
            <w:r>
              <w:rPr>
                <w:rFonts w:hint="eastAsia" w:ascii="宋体" w:hAnsi="宋体" w:cs="宋体"/>
                <w:sz w:val="24"/>
                <w:highlight w:val="none"/>
              </w:rPr>
              <w:t xml:space="preserve">四级</w:t>
            </w:r>
            <w:r>
              <w:rPr>
                <w:rFonts w:hint="eastAsia" w:ascii="宋体" w:hAnsi="宋体"/>
                <w:sz w:val="24"/>
                <w:highlight w:val="none"/>
              </w:rPr>
              <w:t xml:space="preserve">）</w:t>
            </w:r>
            <w:r>
              <w:rPr>
                <w:rFonts w:hint="eastAsia" w:ascii="宋体" w:hAnsi="宋体" w:cs="宋体"/>
                <w:sz w:val="24"/>
                <w:highlight w:val="none"/>
              </w:rPr>
              <w:t xml:space="preserve">及以上消防设施操作员证书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每有1人得2分</w:t>
            </w:r>
            <w:r>
              <w:rPr>
                <w:rFonts w:hint="eastAsia" w:ascii="宋体" w:hAnsi="宋体"/>
                <w:sz w:val="24"/>
                <w:highlight w:val="none"/>
                <w:lang w:val="en-US" w:eastAsia="zh-CN"/>
              </w:rPr>
              <w:t xml:space="preserve">，最高得10分。</w:t>
            </w:r>
            <w:r>
              <w:rPr>
                <w:rFonts w:hint="eastAsia" w:ascii="宋体" w:hAnsi="宋体"/>
                <w:sz w:val="24"/>
                <w:szCs w:val="24"/>
                <w:highlight w:val="none"/>
                <w:lang w:val="en-US" w:eastAsia="zh-CN" w:bidi="ar-SA"/>
              </w:rPr>
            </w:r>
            <w:r/>
          </w:p>
        </w:tc>
        <w:tc>
          <w:tcPr>
            <w:tcW w:w="1255" w:type="dxa"/>
            <w:vAlign w:val="center"/>
            <w:textDirection w:val="lrTb"/>
            <w:noWrap w:val="false"/>
          </w:tcPr>
          <w:p>
            <w:pPr>
              <w:pStyle w:val="1072"/>
              <w:ind w:left="-38"/>
              <w:rPr>
                <w:rFonts w:hint="eastAsia" w:ascii="宋体" w:hAnsi="宋体"/>
                <w:sz w:val="24"/>
                <w:szCs w:val="24"/>
                <w:highlight w:val="none"/>
                <w:lang w:val="en-US" w:eastAsia="zh-CN" w:bidi="ar-SA"/>
              </w:rPr>
            </w:pPr>
            <w:r>
              <w:rPr>
                <w:rFonts w:hint="eastAsia" w:ascii="宋体" w:hAnsi="宋体"/>
                <w:sz w:val="24"/>
                <w:highlight w:val="none"/>
              </w:rPr>
              <w:t xml:space="preserve">投标文件中提供</w:t>
            </w:r>
            <w:r>
              <w:rPr>
                <w:rFonts w:hint="eastAsia" w:ascii="宋体" w:hAnsi="宋体"/>
                <w:sz w:val="24"/>
                <w:highlight w:val="none"/>
                <w:lang w:val="en-US" w:eastAsia="zh-CN"/>
              </w:rPr>
              <w:t xml:space="preserve">人员</w:t>
            </w:r>
            <w:r>
              <w:rPr>
                <w:rFonts w:hint="eastAsia" w:ascii="宋体" w:hAnsi="宋体"/>
                <w:sz w:val="24"/>
                <w:highlight w:val="none"/>
              </w:rPr>
              <w:t xml:space="preserve">相应证书扫描件</w:t>
            </w:r>
            <w:r>
              <w:rPr>
                <w:rFonts w:hint="eastAsia" w:ascii="宋体" w:hAnsi="宋体"/>
                <w:sz w:val="24"/>
                <w:highlight w:val="none"/>
                <w:lang w:val="en-US" w:eastAsia="zh-CN"/>
              </w:rPr>
              <w:t xml:space="preserve">和投标人为其缴纳的2026年9月-11月中任意1个月的社保记录；缺项不得分。</w:t>
            </w:r>
            <w:r>
              <w:rPr>
                <w:rFonts w:hint="eastAsia" w:ascii="宋体" w:hAnsi="宋体"/>
                <w:sz w:val="24"/>
                <w:szCs w:val="24"/>
                <w:highlight w:val="none"/>
                <w:lang w:val="en-US" w:eastAsia="zh-CN" w:bidi="ar-SA"/>
              </w:rPr>
            </w:r>
            <w:r/>
          </w:p>
        </w:tc>
      </w:tr>
      <w:tr>
        <w:trPr/>
        <w:tc>
          <w:tcPr>
            <w:gridSpan w:val="2"/>
            <w:tcW w:w="1679" w:type="dxa"/>
            <w:vAlign w:val="center"/>
            <w:textDirection w:val="lrTb"/>
            <w:noWrap w:val="false"/>
          </w:tcPr>
          <w:p>
            <w:pPr>
              <w:pStyle w:val="1072"/>
              <w:ind w:firstLine="28"/>
              <w:jc w:val="center"/>
              <w:rPr>
                <w:rFonts w:ascii="宋体" w:hAnsi="宋体"/>
                <w:sz w:val="24"/>
                <w:highlight w:val="none"/>
              </w:rPr>
            </w:pPr>
            <w:r>
              <w:rPr>
                <w:rFonts w:ascii="宋体" w:hAnsi="宋体"/>
                <w:sz w:val="24"/>
                <w:highlight w:val="none"/>
              </w:rPr>
              <w:t xml:space="preserve">合计</w:t>
            </w:r>
            <w:r>
              <w:rPr>
                <w:rFonts w:ascii="宋体" w:hAnsi="宋体"/>
                <w:sz w:val="24"/>
                <w:highlight w:val="none"/>
              </w:rPr>
            </w:r>
            <w:r/>
          </w:p>
        </w:tc>
        <w:tc>
          <w:tcPr>
            <w:tcW w:w="373" w:type="dxa"/>
            <w:vAlign w:val="center"/>
            <w:textDirection w:val="lrTb"/>
            <w:noWrap w:val="false"/>
          </w:tcPr>
          <w:p>
            <w:pPr>
              <w:pStyle w:val="1072"/>
              <w:ind w:firstLine="28"/>
              <w:jc w:val="center"/>
              <w:rPr>
                <w:rFonts w:ascii="宋体" w:hAnsi="宋体"/>
                <w:sz w:val="24"/>
                <w:highlight w:val="none"/>
              </w:rPr>
            </w:pPr>
            <w:r>
              <w:rPr>
                <w:rFonts w:ascii="宋体" w:hAnsi="宋体"/>
                <w:sz w:val="24"/>
                <w:highlight w:val="none"/>
              </w:rPr>
              <w:t xml:space="preserve">100</w:t>
            </w:r>
            <w:r>
              <w:rPr>
                <w:rFonts w:ascii="宋体" w:hAnsi="宋体"/>
                <w:sz w:val="24"/>
                <w:highlight w:val="none"/>
              </w:rPr>
            </w:r>
            <w:r/>
          </w:p>
        </w:tc>
        <w:tc>
          <w:tcPr>
            <w:gridSpan w:val="2"/>
            <w:tcW w:w="6905" w:type="dxa"/>
            <w:vAlign w:val="center"/>
            <w:textDirection w:val="lrTb"/>
            <w:noWrap w:val="false"/>
          </w:tcPr>
          <w:p>
            <w:pPr>
              <w:pStyle w:val="1072"/>
              <w:rPr>
                <w:rFonts w:ascii="宋体" w:hAnsi="宋体"/>
                <w:sz w:val="24"/>
                <w:highlight w:val="none"/>
              </w:rPr>
            </w:pPr>
            <w:r>
              <w:rPr>
                <w:rFonts w:ascii="宋体" w:hAnsi="宋体"/>
                <w:sz w:val="24"/>
                <w:highlight w:val="none"/>
              </w:rPr>
            </w:r>
            <w:r/>
          </w:p>
        </w:tc>
      </w:tr>
    </w:tbl>
    <w:p>
      <w:pPr>
        <w:pStyle w:val="1072"/>
        <w:jc w:val="center"/>
        <w:spacing w:line="360" w:lineRule="auto"/>
        <w:rPr>
          <w:rFonts w:ascii="宋体" w:hAnsi="宋体"/>
          <w:b/>
          <w:sz w:val="36"/>
          <w:szCs w:val="36"/>
          <w:highlight w:val="none"/>
        </w:rPr>
        <w:outlineLvl w:val="0"/>
      </w:pPr>
      <w:r>
        <w:rPr>
          <w:rFonts w:ascii="宋体" w:hAnsi="宋体"/>
          <w:b/>
          <w:sz w:val="36"/>
          <w:szCs w:val="36"/>
          <w:highlight w:val="none"/>
        </w:rPr>
        <w:br w:type="page" w:clear="all"/>
      </w:r>
      <w:bookmarkStart w:id="815" w:name="_Toc99301424"/>
      <w:r>
        <w:rPr>
          <w:rFonts w:ascii="宋体" w:hAnsi="宋体"/>
          <w:b/>
          <w:sz w:val="36"/>
          <w:szCs w:val="36"/>
          <w:highlight w:val="none"/>
        </w:rPr>
        <w:t xml:space="preserve">第五章   采购需求</w:t>
      </w:r>
      <w:bookmarkEnd w:id="815"/>
      <w:r>
        <w:rPr>
          <w:rFonts w:ascii="宋体" w:hAnsi="宋体"/>
          <w:b/>
          <w:sz w:val="36"/>
          <w:szCs w:val="36"/>
          <w:highlight w:val="none"/>
        </w:rPr>
      </w:r>
      <w:r/>
    </w:p>
    <w:p>
      <w:pPr>
        <w:pStyle w:val="1072"/>
        <w:contextualSpacing/>
        <w:jc w:val="center"/>
        <w:spacing w:line="360" w:lineRule="auto"/>
        <w:rPr>
          <w:rFonts w:ascii="宋体" w:hAnsi="宋体"/>
          <w:sz w:val="24"/>
          <w:highlight w:val="none"/>
        </w:rPr>
      </w:pPr>
      <w:r>
        <w:rPr>
          <w:rFonts w:hint="eastAsia" w:ascii="宋体" w:hAnsi="宋体" w:cs="宋体"/>
          <w:b/>
          <w:bCs/>
          <w:i/>
          <w:iCs/>
          <w:color w:val="000000"/>
          <w:sz w:val="28"/>
          <w:szCs w:val="22"/>
          <w:highlight w:val="none"/>
        </w:rPr>
        <w:t xml:space="preserve">（标注“★”项为实质性要求，必须响应并满足，否则投标无效）</w:t>
      </w:r>
      <w:r>
        <w:rPr>
          <w:rFonts w:ascii="宋体" w:hAnsi="宋体"/>
          <w:sz w:val="24"/>
          <w:highlight w:val="none"/>
        </w:rPr>
      </w:r>
      <w:r/>
    </w:p>
    <w:p>
      <w:pPr>
        <w:pStyle w:val="1167"/>
        <w:contextualSpacing/>
        <w:ind w:left="-2" w:firstLine="482"/>
        <w:spacing w:line="360" w:lineRule="auto"/>
        <w:tabs>
          <w:tab w:val="left" w:pos="567" w:leader="none"/>
        </w:tabs>
        <w:rPr>
          <w:rFonts w:ascii="宋体" w:hAnsi="宋体"/>
          <w:b/>
          <w:sz w:val="24"/>
          <w:szCs w:val="24"/>
          <w:highlight w:val="none"/>
        </w:rPr>
      </w:pPr>
      <w:r>
        <w:rPr>
          <w:rFonts w:ascii="宋体" w:hAnsi="宋体"/>
          <w:b/>
          <w:sz w:val="24"/>
          <w:szCs w:val="24"/>
          <w:highlight w:val="none"/>
        </w:rPr>
        <w:t xml:space="preserve">一、采购标的</w:t>
      </w:r>
      <w:r>
        <w:rPr>
          <w:rFonts w:ascii="宋体" w:hAnsi="宋体"/>
          <w:b/>
          <w:sz w:val="24"/>
          <w:szCs w:val="24"/>
          <w:highlight w:val="none"/>
        </w:rPr>
      </w:r>
      <w:r/>
    </w:p>
    <w:p>
      <w:pPr>
        <w:pStyle w:val="1072"/>
        <w:contextualSpacing/>
        <w:ind w:left="-2" w:firstLine="482"/>
        <w:spacing w:line="360" w:lineRule="auto"/>
        <w:tabs>
          <w:tab w:val="left" w:pos="567" w:leader="none"/>
        </w:tabs>
        <w:rPr>
          <w:rFonts w:ascii="宋体" w:hAnsi="宋体"/>
          <w:bCs/>
          <w:sz w:val="24"/>
          <w:highlight w:val="none"/>
        </w:rPr>
      </w:pPr>
      <w:r>
        <w:rPr>
          <w:rFonts w:hint="eastAsia" w:ascii="宋体" w:hAnsi="宋体"/>
          <w:b/>
          <w:sz w:val="24"/>
          <w:highlight w:val="none"/>
        </w:rPr>
        <w:t xml:space="preserve">（一）基本情况</w:t>
      </w:r>
      <w:r>
        <w:rPr>
          <w:rFonts w:ascii="宋体" w:hAnsi="宋体"/>
          <w:bCs/>
          <w:sz w:val="24"/>
          <w:highlight w:val="none"/>
        </w:rPr>
      </w:r>
      <w:r/>
    </w:p>
    <w:p>
      <w:pPr>
        <w:pStyle w:val="1072"/>
        <w:contextualSpacing/>
        <w:ind w:left="-2" w:firstLine="480"/>
        <w:spacing w:line="360" w:lineRule="auto"/>
        <w:tabs>
          <w:tab w:val="left" w:pos="567" w:leader="none"/>
        </w:tabs>
        <w:rPr>
          <w:rFonts w:ascii="宋体" w:hAnsi="宋体"/>
          <w:bCs/>
          <w:sz w:val="24"/>
          <w:highlight w:val="none"/>
        </w:rPr>
      </w:pPr>
      <w:r>
        <w:rPr>
          <w:rFonts w:hint="eastAsia" w:ascii="宋体" w:hAnsi="宋体"/>
          <w:bCs/>
          <w:sz w:val="24"/>
          <w:highlight w:val="none"/>
        </w:rPr>
        <w:t xml:space="preserve">常州市肿瘤（第四人民）医</w:t>
      </w:r>
      <w:r>
        <w:rPr>
          <w:rFonts w:hint="eastAsia" w:ascii="宋体" w:hAnsi="宋体"/>
          <w:bCs/>
          <w:sz w:val="24"/>
          <w:highlight w:val="none"/>
        </w:rPr>
        <w:t xml:space="preserve">院位于新北区红河路68号，是一所集医、教、研为一体的三级肿瘤专科医院。医院占地126亩，建筑面积近10万平方米，共有16个病区，44个专业科室，开放床位769张，拥有市级临床重点学科1个、市级临床重点专科7个、市级临床重点专科建设单位1个，市级重点护理团队1个。自2005年起，医院先后成为苏州大学、徐州医科大学、东南大学生物科学与医学工程学院教学医院、苏州大学附属肿瘤医院硕博士培养点。成立苏大研究生工作站、常州市肿瘤研究所，为南京医科大学常州医学中心协作单位、国家药物临床试验机构、市级肿瘤专科护士培训基地。</w:t>
      </w:r>
      <w:r>
        <w:rPr>
          <w:rFonts w:ascii="宋体" w:hAnsi="宋体"/>
          <w:bCs/>
          <w:sz w:val="24"/>
          <w:highlight w:val="none"/>
        </w:rPr>
      </w:r>
      <w:r/>
    </w:p>
    <w:p>
      <w:pPr>
        <w:pStyle w:val="1167"/>
        <w:contextualSpacing/>
        <w:ind w:left="-2" w:firstLine="482"/>
        <w:spacing w:line="360" w:lineRule="auto"/>
        <w:tabs>
          <w:tab w:val="left" w:pos="567" w:leader="none"/>
        </w:tabs>
        <w:rPr>
          <w:rFonts w:ascii="宋体" w:hAnsi="宋体"/>
          <w:b/>
          <w:sz w:val="24"/>
          <w:szCs w:val="24"/>
          <w:highlight w:val="none"/>
        </w:rPr>
      </w:pPr>
      <w:r>
        <w:rPr>
          <w:rFonts w:ascii="宋体" w:hAnsi="宋体"/>
          <w:b/>
          <w:sz w:val="24"/>
          <w:szCs w:val="24"/>
          <w:highlight w:val="none"/>
        </w:rPr>
        <w:t xml:space="preserve">（二）服务内容</w:t>
      </w:r>
      <w:r>
        <w:rPr>
          <w:rFonts w:ascii="宋体" w:hAnsi="宋体"/>
          <w:b/>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常州市肿瘤医院院区的保安工作。其内容包含：</w:t>
      </w:r>
      <w:r>
        <w:rPr>
          <w:rFonts w:hint="eastAsia" w:ascii="宋体" w:hAnsi="宋体"/>
          <w:bCs/>
          <w:sz w:val="24"/>
          <w:szCs w:val="24"/>
          <w:highlight w:val="none"/>
        </w:rPr>
        <w:t xml:space="preserve">院区公共秩序、治安管理；医患纠纷应急处理及安全保卫；消控监控值班服务、协助消防安全巡查；安全防护巡查；停车管理等服务。</w:t>
      </w:r>
      <w:r>
        <w:rPr>
          <w:rFonts w:ascii="宋体" w:hAnsi="宋体"/>
          <w:bCs/>
          <w:sz w:val="24"/>
          <w:szCs w:val="24"/>
          <w:highlight w:val="none"/>
        </w:rPr>
      </w:r>
      <w:r/>
    </w:p>
    <w:p>
      <w:pPr>
        <w:pStyle w:val="1167"/>
        <w:contextualSpacing/>
        <w:ind w:left="-2" w:firstLine="482"/>
        <w:spacing w:line="360" w:lineRule="auto"/>
        <w:tabs>
          <w:tab w:val="left" w:pos="567" w:leader="none"/>
        </w:tabs>
        <w:rPr>
          <w:rFonts w:hint="eastAsia" w:ascii="宋体" w:hAnsi="宋体"/>
          <w:b/>
          <w:sz w:val="24"/>
          <w:szCs w:val="24"/>
          <w:highlight w:val="none"/>
        </w:rPr>
      </w:pPr>
      <w:r>
        <w:rPr>
          <w:rFonts w:ascii="宋体" w:hAnsi="宋体"/>
          <w:b/>
          <w:sz w:val="24"/>
          <w:szCs w:val="24"/>
          <w:highlight w:val="none"/>
        </w:rPr>
        <w:t xml:space="preserve">二、</w:t>
      </w:r>
      <w:r>
        <w:rPr>
          <w:rFonts w:hint="eastAsia" w:ascii="宋体" w:hAnsi="宋体"/>
          <w:b/>
          <w:sz w:val="24"/>
          <w:szCs w:val="24"/>
          <w:highlight w:val="none"/>
        </w:rPr>
        <w:t xml:space="preserve">人员配备</w:t>
      </w:r>
      <w:r>
        <w:rPr>
          <w:rFonts w:hint="eastAsia" w:ascii="宋体" w:hAnsi="宋体"/>
          <w:b/>
          <w:sz w:val="24"/>
          <w:szCs w:val="24"/>
          <w:highlight w:val="none"/>
        </w:rPr>
      </w:r>
      <w:r/>
    </w:p>
    <w:p>
      <w:pPr>
        <w:pStyle w:val="1072"/>
        <w:contextualSpacing/>
        <w:ind w:left="-2" w:firstLine="480"/>
        <w:spacing w:line="360" w:lineRule="auto"/>
        <w:tabs>
          <w:tab w:val="left" w:pos="567" w:leader="none"/>
        </w:tabs>
        <w:rPr>
          <w:rFonts w:ascii="宋体" w:hAnsi="宋体"/>
          <w:b/>
          <w:i/>
          <w:sz w:val="24"/>
          <w:highlight w:val="none"/>
        </w:rPr>
      </w:pPr>
      <w:r>
        <w:rPr>
          <w:rFonts w:hint="eastAsia" w:ascii="宋体" w:hAnsi="宋体" w:cs="宋体"/>
          <w:color w:val="000000"/>
          <w:sz w:val="24"/>
          <w:highlight w:val="none"/>
        </w:rPr>
        <w:t xml:space="preserve">★</w:t>
      </w:r>
      <w:r>
        <w:rPr>
          <w:rFonts w:hint="eastAsia" w:ascii="宋体" w:hAnsi="宋体"/>
          <w:b/>
          <w:sz w:val="24"/>
          <w:highlight w:val="none"/>
        </w:rPr>
        <w:t xml:space="preserve">1、保安人员要求说明：院区共配置保安人员32人，消控人员6人，停车场人员10人，实行24小时值守，具体的保安岗位由医院与中标单位协商确定，具体要求如下（本项目为实质性要求，必须满足）：</w:t>
      </w:r>
      <w:r>
        <w:rPr>
          <w:rFonts w:ascii="宋体" w:hAnsi="宋体"/>
          <w:b/>
          <w:i/>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7"/>
        <w:gridCol w:w="1333"/>
        <w:gridCol w:w="6324"/>
      </w:tblGrid>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岗位</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人数</w:t>
            </w:r>
            <w:r>
              <w:rPr>
                <w:rFonts w:hint="eastAsia" w:ascii="宋体" w:hAnsi="宋体" w:cs="宋体"/>
                <w:sz w:val="24"/>
                <w:highlight w:val="none"/>
              </w:rPr>
            </w:r>
            <w:r/>
          </w:p>
        </w:tc>
        <w:tc>
          <w:tcPr>
            <w:tcW w:w="3405"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人员要求</w:t>
            </w:r>
            <w:r>
              <w:rPr>
                <w:rFonts w:hint="eastAsia"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保安队长</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hint="eastAsia" w:ascii="宋体" w:hAnsi="宋体" w:cs="宋体"/>
                <w:sz w:val="24"/>
                <w:highlight w:val="none"/>
              </w:rPr>
            </w:pPr>
            <w:r>
              <w:rPr>
                <w:rFonts w:hint="eastAsia" w:ascii="宋体" w:hAnsi="宋体" w:cs="宋体"/>
                <w:sz w:val="24"/>
                <w:highlight w:val="none"/>
              </w:rPr>
              <w:t xml:space="preserve">男性，年龄在45周岁以下</w:t>
            </w:r>
            <w:r>
              <w:rPr>
                <w:rFonts w:hint="eastAsia" w:ascii="宋体" w:hAnsi="宋体" w:cs="宋体"/>
                <w:sz w:val="24"/>
                <w:highlight w:val="none"/>
                <w:lang w:eastAsia="zh-CN"/>
              </w:rPr>
              <w:t xml:space="preserve">；</w:t>
            </w:r>
            <w:r>
              <w:rPr>
                <w:rFonts w:hint="eastAsia" w:ascii="宋体" w:hAnsi="宋体" w:cs="宋体"/>
                <w:sz w:val="24"/>
                <w:highlight w:val="none"/>
              </w:rPr>
              <w:t xml:space="preserve">3年以上相应岗位实际工作经验。</w:t>
            </w:r>
            <w:r>
              <w:rPr>
                <w:rFonts w:hint="eastAsia"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保安班长</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hint="eastAsia" w:ascii="宋体" w:hAnsi="宋体" w:cs="宋体"/>
                <w:sz w:val="24"/>
                <w:highlight w:val="none"/>
              </w:rPr>
            </w:pPr>
            <w:r>
              <w:rPr>
                <w:rFonts w:hint="eastAsia" w:ascii="宋体" w:hAnsi="宋体" w:cs="宋体"/>
                <w:sz w:val="24"/>
                <w:highlight w:val="none"/>
              </w:rPr>
              <w:t xml:space="preserve">男性，原则上55周岁以下</w:t>
            </w:r>
            <w:r>
              <w:rPr>
                <w:rFonts w:hint="eastAsia" w:ascii="宋体" w:hAnsi="宋体" w:cs="宋体"/>
                <w:sz w:val="24"/>
                <w:highlight w:val="none"/>
                <w:lang w:eastAsia="zh-CN"/>
              </w:rPr>
              <w:t xml:space="preserve">；</w:t>
            </w:r>
            <w:r>
              <w:rPr>
                <w:rFonts w:hint="eastAsia" w:ascii="宋体" w:hAnsi="宋体" w:cs="宋体"/>
                <w:sz w:val="24"/>
                <w:highlight w:val="none"/>
              </w:rPr>
              <w:t xml:space="preserve">有1年以上的相应岗位工作经验。</w:t>
            </w:r>
            <w:r>
              <w:rPr>
                <w:rFonts w:hint="eastAsia"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消控班长</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ascii="宋体" w:hAnsi="宋体" w:cs="宋体"/>
                <w:sz w:val="24"/>
                <w:highlight w:val="none"/>
              </w:rPr>
            </w:pPr>
            <w:r>
              <w:rPr>
                <w:rFonts w:hint="eastAsia" w:ascii="宋体" w:hAnsi="宋体" w:cs="宋体"/>
                <w:sz w:val="24"/>
                <w:highlight w:val="none"/>
              </w:rPr>
              <w:t xml:space="preserve">男女不限，男性要求55周岁以下，女性要求50周岁以下</w:t>
            </w:r>
            <w:r>
              <w:rPr>
                <w:rFonts w:hint="eastAsia" w:ascii="宋体" w:hAnsi="宋体" w:cs="宋体"/>
                <w:sz w:val="24"/>
                <w:highlight w:val="none"/>
                <w:lang w:eastAsia="zh-CN"/>
              </w:rPr>
              <w:t xml:space="preserve">；</w:t>
            </w:r>
            <w:r>
              <w:rPr>
                <w:rFonts w:hint="eastAsia" w:ascii="宋体" w:hAnsi="宋体" w:cs="宋体"/>
                <w:sz w:val="24"/>
                <w:highlight w:val="none"/>
              </w:rPr>
              <w:t xml:space="preserve">持有</w:t>
            </w:r>
            <w:r>
              <w:rPr>
                <w:rFonts w:hint="eastAsia" w:ascii="宋体" w:hAnsi="宋体"/>
                <w:sz w:val="24"/>
                <w:highlight w:val="none"/>
              </w:rPr>
              <w:t xml:space="preserve">中级（</w:t>
            </w:r>
            <w:r>
              <w:rPr>
                <w:rFonts w:hint="eastAsia" w:ascii="宋体" w:hAnsi="宋体" w:cs="宋体"/>
                <w:sz w:val="24"/>
                <w:highlight w:val="none"/>
              </w:rPr>
              <w:t xml:space="preserve">四级</w:t>
            </w:r>
            <w:r>
              <w:rPr>
                <w:rFonts w:hint="eastAsia" w:ascii="宋体" w:hAnsi="宋体"/>
                <w:sz w:val="24"/>
                <w:highlight w:val="none"/>
              </w:rPr>
              <w:t xml:space="preserve">）</w:t>
            </w:r>
            <w:r>
              <w:rPr>
                <w:rFonts w:hint="eastAsia" w:ascii="宋体" w:hAnsi="宋体" w:cs="宋体"/>
                <w:sz w:val="24"/>
                <w:highlight w:val="none"/>
              </w:rPr>
              <w:t xml:space="preserve">及以上消防设施操作员证书，有1年以</w:t>
            </w:r>
            <w:r>
              <w:rPr>
                <w:rFonts w:ascii="宋体" w:hAnsi="宋体" w:cs="宋体"/>
                <w:sz w:val="24"/>
                <w:highlight w:val="none"/>
              </w:rPr>
            </w:r>
            <w:r/>
          </w:p>
          <w:p>
            <w:pPr>
              <w:pStyle w:val="1072"/>
              <w:jc w:val="left"/>
              <w:spacing w:line="400" w:lineRule="exact"/>
              <w:rPr>
                <w:rFonts w:hint="eastAsia" w:ascii="宋体" w:hAnsi="宋体" w:cs="宋体"/>
                <w:sz w:val="24"/>
                <w:highlight w:val="none"/>
              </w:rPr>
            </w:pPr>
            <w:r>
              <w:rPr>
                <w:rFonts w:hint="eastAsia" w:ascii="宋体" w:hAnsi="宋体" w:cs="宋体"/>
                <w:sz w:val="24"/>
                <w:highlight w:val="none"/>
              </w:rPr>
              <w:t xml:space="preserve">上的相应岗位工作经验。</w:t>
            </w:r>
            <w:r>
              <w:rPr>
                <w:rFonts w:hint="eastAsia" w:ascii="宋体" w:hAnsi="宋体" w:cs="宋体"/>
                <w:sz w:val="24"/>
                <w:highlight w:val="none"/>
              </w:rPr>
            </w:r>
            <w:r/>
          </w:p>
          <w:p>
            <w:pPr>
              <w:pStyle w:val="1084"/>
              <w:ind w:left="0" w:firstLine="0"/>
              <w:rPr>
                <w:rFonts w:eastAsia="宋体"/>
                <w:highlight w:val="none"/>
                <w:lang w:val="en-US" w:eastAsia="zh-CN"/>
              </w:rPr>
            </w:pPr>
            <w:r>
              <w:rPr>
                <w:rFonts w:hint="eastAsia" w:ascii="Times New Roman" w:hAnsi="Times New Roman" w:eastAsia="宋体" w:cs="Times New Roman"/>
                <w:b/>
                <w:bCs/>
                <w:i/>
                <w:iCs/>
                <w:highlight w:val="none"/>
                <w:lang w:val="en-US" w:eastAsia="zh-CN"/>
              </w:rPr>
              <w:t xml:space="preserve">★注：投标文件中提供消控班长的证书扫描件、投标人为其缴纳的2026年9月-11月中任意1个月的社保记录，未提供或提供的材料不符合要求，投标无效。</w:t>
            </w:r>
            <w:r>
              <w:rPr>
                <w:rFonts w:eastAsia="宋体"/>
                <w:highlight w:val="none"/>
                <w:lang w:val="en-US" w:eastAsia="zh-CN"/>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消控人员</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hint="eastAsia" w:ascii="宋体" w:hAnsi="宋体" w:cs="宋体"/>
                <w:b w:val="0"/>
                <w:bCs w:val="0"/>
                <w:sz w:val="24"/>
                <w:highlight w:val="none"/>
                <w:lang w:eastAsia="zh-CN"/>
              </w:rPr>
            </w:pPr>
            <w:r>
              <w:rPr>
                <w:rFonts w:hint="eastAsia" w:ascii="宋体" w:hAnsi="宋体" w:cs="宋体"/>
                <w:b w:val="0"/>
                <w:bCs w:val="0"/>
                <w:sz w:val="24"/>
                <w:highlight w:val="none"/>
              </w:rPr>
              <w:t xml:space="preserve">男女不限</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55周岁以下</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eastAsia="zh-CN"/>
              </w:rPr>
            </w:r>
            <w:r/>
          </w:p>
          <w:p>
            <w:pPr>
              <w:pStyle w:val="1072"/>
              <w:jc w:val="left"/>
              <w:spacing w:line="400" w:lineRule="exact"/>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均</w:t>
            </w:r>
            <w:r>
              <w:rPr>
                <w:rFonts w:hint="eastAsia" w:ascii="宋体" w:hAnsi="宋体" w:cs="宋体"/>
                <w:b w:val="0"/>
                <w:bCs w:val="0"/>
                <w:sz w:val="24"/>
                <w:highlight w:val="none"/>
              </w:rPr>
              <w:t xml:space="preserve">持有</w:t>
            </w:r>
            <w:r>
              <w:rPr>
                <w:rFonts w:hint="eastAsia" w:ascii="宋体" w:hAnsi="宋体"/>
                <w:b w:val="0"/>
                <w:bCs w:val="0"/>
                <w:sz w:val="24"/>
                <w:highlight w:val="none"/>
              </w:rPr>
              <w:t xml:space="preserve">中级（</w:t>
            </w:r>
            <w:r>
              <w:rPr>
                <w:rFonts w:hint="eastAsia" w:ascii="宋体" w:hAnsi="宋体" w:cs="宋体"/>
                <w:b w:val="0"/>
                <w:bCs w:val="0"/>
                <w:sz w:val="24"/>
                <w:highlight w:val="none"/>
              </w:rPr>
              <w:t xml:space="preserve">四级</w:t>
            </w:r>
            <w:r>
              <w:rPr>
                <w:rFonts w:hint="eastAsia" w:ascii="宋体" w:hAnsi="宋体"/>
                <w:b w:val="0"/>
                <w:bCs w:val="0"/>
                <w:sz w:val="24"/>
                <w:highlight w:val="none"/>
              </w:rPr>
              <w:t xml:space="preserve">）</w:t>
            </w:r>
            <w:r>
              <w:rPr>
                <w:rFonts w:hint="eastAsia" w:ascii="宋体" w:hAnsi="宋体" w:cs="宋体"/>
                <w:b w:val="0"/>
                <w:bCs w:val="0"/>
                <w:sz w:val="24"/>
                <w:highlight w:val="none"/>
              </w:rPr>
              <w:t xml:space="preserve">及以上消防设施操作员证书。</w:t>
            </w:r>
            <w:r>
              <w:rPr>
                <w:rFonts w:hint="eastAsia" w:ascii="宋体" w:hAnsi="宋体" w:cs="宋体"/>
                <w:b w:val="0"/>
                <w:bCs w:val="0"/>
                <w:sz w:val="24"/>
                <w:highlight w:val="none"/>
              </w:rPr>
            </w:r>
            <w:r/>
          </w:p>
          <w:p>
            <w:pPr>
              <w:pStyle w:val="1084"/>
              <w:ind w:left="0" w:firstLine="0"/>
              <w:rPr>
                <w:rFonts w:hint="eastAsia" w:eastAsia="宋体"/>
                <w:highlight w:val="none"/>
                <w:lang w:val="en-US" w:eastAsia="zh-CN"/>
              </w:rPr>
            </w:pPr>
            <w:r>
              <w:rPr>
                <w:rFonts w:hint="eastAsia"/>
                <w:b/>
                <w:bCs/>
                <w:i/>
                <w:iCs/>
                <w:highlight w:val="none"/>
                <w:lang w:val="en-US" w:eastAsia="zh-CN"/>
              </w:rPr>
              <w:t xml:space="preserve">★注：投标文件中提供承诺函，承诺拟派驻的消控人员满足上述要求，中标后7个工作日内提供人员名单、相关证书以及投标人为其缴纳的2026年9月-11月中任意1个月的社保记录，交由采购人核验；逾期未提供或提供材料不符合要求的，</w:t>
            </w:r>
            <w:r>
              <w:rPr>
                <w:rFonts w:hint="eastAsia" w:ascii="宋体" w:hAnsi="宋体" w:eastAsia="宋体" w:cs="宋体"/>
                <w:b/>
                <w:bCs/>
                <w:i/>
                <w:iCs/>
                <w:sz w:val="24"/>
                <w:szCs w:val="24"/>
                <w:highlight w:val="none"/>
                <w:lang w:eastAsia="zh-CN"/>
              </w:rPr>
              <w:t xml:space="preserve">供应商</w:t>
            </w:r>
            <w:r>
              <w:rPr>
                <w:rFonts w:hint="eastAsia" w:ascii="宋体" w:hAnsi="宋体" w:eastAsia="宋体" w:cs="宋体"/>
                <w:b/>
                <w:bCs/>
                <w:i/>
                <w:iCs/>
                <w:sz w:val="24"/>
                <w:szCs w:val="24"/>
                <w:highlight w:val="none"/>
                <w:lang w:val="en-US" w:eastAsia="zh-CN"/>
              </w:rPr>
              <w:t xml:space="preserve">将</w:t>
            </w:r>
            <w:r>
              <w:rPr>
                <w:rFonts w:hint="eastAsia" w:ascii="宋体" w:hAnsi="宋体" w:eastAsia="宋体" w:cs="宋体"/>
                <w:b/>
                <w:bCs/>
                <w:i/>
                <w:iCs/>
                <w:sz w:val="24"/>
                <w:szCs w:val="24"/>
                <w:highlight w:val="none"/>
                <w:lang w:eastAsia="zh-CN"/>
              </w:rPr>
              <w:t xml:space="preserve">承担虚假响应的后果。</w:t>
            </w:r>
            <w:r>
              <w:rPr>
                <w:rFonts w:hint="eastAsia" w:eastAsia="宋体"/>
                <w:highlight w:val="none"/>
                <w:lang w:val="en-US" w:eastAsia="zh-CN"/>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巡逻岗</w:t>
            </w:r>
            <w:r>
              <w:rPr>
                <w:rFonts w:hint="eastAsia" w:ascii="宋体" w:hAnsi="宋体" w:eastAsia="宋体" w:cs="宋体"/>
                <w:sz w:val="24"/>
                <w:highlight w:val="none"/>
                <w:lang w:eastAsia="zh-CN"/>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hint="eastAsia" w:ascii="宋体" w:hAnsi="宋体" w:cs="宋体"/>
                <w:sz w:val="24"/>
                <w:highlight w:val="none"/>
              </w:rPr>
            </w:pPr>
            <w:r>
              <w:rPr>
                <w:rFonts w:hint="eastAsia" w:ascii="宋体" w:hAnsi="宋体" w:cs="宋体"/>
                <w:sz w:val="24"/>
                <w:highlight w:val="none"/>
              </w:rPr>
              <w:t xml:space="preserve">要求45周岁以下，有1年以上的相应岗位工作经验。</w:t>
            </w:r>
            <w:r>
              <w:rPr>
                <w:rFonts w:hint="eastAsia"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内场保安员</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hint="eastAsia" w:ascii="宋体" w:hAnsi="宋体" w:cs="宋体"/>
                <w:sz w:val="24"/>
                <w:highlight w:val="none"/>
              </w:rPr>
            </w:pPr>
            <w:r>
              <w:rPr>
                <w:rFonts w:hint="eastAsia" w:ascii="宋体" w:hAnsi="宋体" w:cs="宋体"/>
                <w:sz w:val="24"/>
                <w:highlight w:val="none"/>
              </w:rPr>
              <w:t xml:space="preserve">男性年龄在62周岁以下，女性年龄在55周岁以下，有1年以上的相应岗位工作经验。</w:t>
            </w:r>
            <w:r>
              <w:rPr>
                <w:rFonts w:hint="eastAsia"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停车场保安员</w:t>
            </w:r>
            <w:r>
              <w:rPr>
                <w:rFonts w:hint="eastAsia" w:ascii="宋体" w:hAnsi="宋体" w:cs="宋体"/>
                <w:sz w:val="24"/>
                <w:highlight w:val="none"/>
              </w:rPr>
            </w:r>
            <w:r/>
          </w:p>
        </w:tc>
        <w:tc>
          <w:tcPr>
            <w:tcW w:w="718"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rPr>
            </w:r>
            <w:r/>
          </w:p>
        </w:tc>
        <w:tc>
          <w:tcPr>
            <w:tcW w:w="3405" w:type="dxa"/>
            <w:vAlign w:val="center"/>
            <w:textDirection w:val="lrTb"/>
            <w:noWrap w:val="false"/>
          </w:tcPr>
          <w:p>
            <w:pPr>
              <w:pStyle w:val="1072"/>
              <w:jc w:val="left"/>
              <w:spacing w:line="400" w:lineRule="exact"/>
              <w:rPr>
                <w:rFonts w:ascii="宋体" w:hAnsi="宋体" w:cs="宋体"/>
                <w:sz w:val="24"/>
                <w:highlight w:val="none"/>
              </w:rPr>
            </w:pPr>
            <w:r>
              <w:rPr>
                <w:rFonts w:hint="eastAsia" w:ascii="宋体" w:hAnsi="宋体" w:cs="宋体"/>
                <w:sz w:val="24"/>
                <w:highlight w:val="none"/>
              </w:rPr>
              <w:t xml:space="preserve">男性，55周岁以上65周岁以下不超过2人，其余人员不超过55周岁。</w:t>
            </w:r>
            <w:r>
              <w:rPr>
                <w:rFonts w:ascii="宋体" w:hAnsi="宋体" w:cs="宋体"/>
                <w:sz w:val="24"/>
                <w:highlight w:val="none"/>
              </w:rPr>
            </w:r>
            <w:r/>
          </w:p>
        </w:tc>
      </w:tr>
      <w:tr>
        <w:trPr>
          <w:trHeight w:val="170"/>
        </w:trPr>
        <w:tc>
          <w:tcPr>
            <w:tcW w:w="876"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gridSpan w:val="2"/>
            <w:tcW w:w="7657" w:type="dxa"/>
            <w:vAlign w:val="center"/>
            <w:textDirection w:val="lrTb"/>
            <w:noWrap w:val="false"/>
          </w:tcPr>
          <w:p>
            <w:pPr>
              <w:pStyle w:val="1072"/>
              <w:jc w:val="center"/>
              <w:spacing w:line="400" w:lineRule="exact"/>
              <w:rPr>
                <w:rFonts w:hint="eastAsia" w:ascii="宋体" w:hAnsi="宋体" w:cs="宋体"/>
                <w:sz w:val="24"/>
                <w:highlight w:val="none"/>
              </w:rPr>
            </w:pPr>
            <w:r>
              <w:rPr>
                <w:rFonts w:hint="eastAsia" w:ascii="宋体" w:hAnsi="宋体" w:cs="宋体"/>
                <w:sz w:val="24"/>
                <w:highlight w:val="none"/>
              </w:rPr>
              <w:t xml:space="preserve">48人</w:t>
            </w:r>
            <w:r>
              <w:rPr>
                <w:rFonts w:hint="eastAsia" w:ascii="宋体" w:hAnsi="宋体" w:cs="宋体"/>
                <w:sz w:val="24"/>
                <w:highlight w:val="none"/>
              </w:rPr>
            </w:r>
            <w:r/>
          </w:p>
        </w:tc>
      </w:tr>
    </w:tbl>
    <w:p>
      <w:pPr>
        <w:pStyle w:val="1167"/>
        <w:contextualSpacing/>
        <w:ind w:left="-2" w:firstLine="482"/>
        <w:spacing w:line="360" w:lineRule="auto"/>
        <w:tabs>
          <w:tab w:val="left" w:pos="567" w:leader="none"/>
        </w:tabs>
        <w:rPr>
          <w:rFonts w:hint="eastAsia" w:ascii="宋体" w:hAnsi="宋体"/>
          <w:bCs/>
          <w:sz w:val="24"/>
          <w:szCs w:val="24"/>
          <w:highlight w:val="none"/>
        </w:rPr>
      </w:pPr>
      <w:r>
        <w:rPr>
          <w:rFonts w:hint="eastAsia" w:ascii="宋体" w:hAnsi="宋体"/>
          <w:b/>
          <w:sz w:val="24"/>
          <w:szCs w:val="24"/>
          <w:highlight w:val="none"/>
        </w:rPr>
        <w:t xml:space="preserve">2、岗位职责</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.保安队长职责</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在</w:t>
      </w:r>
      <w:r>
        <w:rPr>
          <w:rFonts w:hint="eastAsia" w:ascii="宋体" w:hAnsi="宋体"/>
          <w:bCs/>
          <w:sz w:val="24"/>
          <w:szCs w:val="24"/>
          <w:highlight w:val="none"/>
        </w:rPr>
        <w:t xml:space="preserve">投标人</w:t>
      </w:r>
      <w:r>
        <w:rPr>
          <w:rFonts w:ascii="宋体" w:hAnsi="宋体"/>
          <w:bCs/>
          <w:sz w:val="24"/>
          <w:szCs w:val="24"/>
          <w:highlight w:val="none"/>
        </w:rPr>
        <w:t xml:space="preserve">和</w:t>
      </w:r>
      <w:r>
        <w:rPr>
          <w:rFonts w:hint="eastAsia" w:ascii="宋体" w:hAnsi="宋体"/>
          <w:bCs/>
          <w:sz w:val="24"/>
          <w:szCs w:val="24"/>
          <w:highlight w:val="none"/>
          <w:lang w:eastAsia="zh-CN"/>
        </w:rPr>
        <w:t xml:space="preserve">医院保卫科</w:t>
      </w:r>
      <w:r>
        <w:rPr>
          <w:rFonts w:ascii="宋体" w:hAnsi="宋体"/>
          <w:bCs/>
          <w:sz w:val="24"/>
          <w:szCs w:val="24"/>
          <w:highlight w:val="none"/>
        </w:rPr>
        <w:t xml:space="preserve">领导下，负责医院所有保安人员的日常管理，做好医院的内部治安和消防安全工作，保障医院的安全稳定。</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负责保安的排班和保安执勤位置的设置和调整，严格监督保安员做好值班、执勤、巡查和各种突发事件的处置工作。</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经常对医院区域的治安情况进行不定期检查、巡视，发现问题及时协调处理并登记备案。</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（4）熟悉医院消防、安防设施配置情况，定期对医院消防、安防设施设备开展巡查</w:t>
      </w:r>
      <w:r>
        <w:rPr>
          <w:rFonts w:ascii="宋体" w:hAnsi="宋体"/>
          <w:bCs/>
          <w:sz w:val="24"/>
          <w:szCs w:val="24"/>
          <w:highlight w:val="none"/>
        </w:rPr>
        <w:t xml:space="preserve">。</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（5）</w:t>
      </w:r>
      <w:r>
        <w:rPr>
          <w:rFonts w:hint="eastAsia" w:ascii="宋体" w:hAnsi="宋体"/>
          <w:bCs/>
          <w:sz w:val="24"/>
          <w:szCs w:val="24"/>
          <w:highlight w:val="none"/>
          <w:lang w:val="en-US" w:eastAsia="zh-CN"/>
        </w:rPr>
        <w:t xml:space="preserve">负责制定保安工作计划和培训计划，掌握医院各类突发事件应急处置预案，定期组织队员开展消防、安防培训和演练；配合保卫科做好各项安全检查。</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（6）发现消防、安防等安全隐患，及时报告保卫科</w:t>
      </w:r>
      <w:r>
        <w:rPr>
          <w:rFonts w:ascii="宋体" w:hAnsi="宋体"/>
          <w:bCs/>
          <w:sz w:val="24"/>
          <w:szCs w:val="24"/>
          <w:highlight w:val="none"/>
        </w:rPr>
        <w:t xml:space="preserve">。</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（7）配合完成保卫科交办的其他工作</w:t>
      </w:r>
      <w:r>
        <w:rPr>
          <w:rFonts w:ascii="宋体" w:hAnsi="宋体"/>
          <w:bCs/>
          <w:sz w:val="24"/>
          <w:szCs w:val="24"/>
          <w:highlight w:val="none"/>
        </w:rPr>
        <w:t xml:space="preserve">。</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.门卫、大厅固定岗职责</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实行24小时值班。</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熟悉执勤区域和医院的布局及周边情况，认真做好值班、执勤、巡逻工作，按章询查可疑人员，保障值守区域的安全。</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文明执勤，礼貌待人，仪容严整，遵守各项工作制度，按程序和规定处理各种事件。</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严格遵守纪律，按规定时间交接班，严格请示报告制度。</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做好院内治安、消防的工作，确保医院正常医疗、教学和科研秩序</w:t>
      </w:r>
      <w:r>
        <w:rPr>
          <w:rFonts w:hint="eastAsia" w:ascii="宋体" w:hAnsi="宋体"/>
          <w:bCs/>
          <w:sz w:val="24"/>
          <w:szCs w:val="24"/>
          <w:highlight w:val="none"/>
        </w:rPr>
        <w:t xml:space="preserve">。</w:t>
      </w:r>
      <w:r>
        <w:rPr>
          <w:rFonts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认真完成好上级领导交办的其他任务。</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.应急巡逻岗职责</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实行24小时值班。</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熟悉院内楼宇的分布、医院的布局及周边情况，按规定询查可疑人员，认真做好巡逻和应急工作。</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（3）熟练掌握医院各类突发事件应急处置预案，及时、规范处置</w:t>
      </w:r>
      <w:r>
        <w:rPr>
          <w:rFonts w:ascii="宋体" w:hAnsi="宋体"/>
          <w:bCs/>
          <w:sz w:val="24"/>
          <w:szCs w:val="24"/>
          <w:highlight w:val="none"/>
        </w:rPr>
        <w:t xml:space="preserve">。</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（4）积极参加医院组织的各项培训和应急演练，提高突发事件应急处置能力。</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消控岗</w:t>
      </w:r>
      <w:r>
        <w:rPr>
          <w:rFonts w:ascii="宋体" w:hAnsi="宋体"/>
          <w:bCs/>
          <w:sz w:val="24"/>
          <w:szCs w:val="24"/>
          <w:highlight w:val="none"/>
        </w:rPr>
        <w:t xml:space="preserve">职责</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持证上岗，落实 24 小时双人值班，坚守岗位，严禁脱岗、睡岗，禁止无关人员进入消控室。</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熟悉消防主机及联动设备操作，掌握院区消防设施、疏散通道位置。</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做好设备巡检，如实填写值班台账，交接班当面核对、签字确认。</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及时处置报警、故障及监管信号，火情时启动消防联动、拨打 119 并上报，利用广播引导疏散，配合消防救援；误报及设备故障做好登记、报修。</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5</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妥善保管消防图纸、维保等档案资料，保持消控室整洁。</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6</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参加消防培训与演练，</w:t>
      </w:r>
      <w:r>
        <w:rPr>
          <w:rFonts w:hint="eastAsia" w:ascii="宋体" w:hAnsi="宋体"/>
          <w:bCs/>
          <w:sz w:val="24"/>
          <w:szCs w:val="24"/>
          <w:highlight w:val="none"/>
          <w:lang w:val="en-US" w:eastAsia="zh-CN"/>
        </w:rPr>
        <w:t xml:space="preserve">发现</w:t>
      </w:r>
      <w:r>
        <w:rPr>
          <w:rFonts w:hint="eastAsia" w:ascii="宋体" w:hAnsi="宋体"/>
          <w:bCs/>
          <w:sz w:val="24"/>
          <w:szCs w:val="24"/>
          <w:highlight w:val="none"/>
        </w:rPr>
        <w:t xml:space="preserve">隐患及时上报。</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7</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完成保卫科交办的其他消防工作。</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bookmarkStart w:id="816" w:name="OLE_LINK2"/>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安检职责</w:t>
      </w:r>
      <w:bookmarkEnd w:id="816"/>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安检设备操作与维护</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ascii="宋体" w:hAnsi="宋体"/>
          <w:bCs/>
          <w:sz w:val="24"/>
          <w:szCs w:val="24"/>
          <w:highlight w:val="none"/>
        </w:rPr>
        <w:t xml:space="preserve">医院保安安检人员需熟练掌握安检设备的操作方法，包括X光机、金属探测仪等。每日工作前，需对设备进行检查，确保其正常运行。若发现故障，应及时上报并协助维修，确保安检工作不受影响。</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人员与物品安全检查</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ascii="宋体" w:hAnsi="宋体"/>
          <w:bCs/>
          <w:sz w:val="24"/>
          <w:szCs w:val="24"/>
          <w:highlight w:val="none"/>
        </w:rPr>
        <w:t xml:space="preserve">对所有进入医院的人员进行安全检查，包括身份核实、随身物品检查等。重点排查危险物品，如刀具、易燃易爆物等，确保医院环境的安全。同时，需对可疑人员进行重点盘查，必要时通知警方处理。</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秩序维护与应急处理</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在安检过程中，保安人员需维护现场秩序，避免拥堵和混乱。若发现突发事件，如医疗纠纷、暴力事件等，需迅速采取应急措施，保护医护人员和患者的安全，并及时上报相关部门。</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6.停车指引</w:t>
      </w:r>
      <w:r>
        <w:rPr>
          <w:rFonts w:ascii="宋体" w:hAnsi="宋体"/>
          <w:bCs/>
          <w:sz w:val="24"/>
          <w:szCs w:val="24"/>
          <w:highlight w:val="none"/>
        </w:rPr>
        <w:t xml:space="preserve">职责</w:t>
      </w:r>
      <w:r>
        <w:rPr>
          <w:rFonts w:hint="eastAsia" w:ascii="宋体" w:hAnsi="宋体"/>
          <w:bCs/>
          <w:sz w:val="24"/>
          <w:szCs w:val="24"/>
          <w:highlight w:val="none"/>
        </w:rPr>
        <w:tab/>
      </w:r>
      <w:r>
        <w:rPr>
          <w:rFonts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（1）上岗前进行自我检查,做到按规定着装,仪容仪表端庄、整洁，精神饱满，站姿规范，文明、礼貌待客。</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（2）接班后认真查阅上一班的值班记录，熟悉车辆的活动情况，保证周围设施完好，环境整洁。</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（3）严格执行公司规章制度，做好钥匙使用登记。</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（4）高峰时段，做好通道检查工作，保障人员、车辆安全进出医院。</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（5）注意车辆进出医院情况，遇可疑物品进出，要上前检查和查问。</w:t>
      </w:r>
      <w:r>
        <w:rPr>
          <w:rFonts w:hint="eastAsia" w:ascii="宋体" w:hAnsi="宋体"/>
          <w:bCs/>
          <w:sz w:val="24"/>
          <w:szCs w:val="24"/>
          <w:highlight w:val="none"/>
        </w:rPr>
      </w:r>
      <w:r/>
    </w:p>
    <w:p>
      <w:pPr>
        <w:pStyle w:val="1167"/>
        <w:contextualSpacing/>
        <w:ind w:left="-2" w:firstLine="480"/>
        <w:spacing w:line="360" w:lineRule="auto"/>
        <w:tabs>
          <w:tab w:val="left" w:pos="567" w:leader="none"/>
        </w:tabs>
        <w:rPr>
          <w:rFonts w:hint="eastAsia" w:ascii="宋体" w:hAnsi="宋体"/>
          <w:bCs/>
          <w:sz w:val="24"/>
          <w:szCs w:val="24"/>
          <w:highlight w:val="none"/>
        </w:rPr>
      </w:pPr>
      <w:r>
        <w:rPr>
          <w:rFonts w:hint="eastAsia" w:ascii="宋体" w:hAnsi="宋体"/>
          <w:bCs/>
          <w:sz w:val="24"/>
          <w:szCs w:val="24"/>
          <w:highlight w:val="none"/>
        </w:rPr>
        <w:t xml:space="preserve">（6）交接班时，应书面移交或口头移交，确保工作准确无误。</w:t>
      </w:r>
      <w:r>
        <w:rPr>
          <w:rFonts w:hint="eastAsia" w:ascii="宋体" w:hAnsi="宋体"/>
          <w:bCs/>
          <w:sz w:val="24"/>
          <w:szCs w:val="24"/>
          <w:highlight w:val="none"/>
        </w:rPr>
      </w:r>
      <w:r/>
    </w:p>
    <w:p>
      <w:pPr>
        <w:pStyle w:val="1167"/>
        <w:contextualSpacing/>
        <w:ind w:left="-2" w:firstLine="482"/>
        <w:spacing w:line="360" w:lineRule="auto"/>
        <w:tabs>
          <w:tab w:val="left" w:pos="567" w:leader="none"/>
        </w:tabs>
        <w:rPr>
          <w:rFonts w:ascii="宋体" w:hAnsi="宋体"/>
          <w:b/>
          <w:sz w:val="24"/>
          <w:szCs w:val="24"/>
          <w:highlight w:val="none"/>
        </w:rPr>
      </w:pPr>
      <w:r>
        <w:rPr>
          <w:rFonts w:hint="eastAsia" w:ascii="宋体" w:hAnsi="宋体"/>
          <w:b/>
          <w:sz w:val="24"/>
          <w:szCs w:val="24"/>
          <w:highlight w:val="none"/>
        </w:rPr>
        <w:t xml:space="preserve">3、工作时间：实行24小时值守</w:t>
      </w:r>
      <w:r>
        <w:rPr>
          <w:rFonts w:ascii="宋体" w:hAnsi="宋体"/>
          <w:b/>
          <w:sz w:val="24"/>
          <w:szCs w:val="24"/>
          <w:highlight w:val="none"/>
        </w:rPr>
      </w:r>
      <w:r/>
    </w:p>
    <w:p>
      <w:pPr>
        <w:pStyle w:val="1167"/>
        <w:contextualSpacing/>
        <w:ind w:left="-2" w:firstLine="482"/>
        <w:spacing w:line="360" w:lineRule="auto"/>
        <w:tabs>
          <w:tab w:val="left" w:pos="567" w:leader="none"/>
        </w:tabs>
        <w:rPr>
          <w:rFonts w:ascii="宋体" w:hAnsi="宋体"/>
          <w:bCs/>
          <w:sz w:val="24"/>
          <w:szCs w:val="24"/>
          <w:highlight w:val="none"/>
        </w:rPr>
      </w:pPr>
      <w:r>
        <w:rPr>
          <w:rFonts w:hint="eastAsia" w:ascii="宋体" w:hAnsi="宋体"/>
          <w:b/>
          <w:sz w:val="24"/>
          <w:szCs w:val="24"/>
          <w:highlight w:val="none"/>
        </w:rPr>
        <w:t xml:space="preserve">4、</w:t>
      </w:r>
      <w:r>
        <w:rPr>
          <w:rFonts w:ascii="宋体" w:hAnsi="宋体"/>
          <w:b/>
          <w:sz w:val="24"/>
          <w:szCs w:val="24"/>
          <w:highlight w:val="none"/>
        </w:rPr>
        <w:t xml:space="preserve">办公用品及保安用品配置</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（1）投标人提供保安队办公用品：电脑2台、打印机1台、复印机1台及相关办公用品和耗材。</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（2）投标人负责对讲机（数字）、执法记录仪更新及维修。</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（3）投标人负责保安装备的采购、维护及巡逻电瓶车2辆（车辆标准要符合医院要求）。</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Cs/>
          <w:sz w:val="24"/>
          <w:szCs w:val="24"/>
          <w:highlight w:val="none"/>
        </w:rPr>
      </w:pPr>
      <w:r>
        <w:rPr>
          <w:rFonts w:ascii="宋体" w:hAnsi="宋体"/>
          <w:bCs/>
          <w:sz w:val="24"/>
          <w:szCs w:val="24"/>
          <w:highlight w:val="none"/>
        </w:rPr>
        <w:t xml:space="preserve">（4）投标人按季节提供全套保安服装，统一着装。</w:t>
      </w:r>
      <w:r>
        <w:rPr>
          <w:rFonts w:ascii="宋体" w:hAnsi="宋体"/>
          <w:bCs/>
          <w:sz w:val="24"/>
          <w:szCs w:val="24"/>
          <w:highlight w:val="none"/>
        </w:rPr>
      </w:r>
      <w:r/>
    </w:p>
    <w:p>
      <w:pPr>
        <w:pStyle w:val="1167"/>
        <w:contextualSpacing/>
        <w:ind w:left="-2" w:firstLine="480"/>
        <w:spacing w:line="360" w:lineRule="auto"/>
        <w:tabs>
          <w:tab w:val="left" w:pos="567" w:leader="none"/>
        </w:tabs>
        <w:rPr>
          <w:rFonts w:ascii="宋体" w:hAnsi="宋体"/>
          <w:b/>
          <w:sz w:val="24"/>
          <w:szCs w:val="24"/>
          <w:highlight w:val="none"/>
        </w:rPr>
      </w:pPr>
      <w:r>
        <w:rPr>
          <w:rFonts w:ascii="宋体" w:hAnsi="宋体"/>
          <w:bCs/>
          <w:sz w:val="24"/>
          <w:szCs w:val="24"/>
          <w:highlight w:val="none"/>
        </w:rPr>
        <w:t xml:space="preserve">（5）以上投标人提供物品，合同期满后归投标人所有，其中，电脑、对讲机、执法记录仪必须经院方技术处理后给投标人带回。</w:t>
      </w:r>
      <w:r>
        <w:rPr>
          <w:rFonts w:ascii="宋体" w:hAnsi="宋体"/>
          <w:b/>
          <w:sz w:val="24"/>
          <w:szCs w:val="24"/>
          <w:highlight w:val="none"/>
        </w:rPr>
      </w:r>
      <w:r/>
    </w:p>
    <w:p>
      <w:pPr>
        <w:pStyle w:val="1167"/>
        <w:contextualSpacing/>
        <w:ind w:left="-2" w:firstLine="482"/>
        <w:spacing w:line="360" w:lineRule="auto"/>
        <w:tabs>
          <w:tab w:val="left" w:pos="567" w:leader="none"/>
        </w:tabs>
        <w:rPr>
          <w:rFonts w:hint="eastAsia" w:ascii="宋体" w:hAnsi="宋体"/>
          <w:b/>
          <w:sz w:val="24"/>
          <w:szCs w:val="24"/>
          <w:highlight w:val="none"/>
        </w:rPr>
      </w:pPr>
      <w:r>
        <w:rPr>
          <w:rFonts w:hint="eastAsia" w:ascii="宋体" w:hAnsi="宋体"/>
          <w:b/>
          <w:sz w:val="24"/>
          <w:szCs w:val="24"/>
          <w:highlight w:val="none"/>
        </w:rPr>
        <w:t xml:space="preserve">三、保安管理的内容及标准</w:t>
      </w:r>
      <w:r>
        <w:rPr>
          <w:rFonts w:hint="eastAsia" w:ascii="宋体" w:hAnsi="宋体"/>
          <w:b/>
          <w:sz w:val="24"/>
          <w:szCs w:val="24"/>
          <w:highlight w:val="none"/>
        </w:rPr>
      </w:r>
      <w:r/>
    </w:p>
    <w:p>
      <w:pPr>
        <w:pStyle w:val="1167"/>
        <w:contextualSpacing/>
        <w:ind w:left="-2" w:firstLine="482"/>
        <w:spacing w:line="360" w:lineRule="auto"/>
        <w:tabs>
          <w:tab w:val="left" w:pos="567" w:leader="none"/>
        </w:tabs>
        <w:rPr>
          <w:rFonts w:hint="eastAsia" w:ascii="宋体" w:hAnsi="宋体"/>
          <w:b/>
          <w:sz w:val="24"/>
          <w:szCs w:val="24"/>
          <w:highlight w:val="none"/>
        </w:rPr>
      </w:pPr>
      <w:r>
        <w:rPr>
          <w:rFonts w:hint="eastAsia" w:ascii="宋体" w:hAnsi="宋体"/>
          <w:b/>
          <w:sz w:val="24"/>
          <w:szCs w:val="24"/>
          <w:highlight w:val="none"/>
        </w:rPr>
        <w:t xml:space="preserve">（一）保安管理内容：</w:t>
      </w:r>
      <w:r>
        <w:rPr>
          <w:rFonts w:hint="eastAsia" w:ascii="宋体" w:hAnsi="宋体"/>
          <w:b/>
          <w:sz w:val="24"/>
          <w:szCs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常州市肿瘤医院院区的保安工作。其内容包含：院区公共秩序、治安管理；医患纠纷应急处理及安全保卫；协助消防安全巡查；安全防护巡查；停车管理及收费等服务。</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Cs/>
          <w:sz w:val="24"/>
          <w:highlight w:val="none"/>
        </w:rPr>
      </w:pPr>
      <w:r>
        <w:rPr>
          <w:rFonts w:hint="eastAsia" w:ascii="宋体" w:hAnsi="宋体"/>
          <w:b/>
          <w:sz w:val="24"/>
          <w:highlight w:val="none"/>
        </w:rPr>
        <w:t xml:space="preserve">（二）管理服务质量目标标准：</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1.质量目标要求</w:t>
      </w:r>
      <w:r>
        <w:rPr>
          <w:rFonts w:hint="eastAsia" w:ascii="宋体" w:hAnsi="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（1）中标单位签订合同前，应提供投入本项目的所有安保服务人员的《中华人民共和国保安员证》及其它相关证书等供采购人查询核验。</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（2）依托行业标准，根据院方管理规定与服务要求，制订切实可行的医院保安服务整体方案和应急预案，突发事件反应迅速，处置有力。</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（3）依法办事，文明值勤，严格管理，保障医院财产、人身不受侵害，维护正常的医疗、科研、生活秩序。</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cs="宋体"/>
          <w:color w:val="000000"/>
          <w:sz w:val="24"/>
          <w:highlight w:val="none"/>
        </w:rPr>
      </w:pPr>
      <w:r>
        <w:rPr>
          <w:rFonts w:hint="eastAsia" w:ascii="宋体" w:hAnsi="宋体"/>
          <w:bCs/>
          <w:sz w:val="24"/>
          <w:highlight w:val="none"/>
        </w:rPr>
        <w:t xml:space="preserve">（4）全年无责任事故和责任案件发生，职工有安全感，对医院保安服务满意率在90%以上。</w:t>
      </w:r>
      <w:r>
        <w:rPr>
          <w:rFonts w:hint="eastAsia" w:ascii="宋体" w:hAnsi="宋体" w:cs="宋体"/>
          <w:color w:val="000000"/>
          <w:sz w:val="24"/>
          <w:highlight w:val="none"/>
        </w:rPr>
      </w:r>
      <w:r/>
    </w:p>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2.服务要求</w:t>
      </w:r>
      <w:r>
        <w:rPr>
          <w:rFonts w:hint="eastAsia" w:ascii="宋体" w:hAnsi="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（1）树立“服务第一，客户至上”的思想，切实维护医院安全。</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（2）管理坚持原则、精细管理；服务以人为本、主动热情；处理问题高度警惕、有理有节。</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（3）上岗人员仪表整洁，业务操作规范，礼貌待人，保持工作环境卫生整洁。</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（4）依法办事，文明执勤，不与职工和就医病人发生争吵，杜绝与职工、就诊病人发生肢体冲突。</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（5）医院职工有求必应，有险情必出。</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Cs/>
          <w:sz w:val="24"/>
          <w:highlight w:val="none"/>
        </w:rPr>
      </w:pPr>
      <w:r>
        <w:rPr>
          <w:rFonts w:hint="eastAsia" w:ascii="宋体" w:hAnsi="宋体"/>
          <w:b/>
          <w:sz w:val="24"/>
          <w:highlight w:val="none"/>
        </w:rPr>
        <w:t xml:space="preserve">3.队伍建设与管理要求</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cs="宋体"/>
          <w:color w:val="000000"/>
          <w:sz w:val="24"/>
          <w:highlight w:val="none"/>
        </w:rPr>
      </w:pPr>
      <w:r>
        <w:rPr>
          <w:rFonts w:hint="eastAsia" w:ascii="宋体" w:hAnsi="宋体"/>
          <w:bCs/>
          <w:sz w:val="24"/>
          <w:highlight w:val="none"/>
        </w:rPr>
        <w:t xml:space="preserve">（1）投标人负责提供进驻保安人员值勤所需的装备、器材、通讯设备的维修及更新、常用办公用品及耗材。</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（2）从医院安全实际出发，经常性开展在岗人员消防、治安、交通等工作的业务培训和应急预案演练。</w:t>
      </w:r>
      <w:r>
        <w:rPr>
          <w:rFonts w:hint="eastAsia" w:ascii="宋体" w:hAnsi="宋体" w:cs="宋体"/>
          <w:color w:val="000000"/>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（3）内部管理体制健全，设立项目负责人，全面负责日常保安队伍的规范化管理。</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投标人必须采取切实有效措施保持保安队伍的稳定，严格控制非违纪人员轮换岗比例，合同期限内轮换岗保安人数不得超过合同编制的50%；保安队长更换，应提前一个月以书面形式通知医院，其他队员更换要提前三天告知医院；确保服务质量不因人员变动而受影响。</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（5）保安应聘、录用、离职等管理规范，政审、档案手续齐全，保安人员资料必须报后勤保障中心备案。</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Cs/>
          <w:sz w:val="24"/>
          <w:highlight w:val="none"/>
        </w:rPr>
      </w:pPr>
      <w:r>
        <w:rPr>
          <w:rFonts w:hint="eastAsia" w:ascii="宋体" w:hAnsi="宋体"/>
          <w:b/>
          <w:sz w:val="24"/>
          <w:highlight w:val="none"/>
        </w:rPr>
        <w:t xml:space="preserve">4.人员素质要求</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（1）保安从业人员应知法，懂法，守法，依法办事，必须严格遵守保安从业规范，模范遵守院方安全管理规定。</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（2）保安队长要有较高的政治思想素养和业务水平，有较强的组织协调能力，受过专门的保安业务培训。</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（3）保安人员身体健康，没有传染病及精神病等不能控制自己行为能力的疾病病史，体貌端正，无犯罪记录和其他劣迹。</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（4）所聘用的保安人员应有吃苦耐劳的精神和高度的责任感，受过专门岗前培训，熟知医院的管理规定，严格履行岗位职责，善于发现各类问题，具备一定的管理经验和处理突发事件能力。</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（5）保安队长要加强对保安业务的管理，确保保安在医院内无违规事件发生。</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（6）所聘保安人员不得在医院内从事与保安工作无关的活动。</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5.工作衔接要求</w:t>
      </w:r>
      <w:r>
        <w:rPr>
          <w:rFonts w:hint="eastAsia" w:ascii="宋体" w:hAnsi="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（1）根据行业服务标准与院方规定要求，投标人独立运作，落实医院安全保卫整体方案，并结合医院变化，在实践中不断完善；不允许以其他形式向第三方转移保安服务。</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（2）保安队长须与医院保卫科保持必要的工作交流，每天必须向医院保卫科主管领导口头汇报工作，每月一次向医院书面汇报所承担的保安工作开展情况及信息反馈，重大情况须及时报告。</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（3）做好详细的执勤记录，原始台帐保存完好，以备院方核查。</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（4）协同其它治安协防组织，形成群防群治体系。</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（5）与医院物业协作，内外联动，开展一体化安全防范协作。</w:t>
      </w:r>
      <w:r>
        <w:rPr>
          <w:rFonts w:hint="eastAsia" w:ascii="宋体" w:hAnsi="宋体"/>
          <w:bCs/>
          <w:sz w:val="24"/>
          <w:highlight w:val="none"/>
        </w:rPr>
      </w:r>
      <w:r/>
    </w:p>
    <w:p>
      <w:pPr>
        <w:pStyle w:val="1167"/>
        <w:contextualSpacing/>
        <w:ind w:left="-2" w:firstLine="480"/>
        <w:jc w:val="left"/>
        <w:spacing w:line="360" w:lineRule="auto"/>
        <w:tabs>
          <w:tab w:val="left" w:pos="567" w:leader="none"/>
        </w:tabs>
        <w:rPr>
          <w:rFonts w:ascii="宋体" w:hAnsi="宋体"/>
          <w:sz w:val="24"/>
          <w:szCs w:val="24"/>
          <w:highlight w:val="none"/>
        </w:rPr>
      </w:pPr>
      <w:r>
        <w:rPr>
          <w:rFonts w:hint="eastAsia" w:ascii="宋体" w:hAnsi="宋体"/>
          <w:bCs/>
          <w:sz w:val="24"/>
          <w:highlight w:val="none"/>
        </w:rPr>
        <w:t xml:space="preserve">（6）认真落实公安部门分派的治安巡查、义警联动等任务。</w:t>
      </w:r>
      <w:r>
        <w:rPr>
          <w:rFonts w:ascii="宋体" w:hAnsi="宋体"/>
          <w:sz w:val="24"/>
          <w:szCs w:val="24"/>
          <w:highlight w:val="none"/>
        </w:rPr>
      </w:r>
      <w:r/>
    </w:p>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四、委托管理范围</w:t>
      </w:r>
      <w:r>
        <w:rPr>
          <w:rFonts w:hint="eastAsia" w:ascii="宋体" w:hAnsi="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1.医院24小时门岗管理，</w:t>
      </w:r>
      <w:r>
        <w:rPr>
          <w:rFonts w:hint="eastAsia" w:ascii="宋体" w:hAnsi="宋体" w:cs="宋体"/>
          <w:sz w:val="24"/>
          <w:highlight w:val="none"/>
        </w:rPr>
        <w:t xml:space="preserve">负责维持医院正常的诊疗、治安、消防和车辆秩序</w:t>
      </w:r>
      <w:r>
        <w:rPr>
          <w:rFonts w:hint="eastAsia" w:ascii="宋体" w:hAnsi="宋体"/>
          <w:bCs/>
          <w:sz w:val="24"/>
          <w:highlight w:val="none"/>
        </w:rPr>
        <w:t xml:space="preserve">；</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2.医院治安秩序的维护和消防工作，包括早晚两班各成立一支微型消防站队伍，每支队伍人数6人，每月组织一次拉练。</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cs="宋体"/>
          <w:sz w:val="24"/>
          <w:highlight w:val="none"/>
        </w:rPr>
        <w:t xml:space="preserve">3.维护医院的正常医疗秩序，保障医务人员、住院病人、门诊患者及相关工作人员的人身和财产安全，保护医院的所有公共财物及设施设备安全；预防杜绝各类刑事案件和治安事件的发生。</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4.熟悉各类安防、消防设施设备位置，按规定配置携带安防器械，熟练掌握安防设备和配置器械的使用方法，熟练掌握火警处置程序和各类消防设施设备的使用方法。</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5.医院内定时定点巡逻检查，重点部位的定点守护。</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6.医院重大活动的安全警戒与秩序保障；配合医院做好重大事件的保卫工作。</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7.配合保卫部门，受理医院内各类纠纷和治安案件，并配合医院对违规事件的调查，协助公安机关对案件的排查。</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8.医院内突发性事件处置、灾害预防、火灾扑救，发现和制止医院内暴力事件，随时准备提供紧急救助。</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9.医院内公共部位安全隐患的检查、排除及上报；纠正违规及不文明行为；有针对性地开展安全教育和提示。</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10.承担医院方提供的保安业务所使用的各类监控设备、设施（如桌椅、橱柜、电扇、空调、取暖器）、通讯工具、照明设施、警具等的维护；故意损坏、恶意使用或丢失全额赔偿。</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t xml:space="preserve">11.保安服务公司应建立完善的各项应急预案（如：火警、爆炸、投毒、非法集会、暴力破坏、盗窃、医疗纠纷等处置等），以书面的形式报医院备案。做好突发事件的应急处置工作，各类应急处置预案、措施完备，建立专业的应急处置队伍，应急人员必须掌握一定的灭火器使用、应急处置、擒拿格斗、实战对抗、警棍盾牌术等技能，并能熟练使用各类消防安全器材，具备一定的反恐防暴处突能力，定期开展培训演练，不断提高处理突发事件的应变能力。</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12.投标人应建立完备的人员信息档案，考勤、值班、检查、处理各类案件及安全形势分析、问题整改等工作台账。及时按要求报送各类报表、资料等。</w:t>
      </w:r>
      <w:r>
        <w:rPr>
          <w:rFonts w:hint="eastAsia" w:ascii="宋体" w:hAnsi="宋体" w:cs="宋体"/>
          <w:sz w:val="24"/>
          <w:highlight w:val="none"/>
        </w:rPr>
      </w:r>
      <w:r/>
    </w:p>
    <w:p>
      <w:pPr>
        <w:pStyle w:val="1167"/>
        <w:contextualSpacing/>
        <w:ind w:firstLine="480"/>
        <w:jc w:val="left"/>
        <w:spacing w:line="360" w:lineRule="auto"/>
        <w:rPr>
          <w:rFonts w:ascii="宋体" w:hAnsi="宋体"/>
          <w:sz w:val="24"/>
          <w:szCs w:val="24"/>
          <w:highlight w:val="none"/>
        </w:rPr>
      </w:pPr>
      <w:r>
        <w:rPr>
          <w:rFonts w:hint="eastAsia" w:ascii="宋体" w:hAnsi="宋体"/>
          <w:bCs/>
          <w:sz w:val="24"/>
          <w:highlight w:val="none"/>
        </w:rPr>
        <w:t xml:space="preserve">13.其它属于保安服务范围内的工作以及医院临时交办的任务。</w:t>
      </w:r>
      <w:r>
        <w:rPr>
          <w:rFonts w:ascii="宋体" w:hAnsi="宋体"/>
          <w:sz w:val="24"/>
          <w:szCs w:val="24"/>
          <w:highlight w:val="none"/>
        </w:rPr>
      </w:r>
      <w:r/>
    </w:p>
    <w:p>
      <w:pPr>
        <w:pStyle w:val="1072"/>
        <w:contextualSpacing/>
        <w:ind w:left="-2" w:firstLine="482"/>
        <w:spacing w:line="360" w:lineRule="auto"/>
        <w:tabs>
          <w:tab w:val="left" w:pos="567" w:leader="none"/>
        </w:tabs>
        <w:rPr>
          <w:rFonts w:hint="eastAsia" w:ascii="宋体" w:hAnsi="宋体" w:cs="宋体"/>
          <w:b/>
          <w:sz w:val="24"/>
          <w:highlight w:val="none"/>
        </w:rPr>
      </w:pPr>
      <w:r>
        <w:rPr>
          <w:rFonts w:hint="eastAsia" w:ascii="宋体" w:hAnsi="宋体"/>
          <w:b/>
          <w:sz w:val="24"/>
          <w:highlight w:val="none"/>
        </w:rPr>
        <w:t xml:space="preserve">五、报价方式</w:t>
      </w:r>
      <w:r>
        <w:rPr>
          <w:rFonts w:hint="eastAsia" w:ascii="宋体" w:hAnsi="宋体" w:cs="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1.本项目报价为</w:t>
      </w:r>
      <w:r>
        <w:rPr>
          <w:rFonts w:hint="eastAsia" w:ascii="宋体" w:hAnsi="宋体"/>
          <w:b/>
          <w:sz w:val="24"/>
          <w:highlight w:val="none"/>
          <w:u w:val="single"/>
        </w:rPr>
        <w:t xml:space="preserve">固定总价</w:t>
      </w:r>
      <w:r>
        <w:rPr>
          <w:rFonts w:hint="eastAsia" w:ascii="宋体" w:hAnsi="宋体"/>
          <w:bCs/>
          <w:sz w:val="24"/>
          <w:highlight w:val="none"/>
        </w:rPr>
        <w:t xml:space="preserve">，投标报价应</w:t>
      </w:r>
      <w:r>
        <w:rPr>
          <w:rFonts w:hint="eastAsia" w:ascii="宋体" w:hAnsi="宋体"/>
          <w:bCs/>
          <w:sz w:val="24"/>
          <w:highlight w:val="none"/>
        </w:rPr>
        <w:t xml:space="preserve">包括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供应商全部负责，采购人不承担与此相关的任何责任。若出现重大法律纠纷、影响合同正常履行等情形，采购人有权提前解除合同；给采购人造成影响或损失的，采购人有权向供应商进行追偿。</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3.若工作中发现有浪费人工和人工不足现象，采购人有权调整增减，中标人必须无条件服从，费用按照成交单价测算标准与实际派驻人员按实结算。</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Cs/>
          <w:sz w:val="24"/>
          <w:highlight w:val="none"/>
        </w:rPr>
      </w:pPr>
      <w:r>
        <w:rPr>
          <w:rFonts w:hint="eastAsia" w:ascii="宋体" w:hAnsi="宋体"/>
          <w:b/>
          <w:sz w:val="24"/>
          <w:highlight w:val="none"/>
        </w:rPr>
        <w:t xml:space="preserve">六、服务期限：</w:t>
      </w:r>
      <w:r>
        <w:rPr>
          <w:rFonts w:hint="eastAsia" w:ascii="宋体" w:hAnsi="宋体"/>
          <w:bCs/>
          <w:sz w:val="24"/>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宋体" w:hAnsi="宋体"/>
          <w:bCs/>
          <w:sz w:val="24"/>
          <w:highlight w:val="none"/>
        </w:rPr>
      </w:r>
      <w:r/>
    </w:p>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七、保安服务质量与考核</w:t>
      </w:r>
      <w:r>
        <w:rPr>
          <w:rFonts w:hint="eastAsia" w:ascii="宋体" w:hAnsi="宋体"/>
          <w:b/>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1.医院将对保安服务质量进行全过程监控，投标人日常工作不到位、不达标、或有违约现象，将依据合同约定，做出相应的违约处理与处罚。</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2.投标人员工应遵纪守法，对突发事件处理的及时率为100%，有效投诉处理率达100%，投诉回复率达100%。</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3.保安人员在岗履行工作职责期间，发生自身的人身伤害、伤亡，均由投标人负责处理并承担全部责任，医院不承担任何责任。</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4.投标人违反国家相关法规，与聘用人员发生纠纷，均由投标人负责调解与处理，医院不承担责任，必要时追诉投标人的刑事责任。</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5.投标人在保安服务中违反国家相关法规或保安行业规范，因过失造成他人人身伤害、伤亡的，均由投标人负责处理并承担全部责任，医院不承担任何责任。</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6.投标人必须保证派驻医院保安员的稳定性，如保安员有调离或离职应得到</w:t>
      </w:r>
      <w:r>
        <w:rPr>
          <w:rFonts w:hint="eastAsia" w:ascii="宋体" w:hAnsi="宋体"/>
          <w:bCs/>
          <w:sz w:val="24"/>
          <w:highlight w:val="none"/>
          <w:lang w:eastAsia="zh-CN"/>
        </w:rPr>
        <w:t xml:space="preserve">医院保卫科</w:t>
      </w:r>
      <w:r>
        <w:rPr>
          <w:rFonts w:hint="eastAsia" w:ascii="宋体" w:hAnsi="宋体"/>
          <w:bCs/>
          <w:sz w:val="24"/>
          <w:highlight w:val="none"/>
        </w:rPr>
        <w:t xml:space="preserve">批准；如发现投标人不报</w:t>
      </w:r>
      <w:r>
        <w:rPr>
          <w:rFonts w:hint="eastAsia" w:ascii="宋体" w:hAnsi="宋体"/>
          <w:bCs/>
          <w:sz w:val="24"/>
          <w:highlight w:val="none"/>
          <w:lang w:eastAsia="zh-CN"/>
        </w:rPr>
        <w:t xml:space="preserve">医院保卫科</w:t>
      </w:r>
      <w:r>
        <w:rPr>
          <w:rFonts w:hint="eastAsia" w:ascii="宋体" w:hAnsi="宋体"/>
          <w:bCs/>
          <w:sz w:val="24"/>
          <w:highlight w:val="none"/>
        </w:rPr>
        <w:t xml:space="preserve">同意就对保安人员调整调离的，每人次扣当月考核分2分，如发现未经</w:t>
      </w:r>
      <w:r>
        <w:rPr>
          <w:rFonts w:hint="eastAsia" w:ascii="宋体" w:hAnsi="宋体"/>
          <w:bCs/>
          <w:sz w:val="24"/>
          <w:highlight w:val="none"/>
          <w:lang w:eastAsia="zh-CN"/>
        </w:rPr>
        <w:t xml:space="preserve">医院保卫科</w:t>
      </w:r>
      <w:r>
        <w:rPr>
          <w:rFonts w:hint="eastAsia" w:ascii="宋体" w:hAnsi="宋体"/>
          <w:bCs/>
          <w:sz w:val="24"/>
          <w:highlight w:val="none"/>
        </w:rPr>
        <w:t xml:space="preserve">同意调整保安队长和班组长的扣除当月考核分10分。</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7.保安人员必须经过保安培训持上岗证上岗，杜绝因管理失职而造成的火灾、治安、交通、刑事等事故。</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cs="宋体"/>
          <w:color w:val="000000"/>
          <w:sz w:val="24"/>
          <w:highlight w:val="none"/>
        </w:rPr>
      </w:pPr>
      <w:r>
        <w:rPr>
          <w:rFonts w:hint="eastAsia" w:ascii="宋体" w:hAnsi="宋体"/>
          <w:bCs/>
          <w:sz w:val="24"/>
          <w:highlight w:val="none"/>
        </w:rPr>
        <w:t xml:space="preserve">8.缺员必须第一时间向采购人汇报，如不汇报，被采购人发现则按所缺人数的每人每月服务费的1.5倍扣除。所缺人员必须在三天内补齐，如三天没有补齐，则按每人每天150-500元的标准扣除（包括三天）。缺员超过一个月及以上院方有权终止合同。累计全年所缺人次的天数超过90天，院方有权终止合同。</w:t>
      </w:r>
      <w:r>
        <w:rPr>
          <w:rFonts w:hint="eastAsia" w:ascii="宋体" w:hAnsi="宋体" w:cs="宋体"/>
          <w:color w:val="000000"/>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9.中标后未能按采购人要求履行合同，达不到考核要求，采购人有权终止合同，投标人以合同价的10%作为违约金赔付采购人。</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10.常州市肿瘤医院保安服务考核表</w:t>
      </w:r>
      <w:r>
        <w:rPr>
          <w:rFonts w:hint="eastAsia" w:ascii="宋体" w:hAnsi="宋体"/>
          <w:bCs/>
          <w:sz w:val="24"/>
          <w:highlight w:val="none"/>
        </w:rPr>
      </w:r>
      <w:r/>
    </w:p>
    <w:p>
      <w:pPr>
        <w:pStyle w:val="1072"/>
        <w:jc w:val="center"/>
        <w:spacing w:line="0" w:lineRule="atLeast"/>
        <w:rPr>
          <w:rStyle w:val="1089"/>
          <w:rFonts w:hint="eastAsia" w:hAnsi="宋体" w:cs="宋体"/>
          <w:sz w:val="24"/>
          <w:highlight w:val="none"/>
        </w:rPr>
      </w:pPr>
      <w:r>
        <w:rPr>
          <w:rStyle w:val="1089"/>
          <w:rFonts w:hint="eastAsia" w:hAnsi="宋体" w:cs="宋体"/>
          <w:sz w:val="24"/>
          <w:highlight w:val="none"/>
        </w:rPr>
        <w:t xml:space="preserve">常州市肿瘤医院保安队管理月度考核标准</w:t>
      </w:r>
      <w:r>
        <w:rPr>
          <w:rStyle w:val="1089"/>
          <w:rFonts w:hint="eastAsia" w:hAnsi="宋体" w:cs="宋体"/>
          <w:sz w:val="24"/>
          <w:highlight w:val="none"/>
        </w:rPr>
      </w:r>
      <w:r/>
    </w:p>
    <w:p>
      <w:pPr>
        <w:pStyle w:val="1072"/>
        <w:jc w:val="right"/>
        <w:rPr>
          <w:rFonts w:ascii="宋体" w:hAnsi="宋体"/>
          <w:highlight w:val="none"/>
        </w:rPr>
      </w:pPr>
      <w:r>
        <w:rPr>
          <w:rStyle w:val="1089"/>
          <w:rFonts w:hint="eastAsia" w:hAnsi="宋体" w:cs="宋体"/>
          <w:bCs/>
          <w:sz w:val="24"/>
          <w:highlight w:val="none"/>
        </w:rPr>
        <w:t xml:space="preserve">年   月  日</w:t>
      </w:r>
      <w:r>
        <w:rPr>
          <w:rFonts w:ascii="宋体" w:hAnsi="宋体"/>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683"/>
        <w:gridCol w:w="2444"/>
        <w:gridCol w:w="1614"/>
        <w:gridCol w:w="3447"/>
        <w:gridCol w:w="598"/>
      </w:tblGrid>
      <w:tr>
        <w:trPr>
          <w:trHeight w:val="170"/>
        </w:trPr>
        <w:tc>
          <w:tcPr>
            <w:tcW w:w="268" w:type="dxa"/>
            <w:vAlign w:val="center"/>
            <w:textDirection w:val="lrTb"/>
            <w:noWrap w:val="false"/>
          </w:tcPr>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序</w:t>
            </w:r>
            <w:r>
              <w:rPr>
                <w:rFonts w:hint="eastAsia" w:ascii="宋体" w:hAnsi="宋体" w:cs="宋体"/>
                <w:b/>
                <w:bCs/>
                <w:sz w:val="24"/>
                <w:highlight w:val="none"/>
              </w:rPr>
            </w:r>
            <w:r/>
          </w:p>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号</w:t>
            </w:r>
            <w:r>
              <w:rPr>
                <w:rFonts w:hint="eastAsia" w:ascii="宋体" w:hAnsi="宋体" w:cs="宋体"/>
                <w:b/>
                <w:bCs/>
                <w:sz w:val="24"/>
                <w:highlight w:val="none"/>
              </w:rPr>
            </w:r>
            <w:r/>
          </w:p>
        </w:tc>
        <w:tc>
          <w:tcPr>
            <w:gridSpan w:val="2"/>
            <w:tcW w:w="3127" w:type="dxa"/>
            <w:vAlign w:val="center"/>
            <w:textDirection w:val="lrTb"/>
            <w:noWrap w:val="false"/>
          </w:tcPr>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考核内容</w:t>
            </w:r>
            <w:r>
              <w:rPr>
                <w:rFonts w:hint="eastAsia" w:ascii="宋体" w:hAnsi="宋体" w:cs="宋体"/>
                <w:b/>
                <w:bCs/>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分值</w:t>
            </w:r>
            <w:r>
              <w:rPr>
                <w:rFonts w:hint="eastAsia" w:ascii="宋体" w:hAnsi="宋体" w:cs="宋体"/>
                <w:b/>
                <w:bCs/>
                <w:sz w:val="24"/>
                <w:highlight w:val="none"/>
              </w:rPr>
            </w:r>
            <w:r/>
          </w:p>
          <w:p>
            <w:pPr>
              <w:pStyle w:val="1072"/>
              <w:spacing w:line="0" w:lineRule="atLeast"/>
              <w:rPr>
                <w:rFonts w:hint="eastAsia" w:ascii="宋体" w:hAnsi="宋体" w:cs="宋体"/>
                <w:b/>
                <w:bCs/>
                <w:sz w:val="24"/>
                <w:highlight w:val="none"/>
              </w:rPr>
            </w:pPr>
            <w:r>
              <w:rPr>
                <w:rFonts w:hint="eastAsia" w:ascii="宋体" w:hAnsi="宋体" w:cs="宋体"/>
                <w:b/>
                <w:bCs/>
                <w:sz w:val="24"/>
                <w:highlight w:val="none"/>
              </w:rPr>
              <w:t xml:space="preserve">（总分100）</w:t>
            </w:r>
            <w:r>
              <w:rPr>
                <w:rFonts w:hint="eastAsia" w:ascii="宋体" w:hAnsi="宋体" w:cs="宋体"/>
                <w:b/>
                <w:bCs/>
                <w:sz w:val="24"/>
                <w:highlight w:val="none"/>
              </w:rPr>
            </w:r>
            <w:r/>
          </w:p>
        </w:tc>
        <w:tc>
          <w:tcPr>
            <w:tcW w:w="1856" w:type="dxa"/>
            <w:vAlign w:val="center"/>
            <w:textDirection w:val="lrTb"/>
            <w:noWrap w:val="false"/>
          </w:tcPr>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考核标准</w:t>
            </w:r>
            <w:r>
              <w:rPr>
                <w:rFonts w:hint="eastAsia" w:ascii="宋体" w:hAnsi="宋体" w:cs="宋体"/>
                <w:b/>
                <w:bCs/>
                <w:sz w:val="24"/>
                <w:highlight w:val="none"/>
              </w:rPr>
            </w:r>
            <w:r/>
          </w:p>
        </w:tc>
        <w:tc>
          <w:tcPr>
            <w:tcW w:w="322" w:type="dxa"/>
            <w:vAlign w:val="center"/>
            <w:textDirection w:val="lrTb"/>
            <w:noWrap w:val="false"/>
          </w:tcPr>
          <w:p>
            <w:pPr>
              <w:pStyle w:val="1072"/>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得分</w:t>
            </w:r>
            <w:r>
              <w:rPr>
                <w:rFonts w:hint="eastAsia" w:ascii="宋体" w:hAnsi="宋体" w:cs="宋体"/>
                <w:b/>
                <w:bCs/>
                <w:sz w:val="24"/>
                <w:highlight w:val="none"/>
              </w:rPr>
            </w:r>
            <w:r/>
          </w:p>
        </w:tc>
      </w:tr>
      <w:tr>
        <w:trPr>
          <w:trHeight w:val="913"/>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组织架构科学合理、管理细则完善和岗位责任制度详细，管理人员认真尽责。</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r>
            <w:r/>
          </w:p>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查看相关制度台账、现场检查，发现1处不到位扣1分。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保安人员满编在岗情况。</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r>
            <w:r/>
          </w:p>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20分</w:t>
            </w:r>
            <w:r>
              <w:rPr>
                <w:rFonts w:hint="eastAsia" w:ascii="宋体" w:hAnsi="宋体" w:cs="宋体"/>
                <w:sz w:val="24"/>
                <w:highlight w:val="none"/>
              </w:rPr>
            </w:r>
            <w:r/>
          </w:p>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查看相关考勤台账、现场检查。除法律规定的请假情况外，缺少人员未报备，扣2分1次。</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保安人员形象整齐，礼貌待人，工作环境卫生整洁；不产生投诉事件，不发生负面网络舆情等不良影响事件。</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9分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现场检查、事件记录，发现一次扣1-3分。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color w:val="000000"/>
                <w:sz w:val="24"/>
                <w:highlight w:val="none"/>
              </w:rPr>
            </w:pPr>
            <w:r>
              <w:rPr>
                <w:rFonts w:hint="eastAsia" w:ascii="宋体" w:hAnsi="宋体" w:cs="宋体"/>
                <w:sz w:val="24"/>
                <w:highlight w:val="none"/>
              </w:rPr>
              <w:t xml:space="preserve">执行日常安全巡检，及时汇报并处置岗位范围内的各类安全问题。</w:t>
            </w:r>
            <w:r>
              <w:rPr>
                <w:rFonts w:hint="eastAsia" w:ascii="宋体" w:hAnsi="宋体" w:cs="宋体"/>
                <w:color w:val="000000"/>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现场检查、事件记录，发现巡检、处置不力1次扣1分。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医院未发生因保安应急处置责任问题造成重大不良影响及损失的消防安全事件。</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20分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检查台账、抽查保安、事件记录，发现1处不到位扣1分。发生前述恶劣影响事件扣20分。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相关安全培训及演练工作到位，纠纷和各类突发事件处置流程及时正确，突发应急响应时间不超过3分钟。</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10分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考核抽查事件记录，处置不力1次扣1-3分。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gridSpan w:val="2"/>
            <w:tcW w:w="3127" w:type="dxa"/>
            <w:vAlign w:val="center"/>
            <w:textDirection w:val="lrTb"/>
            <w:noWrap w:val="false"/>
          </w:tcPr>
          <w:p>
            <w:pPr>
              <w:pStyle w:val="1072"/>
              <w:jc w:val="left"/>
              <w:spacing w:line="0"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认真开展入口安检，杜绝危险物品入院。</w:t>
            </w:r>
            <w:r>
              <w:rPr>
                <w:rFonts w:hint="eastAsia" w:ascii="宋体" w:hAnsi="宋体" w:cs="宋体"/>
                <w:color w:val="000000"/>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20分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日常检查、事件记录，发现1处不到位扣1-5分。出现因保安未尽责导致医护人员受伤事件，扣20分。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gridSpan w:val="2"/>
            <w:tcW w:w="3127"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color w:val="000000"/>
                <w:sz w:val="24"/>
                <w:highlight w:val="none"/>
              </w:rPr>
              <w:t xml:space="preserve">做好出入医院公共财物安全管控，杜绝医院财物非法外流。</w:t>
            </w:r>
            <w:r>
              <w:rPr>
                <w:rFonts w:hint="eastAsia" w:ascii="宋体" w:hAnsi="宋体" w:cs="宋体"/>
                <w:sz w:val="24"/>
                <w:highlight w:val="none"/>
              </w:rPr>
            </w:r>
            <w:r/>
          </w:p>
        </w:tc>
        <w:tc>
          <w:tcPr>
            <w:tcW w:w="869" w:type="dxa"/>
            <w:vAlign w:val="center"/>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5分</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日常检查、事件记录，发现1处不到位扣1-3分。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vMerge w:val="restart"/>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9</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tcW w:w="368" w:type="dxa"/>
            <w:vAlign w:val="center"/>
            <w:vMerge w:val="restart"/>
            <w:textDirection w:val="lrTb"/>
            <w:noWrap w:val="false"/>
          </w:tcPr>
          <w:p>
            <w:pPr>
              <w:pStyle w:val="1072"/>
              <w:jc w:val="center"/>
              <w:spacing w:line="0" w:lineRule="atLeast"/>
              <w:rPr>
                <w:rFonts w:hint="eastAsia" w:ascii="宋体" w:hAnsi="宋体" w:cs="宋体"/>
                <w:sz w:val="24"/>
                <w:highlight w:val="none"/>
              </w:rPr>
            </w:pPr>
            <w:r>
              <w:rPr>
                <w:rFonts w:hint="eastAsia" w:ascii="宋体" w:hAnsi="宋体" w:cs="宋体"/>
                <w:sz w:val="24"/>
                <w:highlight w:val="none"/>
              </w:rPr>
              <w:t xml:space="preserve">其他加分项</w:t>
            </w:r>
            <w:r>
              <w:rPr>
                <w:rFonts w:hint="eastAsia" w:ascii="宋体" w:hAnsi="宋体" w:cs="宋体"/>
                <w:sz w:val="24"/>
                <w:highlight w:val="none"/>
              </w:rPr>
            </w:r>
            <w:r/>
          </w:p>
        </w:tc>
        <w:tc>
          <w:tcPr>
            <w:gridSpan w:val="2"/>
            <w:tcW w:w="405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发生重大突发案件，第一时间有效制止。</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视情况而定，最高加5分。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vMerge w:val="continue"/>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tcW w:w="368" w:type="dxa"/>
            <w:vAlign w:val="center"/>
            <w:vMerge w:val="continue"/>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gridSpan w:val="2"/>
            <w:tcW w:w="405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发现并汇报或及时排除各类安全隐患。</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视情况而定，最高加5分。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tcW w:w="268" w:type="dxa"/>
            <w:vAlign w:val="center"/>
            <w:vMerge w:val="continue"/>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tcW w:w="368" w:type="dxa"/>
            <w:vAlign w:val="center"/>
            <w:vMerge w:val="continue"/>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gridSpan w:val="2"/>
            <w:tcW w:w="4058"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保安人员受到院方各级领导表扬的或受到表扬信、锦旗。</w:t>
            </w:r>
            <w:r>
              <w:rPr>
                <w:rFonts w:hint="eastAsia" w:ascii="宋体" w:hAnsi="宋体" w:cs="宋体"/>
                <w:sz w:val="24"/>
                <w:highlight w:val="none"/>
              </w:rPr>
            </w:r>
            <w:r/>
          </w:p>
        </w:tc>
        <w:tc>
          <w:tcPr>
            <w:tcW w:w="1856"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视情况而定，最高加5分。</w:t>
            </w:r>
            <w:r>
              <w:rPr>
                <w:rFonts w:hint="eastAsia" w:ascii="宋体" w:hAnsi="宋体" w:cs="宋体"/>
                <w:sz w:val="24"/>
                <w:highlight w:val="none"/>
              </w:rPr>
            </w:r>
            <w:r/>
          </w:p>
        </w:tc>
        <w:tc>
          <w:tcPr>
            <w:tcW w:w="322"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r>
        <w:trPr>
          <w:trHeight w:val="170"/>
        </w:trPr>
        <w:tc>
          <w:tcPr>
            <w:gridSpan w:val="2"/>
            <w:tcW w:w="1181"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tc>
        <w:tc>
          <w:tcPr>
            <w:gridSpan w:val="4"/>
            <w:tcW w:w="8103"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1、考核90分及以上合格,全额支付上月保安服务费用。</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2、考核得分低于90分（不含90分）的，考核得分在85至89分之间的，每降低1分扣除1%的服务费；考核得分在75至84分之间的，每降低1分扣除2%的服务费；考核得分在75分（不含75分）以下的，扣除上月保安服务费用的50%，同时医院将不再签下一年度的服务合同。</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扣除相应款项后支付上月剩余保安服务费用。</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3、考核中如第3、5、6、7、8项分值在一次考核中被扣完被考核人将作退回公司处理。</w:t>
            </w:r>
            <w:r>
              <w:rPr>
                <w:rFonts w:hint="eastAsia" w:ascii="宋体" w:hAnsi="宋体" w:cs="宋体"/>
                <w:sz w:val="24"/>
                <w:highlight w:val="none"/>
              </w:rPr>
            </w:r>
            <w:r/>
          </w:p>
        </w:tc>
      </w:tr>
      <w:tr>
        <w:trPr>
          <w:trHeight w:val="170"/>
        </w:trPr>
        <w:tc>
          <w:tcPr>
            <w:gridSpan w:val="3"/>
            <w:tcW w:w="3625"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t xml:space="preserve">考核总得分</w:t>
            </w:r>
            <w:r>
              <w:rPr>
                <w:rFonts w:hint="eastAsia" w:ascii="宋体" w:hAnsi="宋体" w:cs="宋体"/>
                <w:sz w:val="24"/>
                <w:highlight w:val="none"/>
              </w:rPr>
            </w:r>
            <w:r/>
          </w:p>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c>
          <w:tcPr>
            <w:gridSpan w:val="3"/>
            <w:tcW w:w="5659" w:type="dxa"/>
            <w:vAlign w:val="center"/>
            <w:textDirection w:val="lrTb"/>
            <w:noWrap w:val="false"/>
          </w:tcPr>
          <w:p>
            <w:pPr>
              <w:pStyle w:val="1072"/>
              <w:spacing w:line="0" w:lineRule="atLeast"/>
              <w:rPr>
                <w:rFonts w:hint="eastAsia" w:ascii="宋体" w:hAnsi="宋体" w:cs="宋体"/>
                <w:sz w:val="24"/>
                <w:highlight w:val="none"/>
              </w:rPr>
            </w:pPr>
            <w:r>
              <w:rPr>
                <w:rFonts w:hint="eastAsia" w:ascii="宋体" w:hAnsi="宋体" w:cs="宋体"/>
                <w:sz w:val="24"/>
                <w:highlight w:val="none"/>
              </w:rPr>
            </w:r>
            <w:r/>
          </w:p>
        </w:tc>
      </w:tr>
    </w:tbl>
    <w:p>
      <w:pPr>
        <w:pStyle w:val="1072"/>
        <w:contextualSpacing/>
        <w:ind w:left="-2" w:firstLine="482"/>
        <w:spacing w:line="360" w:lineRule="auto"/>
        <w:tabs>
          <w:tab w:val="left" w:pos="567" w:leader="none"/>
        </w:tabs>
        <w:rPr>
          <w:rFonts w:hint="eastAsia" w:ascii="宋体" w:hAnsi="宋体"/>
          <w:b/>
          <w:sz w:val="24"/>
          <w:highlight w:val="none"/>
        </w:rPr>
      </w:pPr>
      <w:r>
        <w:rPr>
          <w:rFonts w:hint="eastAsia" w:ascii="宋体" w:hAnsi="宋体"/>
          <w:b/>
          <w:sz w:val="24"/>
          <w:highlight w:val="none"/>
        </w:rPr>
        <w:t xml:space="preserve">六、付款方式</w:t>
      </w:r>
      <w:r>
        <w:rPr>
          <w:rFonts w:hint="eastAsia" w:ascii="宋体" w:hAnsi="宋体"/>
          <w:b/>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（1）合同生效后按约定时间及地点提供服务。</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（2）服务费的结算：由采购人于</w:t>
      </w:r>
      <w:r>
        <w:rPr>
          <w:rFonts w:hint="eastAsia" w:ascii="宋体" w:hAnsi="宋体" w:cs="宋体"/>
          <w:sz w:val="24"/>
          <w:highlight w:val="none"/>
          <w:lang w:val="en-US" w:eastAsia="zh-CN"/>
        </w:rPr>
        <w:t xml:space="preserve">每季度</w:t>
      </w:r>
      <w:r>
        <w:rPr>
          <w:rFonts w:hint="eastAsia" w:ascii="宋体" w:hAnsi="宋体" w:cs="宋体"/>
          <w:sz w:val="24"/>
          <w:highlight w:val="none"/>
        </w:rPr>
        <w:t xml:space="preserve">结束后10日内对中标人考核，并依据考核等级支付上</w:t>
      </w:r>
      <w:r>
        <w:rPr>
          <w:rFonts w:hint="eastAsia" w:ascii="宋体" w:hAnsi="宋体" w:cs="宋体"/>
          <w:sz w:val="24"/>
          <w:highlight w:val="none"/>
          <w:lang w:val="en-US" w:eastAsia="zh-CN"/>
        </w:rPr>
        <w:t xml:space="preserve">季度</w:t>
      </w:r>
      <w:r>
        <w:rPr>
          <w:rFonts w:hint="eastAsia" w:ascii="宋体" w:hAnsi="宋体" w:cs="宋体"/>
          <w:sz w:val="24"/>
          <w:highlight w:val="none"/>
        </w:rPr>
        <w:t xml:space="preserve">服务费。中标人应于每月考核结束后及时与采购人确定服务费金额，并按要求开具本项目内容的有效发票，凭票向采购人申请付款，采购人收到服务费发票后10日内向中标人支付相应费用。因中标人未及时提供发票及所需材料导致相应后果的，采购人不承担任何责任。</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3）其他符合扣款情况约定的相关扣款均在相应月度服务费用中扣除，支付扣除相应款项后的实际服务费用。如果保安管理服务质量严重与双方达成协议偏离，采购人有权扣除上月的服务费，造成重大损失将追究责任并赔偿损失。</w:t>
      </w:r>
      <w:r>
        <w:rPr>
          <w:rFonts w:hint="eastAsia" w:ascii="宋体" w:hAnsi="宋体" w:cs="宋体"/>
          <w:sz w:val="24"/>
          <w:highlight w:val="none"/>
        </w:rPr>
      </w:r>
      <w:r/>
    </w:p>
    <w:p>
      <w:pPr>
        <w:pStyle w:val="1072"/>
        <w:ind w:firstLine="480"/>
        <w:spacing w:line="360" w:lineRule="auto"/>
        <w:rPr>
          <w:rFonts w:ascii="宋体" w:hAnsi="宋体"/>
          <w:b/>
          <w:sz w:val="36"/>
          <w:szCs w:val="36"/>
          <w:highlight w:val="none"/>
        </w:rPr>
      </w:pPr>
      <w:r>
        <w:rPr>
          <w:rFonts w:hint="eastAsia" w:ascii="宋体" w:hAnsi="宋体" w:cs="宋体"/>
          <w:sz w:val="24"/>
          <w:highlight w:val="none"/>
        </w:rPr>
        <w:t xml:space="preserve">（4）本合同合同期内费用一律不予调整（因人员增减所致的费用增减除外），中标人已考虑合同期内的物价、政策等所有风险因素，在投标时已预测并纳入成交总价中。合同期内如果因医院工作需要而增加的人员，采购人与中标人结算费用时将按照成交单价测算标准与实际派驻人员按实结算。</w:t>
      </w:r>
      <w:r>
        <w:rPr>
          <w:rFonts w:ascii="宋体" w:hAnsi="宋体"/>
          <w:b/>
          <w:sz w:val="36"/>
          <w:szCs w:val="36"/>
          <w:highlight w:val="none"/>
        </w:rPr>
        <w:br w:type="page" w:clear="all"/>
      </w:r>
      <w:r>
        <w:rPr>
          <w:rFonts w:ascii="宋体" w:hAnsi="宋体"/>
          <w:b/>
          <w:sz w:val="36"/>
          <w:szCs w:val="36"/>
          <w:highlight w:val="none"/>
        </w:rPr>
        <w:t xml:space="preserve"> </w:t>
      </w:r>
      <w:r>
        <w:rPr>
          <w:rFonts w:ascii="宋体" w:hAnsi="宋体"/>
          <w:b/>
          <w:sz w:val="36"/>
          <w:szCs w:val="36"/>
          <w:highlight w:val="none"/>
        </w:rPr>
      </w:r>
      <w:r/>
    </w:p>
    <w:p>
      <w:pPr>
        <w:pStyle w:val="1072"/>
        <w:jc w:val="center"/>
        <w:spacing w:line="360" w:lineRule="auto"/>
        <w:rPr>
          <w:rFonts w:ascii="宋体" w:hAnsi="宋体"/>
          <w:b/>
          <w:sz w:val="36"/>
          <w:szCs w:val="36"/>
          <w:highlight w:val="none"/>
        </w:rPr>
        <w:outlineLvl w:val="0"/>
      </w:pPr>
      <w:r/>
      <w:bookmarkStart w:id="817" w:name="_Toc99301425"/>
      <w:r>
        <w:rPr>
          <w:rFonts w:ascii="宋体" w:hAnsi="宋体"/>
          <w:b/>
          <w:sz w:val="36"/>
          <w:szCs w:val="36"/>
          <w:highlight w:val="none"/>
        </w:rPr>
        <w:t xml:space="preserve">第六章   拟签订的合同文本</w:t>
      </w:r>
      <w:bookmarkEnd w:id="817"/>
      <w:r>
        <w:rPr>
          <w:rFonts w:ascii="宋体" w:hAnsi="宋体"/>
          <w:b/>
          <w:sz w:val="36"/>
          <w:szCs w:val="36"/>
          <w:highlight w:val="none"/>
        </w:rPr>
      </w:r>
      <w:r/>
    </w:p>
    <w:p>
      <w:pPr>
        <w:pStyle w:val="1114"/>
        <w:spacing w:line="360" w:lineRule="auto"/>
        <w:rPr>
          <w:rFonts w:hAnsi="宋体" w:cs="宋体"/>
          <w:sz w:val="24"/>
          <w:szCs w:val="24"/>
          <w:highlight w:val="none"/>
        </w:rPr>
      </w:pPr>
      <w:r>
        <w:rPr>
          <w:rFonts w:hAnsi="宋体" w:cs="宋体"/>
          <w:b/>
          <w:sz w:val="24"/>
          <w:szCs w:val="24"/>
          <w:highlight w:val="none"/>
          <w:lang w:val="zh-CN"/>
        </w:rPr>
        <w:t xml:space="preserve">采购人（以下称甲</w:t>
      </w:r>
      <w:r>
        <w:rPr>
          <w:rFonts w:hAnsi="宋体" w:cs="宋体"/>
          <w:b/>
          <w:sz w:val="24"/>
          <w:szCs w:val="24"/>
          <w:highlight w:val="none"/>
        </w:rPr>
        <w:t xml:space="preserve">方）:                         </w:t>
      </w:r>
      <w:r>
        <w:rPr>
          <w:rFonts w:hAnsi="宋体" w:cs="宋体"/>
          <w:sz w:val="24"/>
          <w:szCs w:val="24"/>
          <w:highlight w:val="none"/>
        </w:rPr>
        <w:t xml:space="preserve">合同编号：</w:t>
      </w:r>
      <w:r>
        <w:rPr>
          <w:rFonts w:hAnsi="宋体" w:cs="宋体"/>
          <w:sz w:val="24"/>
          <w:szCs w:val="24"/>
          <w:highlight w:val="none"/>
        </w:rPr>
      </w:r>
      <w:r/>
    </w:p>
    <w:p>
      <w:pPr>
        <w:pStyle w:val="1114"/>
        <w:spacing w:line="360" w:lineRule="auto"/>
        <w:rPr>
          <w:rFonts w:hAnsi="宋体" w:cs="宋体"/>
          <w:sz w:val="24"/>
          <w:szCs w:val="24"/>
          <w:highlight w:val="none"/>
          <w:u w:val="single"/>
        </w:rPr>
      </w:pPr>
      <w:r>
        <w:rPr>
          <w:rFonts w:hAnsi="宋体" w:cs="宋体"/>
          <w:b/>
          <w:sz w:val="24"/>
          <w:szCs w:val="24"/>
          <w:highlight w:val="none"/>
        </w:rPr>
        <w:t xml:space="preserve">投标人（</w:t>
      </w:r>
      <w:r>
        <w:rPr>
          <w:rFonts w:hAnsi="宋体" w:cs="宋体"/>
          <w:b/>
          <w:sz w:val="24"/>
          <w:szCs w:val="24"/>
          <w:highlight w:val="none"/>
          <w:lang w:val="zh-CN"/>
        </w:rPr>
        <w:t xml:space="preserve">以下称</w:t>
      </w:r>
      <w:r>
        <w:rPr>
          <w:rFonts w:hAnsi="宋体" w:cs="宋体"/>
          <w:b/>
          <w:sz w:val="24"/>
          <w:szCs w:val="24"/>
          <w:highlight w:val="none"/>
        </w:rPr>
        <w:t xml:space="preserve">乙方）:                         </w:t>
      </w:r>
      <w:r>
        <w:rPr>
          <w:rFonts w:hAnsi="宋体" w:cs="宋体"/>
          <w:sz w:val="24"/>
          <w:szCs w:val="24"/>
          <w:highlight w:val="none"/>
        </w:rPr>
        <w:t xml:space="preserve">签订地点：</w:t>
      </w:r>
      <w:r>
        <w:rPr>
          <w:rFonts w:hAnsi="宋体" w:cs="宋体"/>
          <w:sz w:val="24"/>
          <w:szCs w:val="24"/>
          <w:highlight w:val="none"/>
          <w:u w:val="single"/>
        </w:rPr>
      </w:r>
      <w:r/>
    </w:p>
    <w:p>
      <w:pPr>
        <w:pStyle w:val="1091"/>
        <w:ind w:firstLine="5520"/>
        <w:spacing w:line="360" w:lineRule="auto"/>
        <w:rPr>
          <w:rFonts w:hAnsi="宋体" w:cs="宋体"/>
          <w:b/>
          <w:highlight w:val="none"/>
        </w:rPr>
      </w:pPr>
      <w:r>
        <w:rPr>
          <w:rFonts w:hint="eastAsia" w:hAnsi="宋体" w:cs="宋体"/>
          <w:highlight w:val="none"/>
        </w:rPr>
        <w:t xml:space="preserve">合同时间: </w:t>
      </w:r>
      <w:r>
        <w:rPr>
          <w:rFonts w:hint="eastAsia" w:hAnsi="宋体" w:cs="宋体"/>
          <w:highlight w:val="none"/>
          <w:u w:val="single"/>
        </w:rPr>
        <w:t xml:space="preserve">    年   月   日</w:t>
      </w:r>
      <w:r>
        <w:rPr>
          <w:rFonts w:hAnsi="宋体" w:cs="宋体"/>
          <w:b/>
          <w:highlight w:val="none"/>
        </w:rPr>
      </w:r>
      <w:r/>
    </w:p>
    <w:p>
      <w:pPr>
        <w:pStyle w:val="1114"/>
        <w:ind w:firstLine="480"/>
        <w:spacing w:line="360" w:lineRule="auto"/>
        <w:rPr>
          <w:rFonts w:hAnsi="宋体" w:cs="宋体"/>
          <w:sz w:val="24"/>
          <w:szCs w:val="24"/>
          <w:highlight w:val="none"/>
        </w:rPr>
      </w:pPr>
      <w:r>
        <w:rPr>
          <w:rFonts w:hAnsi="宋体" w:cs="宋体"/>
          <w:sz w:val="24"/>
          <w:szCs w:val="24"/>
          <w:highlight w:val="none"/>
        </w:rPr>
        <w:t xml:space="preserve">甲乙双方依据《中华人民共和国民法典》以及有关法律、法规的规定，经协商一致，订立本合同，以便共同遵守。</w:t>
      </w:r>
      <w:r>
        <w:rPr>
          <w:rFonts w:hAnsi="宋体" w:cs="宋体"/>
          <w:sz w:val="24"/>
          <w:szCs w:val="24"/>
          <w:highlight w:val="none"/>
        </w:rPr>
      </w:r>
      <w:r/>
    </w:p>
    <w:p>
      <w:pPr>
        <w:pStyle w:val="1114"/>
        <w:ind w:firstLine="487"/>
        <w:spacing w:line="360" w:lineRule="auto"/>
        <w:rPr>
          <w:rFonts w:cs="宋体"/>
          <w:b/>
          <w:sz w:val="24"/>
          <w:szCs w:val="24"/>
          <w:highlight w:val="none"/>
        </w:rPr>
      </w:pPr>
      <w:r>
        <w:rPr>
          <w:rFonts w:cs="宋体"/>
          <w:b/>
          <w:sz w:val="24"/>
          <w:szCs w:val="24"/>
          <w:highlight w:val="none"/>
        </w:rPr>
        <w:t xml:space="preserve">第一条 合同标的</w:t>
      </w:r>
      <w:r>
        <w:rPr>
          <w:rFonts w:cs="宋体"/>
          <w:b/>
          <w:sz w:val="24"/>
          <w:szCs w:val="24"/>
          <w:highlight w:val="none"/>
        </w:rPr>
      </w:r>
      <w:r/>
    </w:p>
    <w:p>
      <w:pPr>
        <w:pStyle w:val="1072"/>
        <w:ind w:firstLine="484"/>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乙方根据甲方需求提供</w:t>
      </w:r>
      <w:r>
        <w:rPr>
          <w:rFonts w:hint="eastAsia" w:ascii="宋体" w:hAnsi="宋体" w:cs="宋体"/>
          <w:sz w:val="24"/>
          <w:highlight w:val="none"/>
        </w:rPr>
        <w:t xml:space="preserve">常州市肿瘤医院保安</w:t>
      </w:r>
      <w:r>
        <w:rPr>
          <w:rFonts w:hint="eastAsia" w:ascii="宋体" w:hAnsi="宋体" w:cs="宋体"/>
          <w:sz w:val="24"/>
          <w:highlight w:val="none"/>
          <w:lang w:val="zh-CN"/>
        </w:rPr>
        <w:t xml:space="preserve">服务。</w:t>
      </w:r>
      <w:r>
        <w:rPr>
          <w:rFonts w:hint="eastAsia" w:ascii="宋体" w:hAnsi="宋体" w:cs="宋体"/>
          <w:sz w:val="24"/>
          <w:highlight w:val="none"/>
          <w:lang w:val="zh-CN"/>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（一）基本情况</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常州市肿瘤（第四人民）医</w:t>
      </w:r>
      <w:r>
        <w:rPr>
          <w:rFonts w:hint="eastAsia" w:ascii="宋体" w:hAnsi="宋体"/>
          <w:bCs/>
          <w:sz w:val="24"/>
          <w:highlight w:val="none"/>
        </w:rPr>
        <w:t xml:space="preserve">院位于新北区红河路68号，是一所集医、教、研为一体的三级肿瘤专科医院。医院占地126亩，建筑面积近10万平方米，共有16个病区，44个专业科室，开放床位769张，拥有市级临床重点学科1个、市级临床重点专科7个、市级临床重点专科建设单位1个，市级重点护理团队1个。自2005年起，医院先后成为苏州大学、徐州医科大学、东南大学生物科学与医学工程学院教学医院、苏州大学附属肿瘤医院硕博士培养点。成立苏大研究生工作站、常州市肿瘤研究所，为南京医科大学常州医学中心协作单位、国家药物临床试验机构、市级肿瘤专科护士培训基地。</w:t>
      </w:r>
      <w:r>
        <w:rPr>
          <w:rFonts w:hint="eastAsia" w:ascii="宋体" w:hAnsi="宋体"/>
          <w:bCs/>
          <w:sz w:val="24"/>
          <w:highlight w:val="none"/>
        </w:rPr>
      </w:r>
      <w:r/>
    </w:p>
    <w:p>
      <w:pPr>
        <w:pStyle w:val="1072"/>
        <w:contextualSpacing/>
        <w:ind w:left="-2"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（二）服务内容</w:t>
      </w:r>
      <w:r>
        <w:rPr>
          <w:rFonts w:hint="eastAsia" w:ascii="宋体" w:hAnsi="宋体"/>
          <w:bCs/>
          <w:sz w:val="24"/>
          <w:highlight w:val="none"/>
        </w:rPr>
      </w:r>
      <w:r/>
    </w:p>
    <w:p>
      <w:pPr>
        <w:pStyle w:val="1072"/>
        <w:ind w:firstLine="484"/>
        <w:jc w:val="left"/>
        <w:spacing w:line="360" w:lineRule="auto"/>
        <w:widowControl/>
        <w:rPr>
          <w:rFonts w:hint="eastAsia" w:ascii="宋体" w:hAnsi="宋体"/>
          <w:bCs/>
          <w:sz w:val="24"/>
          <w:highlight w:val="none"/>
        </w:rPr>
      </w:pPr>
      <w:r>
        <w:rPr>
          <w:rFonts w:hint="eastAsia" w:ascii="宋体" w:hAnsi="宋体"/>
          <w:bCs/>
          <w:sz w:val="24"/>
          <w:highlight w:val="none"/>
        </w:rPr>
        <w:t xml:space="preserve">常州市肿瘤医院院区的保安工作。其内容包含：</w:t>
      </w:r>
      <w:r>
        <w:rPr>
          <w:rFonts w:hint="eastAsia" w:ascii="宋体" w:hAnsi="宋体"/>
          <w:bCs/>
          <w:sz w:val="24"/>
          <w:szCs w:val="24"/>
          <w:highlight w:val="none"/>
        </w:rPr>
        <w:t xml:space="preserve">院区公共秩序、治安管理；医患纠纷应急处理及安全保卫；消控监控值班服务、协助消防安全巡查；安全防护巡查；停车管理等服务</w:t>
      </w:r>
      <w:r>
        <w:rPr>
          <w:rFonts w:hint="eastAsia" w:ascii="宋体" w:hAnsi="宋体"/>
          <w:bCs/>
          <w:sz w:val="24"/>
          <w:highlight w:val="none"/>
        </w:rPr>
        <w:t xml:space="preserve">。</w:t>
      </w:r>
      <w:r>
        <w:rPr>
          <w:rFonts w:hint="eastAsia" w:ascii="宋体" w:hAnsi="宋体"/>
          <w:bCs/>
          <w:sz w:val="24"/>
          <w:highlight w:val="none"/>
        </w:rPr>
      </w:r>
      <w:r/>
    </w:p>
    <w:p>
      <w:pPr>
        <w:pStyle w:val="1072"/>
        <w:ind w:firstLine="484"/>
        <w:jc w:val="left"/>
        <w:spacing w:line="360" w:lineRule="auto"/>
        <w:widowControl/>
        <w:rPr>
          <w:rFonts w:ascii="宋体" w:hAnsi="宋体"/>
          <w:b/>
          <w:sz w:val="24"/>
          <w:highlight w:val="none"/>
        </w:rPr>
      </w:pPr>
      <w:r>
        <w:rPr>
          <w:rFonts w:hint="eastAsia" w:ascii="宋体" w:hAnsi="宋体"/>
          <w:bCs/>
          <w:sz w:val="24"/>
          <w:highlight w:val="none"/>
        </w:rPr>
        <w:t xml:space="preserve">（三）</w:t>
      </w:r>
      <w:r>
        <w:rPr>
          <w:rFonts w:hint="eastAsia" w:ascii="宋体" w:hAnsi="宋体"/>
          <w:b/>
          <w:sz w:val="24"/>
          <w:highlight w:val="none"/>
        </w:rPr>
        <w:t xml:space="preserve">人员配备：保安人员要求说明：院区共配置保安人员</w:t>
      </w:r>
      <w:r>
        <w:rPr>
          <w:rFonts w:hint="eastAsia" w:ascii="宋体" w:hAnsi="宋体"/>
          <w:b/>
          <w:sz w:val="24"/>
          <w:highlight w:val="none"/>
          <w:lang w:val="en-US" w:eastAsia="zh-CN"/>
        </w:rPr>
        <w:t xml:space="preserve">32</w:t>
      </w:r>
      <w:r>
        <w:rPr>
          <w:rFonts w:hint="eastAsia" w:ascii="宋体" w:hAnsi="宋体"/>
          <w:b/>
          <w:sz w:val="24"/>
          <w:highlight w:val="none"/>
        </w:rPr>
        <w:t xml:space="preserve">人，消控人员6人，停车场人员10人，实行24小时值守，具体的保安岗位由医院与中标单位协商确定，人员情况见附件。</w:t>
      </w:r>
      <w:r>
        <w:rPr>
          <w:rFonts w:ascii="宋体" w:hAnsi="宋体"/>
          <w:b/>
          <w:sz w:val="24"/>
          <w:highlight w:val="none"/>
        </w:rPr>
      </w:r>
      <w:r/>
    </w:p>
    <w:p>
      <w:pPr>
        <w:pStyle w:val="1114"/>
        <w:ind w:firstLine="487"/>
        <w:spacing w:line="360" w:lineRule="auto"/>
        <w:rPr>
          <w:rFonts w:cs="宋体"/>
          <w:b/>
          <w:sz w:val="24"/>
          <w:szCs w:val="24"/>
          <w:highlight w:val="none"/>
        </w:rPr>
      </w:pPr>
      <w:r>
        <w:rPr>
          <w:rFonts w:cs="宋体"/>
          <w:b/>
          <w:sz w:val="24"/>
          <w:szCs w:val="24"/>
          <w:highlight w:val="none"/>
        </w:rPr>
        <w:t xml:space="preserve">第二条 合同价格</w:t>
      </w:r>
      <w:r>
        <w:rPr>
          <w:rFonts w:cs="宋体"/>
          <w:b/>
          <w:sz w:val="24"/>
          <w:szCs w:val="24"/>
          <w:highlight w:val="none"/>
        </w:rPr>
      </w:r>
      <w:r/>
    </w:p>
    <w:p>
      <w:pPr>
        <w:pStyle w:val="1114"/>
        <w:ind w:firstLine="487"/>
        <w:jc w:val="left"/>
        <w:spacing w:line="360" w:lineRule="auto"/>
        <w:rPr>
          <w:rFonts w:cs="宋体"/>
          <w:b/>
          <w:sz w:val="24"/>
          <w:szCs w:val="24"/>
          <w:highlight w:val="none"/>
        </w:rPr>
      </w:pPr>
      <w:r>
        <w:rPr>
          <w:rFonts w:cs="宋体"/>
          <w:b/>
          <w:sz w:val="24"/>
          <w:szCs w:val="24"/>
          <w:highlight w:val="none"/>
        </w:rPr>
        <w:t xml:space="preserve">签约合同总价（人民币，下同）：</w:t>
      </w:r>
      <w:r>
        <w:rPr>
          <w:rFonts w:cs="宋体"/>
          <w:b/>
          <w:sz w:val="24"/>
          <w:szCs w:val="24"/>
          <w:highlight w:val="none"/>
          <w:u w:val="single"/>
        </w:rPr>
        <w:t xml:space="preserve">             元</w:t>
      </w:r>
      <w:r>
        <w:rPr>
          <w:rFonts w:cs="宋体"/>
          <w:b/>
          <w:sz w:val="24"/>
          <w:szCs w:val="24"/>
          <w:highlight w:val="none"/>
        </w:rPr>
        <w:t xml:space="preserve">（小写       ）。 </w:t>
      </w:r>
      <w:r>
        <w:rPr>
          <w:rFonts w:cs="宋体"/>
          <w:b/>
          <w:sz w:val="24"/>
          <w:szCs w:val="24"/>
          <w:highlight w:val="none"/>
        </w:rPr>
      </w:r>
      <w:r/>
    </w:p>
    <w:p>
      <w:pPr>
        <w:pStyle w:val="1114"/>
        <w:ind w:firstLine="484"/>
        <w:spacing w:line="360" w:lineRule="auto"/>
        <w:rPr>
          <w:rFonts w:cs="宋体"/>
          <w:sz w:val="24"/>
          <w:szCs w:val="24"/>
          <w:highlight w:val="none"/>
        </w:rPr>
      </w:pPr>
      <w:r>
        <w:rPr>
          <w:rFonts w:cs="宋体"/>
          <w:sz w:val="24"/>
          <w:szCs w:val="24"/>
          <w:highlight w:val="none"/>
        </w:rPr>
        <w:t xml:space="preserve">本合同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因供应商违反《劳动法》等法律法规而造成采购人的连带责任和损失全部由供应商承担。</w:t>
      </w:r>
      <w:r>
        <w:rPr>
          <w:rFonts w:cs="宋体"/>
          <w:sz w:val="24"/>
          <w:szCs w:val="24"/>
          <w:highlight w:val="none"/>
        </w:rPr>
      </w:r>
      <w:r/>
    </w:p>
    <w:p>
      <w:pPr>
        <w:pStyle w:val="1114"/>
        <w:ind w:firstLine="484"/>
        <w:spacing w:line="360" w:lineRule="auto"/>
        <w:rPr>
          <w:rFonts w:cs="宋体"/>
          <w:sz w:val="24"/>
          <w:szCs w:val="24"/>
          <w:highlight w:val="none"/>
        </w:rPr>
      </w:pPr>
      <w:r>
        <w:rPr>
          <w:rFonts w:cs="宋体"/>
          <w:sz w:val="24"/>
          <w:szCs w:val="24"/>
          <w:highlight w:val="none"/>
        </w:rPr>
        <w:t xml:space="preserve">本合同总价款还包含乙方应当提供的伴随服务/售后服务费用。</w:t>
      </w:r>
      <w:r>
        <w:rPr>
          <w:rFonts w:cs="宋体"/>
          <w:sz w:val="24"/>
          <w:szCs w:val="24"/>
          <w:highlight w:val="none"/>
        </w:rPr>
      </w:r>
      <w:r/>
    </w:p>
    <w:p>
      <w:pPr>
        <w:pStyle w:val="1114"/>
        <w:ind w:firstLine="487"/>
        <w:spacing w:line="360" w:lineRule="auto"/>
        <w:rPr>
          <w:rFonts w:cs="宋体"/>
          <w:b/>
          <w:sz w:val="24"/>
          <w:szCs w:val="24"/>
          <w:highlight w:val="none"/>
        </w:rPr>
      </w:pPr>
      <w:r>
        <w:rPr>
          <w:rFonts w:cs="宋体"/>
          <w:b/>
          <w:sz w:val="24"/>
          <w:szCs w:val="24"/>
          <w:highlight w:val="none"/>
        </w:rPr>
        <w:t xml:space="preserve">第三条 组成本合同的有关文件</w:t>
      </w:r>
      <w:r>
        <w:rPr>
          <w:rFonts w:cs="宋体"/>
          <w:b/>
          <w:sz w:val="24"/>
          <w:szCs w:val="24"/>
          <w:highlight w:val="none"/>
        </w:rPr>
      </w:r>
      <w:r/>
    </w:p>
    <w:p>
      <w:pPr>
        <w:pStyle w:val="1114"/>
        <w:ind w:firstLine="484"/>
        <w:spacing w:line="360" w:lineRule="auto"/>
        <w:rPr>
          <w:rFonts w:cs="宋体"/>
          <w:sz w:val="24"/>
          <w:szCs w:val="24"/>
          <w:highlight w:val="none"/>
        </w:rPr>
      </w:pPr>
      <w:r>
        <w:rPr>
          <w:rFonts w:cs="宋体"/>
          <w:sz w:val="24"/>
          <w:szCs w:val="24"/>
          <w:highlight w:val="none"/>
        </w:rPr>
        <w:t xml:space="preserve">下列与本次采购活动有关的文件及有关附件是本合同不可分割的组成部分，与本合同具有同等法律效力，这些文件包括但不限于：</w:t>
      </w:r>
      <w:r>
        <w:rPr>
          <w:rFonts w:cs="宋体"/>
          <w:sz w:val="24"/>
          <w:szCs w:val="24"/>
          <w:highlight w:val="none"/>
        </w:rPr>
      </w:r>
      <w:r/>
    </w:p>
    <w:p>
      <w:pPr>
        <w:pStyle w:val="1114"/>
        <w:ind w:firstLine="484"/>
        <w:spacing w:line="360" w:lineRule="auto"/>
        <w:rPr>
          <w:rFonts w:cs="宋体"/>
          <w:sz w:val="24"/>
          <w:szCs w:val="24"/>
          <w:highlight w:val="none"/>
        </w:rPr>
      </w:pPr>
      <w:r>
        <w:rPr>
          <w:rFonts w:cs="宋体"/>
          <w:sz w:val="24"/>
          <w:szCs w:val="24"/>
          <w:highlight w:val="none"/>
        </w:rPr>
        <w:t xml:space="preserve">（1）竞争性磋商文件（编号：   ）          （2）乙方提供的磋商响应文件； </w:t>
      </w:r>
      <w:r>
        <w:rPr>
          <w:rFonts w:cs="宋体"/>
          <w:sz w:val="24"/>
          <w:szCs w:val="24"/>
          <w:highlight w:val="none"/>
        </w:rPr>
      </w:r>
      <w:r/>
    </w:p>
    <w:p>
      <w:pPr>
        <w:pStyle w:val="1114"/>
        <w:ind w:firstLine="484"/>
        <w:spacing w:line="360" w:lineRule="auto"/>
        <w:rPr>
          <w:rFonts w:cs="宋体"/>
          <w:sz w:val="24"/>
          <w:szCs w:val="24"/>
          <w:highlight w:val="none"/>
        </w:rPr>
      </w:pPr>
      <w:r>
        <w:rPr>
          <w:rFonts w:cs="宋体"/>
          <w:sz w:val="24"/>
          <w:szCs w:val="24"/>
          <w:highlight w:val="none"/>
        </w:rPr>
        <w:t xml:space="preserve">（3）成交通知书；                         （4）甲乙双方商定的其他文件等。</w:t>
      </w:r>
      <w:r>
        <w:rPr>
          <w:rFonts w:cs="宋体"/>
          <w:sz w:val="24"/>
          <w:szCs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第四条 合同履行期限</w:t>
      </w:r>
      <w:r>
        <w:rPr>
          <w:rFonts w:hint="eastAsia" w:ascii="宋体" w:hAnsi="宋体" w:cs="宋体"/>
          <w:b/>
          <w:sz w:val="24"/>
          <w:highlight w:val="none"/>
        </w:rPr>
      </w:r>
      <w:r/>
    </w:p>
    <w:p>
      <w:pPr>
        <w:pStyle w:val="1072"/>
        <w:ind w:left="239" w:firstLine="242"/>
        <w:spacing w:line="360" w:lineRule="auto"/>
        <w:rPr>
          <w:rFonts w:ascii="宋体" w:hAnsi="宋体" w:cs="宋体"/>
          <w:b/>
          <w:sz w:val="24"/>
          <w:highlight w:val="none"/>
        </w:rPr>
      </w:pPr>
      <w:r>
        <w:rPr>
          <w:rFonts w:hint="eastAsia" w:ascii="宋体" w:hAnsi="宋体"/>
          <w:bCs/>
          <w:sz w:val="24"/>
          <w:highlight w:val="none"/>
        </w:rPr>
        <w:t xml:space="preserve">服务期限为三年（ 年 月 日至 年 月 日），合同一年一签，本合同履行期限为：年 月 日。其中：前三个月为试用期，试用期满须经采购人考核，考核不合格，采购人有权解除合同。每年合同期满经采购人考核合格后续签下一年度合同。</w:t>
      </w:r>
      <w:r>
        <w:rPr>
          <w:rFonts w:ascii="宋体" w:hAnsi="宋体" w:cs="宋体"/>
          <w:b/>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第五条 合同款结算及支付</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1.本合同项下所有款项均以人民币支付。</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2.本合同项下的采购资金由甲方自行支付，乙方向甲方开具发票。</w:t>
      </w:r>
      <w:r>
        <w:rPr>
          <w:rFonts w:hint="eastAsia" w:ascii="宋体" w:hAnsi="宋体" w:cs="宋体"/>
          <w:sz w:val="24"/>
          <w:highlight w:val="none"/>
        </w:rPr>
      </w:r>
      <w:r/>
    </w:p>
    <w:p>
      <w:pPr>
        <w:pStyle w:val="1072"/>
        <w:ind w:firstLine="487"/>
        <w:spacing w:line="360" w:lineRule="auto"/>
        <w:rPr>
          <w:rFonts w:hint="eastAsia" w:ascii="宋体" w:hAnsi="宋体" w:cs="宋体"/>
          <w:b/>
          <w:bCs/>
          <w:sz w:val="24"/>
          <w:highlight w:val="none"/>
        </w:rPr>
      </w:pPr>
      <w:r>
        <w:rPr>
          <w:rFonts w:hint="eastAsia" w:ascii="宋体" w:hAnsi="宋体" w:cs="宋体"/>
          <w:b/>
          <w:bCs/>
          <w:sz w:val="24"/>
          <w:highlight w:val="none"/>
        </w:rPr>
        <w:t xml:space="preserve">3.结算原则：固定总价。</w:t>
      </w:r>
      <w:r>
        <w:rPr>
          <w:rFonts w:hint="eastAsia" w:ascii="宋体" w:hAnsi="宋体" w:cs="宋体"/>
          <w:b/>
          <w:bCs/>
          <w:sz w:val="24"/>
          <w:highlight w:val="none"/>
        </w:rPr>
      </w:r>
      <w:r/>
    </w:p>
    <w:p>
      <w:pPr>
        <w:pStyle w:val="1072"/>
        <w:ind w:firstLine="487"/>
        <w:spacing w:line="360" w:lineRule="auto"/>
        <w:rPr>
          <w:rFonts w:hint="eastAsia" w:ascii="宋体" w:hAnsi="宋体" w:cs="宋体"/>
          <w:b/>
          <w:bCs/>
          <w:sz w:val="24"/>
          <w:highlight w:val="none"/>
        </w:rPr>
      </w:pPr>
      <w:r>
        <w:rPr>
          <w:rFonts w:hint="eastAsia" w:ascii="宋体" w:hAnsi="宋体" w:cs="宋体"/>
          <w:b/>
          <w:bCs/>
          <w:sz w:val="24"/>
          <w:highlight w:val="none"/>
        </w:rPr>
        <w:t xml:space="preserve">4.付款方式：由甲方于每</w:t>
      </w:r>
      <w:r>
        <w:rPr>
          <w:rFonts w:hint="eastAsia" w:ascii="宋体" w:hAnsi="宋体" w:cs="宋体"/>
          <w:b/>
          <w:bCs/>
          <w:sz w:val="24"/>
          <w:highlight w:val="none"/>
          <w:lang w:val="en-US" w:eastAsia="zh-CN"/>
        </w:rPr>
        <w:t xml:space="preserve">季度</w:t>
      </w:r>
      <w:r>
        <w:rPr>
          <w:rFonts w:hint="eastAsia" w:ascii="宋体" w:hAnsi="宋体" w:cs="宋体"/>
          <w:b/>
          <w:bCs/>
          <w:sz w:val="24"/>
          <w:highlight w:val="none"/>
        </w:rPr>
        <w:t xml:space="preserve">结束后10日内对中标人考核，并依据考核等级支付</w:t>
      </w:r>
      <w:r>
        <w:rPr>
          <w:rFonts w:hint="eastAsia" w:ascii="宋体" w:hAnsi="宋体" w:cs="宋体"/>
          <w:b/>
          <w:bCs/>
          <w:sz w:val="24"/>
          <w:highlight w:val="none"/>
          <w:lang w:val="en-US" w:eastAsia="zh-CN"/>
        </w:rPr>
        <w:t xml:space="preserve">上季度</w:t>
      </w:r>
      <w:r>
        <w:rPr>
          <w:rFonts w:hint="eastAsia" w:ascii="宋体" w:hAnsi="宋体" w:cs="宋体"/>
          <w:b/>
          <w:bCs/>
          <w:sz w:val="24"/>
          <w:highlight w:val="none"/>
        </w:rPr>
        <w:t xml:space="preserve">服务费。乙方应于每月考核结束后及时与甲方确定服务费金额，并按要求开具本项目内容的有效发票，凭票向甲方申请付款，甲方收到服务费发票后10日内向乙方支付相应费用。因乙方未及时提供发票及所需材料导致相应后果的，甲方不承担任何责任。</w:t>
      </w:r>
      <w:r>
        <w:rPr>
          <w:rFonts w:hint="eastAsia" w:ascii="宋体" w:hAnsi="宋体" w:cs="宋体"/>
          <w:b/>
          <w:bCs/>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第六条 违约责任</w:t>
      </w:r>
      <w:r>
        <w:rPr>
          <w:rFonts w:hint="eastAsia" w:ascii="宋体" w:hAnsi="宋体" w:cs="宋体"/>
          <w:b/>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2.乙方未按本合同的规定和“服务承诺”提供伴随服务的，甲方有权提前解除本合同，同时乙方应按合同总价款的5%向甲方承担违约责任。</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4.乙方属虚假承诺，或是由于乙方的过错造成合同无法继续履行的，乙方应向甲方支付不少于合同总价30%违约金，若该违约金不足以弥补甲方损失，则应当赔偿甲方所有损失。</w:t>
      </w:r>
      <w:r>
        <w:rPr>
          <w:rFonts w:hint="eastAsia" w:ascii="宋体" w:hAnsi="宋体" w:cs="宋体"/>
          <w:sz w:val="24"/>
          <w:highlight w:val="none"/>
        </w:rPr>
      </w:r>
      <w:r/>
    </w:p>
    <w:p>
      <w:pPr>
        <w:pStyle w:val="1072"/>
        <w:ind w:firstLine="480"/>
        <w:spacing w:line="360" w:lineRule="auto"/>
        <w:rPr>
          <w:rFonts w:hint="eastAsia" w:ascii="宋体" w:hAnsi="宋体" w:cs="宋体"/>
          <w:sz w:val="24"/>
          <w:highlight w:val="none"/>
        </w:rPr>
      </w:pPr>
      <w:r>
        <w:rPr>
          <w:rFonts w:hint="eastAsia" w:ascii="宋体" w:hAnsi="宋体" w:cs="宋体"/>
          <w:sz w:val="24"/>
          <w:highlight w:val="none"/>
        </w:rPr>
        <w:t xml:space="preserve">5.其他未尽事宜，以《民法典》等有关法律法规规定为准，无相关规定的，双方协商解决。</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第七条 有下列情形之一，甲方有权提前终止本合同</w:t>
      </w:r>
      <w:r>
        <w:rPr>
          <w:rFonts w:hint="eastAsia" w:ascii="宋体" w:hAnsi="宋体" w:cs="宋体"/>
          <w:b/>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（1）有重大盗窃个人或公共财物行为的；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（2）严重影响办公秩序并造成恶劣影响的；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（3）工作中出现严重失误并造成重大损失的；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（4）发生安全责任事故并造成严重后果的；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（5）全年累计岗位缺勤人数超过合同约定岗位人数10%的；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（6）服务质量考核年度得分低于80分的；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（7）未能达到规定的服务管理标准，逾期未整改的；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（8）未经甲方同意及有关部门批准，乙方擅自改变服务方向、提高服务价格的；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（9）签订合同后，乙方擅自进行转包或分包的；</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（10）其他解约性事项。</w:t>
      </w:r>
      <w:r>
        <w:rPr>
          <w:rFonts w:hint="eastAsia" w:ascii="宋体" w:hAnsi="宋体" w:cs="宋体"/>
          <w:bCs/>
          <w:sz w:val="24"/>
          <w:highlight w:val="none"/>
        </w:rPr>
      </w:r>
      <w:r/>
    </w:p>
    <w:p>
      <w:pPr>
        <w:pStyle w:val="1072"/>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合同终止后，乙方应妥善处理、安置在岗工作人员，甲方不承担任何责任和费用。</w:t>
      </w:r>
      <w:r>
        <w:rPr>
          <w:rFonts w:hint="eastAsia" w:ascii="宋体" w:hAnsi="宋体" w:cs="宋体"/>
          <w:bCs/>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第八条 合同的变更和终止</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1.本合同一经签订，甲乙双方不得擅自变更、中止或终止合同。</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2.除发生法律规定的不能预见、不能避免并不能克服的客观情况外，甲乙双方不得放弃或拒绝履行合同。乙方放弃或拒绝履行合同，履约保证金不予退还。</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第九条 合同的转让</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乙方不得擅自部分或全部转让其应履行的合同义务。</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第十条 不可抗力</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第十一条 争议的解决</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（1）向甲方所在地人民法院提起诉讼；</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（2）向甲方所在地仲裁委员会按其仲裁规则申请仲裁。</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如没有约定，默认采取第2种方式解决争议。</w:t>
      </w:r>
      <w:r>
        <w:rPr>
          <w:rFonts w:hint="eastAsia"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2.在法院审理和仲裁期间，除有争议部分外，本合同其他部分应继续履行。</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第十二条 诚实信用 </w:t>
      </w:r>
      <w:r>
        <w:rPr>
          <w:rFonts w:hint="eastAsia" w:ascii="宋体" w:hAnsi="宋体" w:cs="宋体"/>
          <w:b/>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乙方应诚实信用，严格按照竞争性磋商文件要求和磋商承诺履行合同，不向甲方进行商业贿赂或者提供不正当利益。</w:t>
      </w:r>
      <w:r>
        <w:rPr>
          <w:rFonts w:hint="eastAsia" w:ascii="宋体" w:hAnsi="宋体" w:cs="宋体"/>
          <w:sz w:val="24"/>
          <w:highlight w:val="none"/>
        </w:rPr>
      </w:r>
      <w:r/>
    </w:p>
    <w:p>
      <w:pPr>
        <w:pStyle w:val="1072"/>
        <w:ind w:firstLine="487"/>
        <w:spacing w:line="360" w:lineRule="auto"/>
        <w:rPr>
          <w:rFonts w:hint="eastAsia" w:ascii="宋体" w:hAnsi="宋体" w:cs="宋体"/>
          <w:b/>
          <w:sz w:val="24"/>
          <w:highlight w:val="none"/>
        </w:rPr>
      </w:pPr>
      <w:r>
        <w:rPr>
          <w:rFonts w:hint="eastAsia" w:ascii="宋体" w:hAnsi="宋体" w:cs="宋体"/>
          <w:b/>
          <w:sz w:val="24"/>
          <w:highlight w:val="none"/>
        </w:rPr>
        <w:t xml:space="preserve">第十三条 合同生效及其他</w:t>
      </w:r>
      <w:r>
        <w:rPr>
          <w:rFonts w:hint="eastAsia" w:ascii="宋体" w:hAnsi="宋体" w:cs="宋体"/>
          <w:b/>
          <w:sz w:val="24"/>
          <w:highlight w:val="none"/>
        </w:rPr>
      </w:r>
      <w:r/>
    </w:p>
    <w:p>
      <w:pPr>
        <w:pStyle w:val="1072"/>
        <w:ind w:firstLine="484"/>
        <w:spacing w:line="360" w:lineRule="auto"/>
        <w:rPr>
          <w:rFonts w:ascii="宋体" w:hAnsi="宋体" w:cs="宋体"/>
          <w:sz w:val="24"/>
          <w:highlight w:val="none"/>
        </w:rPr>
      </w:pPr>
      <w:r>
        <w:rPr>
          <w:rFonts w:hint="eastAsia" w:ascii="宋体" w:hAnsi="宋体" w:cs="宋体"/>
          <w:sz w:val="24"/>
          <w:highlight w:val="none"/>
        </w:rPr>
        <w:t xml:space="preserve">1.本合同自经甲乙双方授权代表签订并加盖公章后，自签订之日起生效。</w:t>
      </w:r>
      <w:r>
        <w:rPr>
          <w:rFonts w:ascii="宋体" w:hAnsi="宋体" w:cs="宋体"/>
          <w:sz w:val="24"/>
          <w:highlight w:val="none"/>
        </w:rPr>
      </w:r>
      <w:r/>
    </w:p>
    <w:p>
      <w:pPr>
        <w:pStyle w:val="1072"/>
        <w:ind w:firstLine="484"/>
        <w:spacing w:line="360" w:lineRule="auto"/>
        <w:rPr>
          <w:rFonts w:hint="eastAsia" w:ascii="宋体" w:hAnsi="宋体" w:cs="宋体"/>
          <w:sz w:val="24"/>
          <w:highlight w:val="none"/>
        </w:rPr>
      </w:pPr>
      <w:r>
        <w:rPr>
          <w:rFonts w:hint="eastAsia" w:ascii="宋体" w:hAnsi="宋体" w:cs="宋体"/>
          <w:sz w:val="24"/>
          <w:highlight w:val="none"/>
        </w:rPr>
        <w:t xml:space="preserve">2.本合同一式伍份，甲乙双方各执贰份，代理机构执壹份存档。</w:t>
      </w:r>
      <w:r>
        <w:rPr>
          <w:rFonts w:hint="eastAsia" w:ascii="宋体" w:hAnsi="宋体" w:cs="宋体"/>
          <w:sz w:val="24"/>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3.本合同应按照中华人民共和国的现行法律进行解释。</w:t>
      </w:r>
      <w:r>
        <w:rPr>
          <w:rFonts w:ascii="宋体" w:hAnsi="宋体" w:cs="宋体"/>
          <w:sz w:val="24"/>
          <w:highlight w:val="none"/>
        </w:rPr>
      </w:r>
      <w:r/>
    </w:p>
    <w:p>
      <w:pPr>
        <w:pStyle w:val="1072"/>
        <w:jc w:val="left"/>
        <w:spacing w:line="360" w:lineRule="auto"/>
        <w:rPr>
          <w:rFonts w:ascii="宋体" w:hAnsi="宋体" w:cs="宋体"/>
          <w:b/>
          <w:bCs/>
          <w:sz w:val="24"/>
          <w:highlight w:val="none"/>
        </w:rPr>
      </w:pPr>
      <w:r>
        <w:rPr>
          <w:rFonts w:ascii="宋体" w:hAnsi="宋体" w:cs="宋体"/>
          <w:b/>
          <w:bCs/>
          <w:sz w:val="24"/>
          <w:highlight w:val="none"/>
        </w:rPr>
      </w:r>
      <w:r/>
    </w:p>
    <w:p>
      <w:pPr>
        <w:pStyle w:val="1072"/>
        <w:jc w:val="left"/>
        <w:spacing w:line="360" w:lineRule="auto"/>
        <w:rPr>
          <w:rFonts w:ascii="宋体" w:hAnsi="宋体" w:cs="宋体"/>
          <w:sz w:val="24"/>
          <w:highlight w:val="none"/>
        </w:rPr>
      </w:pPr>
      <w:r>
        <w:rPr>
          <w:rFonts w:hint="eastAsia" w:ascii="宋体" w:hAnsi="宋体" w:cs="宋体"/>
          <w:b/>
          <w:bCs/>
          <w:sz w:val="24"/>
          <w:highlight w:val="none"/>
        </w:rPr>
        <w:t xml:space="preserve">甲    方</w:t>
      </w:r>
      <w:r>
        <w:rPr>
          <w:rFonts w:hint="eastAsia" w:ascii="宋体" w:hAnsi="宋体" w:cs="宋体"/>
          <w:sz w:val="24"/>
          <w:highlight w:val="none"/>
        </w:rPr>
        <w:t xml:space="preserve">：                               </w:t>
      </w:r>
      <w:r>
        <w:rPr>
          <w:rFonts w:hint="eastAsia" w:ascii="宋体" w:hAnsi="宋体" w:cs="宋体"/>
          <w:b/>
          <w:bCs/>
          <w:sz w:val="24"/>
          <w:highlight w:val="none"/>
        </w:rPr>
        <w:t xml:space="preserve">乙    方</w:t>
      </w:r>
      <w:r>
        <w:rPr>
          <w:rFonts w:hint="eastAsia" w:ascii="宋体" w:hAnsi="宋体" w:cs="宋体"/>
          <w:sz w:val="24"/>
          <w:highlight w:val="none"/>
        </w:rPr>
        <w:t xml:space="preserve">：</w:t>
      </w:r>
      <w:r>
        <w:rPr>
          <w:rFonts w:ascii="宋体" w:hAnsi="宋体" w:cs="宋体"/>
          <w:sz w:val="24"/>
          <w:highlight w:val="none"/>
        </w:rPr>
      </w:r>
      <w:r/>
    </w:p>
    <w:p>
      <w:pPr>
        <w:pStyle w:val="1072"/>
        <w:spacing w:line="360" w:lineRule="auto"/>
        <w:rPr>
          <w:rFonts w:ascii="宋体" w:hAnsi="宋体" w:cs="宋体"/>
          <w:sz w:val="24"/>
          <w:highlight w:val="none"/>
          <w:u w:val="single"/>
        </w:rPr>
      </w:pPr>
      <w:r>
        <w:rPr>
          <w:rFonts w:hint="eastAsia" w:ascii="宋体" w:hAnsi="宋体" w:cs="宋体"/>
          <w:sz w:val="24"/>
          <w:highlight w:val="none"/>
        </w:rPr>
        <w:t xml:space="preserve">单位名称（章）：                          单位名称（章）：</w:t>
      </w:r>
      <w:r>
        <w:rPr>
          <w:rFonts w:ascii="宋体" w:hAnsi="宋体" w:cs="宋体"/>
          <w:sz w:val="24"/>
          <w:highlight w:val="none"/>
          <w:u w:val="single"/>
        </w:rPr>
      </w:r>
      <w:r/>
    </w:p>
    <w:p>
      <w:pPr>
        <w:pStyle w:val="1072"/>
        <w:spacing w:line="360" w:lineRule="auto"/>
        <w:rPr>
          <w:rFonts w:ascii="宋体" w:hAnsi="宋体" w:cs="宋体"/>
          <w:sz w:val="24"/>
          <w:highlight w:val="none"/>
          <w:u w:val="single"/>
        </w:rPr>
      </w:pPr>
      <w:r>
        <w:rPr>
          <w:rFonts w:hint="eastAsia" w:ascii="宋体" w:hAnsi="宋体" w:cs="宋体"/>
          <w:sz w:val="24"/>
          <w:highlight w:val="none"/>
        </w:rPr>
        <w:t xml:space="preserve">单位地址：                               单位地址：</w:t>
      </w:r>
      <w:r>
        <w:rPr>
          <w:rFonts w:ascii="宋体" w:hAnsi="宋体" w:cs="宋体"/>
          <w:sz w:val="24"/>
          <w:highlight w:val="none"/>
          <w:u w:val="single"/>
        </w:rPr>
      </w:r>
      <w:r/>
    </w:p>
    <w:p>
      <w:pPr>
        <w:pStyle w:val="1072"/>
        <w:spacing w:line="360" w:lineRule="auto"/>
        <w:rPr>
          <w:rFonts w:ascii="宋体" w:hAnsi="宋体" w:cs="宋体"/>
          <w:sz w:val="24"/>
          <w:highlight w:val="none"/>
        </w:rPr>
      </w:pPr>
      <w:r>
        <w:rPr>
          <w:rFonts w:hint="eastAsia" w:ascii="宋体" w:hAnsi="宋体" w:cs="宋体"/>
          <w:sz w:val="24"/>
          <w:highlight w:val="none"/>
        </w:rPr>
        <w:t xml:space="preserve">法定代表人：       委托代理人：          法定代表人：     委托代理人：                            </w:t>
      </w:r>
      <w:r>
        <w:rPr>
          <w:rFonts w:ascii="宋体" w:hAnsi="宋体" w:cs="宋体"/>
          <w:sz w:val="24"/>
          <w:highlight w:val="none"/>
        </w:rPr>
      </w:r>
      <w:r/>
    </w:p>
    <w:p>
      <w:pPr>
        <w:pStyle w:val="1072"/>
        <w:spacing w:line="360" w:lineRule="auto"/>
        <w:rPr>
          <w:rFonts w:ascii="宋体" w:hAnsi="宋体" w:cs="宋体"/>
          <w:sz w:val="24"/>
          <w:highlight w:val="none"/>
        </w:rPr>
      </w:pPr>
      <w:r>
        <w:rPr>
          <w:rFonts w:hint="eastAsia" w:ascii="宋体" w:hAnsi="宋体" w:cs="宋体"/>
          <w:sz w:val="24"/>
          <w:highlight w:val="none"/>
        </w:rPr>
        <w:t xml:space="preserve">电话：                                   电话：            传真：</w:t>
      </w:r>
      <w:r>
        <w:rPr>
          <w:rFonts w:ascii="宋体" w:hAnsi="宋体" w:cs="宋体"/>
          <w:sz w:val="24"/>
          <w:highlight w:val="none"/>
        </w:rPr>
      </w:r>
      <w:r/>
    </w:p>
    <w:p>
      <w:pPr>
        <w:pStyle w:val="1072"/>
        <w:spacing w:line="360" w:lineRule="auto"/>
        <w:rPr>
          <w:rFonts w:ascii="宋体" w:hAnsi="宋体" w:cs="宋体"/>
          <w:color w:val="000000"/>
          <w:sz w:val="24"/>
          <w:highlight w:val="none"/>
        </w:rPr>
      </w:pPr>
      <w:r>
        <w:rPr>
          <w:rFonts w:hint="eastAsia" w:ascii="宋体" w:hAnsi="宋体" w:cs="宋体"/>
          <w:sz w:val="24"/>
          <w:highlight w:val="none"/>
        </w:rPr>
        <w:t xml:space="preserve">传真：                                   开户银行：        账号：</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sz w:val="36"/>
          <w:szCs w:val="36"/>
          <w:highlight w:val="none"/>
        </w:rPr>
        <w:outlineLvl w:val="0"/>
      </w:pPr>
      <w:r>
        <w:rPr>
          <w:rFonts w:ascii="宋体" w:hAnsi="宋体"/>
          <w:b/>
          <w:sz w:val="36"/>
          <w:szCs w:val="36"/>
          <w:highlight w:val="none"/>
        </w:rPr>
        <w:br w:type="page" w:clear="all"/>
      </w:r>
      <w:bookmarkStart w:id="818" w:name="_Toc99301426"/>
      <w:r>
        <w:rPr>
          <w:rFonts w:ascii="宋体" w:hAnsi="宋体"/>
          <w:b/>
          <w:sz w:val="36"/>
          <w:szCs w:val="36"/>
          <w:highlight w:val="none"/>
        </w:rPr>
        <w:t xml:space="preserve">第七章   投标文件格式</w:t>
      </w:r>
      <w:bookmarkEnd w:id="818"/>
      <w:r>
        <w:rPr>
          <w:rFonts w:ascii="宋体" w:hAnsi="宋体"/>
          <w:b/>
          <w:sz w:val="36"/>
          <w:szCs w:val="36"/>
          <w:highlight w:val="none"/>
        </w:rPr>
      </w:r>
      <w:r/>
    </w:p>
    <w:p>
      <w:pPr>
        <w:pStyle w:val="1072"/>
        <w:ind w:left="142"/>
        <w:spacing w:line="360" w:lineRule="auto"/>
        <w:tabs>
          <w:tab w:val="left" w:pos="900" w:leader="none"/>
          <w:tab w:val="left" w:pos="1980" w:leader="none"/>
        </w:tabs>
        <w:rPr>
          <w:rFonts w:ascii="宋体" w:hAnsi="宋体"/>
          <w:b/>
          <w:sz w:val="24"/>
          <w:highlight w:val="none"/>
        </w:rPr>
      </w:pPr>
      <w:r>
        <w:rPr>
          <w:rFonts w:ascii="宋体" w:hAnsi="宋体"/>
          <w:b/>
          <w:sz w:val="24"/>
          <w:highlight w:val="none"/>
        </w:rPr>
      </w:r>
      <w:r/>
    </w:p>
    <w:p>
      <w:pPr>
        <w:pStyle w:val="1072"/>
        <w:ind w:left="142"/>
        <w:spacing w:line="360" w:lineRule="auto"/>
        <w:tabs>
          <w:tab w:val="left" w:pos="900" w:leader="none"/>
          <w:tab w:val="left" w:pos="1980" w:leader="none"/>
        </w:tabs>
        <w:rPr>
          <w:rFonts w:ascii="宋体" w:hAnsi="宋体"/>
          <w:b/>
          <w:sz w:val="24"/>
          <w:highlight w:val="none"/>
        </w:rPr>
      </w:pPr>
      <w:r>
        <w:rPr>
          <w:rFonts w:ascii="宋体" w:hAnsi="宋体"/>
          <w:b/>
          <w:sz w:val="24"/>
          <w:highlight w:val="none"/>
        </w:rPr>
      </w:r>
      <w:r/>
    </w:p>
    <w:p>
      <w:pPr>
        <w:pStyle w:val="1072"/>
        <w:ind w:left="142" w:firstLine="482"/>
        <w:spacing w:line="360" w:lineRule="auto"/>
        <w:tabs>
          <w:tab w:val="left" w:pos="900" w:leader="none"/>
          <w:tab w:val="left" w:pos="1980" w:leader="none"/>
        </w:tabs>
        <w:rPr>
          <w:rFonts w:ascii="宋体" w:hAnsi="宋体"/>
          <w:sz w:val="24"/>
          <w:highlight w:val="none"/>
        </w:rPr>
      </w:pPr>
      <w:r>
        <w:rPr>
          <w:rFonts w:ascii="宋体" w:hAnsi="宋体"/>
          <w:b/>
          <w:sz w:val="24"/>
          <w:highlight w:val="none"/>
        </w:rPr>
        <w:t xml:space="preserve">投标人编制文件须知</w:t>
      </w:r>
      <w:r>
        <w:rPr>
          <w:rFonts w:ascii="宋体" w:hAnsi="宋体"/>
          <w:sz w:val="24"/>
          <w:highlight w:val="none"/>
        </w:rPr>
      </w:r>
      <w:r/>
    </w:p>
    <w:p>
      <w:pPr>
        <w:pStyle w:val="1072"/>
        <w:ind w:left="142" w:firstLine="480"/>
        <w:spacing w:line="360" w:lineRule="auto"/>
        <w:tabs>
          <w:tab w:val="left" w:pos="900" w:leader="none"/>
          <w:tab w:val="left" w:pos="1980" w:leader="none"/>
        </w:tabs>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highlight w:val="none"/>
        </w:rPr>
      </w:r>
      <w:r/>
    </w:p>
    <w:p>
      <w:pPr>
        <w:pStyle w:val="1072"/>
        <w:ind w:left="142" w:firstLine="480"/>
        <w:spacing w:line="360" w:lineRule="auto"/>
        <w:tabs>
          <w:tab w:val="left" w:pos="900" w:leader="none"/>
          <w:tab w:val="left" w:pos="19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对于招标文件中标记了“实质性格式”文件的，</w:t>
      </w:r>
      <w:r>
        <w:rPr>
          <w:rFonts w:ascii="宋体" w:hAnsi="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highlight w:val="none"/>
        </w:rPr>
        <w:t xml:space="preserve">否则</w:t>
      </w:r>
      <w:r>
        <w:rPr>
          <w:rFonts w:ascii="宋体" w:hAnsi="宋体"/>
          <w:b/>
          <w:sz w:val="24"/>
          <w:highlight w:val="none"/>
        </w:rPr>
        <w:t xml:space="preserve">投标无效</w:t>
      </w:r>
      <w:r>
        <w:rPr>
          <w:rFonts w:ascii="宋体" w:hAnsi="宋体"/>
          <w:sz w:val="24"/>
          <w:highlight w:val="none"/>
        </w:rPr>
        <w:t xml:space="preserve">。未标记“实质性格式”的文件和招标文件未提供格式的内容，可由投标人自行编写。</w:t>
      </w:r>
      <w:r>
        <w:rPr>
          <w:rFonts w:ascii="宋体" w:hAnsi="宋体"/>
          <w:sz w:val="24"/>
          <w:highlight w:val="none"/>
        </w:rPr>
      </w:r>
      <w:r/>
    </w:p>
    <w:p>
      <w:pPr>
        <w:pStyle w:val="1072"/>
        <w:ind w:left="142" w:firstLine="480"/>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全部声明和问题的回答及所附材料必须是真实的、准确的和完整的。</w:t>
      </w:r>
      <w:r>
        <w:rPr>
          <w:rFonts w:hint="eastAsia" w:ascii="宋体" w:hAnsi="宋体"/>
          <w:sz w:val="24"/>
          <w:highlight w:val="none"/>
        </w:rPr>
      </w:r>
      <w:r/>
    </w:p>
    <w:p>
      <w:pPr>
        <w:pStyle w:val="1072"/>
        <w:ind w:left="142" w:firstLine="480"/>
        <w:spacing w:line="360" w:lineRule="auto"/>
        <w:tabs>
          <w:tab w:val="left" w:pos="900" w:leader="none"/>
          <w:tab w:val="left" w:pos="1980" w:leader="none"/>
        </w:tabs>
        <w:rPr>
          <w:rFonts w:ascii="宋体" w:hAnsi="宋体"/>
          <w:sz w:val="24"/>
          <w:highlight w:val="none"/>
        </w:rPr>
      </w:pPr>
      <w:r>
        <w:rPr>
          <w:rFonts w:hint="eastAsia" w:ascii="宋体" w:hAnsi="宋体"/>
          <w:sz w:val="24"/>
          <w:highlight w:val="none"/>
        </w:rPr>
        <w:t xml:space="preserve">4.实行电子化不见面交易方式的，加盖公章、签名等均通过</w:t>
      </w:r>
      <w:r>
        <w:rPr>
          <w:rFonts w:ascii="宋体" w:hAnsi="宋体"/>
          <w:sz w:val="24"/>
          <w:highlight w:val="none"/>
        </w:rPr>
        <w:t xml:space="preserve">投标文件编制工具</w:t>
      </w:r>
      <w:r>
        <w:rPr>
          <w:rFonts w:hint="eastAsia" w:ascii="宋体" w:hAnsi="宋体"/>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72"/>
        <w:jc w:val="left"/>
        <w:widowControl/>
        <w:rPr>
          <w:rFonts w:ascii="宋体" w:hAnsi="宋体"/>
          <w:sz w:val="24"/>
          <w:highlight w:val="none"/>
        </w:rPr>
      </w:pPr>
      <w:r>
        <w:rPr>
          <w:rFonts w:ascii="宋体" w:hAnsi="宋体"/>
          <w:sz w:val="24"/>
          <w:highlight w:val="none"/>
        </w:rPr>
        <w:br w:type="page" w:clear="all"/>
      </w:r>
      <w:r>
        <w:rPr>
          <w:rFonts w:ascii="宋体" w:hAnsi="宋体"/>
          <w:sz w:val="24"/>
          <w:highlight w:val="none"/>
        </w:rPr>
      </w:r>
      <w:r/>
    </w:p>
    <w:p>
      <w:pPr>
        <w:pStyle w:val="1072"/>
        <w:jc w:val="left"/>
        <w:keepLines/>
        <w:keepNext/>
        <w:spacing w:before="120" w:line="300" w:lineRule="auto"/>
        <w:rPr>
          <w:rFonts w:ascii="宋体" w:hAnsi="宋体"/>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highlight w:val="none"/>
        </w:rPr>
        <w:t xml:space="preserve">一、资格证明文件格式</w:t>
      </w:r>
      <w:r>
        <w:rPr>
          <w:rFonts w:ascii="宋体" w:hAnsi="宋体"/>
          <w:b/>
          <w:sz w:val="30"/>
          <w:szCs w:val="20"/>
          <w:highlight w:val="none"/>
        </w:rPr>
      </w:r>
      <w:r/>
    </w:p>
    <w:p>
      <w:pPr>
        <w:pStyle w:val="1072"/>
        <w:rPr>
          <w:rFonts w:ascii="宋体" w:hAnsi="宋体"/>
          <w:b/>
          <w:spacing w:val="20"/>
          <w:szCs w:val="21"/>
          <w:highlight w:val="none"/>
        </w:rPr>
      </w:pPr>
      <w:r>
        <w:rPr>
          <w:rFonts w:ascii="宋体" w:hAnsi="宋体"/>
          <w:b/>
          <w:spacing w:val="20"/>
          <w:szCs w:val="21"/>
          <w:highlight w:val="none"/>
        </w:rPr>
      </w:r>
      <w:r/>
    </w:p>
    <w:p>
      <w:pPr>
        <w:pStyle w:val="1072"/>
        <w:rPr>
          <w:rFonts w:ascii="宋体" w:hAnsi="宋体"/>
          <w:b/>
          <w:sz w:val="24"/>
          <w:highlight w:val="none"/>
        </w:rPr>
      </w:pPr>
      <w:r>
        <w:rPr>
          <w:rFonts w:ascii="宋体" w:hAnsi="宋体"/>
          <w:b/>
          <w:spacing w:val="20"/>
          <w:sz w:val="24"/>
          <w:highlight w:val="none"/>
        </w:rPr>
        <w:t xml:space="preserve">投标文件</w:t>
      </w:r>
      <w:r>
        <w:rPr>
          <w:rFonts w:ascii="宋体" w:hAnsi="宋体"/>
          <w:b/>
          <w:sz w:val="24"/>
          <w:highlight w:val="none"/>
        </w:rPr>
        <w:t xml:space="preserve">封面（非实质性格式）</w:t>
      </w:r>
      <w:r>
        <w:rPr>
          <w:rFonts w:ascii="宋体" w:hAnsi="宋体"/>
          <w:b/>
          <w:sz w:val="24"/>
          <w:highlight w:val="none"/>
        </w:rPr>
      </w:r>
      <w:r/>
    </w:p>
    <w:p>
      <w:pPr>
        <w:pStyle w:val="1072"/>
        <w:jc w:val="center"/>
        <w:rPr>
          <w:rFonts w:ascii="宋体" w:hAnsi="宋体"/>
          <w:szCs w:val="21"/>
          <w:highlight w:val="none"/>
        </w:rPr>
      </w:pPr>
      <w:r>
        <w:rPr>
          <w:rFonts w:ascii="宋体" w:hAnsi="宋体"/>
          <w:szCs w:val="21"/>
          <w:highlight w:val="none"/>
        </w:rPr>
      </w:r>
      <w:r/>
    </w:p>
    <w:p>
      <w:pPr>
        <w:pStyle w:val="1072"/>
        <w:jc w:val="center"/>
        <w:rPr>
          <w:rFonts w:ascii="宋体" w:hAnsi="宋体"/>
          <w:b/>
          <w:spacing w:val="60"/>
          <w:sz w:val="84"/>
          <w:szCs w:val="84"/>
          <w:highlight w:val="none"/>
        </w:rPr>
      </w:pPr>
      <w:r>
        <w:rPr>
          <w:rFonts w:ascii="宋体" w:hAnsi="宋体"/>
          <w:b/>
          <w:spacing w:val="60"/>
          <w:sz w:val="84"/>
          <w:szCs w:val="84"/>
          <w:highlight w:val="none"/>
        </w:rPr>
        <w:t xml:space="preserve">投 标 文 件</w:t>
      </w:r>
      <w:r>
        <w:rPr>
          <w:rFonts w:ascii="宋体" w:hAnsi="宋体"/>
          <w:b/>
          <w:spacing w:val="60"/>
          <w:sz w:val="84"/>
          <w:szCs w:val="84"/>
          <w:highlight w:val="none"/>
        </w:rPr>
      </w:r>
      <w:r/>
    </w:p>
    <w:p>
      <w:pPr>
        <w:pStyle w:val="1072"/>
        <w:ind w:firstLine="963"/>
        <w:rPr>
          <w:rFonts w:hint="eastAsia" w:ascii="宋体" w:hAnsi="宋体"/>
          <w:b/>
          <w:spacing w:val="60"/>
          <w:sz w:val="52"/>
          <w:szCs w:val="52"/>
          <w:highlight w:val="none"/>
        </w:rPr>
      </w:pPr>
      <w:r>
        <w:rPr>
          <w:rFonts w:hint="eastAsia" w:ascii="宋体" w:hAnsi="宋体"/>
          <w:b/>
          <w:spacing w:val="60"/>
          <w:sz w:val="52"/>
          <w:szCs w:val="52"/>
          <w:highlight w:val="none"/>
        </w:rPr>
      </w:r>
      <w:r/>
    </w:p>
    <w:p>
      <w:pPr>
        <w:pStyle w:val="1072"/>
        <w:ind w:firstLine="963"/>
        <w:rPr>
          <w:rFonts w:hint="eastAsia" w:ascii="宋体" w:hAnsi="宋体"/>
          <w:b/>
          <w:spacing w:val="60"/>
          <w:sz w:val="52"/>
          <w:szCs w:val="52"/>
          <w:highlight w:val="none"/>
        </w:rPr>
      </w:pPr>
      <w:r>
        <w:rPr>
          <w:rFonts w:hint="eastAsia" w:ascii="宋体" w:hAnsi="宋体"/>
          <w:b/>
          <w:spacing w:val="60"/>
          <w:sz w:val="52"/>
          <w:szCs w:val="52"/>
          <w:highlight w:val="none"/>
        </w:rPr>
      </w:r>
      <w:r/>
    </w:p>
    <w:p>
      <w:pPr>
        <w:pStyle w:val="1072"/>
        <w:ind w:firstLine="542"/>
        <w:rPr>
          <w:rFonts w:ascii="宋体" w:hAnsi="宋体"/>
          <w:b/>
          <w:spacing w:val="20"/>
          <w:sz w:val="32"/>
          <w:szCs w:val="32"/>
          <w:highlight w:val="none"/>
        </w:rPr>
      </w:pPr>
      <w:r>
        <w:rPr>
          <w:rFonts w:ascii="宋体" w:hAnsi="宋体"/>
          <w:b/>
          <w:spacing w:val="20"/>
          <w:sz w:val="32"/>
          <w:szCs w:val="32"/>
          <w:highlight w:val="none"/>
        </w:rPr>
      </w:r>
      <w:r/>
    </w:p>
    <w:p>
      <w:pPr>
        <w:pStyle w:val="1072"/>
        <w:ind w:firstLine="542"/>
        <w:rPr>
          <w:rFonts w:ascii="宋体" w:hAnsi="宋体"/>
          <w:b/>
          <w:spacing w:val="20"/>
          <w:sz w:val="32"/>
          <w:szCs w:val="32"/>
          <w:highlight w:val="none"/>
        </w:rPr>
      </w:pPr>
      <w:r>
        <w:rPr>
          <w:rFonts w:ascii="宋体" w:hAnsi="宋体"/>
          <w:b/>
          <w:spacing w:val="20"/>
          <w:sz w:val="32"/>
          <w:szCs w:val="32"/>
          <w:highlight w:val="none"/>
        </w:rPr>
      </w:r>
      <w:r/>
    </w:p>
    <w:p>
      <w:pPr>
        <w:pStyle w:val="107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7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7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7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72"/>
        <w:jc w:val="center"/>
        <w:rPr>
          <w:rFonts w:ascii="宋体" w:hAnsi="宋体"/>
          <w:b/>
          <w:sz w:val="32"/>
          <w:szCs w:val="32"/>
          <w:highlight w:val="none"/>
        </w:rPr>
      </w:pPr>
      <w:r>
        <w:rPr>
          <w:rFonts w:ascii="宋体" w:hAnsi="宋体"/>
          <w:b/>
          <w:sz w:val="32"/>
          <w:szCs w:val="32"/>
          <w:highlight w:val="none"/>
        </w:rPr>
      </w:r>
      <w:r/>
    </w:p>
    <w:p>
      <w:pPr>
        <w:pStyle w:val="1072"/>
        <w:jc w:val="center"/>
        <w:rPr>
          <w:rFonts w:ascii="宋体" w:hAnsi="宋体"/>
          <w:b/>
          <w:sz w:val="32"/>
          <w:szCs w:val="32"/>
          <w:highlight w:val="none"/>
        </w:rPr>
      </w:pPr>
      <w:r>
        <w:rPr>
          <w:rFonts w:ascii="宋体" w:hAnsi="宋体"/>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72"/>
        <w:rPr>
          <w:rFonts w:ascii="宋体" w:hAnsi="宋体"/>
          <w:b/>
          <w:highlight w:val="none"/>
        </w:rPr>
      </w:pPr>
      <w:r>
        <w:rPr>
          <w:rFonts w:ascii="宋体" w:hAnsi="宋体"/>
          <w:b/>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7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91"/>
        <w:ind w:firstLine="480"/>
        <w:spacing w:line="460" w:lineRule="exact"/>
        <w:rPr>
          <w:rFonts w:hAnsi="宋体"/>
          <w:highlight w:val="none"/>
        </w:rPr>
      </w:pP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致：常州市城投建设工程招标有限公司</w:t>
      </w:r>
      <w:r>
        <w:rPr>
          <w:rFonts w:hAnsi="宋体"/>
          <w:highlight w:val="none"/>
        </w:rPr>
      </w:r>
      <w:r/>
    </w:p>
    <w:p>
      <w:pPr>
        <w:pStyle w:val="1091"/>
        <w:ind w:firstLine="960"/>
        <w:spacing w:line="460" w:lineRule="exact"/>
        <w:rPr>
          <w:rFonts w:hAnsi="宋体"/>
          <w:highlight w:val="none"/>
          <w:u w:val="single"/>
        </w:rPr>
      </w:pPr>
      <w:r>
        <w:rPr>
          <w:rFonts w:hint="eastAsia" w:hAnsi="宋体"/>
          <w:highlight w:val="none"/>
          <w:u w:val="single"/>
        </w:rPr>
        <w:t xml:space="preserve">（采购人名称）</w:t>
      </w:r>
      <w:r>
        <w:rPr>
          <w:rFonts w:hAnsi="宋体"/>
          <w:highlight w:val="none"/>
          <w:u w:val="single"/>
        </w:rPr>
      </w:r>
      <w:r/>
    </w:p>
    <w:p>
      <w:pPr>
        <w:pStyle w:val="1091"/>
        <w:ind w:firstLine="480"/>
        <w:spacing w:line="460" w:lineRule="exact"/>
        <w:rPr>
          <w:rFonts w:hAnsi="宋体"/>
          <w:highlight w:val="none"/>
        </w:rPr>
      </w:pP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按照《中华人民共和国政府采购法》第二十二条和招标文件的规定，我单位郑重声明如下：</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一、我单位是按照中华人民共和国法律规定登记注册的，注册地点为</w:t>
      </w:r>
      <w:r>
        <w:rPr>
          <w:rFonts w:hint="eastAsia" w:hAnsi="宋体"/>
          <w:highlight w:val="none"/>
          <w:u w:val="single"/>
        </w:rPr>
        <w:t xml:space="preserve">         </w:t>
      </w:r>
      <w:r>
        <w:rPr>
          <w:rFonts w:hint="eastAsia" w:hAnsi="宋体"/>
          <w:highlight w:val="none"/>
        </w:rPr>
        <w:t xml:space="preserve">，全称为</w:t>
      </w:r>
      <w:r>
        <w:rPr>
          <w:rFonts w:hint="eastAsia" w:hAnsi="宋体"/>
          <w:highlight w:val="none"/>
          <w:u w:val="single"/>
        </w:rPr>
        <w:t xml:space="preserve">        </w:t>
      </w:r>
      <w:r>
        <w:rPr>
          <w:rFonts w:hint="eastAsia" w:hAnsi="宋体"/>
          <w:highlight w:val="none"/>
        </w:rPr>
        <w:t xml:space="preserve">，统一社会信用代码为</w:t>
      </w:r>
      <w:r>
        <w:rPr>
          <w:rFonts w:hint="eastAsia" w:hAnsi="宋体"/>
          <w:highlight w:val="none"/>
          <w:u w:val="single"/>
        </w:rPr>
        <w:t xml:space="preserve">           </w:t>
      </w:r>
      <w:r>
        <w:rPr>
          <w:rFonts w:hint="eastAsia" w:hAnsi="宋体"/>
          <w:highlight w:val="none"/>
        </w:rPr>
        <w:t xml:space="preserve"> ，法定代表人（单位负责人）为</w:t>
      </w:r>
      <w:r>
        <w:rPr>
          <w:rFonts w:hint="eastAsia" w:hAnsi="宋体"/>
          <w:highlight w:val="none"/>
          <w:u w:val="single"/>
        </w:rPr>
        <w:t xml:space="preserve">         </w:t>
      </w:r>
      <w:r>
        <w:rPr>
          <w:rFonts w:hint="eastAsia" w:hAnsi="宋体"/>
          <w:highlight w:val="none"/>
        </w:rPr>
        <w:t xml:space="preserve">，具有独立承担民事责任的能力</w:t>
      </w:r>
      <w:r>
        <w:rPr>
          <w:rFonts w:hint="eastAsia" w:hAnsi="宋体"/>
          <w:b/>
          <w:highlight w:val="none"/>
        </w:rPr>
        <w:t xml:space="preserve">（如属于分公司经总公司授权参与项目，由总公司承担民事责任的，需提供总公司项目授权书）</w:t>
      </w:r>
      <w:r>
        <w:rPr>
          <w:rFonts w:hint="eastAsia" w:hAnsi="宋体"/>
          <w:highlight w:val="none"/>
        </w:rPr>
        <w:t xml:space="preserve">。</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二、我单位具有良好的商业信誉（指投标人经营状况良好，无本资格声明第十条情形）和健全的财务会计制度。</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三、我单位依法进行纳税和社会保险申报并实际履行了义务。</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四、我单位具有履行本项目采购合同所必需的设备和专业技术能力，并具有履行合同的良好</w:t>
      </w:r>
      <w:r>
        <w:rPr>
          <w:rFonts w:hAnsi="宋体"/>
          <w:highlight w:val="none"/>
        </w:rPr>
        <w:t xml:space="preserve">记录</w:t>
      </w:r>
      <w:r>
        <w:rPr>
          <w:rFonts w:hint="eastAsia" w:hAnsi="宋体"/>
          <w:highlight w:val="none"/>
        </w:rPr>
        <w:t xml:space="preserve">。为履行本项采购合同我单位具备如下主要设备和主要专业技术能力:</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主要设备有：</w:t>
      </w:r>
      <w:r>
        <w:rPr>
          <w:rFonts w:hAnsi="宋体"/>
          <w:highlight w:val="none"/>
          <w:u w:val="single"/>
        </w:rPr>
        <w:t xml:space="preserve">            </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主要专业技术能力有</w:t>
      </w:r>
      <w:r>
        <w:rPr>
          <w:rFonts w:hint="eastAsia" w:hAnsi="宋体"/>
          <w:highlight w:val="none"/>
          <w:u w:val="single"/>
        </w:rPr>
        <w:t xml:space="preserve">                 </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六、我单位具备法律、行政法规规定的其他条件。</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七、与我单位存在“单位负责人为同一人或者存在直接控股、管理关系”的其他单位信息如下（如无此情形的，填写“无”）：</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1、与我单位的法定代表人（单位负责人）为同一人的其他单位如下：</w:t>
      </w:r>
      <w:r>
        <w:rPr>
          <w:rFonts w:hint="eastAsia" w:hAnsi="宋体"/>
          <w:highlight w:val="none"/>
          <w:u w:val="single"/>
        </w:rPr>
        <w:t xml:space="preserve">     </w:t>
      </w:r>
      <w:r>
        <w:rPr>
          <w:rFonts w:hint="eastAsia" w:hAnsi="宋体"/>
          <w:highlight w:val="none"/>
        </w:rPr>
        <w:t xml:space="preserve">          </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2、我单位直接控股的其他单位如下：</w:t>
      </w:r>
      <w:r>
        <w:rPr>
          <w:rFonts w:hint="eastAsia" w:hAnsi="宋体"/>
          <w:highlight w:val="none"/>
          <w:u w:val="single"/>
        </w:rPr>
        <w:t xml:space="preserve">                    </w:t>
      </w:r>
      <w:r>
        <w:rPr>
          <w:rFonts w:hint="eastAsia" w:hAnsi="宋体"/>
          <w:highlight w:val="none"/>
        </w:rPr>
        <w:t xml:space="preserve"> </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3、与我单位存在管理关系的其他单位如下：</w:t>
      </w:r>
      <w:r>
        <w:rPr>
          <w:rFonts w:hint="eastAsia" w:hAnsi="宋体"/>
          <w:highlight w:val="none"/>
          <w:u w:val="single"/>
        </w:rPr>
        <w:t xml:space="preserve">              </w:t>
      </w:r>
      <w:r>
        <w:rPr>
          <w:rFonts w:hint="eastAsia" w:hAnsi="宋体"/>
          <w:highlight w:val="none"/>
        </w:rPr>
        <w:t xml:space="preserve"> </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八、</w:t>
      </w:r>
      <w:r>
        <w:rPr>
          <w:rFonts w:hAnsi="宋体"/>
          <w:highlight w:val="none"/>
        </w:rPr>
        <w:t xml:space="preserve">我</w:t>
      </w:r>
      <w:r>
        <w:rPr>
          <w:rFonts w:hint="eastAsia" w:hAnsi="宋体"/>
          <w:highlight w:val="none"/>
        </w:rPr>
        <w:t xml:space="preserve">单位</w:t>
      </w:r>
      <w:r>
        <w:rPr>
          <w:rFonts w:hAnsi="宋体"/>
          <w:highlight w:val="none"/>
        </w:rPr>
        <w:t xml:space="preserve">不属于为本项目提供整体设计、规范编制或者项目管理、监理、检测等服务的投标人。</w:t>
      </w: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九、</w:t>
      </w:r>
      <w:r>
        <w:rPr>
          <w:rFonts w:hAnsi="宋体"/>
          <w:highlight w:val="none"/>
        </w:rPr>
        <w:t xml:space="preserve">我单位无以下不良信用记录情形：</w:t>
      </w:r>
      <w:r>
        <w:rPr>
          <w:rFonts w:hAnsi="宋体"/>
          <w:highlight w:val="none"/>
        </w:rPr>
      </w:r>
      <w:r/>
    </w:p>
    <w:p>
      <w:pPr>
        <w:pStyle w:val="1091"/>
        <w:ind w:firstLine="480"/>
        <w:spacing w:line="460" w:lineRule="exact"/>
        <w:rPr>
          <w:rFonts w:hAnsi="宋体"/>
          <w:highlight w:val="none"/>
        </w:rPr>
      </w:pPr>
      <w:r>
        <w:rPr>
          <w:rFonts w:hAnsi="宋体"/>
          <w:highlight w:val="none"/>
        </w:rPr>
        <w:t xml:space="preserve">1</w:t>
      </w:r>
      <w:r>
        <w:rPr>
          <w:rFonts w:hint="eastAsia" w:hAnsi="宋体"/>
          <w:highlight w:val="none"/>
        </w:rPr>
        <w:t xml:space="preserve">、在“信用中国”网站被列入失信被执行人和重大税收违法案件当事人名单；</w:t>
      </w:r>
      <w:r>
        <w:rPr>
          <w:rFonts w:hAnsi="宋体"/>
          <w:highlight w:val="none"/>
        </w:rPr>
      </w:r>
      <w:r/>
    </w:p>
    <w:p>
      <w:pPr>
        <w:pStyle w:val="1091"/>
        <w:ind w:firstLine="480"/>
        <w:spacing w:line="460" w:lineRule="exact"/>
        <w:rPr>
          <w:rFonts w:hAnsi="宋体"/>
          <w:highlight w:val="none"/>
        </w:rPr>
      </w:pPr>
      <w:r>
        <w:rPr>
          <w:rFonts w:hAnsi="宋体"/>
          <w:highlight w:val="none"/>
        </w:rPr>
        <w:t xml:space="preserve">2</w:t>
      </w:r>
      <w:r>
        <w:rPr>
          <w:rFonts w:hint="eastAsia" w:hAnsi="宋体"/>
          <w:highlight w:val="none"/>
        </w:rPr>
        <w:t xml:space="preserve">、在“中国政府采购网”网站被列入政府采购严重违法失信行为记录名单；</w:t>
      </w:r>
      <w:r>
        <w:rPr>
          <w:rFonts w:hAnsi="宋体"/>
          <w:highlight w:val="none"/>
        </w:rPr>
      </w:r>
      <w:r/>
    </w:p>
    <w:p>
      <w:pPr>
        <w:pStyle w:val="1091"/>
        <w:ind w:firstLine="480"/>
        <w:spacing w:line="460" w:lineRule="exact"/>
        <w:rPr>
          <w:rFonts w:hAnsi="宋体"/>
          <w:highlight w:val="none"/>
        </w:rPr>
      </w:pPr>
      <w:r>
        <w:rPr>
          <w:rFonts w:hAnsi="宋体"/>
          <w:highlight w:val="none"/>
        </w:rPr>
        <w:t xml:space="preserve">3</w:t>
      </w:r>
      <w:r>
        <w:rPr>
          <w:rFonts w:hint="eastAsia" w:hAnsi="宋体"/>
          <w:highlight w:val="none"/>
        </w:rPr>
        <w:t xml:space="preserve">、</w:t>
      </w:r>
      <w:r>
        <w:rPr>
          <w:rFonts w:hAnsi="宋体"/>
          <w:highlight w:val="none"/>
        </w:rPr>
        <w:t xml:space="preserve">不符合《政府采购法》第二十二条规定的条件。</w:t>
      </w:r>
      <w:r>
        <w:rPr>
          <w:rFonts w:hAnsi="宋体"/>
          <w:highlight w:val="none"/>
        </w:rPr>
      </w:r>
      <w:r/>
    </w:p>
    <w:p>
      <w:pPr>
        <w:pStyle w:val="1091"/>
        <w:ind w:firstLine="480"/>
        <w:spacing w:line="460" w:lineRule="exact"/>
        <w:rPr>
          <w:rFonts w:hAnsi="宋体"/>
          <w:highlight w:val="none"/>
        </w:rPr>
      </w:pPr>
      <w:r>
        <w:rPr>
          <w:rFonts w:hAnsi="宋体"/>
          <w:highlight w:val="none"/>
        </w:rPr>
      </w:r>
      <w:r/>
    </w:p>
    <w:p>
      <w:pPr>
        <w:pStyle w:val="1091"/>
        <w:ind w:firstLine="480"/>
        <w:spacing w:line="460" w:lineRule="exact"/>
        <w:rPr>
          <w:rFonts w:hAnsi="宋体"/>
          <w:highlight w:val="none"/>
        </w:rPr>
      </w:pPr>
      <w:r>
        <w:rPr>
          <w:rFonts w:hint="eastAsia" w:hAnsi="宋体"/>
          <w:highlight w:val="none"/>
        </w:rPr>
        <w:t xml:space="preserve">我单位保证上述声明的事项都是真实的，如有虚假，我单位愿意承担相应的法律责任，并承担因此所造成的一切损失。</w:t>
      </w:r>
      <w:r>
        <w:rPr>
          <w:rFonts w:hAnsi="宋体"/>
          <w:highlight w:val="none"/>
        </w:rPr>
      </w:r>
      <w:r/>
    </w:p>
    <w:p>
      <w:pPr>
        <w:pStyle w:val="1091"/>
        <w:ind w:firstLine="480"/>
        <w:spacing w:line="460" w:lineRule="exact"/>
        <w:rPr>
          <w:rFonts w:hAnsi="宋体"/>
          <w:highlight w:val="none"/>
        </w:rPr>
      </w:pPr>
      <w:r>
        <w:rPr>
          <w:rFonts w:hAnsi="宋体"/>
          <w:highlight w:val="none"/>
        </w:rPr>
      </w:r>
      <w:r/>
    </w:p>
    <w:p>
      <w:pPr>
        <w:pStyle w:val="1091"/>
        <w:ind w:firstLine="480"/>
        <w:spacing w:line="460" w:lineRule="exact"/>
        <w:rPr>
          <w:rFonts w:hAnsi="宋体"/>
          <w:highlight w:val="none"/>
        </w:rPr>
      </w:pPr>
      <w:r>
        <w:rPr>
          <w:rFonts w:hAnsi="宋体"/>
          <w:highlight w:val="none"/>
        </w:rPr>
      </w:r>
      <w:r/>
    </w:p>
    <w:p>
      <w:pPr>
        <w:pStyle w:val="1091"/>
        <w:ind w:firstLine="840"/>
        <w:spacing w:line="460" w:lineRule="exact"/>
        <w:rPr>
          <w:rFonts w:hAnsi="宋体"/>
          <w:highlight w:val="none"/>
        </w:rPr>
      </w:pPr>
      <w:r>
        <w:rPr>
          <w:rFonts w:hint="eastAsia" w:hAnsi="宋体"/>
          <w:highlight w:val="none"/>
        </w:rPr>
        <w:t xml:space="preserve">投标人：（加盖公章）</w:t>
      </w:r>
      <w:r>
        <w:rPr>
          <w:rFonts w:hAnsi="宋体"/>
          <w:highlight w:val="none"/>
        </w:rPr>
      </w:r>
      <w:r/>
    </w:p>
    <w:p>
      <w:pPr>
        <w:pStyle w:val="1091"/>
        <w:ind w:firstLine="840"/>
        <w:spacing w:line="460" w:lineRule="exact"/>
        <w:rPr>
          <w:rFonts w:hAnsi="宋体"/>
          <w:highlight w:val="none"/>
        </w:rPr>
      </w:pPr>
      <w:r>
        <w:rPr>
          <w:rFonts w:hint="eastAsia" w:hAnsi="宋体"/>
          <w:highlight w:val="none"/>
        </w:rPr>
        <w:t xml:space="preserve">法定代表人（或单位负责人）签字或盖章：</w:t>
      </w:r>
      <w:r>
        <w:rPr>
          <w:rFonts w:hAnsi="宋体"/>
          <w:highlight w:val="none"/>
        </w:rPr>
      </w:r>
      <w:r/>
    </w:p>
    <w:p>
      <w:pPr>
        <w:pStyle w:val="1091"/>
        <w:ind w:firstLine="840"/>
        <w:spacing w:line="460" w:lineRule="exact"/>
        <w:rPr>
          <w:rFonts w:hint="eastAsia" w:hAnsi="宋体"/>
          <w:highlight w:val="none"/>
        </w:rPr>
      </w:pPr>
      <w:r>
        <w:rPr>
          <w:rFonts w:hint="eastAsia" w:hAnsi="宋体"/>
          <w:highlight w:val="none"/>
        </w:rPr>
        <w:t xml:space="preserve">日期：    年    月    日</w:t>
      </w:r>
      <w:r>
        <w:rPr>
          <w:rFonts w:hint="eastAsia" w:hAnsi="宋体"/>
          <w:highlight w:val="none"/>
        </w:rPr>
      </w:r>
      <w:r/>
    </w:p>
    <w:p>
      <w:pPr>
        <w:pStyle w:val="1072"/>
        <w:spacing w:line="360" w:lineRule="auto"/>
        <w:rPr>
          <w:rFonts w:hint="eastAsia" w:ascii="宋体" w:hAnsi="宋体"/>
          <w:sz w:val="24"/>
          <w:highlight w:val="none"/>
        </w:rPr>
      </w:pPr>
      <w:r>
        <w:rPr>
          <w:rFonts w:hint="eastAsia" w:ascii="宋体" w:hAnsi="宋体"/>
          <w:sz w:val="24"/>
          <w:highlight w:val="none"/>
        </w:rPr>
      </w:r>
      <w:r/>
    </w:p>
    <w:p>
      <w:pPr>
        <w:pStyle w:val="1072"/>
        <w:spacing w:line="360" w:lineRule="auto"/>
        <w:rPr>
          <w:rFonts w:hint="eastAsia" w:ascii="宋体" w:hAnsi="宋体"/>
          <w:sz w:val="24"/>
          <w:highlight w:val="none"/>
        </w:rPr>
      </w:pPr>
      <w:r>
        <w:rPr>
          <w:rFonts w:hint="eastAsia" w:ascii="宋体" w:hAnsi="宋体"/>
          <w:sz w:val="24"/>
          <w:highlight w:val="none"/>
        </w:rPr>
      </w:r>
      <w:r/>
    </w:p>
    <w:p>
      <w:pPr>
        <w:pStyle w:val="1072"/>
        <w:spacing w:line="360" w:lineRule="auto"/>
        <w:rPr>
          <w:rFonts w:hint="eastAsia" w:ascii="宋体" w:hAnsi="宋体"/>
          <w:sz w:val="24"/>
          <w:highlight w:val="none"/>
        </w:rPr>
      </w:pPr>
      <w:r>
        <w:rPr>
          <w:rFonts w:hint="eastAsia" w:ascii="宋体" w:hAnsi="宋体"/>
          <w:sz w:val="24"/>
          <w:highlight w:val="none"/>
        </w:rPr>
      </w:r>
      <w:r/>
    </w:p>
    <w:p>
      <w:pPr>
        <w:pStyle w:val="1072"/>
        <w:spacing w:line="360" w:lineRule="auto"/>
        <w:rPr>
          <w:rFonts w:ascii="宋体" w:hAnsi="宋体"/>
          <w:sz w:val="24"/>
          <w:highlight w:val="none"/>
        </w:rPr>
      </w:pPr>
      <w:r>
        <w:rPr>
          <w:rFonts w:ascii="宋体" w:hAnsi="宋体"/>
          <w:sz w:val="24"/>
          <w:highlight w:val="none"/>
        </w:rPr>
        <w:t xml:space="preserve">说明：</w:t>
      </w:r>
      <w:r>
        <w:rPr>
          <w:rFonts w:hint="eastAsia" w:ascii="宋体" w:hAnsi="宋体"/>
          <w:sz w:val="24"/>
          <w:highlight w:val="none"/>
        </w:rPr>
        <w:t xml:space="preserve">供应商承诺不实的，依据《政府采购法》第七十七条“提供虚假材料谋取中标、成交的”有关规定予以处理</w:t>
      </w:r>
      <w:r>
        <w:rPr>
          <w:rFonts w:ascii="宋体" w:hAnsi="宋体"/>
          <w:sz w:val="24"/>
          <w:highlight w:val="none"/>
        </w:rPr>
        <w:t xml:space="preserve">。</w:t>
      </w:r>
      <w:r>
        <w:rPr>
          <w:rFonts w:ascii="宋体" w:hAnsi="宋体"/>
          <w:sz w:val="24"/>
          <w:highlight w:val="none"/>
        </w:rPr>
      </w:r>
      <w:r/>
    </w:p>
    <w:p>
      <w:pPr>
        <w:pStyle w:val="1072"/>
        <w:spacing w:line="360" w:lineRule="auto"/>
        <w:tabs>
          <w:tab w:val="left" w:pos="5580" w:leader="none"/>
        </w:tabs>
        <w:rPr>
          <w:rFonts w:ascii="宋体" w:hAnsi="宋体"/>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sz w:val="24"/>
          <w:highlight w:val="none"/>
        </w:rPr>
      </w:pPr>
      <w:r>
        <w:rPr>
          <w:rFonts w:ascii="宋体" w:hAnsi="宋体"/>
          <w:sz w:val="24"/>
          <w:highlight w:val="none"/>
        </w:rPr>
      </w:r>
      <w:r/>
    </w:p>
    <w:p>
      <w:pPr>
        <w:pStyle w:val="1072"/>
        <w:spacing w:line="360" w:lineRule="auto"/>
        <w:rPr>
          <w:rFonts w:ascii="宋体" w:hAnsi="宋体"/>
          <w:b/>
          <w:sz w:val="24"/>
          <w:highlight w:val="none"/>
        </w:rPr>
        <w:outlineLvl w:val="2"/>
      </w:pPr>
      <w:r>
        <w:rPr>
          <w:rFonts w:ascii="宋体" w:hAnsi="宋体"/>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sz w:val="24"/>
          <w:highlight w:val="none"/>
        </w:rPr>
      </w:r>
      <w:r/>
    </w:p>
    <w:p>
      <w:pPr>
        <w:pStyle w:val="1072"/>
        <w:spacing w:line="360" w:lineRule="auto"/>
        <w:rPr>
          <w:rFonts w:hint="eastAsia" w:ascii="宋体" w:hAnsi="宋体"/>
          <w:b/>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ind w:left="719" w:hanging="240"/>
        <w:spacing w:line="360" w:lineRule="auto"/>
        <w:rPr>
          <w:rFonts w:hint="eastAsia" w:ascii="宋体" w:hAnsi="宋体"/>
          <w:sz w:val="24"/>
          <w:szCs w:val="20"/>
          <w:highlight w:val="none"/>
        </w:rPr>
      </w:pPr>
      <w:r>
        <w:rPr>
          <w:rFonts w:hint="eastAsia" w:ascii="宋体" w:hAnsi="宋体"/>
          <w:sz w:val="24"/>
          <w:szCs w:val="20"/>
          <w:highlight w:val="none"/>
        </w:rPr>
      </w:r>
      <w:r/>
    </w:p>
    <w:p>
      <w:pPr>
        <w:pStyle w:val="1072"/>
        <w:jc w:val="left"/>
        <w:keepLines/>
        <w:keepNext/>
        <w:spacing w:before="120" w:line="300" w:lineRule="auto"/>
        <w:rPr>
          <w:rFonts w:hint="eastAsia" w:ascii="宋体" w:hAnsi="宋体"/>
          <w:b/>
          <w:sz w:val="32"/>
          <w:szCs w:val="32"/>
          <w:highlight w:val="none"/>
        </w:rPr>
        <w:outlineLvl w:val="1"/>
      </w:pPr>
      <w:r>
        <w:rPr>
          <w:rFonts w:ascii="宋体" w:hAnsi="宋体"/>
          <w:b/>
          <w:spacing w:val="20"/>
          <w:sz w:val="24"/>
          <w:highlight w:val="none"/>
        </w:rPr>
        <w:t xml:space="preserve">二、商务技术文件格式</w:t>
      </w:r>
      <w:bookmarkStart w:id="819" w:name="_Toc150480794"/>
      <w:r/>
      <w:bookmarkStart w:id="820" w:name="_Toc127151556"/>
      <w:r/>
      <w:bookmarkStart w:id="821" w:name="_Toc480942349"/>
      <w:r/>
      <w:bookmarkStart w:id="822" w:name="_Toc150774761"/>
      <w:r/>
      <w:bookmarkStart w:id="823" w:name="_Toc226309800"/>
      <w:r/>
      <w:bookmarkStart w:id="824" w:name="_Ref467988698"/>
      <w:r/>
      <w:bookmarkStart w:id="825" w:name="_Toc520356217"/>
      <w:r/>
      <w:bookmarkStart w:id="826" w:name="_Toc195842921"/>
      <w:r/>
      <w:bookmarkStart w:id="827" w:name="_Toc226965746"/>
      <w:r/>
      <w:bookmarkStart w:id="828" w:name="_Toc142311058"/>
      <w:r/>
      <w:bookmarkStart w:id="829" w:name="_Toc226337252"/>
      <w:r/>
      <w:bookmarkStart w:id="830" w:name="_Toc226965829"/>
      <w:r>
        <w:rPr>
          <w:rFonts w:hint="eastAsia" w:ascii="宋体" w:hAnsi="宋体"/>
          <w:b/>
          <w:sz w:val="32"/>
          <w:szCs w:val="32"/>
          <w:highlight w:val="none"/>
        </w:rPr>
      </w:r>
      <w:r/>
    </w:p>
    <w:p>
      <w:pPr>
        <w:pStyle w:val="1072"/>
        <w:jc w:val="center"/>
        <w:widowControl/>
        <w:rPr>
          <w:rFonts w:hint="eastAsia" w:ascii="宋体" w:hAnsi="宋体"/>
          <w:b/>
          <w:sz w:val="32"/>
          <w:szCs w:val="32"/>
          <w:highlight w:val="none"/>
        </w:rPr>
      </w:pPr>
      <w:r>
        <w:rPr>
          <w:rFonts w:hint="eastAsia" w:ascii="宋体" w:hAnsi="宋体"/>
          <w:b/>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1" w:name="_Hlt520356243"/>
      <w:r/>
      <w:bookmarkEnd w:id="831"/>
      <w:r/>
      <w:bookmarkStart w:id="832" w:name="_Hlt520355938"/>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7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72"/>
        <w:spacing w:line="560" w:lineRule="exact"/>
        <w:rPr>
          <w:rFonts w:ascii="宋体" w:hAnsi="宋体"/>
          <w:sz w:val="24"/>
          <w:highlight w:val="none"/>
        </w:rPr>
      </w:pPr>
      <w:r>
        <w:rPr>
          <w:rFonts w:ascii="宋体" w:hAnsi="宋体"/>
          <w:sz w:val="24"/>
          <w:highlight w:val="none"/>
        </w:rPr>
      </w:r>
      <w:r/>
    </w:p>
    <w:p>
      <w:pPr>
        <w:pStyle w:val="1108"/>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107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7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sz w:val="24"/>
          <w:highlight w:val="none"/>
        </w:rPr>
        <w:outlineLvl w:val="2"/>
      </w:pPr>
      <w:r>
        <w:rPr>
          <w:rFonts w:hint="eastAsia" w:ascii="宋体" w:hAnsi="宋体"/>
          <w:b/>
          <w:sz w:val="24"/>
          <w:highlight w:val="none"/>
        </w:rPr>
        <w:t xml:space="preserve">3</w:t>
      </w:r>
      <w:r>
        <w:rPr>
          <w:rFonts w:ascii="宋体" w:hAnsi="宋体"/>
          <w:b/>
          <w:sz w:val="24"/>
          <w:highlight w:val="none"/>
        </w:rPr>
        <w:t xml:space="preserve">  </w:t>
      </w:r>
      <w:r>
        <w:rPr>
          <w:rFonts w:hint="eastAsia" w:ascii="宋体" w:hAnsi="宋体"/>
          <w:b/>
          <w:sz w:val="24"/>
          <w:highlight w:val="none"/>
        </w:rPr>
        <w:t xml:space="preserve">授权委托书（实质性格式）</w:t>
      </w:r>
      <w:r>
        <w:rPr>
          <w:rFonts w:ascii="宋体" w:hAnsi="宋体"/>
          <w:b/>
          <w:sz w:val="24"/>
          <w:highlight w:val="none"/>
        </w:rPr>
      </w:r>
      <w:r/>
    </w:p>
    <w:p>
      <w:pPr>
        <w:pStyle w:val="1072"/>
        <w:jc w:val="center"/>
        <w:rPr>
          <w:rFonts w:hint="eastAsia" w:ascii="宋体" w:hAnsi="宋体"/>
          <w:b/>
          <w:sz w:val="32"/>
          <w:szCs w:val="32"/>
          <w:highlight w:val="none"/>
        </w:rPr>
      </w:pPr>
      <w:r>
        <w:rPr>
          <w:rFonts w:hint="eastAsia" w:ascii="宋体" w:hAnsi="宋体"/>
          <w:b/>
          <w:sz w:val="32"/>
          <w:szCs w:val="32"/>
          <w:highlight w:val="none"/>
        </w:rPr>
      </w:r>
      <w:r/>
    </w:p>
    <w:p>
      <w:pPr>
        <w:pStyle w:val="1325"/>
        <w:jc w:val="center"/>
        <w:spacing w:line="480" w:lineRule="auto"/>
        <w:rPr>
          <w:rFonts w:cs="宋体"/>
          <w:sz w:val="24"/>
          <w:highlight w:val="none"/>
        </w:rPr>
      </w:pPr>
      <w:r>
        <w:rPr>
          <w:rFonts w:hint="eastAsia"/>
          <w:b/>
          <w:sz w:val="36"/>
          <w:szCs w:val="36"/>
          <w:highlight w:val="none"/>
        </w:rPr>
        <w:t xml:space="preserve">授权委托书</w:t>
      </w:r>
      <w:r>
        <w:rPr>
          <w:rFonts w:cs="宋体"/>
          <w:sz w:val="24"/>
          <w:highlight w:val="none"/>
        </w:rPr>
      </w:r>
      <w:r/>
    </w:p>
    <w:p>
      <w:pPr>
        <w:pStyle w:val="1072"/>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highlight w:val="none"/>
        </w:rPr>
      </w:r>
      <w:r/>
    </w:p>
    <w:p>
      <w:pPr>
        <w:pStyle w:val="1072"/>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1072"/>
        <w:spacing w:line="400" w:lineRule="exact"/>
        <w:rPr>
          <w:rFonts w:hint="eastAsia" w:ascii="宋体" w:hAnsi="宋体" w:cs="宋体"/>
          <w:szCs w:val="21"/>
          <w:highlight w:val="none"/>
        </w:rPr>
      </w:pPr>
      <w:r>
        <w:rPr>
          <w:rFonts w:hint="eastAsia" w:ascii="宋体" w:hAnsi="宋体" w:cs="宋体"/>
          <w:szCs w:val="21"/>
          <w:highlight w:val="none"/>
        </w:rPr>
      </w:r>
      <w:r/>
    </w:p>
    <w:p>
      <w:pPr>
        <w:pStyle w:val="1072"/>
        <w:spacing w:line="360" w:lineRule="auto"/>
        <w:rPr>
          <w:rFonts w:ascii="宋体" w:hAnsi="宋体" w:cs="宋体"/>
          <w:sz w:val="24"/>
          <w:highlight w:val="none"/>
        </w:rPr>
      </w:pPr>
      <w:r>
        <w:rPr>
          <w:rFonts w:hint="eastAsia" w:ascii="宋体" w:hAnsi="宋体" w:cs="宋体"/>
          <w:sz w:val="24"/>
          <w:highlight w:val="none"/>
        </w:rPr>
        <w:t xml:space="preserve">投标人公章： </w:t>
      </w:r>
      <w:r>
        <w:rPr>
          <w:rFonts w:ascii="宋体" w:hAnsi="宋体" w:cs="宋体"/>
          <w:sz w:val="24"/>
          <w:highlight w:val="none"/>
        </w:rPr>
      </w:r>
      <w:r/>
    </w:p>
    <w:p>
      <w:pPr>
        <w:pStyle w:val="1072"/>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rPr>
          <w:rFonts w:hint="eastAsia" w:ascii="宋体" w:hAnsi="宋体" w:cs="宋体"/>
          <w:sz w:val="24"/>
          <w:highlight w:val="none"/>
        </w:rPr>
      </w:r>
      <w:r/>
    </w:p>
    <w:p>
      <w:pPr>
        <w:pStyle w:val="125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sz w:val="24"/>
          <w:highlight w:val="none"/>
        </w:rPr>
      </w:pPr>
      <w:r>
        <w:rPr>
          <w:rFonts w:ascii="宋体" w:hAnsi="宋体" w:cs="宋体"/>
          <w:sz w:val="24"/>
          <w:highlight w:val="none"/>
        </w:rPr>
      </w:r>
      <w:r/>
    </w:p>
    <w:p>
      <w:pPr>
        <w:pStyle w:val="1108"/>
        <w:ind w:right="-46"/>
        <w:spacing w:line="583" w:lineRule="auto"/>
        <w:tabs>
          <w:tab w:val="left" w:pos="567" w:leader="none"/>
        </w:tabs>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rPr>
          <w:b/>
          <w:bCs/>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p>
            <w:pPr>
              <w:pStyle w:val="1072"/>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pStyle w:val="1108"/>
        <w:ind w:right="-46"/>
        <w:spacing w:line="583" w:lineRule="auto"/>
        <w:tabs>
          <w:tab w:val="left" w:pos="567" w:leader="none"/>
        </w:tabs>
        <w:rPr>
          <w:rFonts w:hint="eastAsia"/>
          <w:b/>
          <w:bCs/>
          <w:highlight w:val="none"/>
        </w:rPr>
      </w:pPr>
      <w:r>
        <w:rPr>
          <w:rFonts w:hint="eastAsia"/>
          <w:b/>
          <w:bCs/>
          <w:highlight w:val="none"/>
        </w:rPr>
        <w:t xml:space="preserve">投标人近三个月内任意一个月（自开标之日往前推）为其缴纳社保的记录</w:t>
      </w:r>
      <w:r>
        <w:rPr>
          <w:rFonts w:hint="eastAsia"/>
          <w:b/>
          <w:bCs/>
          <w:highlight w:val="none"/>
        </w:rPr>
      </w:r>
      <w:r/>
    </w:p>
    <w:p>
      <w:pPr>
        <w:pStyle w:val="1072"/>
        <w:spacing w:line="360" w:lineRule="auto"/>
        <w:rPr>
          <w:rFonts w:hint="eastAsia" w:ascii="宋体" w:hAnsi="宋体" w:cs="宋体"/>
          <w:szCs w:val="21"/>
          <w:highlight w:val="none"/>
        </w:rPr>
      </w:pPr>
      <w:r>
        <w:rPr>
          <w:rFonts w:hint="eastAsia" w:ascii="宋体" w:hAnsi="宋体" w:cs="宋体"/>
          <w:szCs w:val="21"/>
          <w:highlight w:val="none"/>
        </w:rPr>
      </w:r>
      <w:r/>
    </w:p>
    <w:p>
      <w:pPr>
        <w:pStyle w:val="1072"/>
        <w:spacing w:line="360" w:lineRule="auto"/>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p>
      <w:pPr>
        <w:pStyle w:val="1072"/>
        <w:spacing w:line="360" w:lineRule="auto"/>
        <w:rPr>
          <w:rFonts w:ascii="宋体" w:hAnsi="宋体" w:cs="宋体"/>
          <w:szCs w:val="21"/>
          <w:highlight w:val="none"/>
        </w:rPr>
      </w:pPr>
      <w:r>
        <w:rPr>
          <w:rFonts w:hint="eastAsia" w:ascii="宋体" w:hAnsi="宋体" w:cs="宋体"/>
          <w:szCs w:val="21"/>
          <w:highlight w:val="none"/>
        </w:rPr>
        <w:t xml:space="preserve">1.法定代表人参加投标时，不需要提供本授权委托书，需提供本人身份证。</w:t>
      </w:r>
      <w:r>
        <w:rPr>
          <w:rFonts w:ascii="宋体" w:hAnsi="宋体" w:cs="宋体"/>
          <w:szCs w:val="21"/>
          <w:highlight w:val="none"/>
        </w:rPr>
      </w:r>
      <w:r/>
    </w:p>
    <w:p>
      <w:pPr>
        <w:pStyle w:val="1325"/>
        <w:spacing w:line="360" w:lineRule="exact"/>
        <w:rPr>
          <w:rFonts w:cs="宋体"/>
          <w:sz w:val="21"/>
          <w:szCs w:val="21"/>
          <w:highlight w:val="none"/>
        </w:rPr>
      </w:pPr>
      <w:r>
        <w:rPr>
          <w:rFonts w:hint="eastAsia" w:cs="宋体"/>
          <w:sz w:val="21"/>
          <w:szCs w:val="21"/>
          <w:highlight w:val="none"/>
        </w:rPr>
        <w:t xml:space="preserve">2.投标人为自然人的情形，可不提供本《授权委托书》。</w:t>
      </w:r>
      <w:r>
        <w:rPr>
          <w:rFonts w:cs="宋体"/>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1072"/>
        <w:ind w:firstLine="321"/>
        <w:jc w:val="center"/>
        <w:spacing w:line="560" w:lineRule="exact"/>
        <w:rPr>
          <w:rFonts w:ascii="宋体" w:hAnsi="宋体"/>
          <w:b/>
          <w:sz w:val="32"/>
          <w:szCs w:val="32"/>
          <w:highlight w:val="none"/>
        </w:rPr>
      </w:pPr>
      <w:r>
        <w:rPr>
          <w:rFonts w:hint="eastAsia" w:ascii="宋体" w:hAnsi="宋体"/>
          <w:b/>
          <w:sz w:val="32"/>
          <w:szCs w:val="32"/>
          <w:highlight w:val="none"/>
        </w:rPr>
        <w:t xml:space="preserve">政府采购供应商信用承诺书</w:t>
      </w:r>
      <w:r>
        <w:rPr>
          <w:rFonts w:ascii="宋体" w:hAnsi="宋体"/>
          <w:b/>
          <w:sz w:val="32"/>
          <w:szCs w:val="32"/>
          <w:highlight w:val="none"/>
        </w:rPr>
      </w:r>
      <w:r/>
    </w:p>
    <w:p>
      <w:pPr>
        <w:pStyle w:val="1072"/>
        <w:ind w:firstLine="640"/>
        <w:rPr>
          <w:rFonts w:ascii="宋体" w:hAnsi="宋体"/>
          <w:highlight w:val="none"/>
        </w:rPr>
      </w:pPr>
      <w:r>
        <w:rPr>
          <w:rFonts w:ascii="宋体" w:hAnsi="宋体"/>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7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32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33" w:name="_Hlt520350918"/>
      <w:r/>
      <w:bookmarkEnd w:id="833"/>
      <w:r/>
      <w:bookmarkStart w:id="834" w:name="_Hlt520355504"/>
      <w:r/>
      <w:bookmarkEnd w:id="834"/>
      <w:r/>
      <w:bookmarkStart w:id="835" w:name="_Hlt520273711"/>
      <w:r/>
      <w:bookmarkEnd w:id="835"/>
      <w:r/>
      <w:bookmarkStart w:id="836" w:name="_Hlt520274065"/>
      <w:r/>
      <w:bookmarkEnd w:id="836"/>
      <w:r/>
      <w:bookmarkStart w:id="837" w:name="_Hlt520274121"/>
      <w:r/>
      <w:bookmarkEnd w:id="837"/>
      <w:r/>
      <w:bookmarkStart w:id="838" w:name="_Hlt520343392"/>
      <w:r/>
      <w:bookmarkEnd w:id="838"/>
      <w:r/>
      <w:bookmarkStart w:id="839" w:name="_Hlt520343000"/>
      <w:r/>
      <w:bookmarkEnd w:id="839"/>
      <w:r/>
      <w:bookmarkStart w:id="840" w:name="_Hlt520274393"/>
      <w:r/>
      <w:bookmarkEnd w:id="840"/>
      <w:r/>
      <w:bookmarkStart w:id="841" w:name="_Hlt520271212"/>
      <w:r/>
      <w:bookmarkEnd w:id="841"/>
      <w:r/>
      <w:bookmarkStart w:id="842" w:name="_Hlt520274407"/>
      <w:r/>
      <w:bookmarkEnd w:id="842"/>
      <w:r/>
      <w:bookmarkStart w:id="843" w:name="_Toc520356218"/>
      <w:r/>
      <w:bookmarkStart w:id="844" w:name="_Toc226965830"/>
      <w:r/>
      <w:bookmarkStart w:id="845" w:name="_Toc480942350"/>
      <w:r/>
      <w:bookmarkStart w:id="846" w:name="_Toc305158899"/>
      <w:r/>
      <w:bookmarkStart w:id="847" w:name="_Toc264969247"/>
      <w:r/>
      <w:bookmarkStart w:id="848" w:name="_Toc226337253"/>
      <w:r/>
      <w:bookmarkStart w:id="849" w:name="_Toc127151557"/>
      <w:r/>
      <w:bookmarkStart w:id="850" w:name="_Toc226309801"/>
      <w:r/>
      <w:bookmarkStart w:id="851" w:name="_Toc150480795"/>
      <w:r/>
      <w:bookmarkStart w:id="852" w:name="_Toc226965747"/>
      <w:r/>
      <w:bookmarkStart w:id="853" w:name="_Toc305158825"/>
      <w:r/>
      <w:bookmarkStart w:id="854" w:name="_Toc195842922"/>
      <w:r/>
      <w:bookmarkStart w:id="855" w:name="_Toc265228395"/>
      <w:r/>
      <w:bookmarkStart w:id="856" w:name="_Ref467988705"/>
      <w:r/>
      <w:bookmarkStart w:id="857" w:name="_Toc142311059"/>
      <w:r/>
      <w:bookmarkStart w:id="858"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59" w:name="_Toc164608827"/>
      <w:r/>
      <w:bookmarkStart w:id="860" w:name="_Toc265228396"/>
      <w:r/>
      <w:bookmarkStart w:id="861" w:name="_Toc226337254"/>
      <w:r/>
      <w:bookmarkStart w:id="862" w:name="_Toc305158826"/>
      <w:r/>
      <w:bookmarkStart w:id="863" w:name="_Toc226965831"/>
      <w:r/>
      <w:bookmarkStart w:id="864" w:name="_Toc195842923"/>
      <w:r/>
      <w:bookmarkStart w:id="865" w:name="_Toc264969248"/>
      <w:r/>
      <w:bookmarkStart w:id="866" w:name="_Toc305158900"/>
      <w:r/>
      <w:bookmarkStart w:id="867" w:name="_Toc164608672"/>
      <w:r/>
      <w:bookmarkStart w:id="868" w:name="_Toc226309802"/>
      <w:r/>
      <w:bookmarkStart w:id="869" w:name="_Toc226965748"/>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ff0000"/>
          <w:sz w:val="24"/>
          <w:highlight w:val="none"/>
        </w:rPr>
      </w:pPr>
      <w:r>
        <w:rPr>
          <w:rFonts w:ascii="宋体" w:hAnsi="宋体"/>
          <w:i/>
          <w:color w:val="ff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highlight w:val="none"/>
              </w:rPr>
            </w:pPr>
            <w:r>
              <w:rPr>
                <w:rFonts w:ascii="宋体" w:hAnsi="宋体"/>
                <w:b/>
                <w:sz w:val="24"/>
                <w:highlight w:val="none"/>
              </w:rPr>
              <w:t xml:space="preserve">序号</w:t>
            </w:r>
            <w:r>
              <w:rPr>
                <w:rFonts w:ascii="宋体" w:hAnsi="宋体"/>
                <w:b/>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sz w:val="24"/>
                <w:highlight w:val="none"/>
              </w:rPr>
            </w:pPr>
            <w:r>
              <w:rPr>
                <w:rFonts w:ascii="宋体" w:hAnsi="宋体"/>
                <w:b/>
                <w:sz w:val="24"/>
                <w:highlight w:val="none"/>
              </w:rPr>
              <w:t xml:space="preserve">投标人名称</w:t>
            </w:r>
            <w:r>
              <w:rPr>
                <w:rFonts w:ascii="宋体" w:hAnsi="宋体"/>
                <w:b/>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sz w:val="24"/>
                <w:highlight w:val="none"/>
              </w:rPr>
            </w:pPr>
            <w:r>
              <w:rPr>
                <w:rFonts w:ascii="宋体" w:hAnsi="宋体"/>
                <w:b/>
                <w:sz w:val="24"/>
                <w:highlight w:val="none"/>
              </w:rPr>
              <w:t xml:space="preserve">投标报价</w:t>
            </w:r>
            <w:r>
              <w:rPr>
                <w:rFonts w:ascii="宋体" w:hAnsi="宋体"/>
                <w:b/>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pStyle w:val="1072"/>
              <w:jc w:val="center"/>
              <w:tabs>
                <w:tab w:val="left" w:pos="5580" w:leader="none"/>
              </w:tabs>
              <w:rPr>
                <w:rFonts w:ascii="宋体" w:hAnsi="宋体"/>
                <w:b/>
                <w:sz w:val="24"/>
                <w:highlight w:val="none"/>
              </w:rPr>
            </w:pPr>
            <w:r>
              <w:rPr>
                <w:rFonts w:ascii="宋体" w:hAnsi="宋体"/>
                <w:b/>
                <w:sz w:val="24"/>
                <w:highlight w:val="none"/>
              </w:rPr>
              <w:t xml:space="preserve">大写</w:t>
            </w:r>
            <w:r>
              <w:rPr>
                <w:rFonts w:ascii="宋体" w:hAnsi="宋体"/>
                <w:b/>
                <w:sz w:val="24"/>
                <w:highlight w:val="none"/>
              </w:rPr>
            </w:r>
            <w:r/>
          </w:p>
        </w:tc>
        <w:tc>
          <w:tcPr>
            <w:tcW w:w="1182" w:type="dxa"/>
            <w:vAlign w:val="center"/>
            <w:textDirection w:val="lrTb"/>
            <w:noWrap w:val="false"/>
          </w:tcPr>
          <w:p>
            <w:pPr>
              <w:pStyle w:val="1072"/>
              <w:jc w:val="center"/>
              <w:tabs>
                <w:tab w:val="left" w:pos="5580" w:leader="none"/>
              </w:tabs>
              <w:rPr>
                <w:rFonts w:ascii="宋体" w:hAnsi="宋体"/>
                <w:b/>
                <w:sz w:val="24"/>
                <w:highlight w:val="none"/>
              </w:rPr>
            </w:pPr>
            <w:r>
              <w:rPr>
                <w:rFonts w:ascii="宋体" w:hAnsi="宋体"/>
                <w:b/>
                <w:sz w:val="24"/>
                <w:highlight w:val="none"/>
              </w:rPr>
              <w:t xml:space="preserve">小写</w:t>
            </w:r>
            <w:r>
              <w:rPr>
                <w:rFonts w:ascii="宋体" w:hAnsi="宋体"/>
                <w:b/>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c>
          <w:tcPr>
            <w:tcW w:w="2215" w:type="dxa"/>
            <w:vAlign w:val="center"/>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c>
          <w:tcPr>
            <w:tcW w:w="1188" w:type="dxa"/>
            <w:vAlign w:val="center"/>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c>
          <w:tcPr>
            <w:tcW w:w="1182" w:type="dxa"/>
            <w:vAlign w:val="center"/>
            <w:textDirection w:val="lrTb"/>
            <w:noWrap w:val="false"/>
          </w:tcPr>
          <w:p>
            <w:pPr>
              <w:pStyle w:val="1072"/>
              <w:jc w:val="center"/>
              <w:tabs>
                <w:tab w:val="left" w:pos="5580" w:leader="none"/>
              </w:tabs>
              <w:rPr>
                <w:rFonts w:ascii="宋体" w:hAnsi="宋体"/>
                <w:sz w:val="24"/>
                <w:highlight w:val="none"/>
              </w:rPr>
            </w:pPr>
            <w:r>
              <w:rPr>
                <w:rFonts w:ascii="宋体" w:hAnsi="宋体"/>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0" w:name="_Toc226965832"/>
      <w:r/>
      <w:bookmarkStart w:id="871" w:name="_Toc305158901"/>
      <w:r/>
      <w:bookmarkStart w:id="872" w:name="_Toc226965749"/>
      <w:r/>
      <w:bookmarkStart w:id="873" w:name="_Toc195842924"/>
      <w:r/>
      <w:bookmarkStart w:id="874" w:name="_Toc226309803"/>
      <w:r/>
      <w:bookmarkStart w:id="875" w:name="_Toc150480796"/>
      <w:r/>
      <w:bookmarkStart w:id="876" w:name="_Toc305158827"/>
      <w:r/>
      <w:bookmarkStart w:id="877" w:name="_Toc226337255"/>
      <w:r/>
      <w:bookmarkStart w:id="878" w:name="_Toc142311060"/>
      <w:r/>
      <w:bookmarkStart w:id="879" w:name="_Toc127151558"/>
      <w:r/>
      <w:bookmarkStart w:id="880" w:name="_Toc264969249"/>
      <w:r/>
      <w:bookmarkStart w:id="881" w:name="_Toc265228397"/>
      <w:r/>
      <w:bookmarkStart w:id="882" w:name="_Toc15077476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1262"/>
        <w:gridCol w:w="1175"/>
        <w:gridCol w:w="1279"/>
        <w:gridCol w:w="1205"/>
        <w:gridCol w:w="1257"/>
        <w:gridCol w:w="1229"/>
        <w:gridCol w:w="1324"/>
      </w:tblGrid>
      <w:tr>
        <w:trPr/>
        <w:tc>
          <w:tcPr>
            <w:tcW w:w="296" w:type="dxa"/>
            <w:vAlign w:val="center"/>
            <w:textDirection w:val="lrTb"/>
            <w:noWrap w:val="false"/>
          </w:tcPr>
          <w:p>
            <w:pPr>
              <w:pStyle w:val="1136"/>
              <w:jc w:val="center"/>
              <w:rPr>
                <w:highlight w:val="none"/>
              </w:rPr>
            </w:pPr>
            <w:r/>
            <w:bookmarkStart w:id="883" w:name="_Toc127151562"/>
            <w:r/>
            <w:bookmarkStart w:id="884" w:name="_Toc226309806"/>
            <w:r/>
            <w:bookmarkStart w:id="885" w:name="_Toc150774765"/>
            <w:r/>
            <w:bookmarkStart w:id="886" w:name="_Toc264969252"/>
            <w:r/>
            <w:bookmarkStart w:id="887" w:name="_Toc226965835"/>
            <w:r/>
            <w:bookmarkStart w:id="888" w:name="_Toc305158830"/>
            <w:r/>
            <w:bookmarkStart w:id="889" w:name="_Toc265228400"/>
            <w:r/>
            <w:bookmarkStart w:id="890" w:name="_Toc226337258"/>
            <w:r/>
            <w:bookmarkStart w:id="891" w:name="_Toc195842927"/>
            <w:r/>
            <w:bookmarkStart w:id="892" w:name="_Toc305158904"/>
            <w:r/>
            <w:bookmarkStart w:id="893" w:name="_Toc150480798"/>
            <w:r/>
            <w:bookmarkStart w:id="894" w:name="_Toc142311062"/>
            <w:r/>
            <w:bookmarkStart w:id="895" w:name="_Toc226965752"/>
            <w:r/>
            <w:bookmarkStart w:id="896" w:name="_Toc226965751"/>
            <w:r/>
            <w:bookmarkStart w:id="897" w:name="_Toc195842926"/>
            <w:r/>
            <w:bookmarkStart w:id="898" w:name="_Toc226337257"/>
            <w:r/>
            <w:bookmarkStart w:id="899" w:name="_Toc265228399"/>
            <w:r/>
            <w:bookmarkStart w:id="900" w:name="_Toc264969251"/>
            <w:r/>
            <w:bookmarkStart w:id="901" w:name="_Toc150774764"/>
            <w:r/>
            <w:bookmarkStart w:id="902" w:name="_Toc305158829"/>
            <w:r/>
            <w:bookmarkStart w:id="903" w:name="_Toc305158903"/>
            <w:r/>
            <w:bookmarkStart w:id="904" w:name="_Toc226965834"/>
            <w:r/>
            <w:bookmarkStart w:id="905" w:name="_Toc142311061"/>
            <w:r/>
            <w:bookmarkStart w:id="906" w:name="_Toc150480797"/>
            <w:r/>
            <w:bookmarkStart w:id="907" w:name="_Toc226309805"/>
            <w:r/>
            <w:bookmarkStart w:id="908" w:name="_Toc127151561"/>
            <w:r>
              <w:rPr>
                <w:rStyle w:val="1144"/>
                <w:rFonts w:hint="eastAsia" w:cs="等线"/>
                <w:highlight w:val="none"/>
              </w:rPr>
              <w:t xml:space="preserve">序号</w:t>
            </w:r>
            <w:r>
              <w:rPr>
                <w:highlight w:val="none"/>
              </w:rPr>
            </w:r>
            <w:r/>
          </w:p>
        </w:tc>
        <w:tc>
          <w:tcPr>
            <w:tcW w:w="679" w:type="dxa"/>
            <w:vAlign w:val="center"/>
            <w:textDirection w:val="lrTb"/>
            <w:noWrap w:val="false"/>
          </w:tcPr>
          <w:p>
            <w:pPr>
              <w:pStyle w:val="1136"/>
              <w:jc w:val="center"/>
              <w:rPr>
                <w:highlight w:val="none"/>
              </w:rPr>
            </w:pPr>
            <w:r>
              <w:rPr>
                <w:rStyle w:val="1144"/>
                <w:rFonts w:hint="eastAsia" w:cs="等线"/>
                <w:highlight w:val="none"/>
              </w:rPr>
              <w:t xml:space="preserve">名称</w:t>
            </w:r>
            <w:r>
              <w:rPr>
                <w:highlight w:val="none"/>
              </w:rPr>
            </w:r>
            <w:r/>
          </w:p>
        </w:tc>
        <w:tc>
          <w:tcPr>
            <w:tcW w:w="633" w:type="dxa"/>
            <w:vAlign w:val="center"/>
            <w:textDirection w:val="lrTb"/>
            <w:noWrap w:val="false"/>
          </w:tcPr>
          <w:p>
            <w:pPr>
              <w:pStyle w:val="1136"/>
              <w:jc w:val="center"/>
              <w:rPr>
                <w:highlight w:val="none"/>
              </w:rPr>
            </w:pPr>
            <w:r>
              <w:rPr>
                <w:rStyle w:val="1144"/>
                <w:rFonts w:hint="eastAsia" w:cs="等线"/>
                <w:highlight w:val="none"/>
              </w:rPr>
              <w:t xml:space="preserve">服务范围</w:t>
            </w:r>
            <w:r>
              <w:rPr>
                <w:highlight w:val="none"/>
              </w:rPr>
            </w:r>
            <w:r/>
          </w:p>
        </w:tc>
        <w:tc>
          <w:tcPr>
            <w:tcW w:w="689" w:type="dxa"/>
            <w:vAlign w:val="center"/>
            <w:textDirection w:val="lrTb"/>
            <w:noWrap w:val="false"/>
          </w:tcPr>
          <w:p>
            <w:pPr>
              <w:pStyle w:val="1136"/>
              <w:jc w:val="center"/>
              <w:rPr>
                <w:highlight w:val="none"/>
              </w:rPr>
            </w:pPr>
            <w:r>
              <w:rPr>
                <w:rStyle w:val="1144"/>
                <w:rFonts w:hint="eastAsia" w:cs="等线"/>
                <w:highlight w:val="none"/>
              </w:rPr>
              <w:t xml:space="preserve">服务要求</w:t>
            </w:r>
            <w:r>
              <w:rPr>
                <w:highlight w:val="none"/>
              </w:rPr>
            </w:r>
            <w:r/>
          </w:p>
        </w:tc>
        <w:tc>
          <w:tcPr>
            <w:tcW w:w="649" w:type="dxa"/>
            <w:vAlign w:val="center"/>
            <w:textDirection w:val="lrTb"/>
            <w:noWrap w:val="false"/>
          </w:tcPr>
          <w:p>
            <w:pPr>
              <w:pStyle w:val="1136"/>
              <w:jc w:val="center"/>
              <w:rPr>
                <w:highlight w:val="none"/>
              </w:rPr>
            </w:pPr>
            <w:r>
              <w:rPr>
                <w:rStyle w:val="1144"/>
                <w:rFonts w:hint="eastAsia" w:cs="等线"/>
                <w:highlight w:val="none"/>
              </w:rPr>
              <w:t xml:space="preserve">服务时间（月）</w:t>
            </w:r>
            <w:r>
              <w:rPr>
                <w:highlight w:val="none"/>
              </w:rPr>
            </w:r>
            <w:r/>
          </w:p>
        </w:tc>
        <w:tc>
          <w:tcPr>
            <w:tcW w:w="677" w:type="dxa"/>
            <w:vAlign w:val="center"/>
            <w:textDirection w:val="lrTb"/>
            <w:noWrap w:val="false"/>
          </w:tcPr>
          <w:p>
            <w:pPr>
              <w:pStyle w:val="1136"/>
              <w:jc w:val="center"/>
              <w:rPr>
                <w:highlight w:val="none"/>
              </w:rPr>
            </w:pPr>
            <w:r>
              <w:rPr>
                <w:rStyle w:val="1144"/>
                <w:rFonts w:hint="eastAsia" w:cs="等线"/>
                <w:highlight w:val="none"/>
              </w:rPr>
              <w:t xml:space="preserve">服务标准</w:t>
            </w:r>
            <w:r>
              <w:rPr>
                <w:highlight w:val="none"/>
              </w:rPr>
            </w:r>
            <w:r/>
          </w:p>
        </w:tc>
        <w:tc>
          <w:tcPr>
            <w:tcW w:w="662" w:type="dxa"/>
            <w:vAlign w:val="center"/>
            <w:textDirection w:val="lrTb"/>
            <w:noWrap w:val="false"/>
          </w:tcPr>
          <w:p>
            <w:pPr>
              <w:pStyle w:val="1136"/>
              <w:jc w:val="center"/>
              <w:rPr>
                <w:highlight w:val="none"/>
              </w:rPr>
            </w:pPr>
            <w:r>
              <w:rPr>
                <w:rStyle w:val="1144"/>
                <w:rFonts w:hint="eastAsia" w:cs="等线"/>
                <w:highlight w:val="none"/>
              </w:rPr>
              <w:t xml:space="preserve">服务人数</w:t>
            </w:r>
            <w:r>
              <w:rPr>
                <w:highlight w:val="none"/>
              </w:rPr>
            </w:r>
            <w:r/>
          </w:p>
        </w:tc>
        <w:tc>
          <w:tcPr>
            <w:tcW w:w="712" w:type="dxa"/>
            <w:vAlign w:val="center"/>
            <w:textDirection w:val="lrTb"/>
            <w:noWrap w:val="false"/>
          </w:tcPr>
          <w:p>
            <w:pPr>
              <w:pStyle w:val="1136"/>
              <w:jc w:val="center"/>
              <w:rPr>
                <w:highlight w:val="none"/>
              </w:rPr>
            </w:pPr>
            <w:r>
              <w:rPr>
                <w:rStyle w:val="1144"/>
                <w:rFonts w:hint="eastAsia" w:cs="等线"/>
                <w:highlight w:val="none"/>
              </w:rPr>
              <w:t xml:space="preserve">备注</w:t>
            </w:r>
            <w:r>
              <w:rPr>
                <w:highlight w:val="none"/>
              </w:rPr>
            </w:r>
            <w:r/>
          </w:p>
        </w:tc>
      </w:tr>
      <w:tr>
        <w:trPr>
          <w:trHeight w:val="1825"/>
        </w:trPr>
        <w:tc>
          <w:tcPr>
            <w:tcW w:w="296" w:type="dxa"/>
            <w:vAlign w:val="center"/>
            <w:textDirection w:val="lrTb"/>
            <w:noWrap w:val="false"/>
          </w:tcPr>
          <w:p>
            <w:pPr>
              <w:pStyle w:val="1136"/>
              <w:jc w:val="center"/>
              <w:rPr>
                <w:highlight w:val="none"/>
              </w:rPr>
            </w:pPr>
            <w:r>
              <w:rPr>
                <w:rFonts w:hint="eastAsia"/>
                <w:highlight w:val="none"/>
              </w:rPr>
              <w:t xml:space="preserve">1</w:t>
            </w:r>
            <w:r>
              <w:rPr>
                <w:highlight w:val="none"/>
              </w:rPr>
            </w:r>
            <w:r/>
          </w:p>
        </w:tc>
        <w:tc>
          <w:tcPr>
            <w:tcW w:w="679" w:type="dxa"/>
            <w:vAlign w:val="center"/>
            <w:textDirection w:val="lrTb"/>
            <w:noWrap w:val="false"/>
          </w:tcPr>
          <w:p>
            <w:pPr>
              <w:pStyle w:val="1136"/>
              <w:jc w:val="center"/>
              <w:rPr>
                <w:highlight w:val="none"/>
              </w:rPr>
            </w:pPr>
            <w:r>
              <w:rPr>
                <w:highlight w:val="none"/>
              </w:rPr>
            </w:r>
            <w:r/>
          </w:p>
        </w:tc>
        <w:tc>
          <w:tcPr>
            <w:tcW w:w="633" w:type="dxa"/>
            <w:vAlign w:val="center"/>
            <w:textDirection w:val="lrTb"/>
            <w:noWrap w:val="false"/>
          </w:tcPr>
          <w:p>
            <w:pPr>
              <w:pStyle w:val="1136"/>
              <w:jc w:val="center"/>
              <w:rPr>
                <w:highlight w:val="none"/>
              </w:rPr>
            </w:pPr>
            <w:r>
              <w:rPr>
                <w:highlight w:val="none"/>
              </w:rPr>
            </w:r>
            <w:r/>
          </w:p>
        </w:tc>
        <w:tc>
          <w:tcPr>
            <w:tcW w:w="689" w:type="dxa"/>
            <w:vAlign w:val="center"/>
            <w:textDirection w:val="lrTb"/>
            <w:noWrap w:val="false"/>
          </w:tcPr>
          <w:p>
            <w:pPr>
              <w:pStyle w:val="1136"/>
              <w:rPr>
                <w:highlight w:val="none"/>
              </w:rPr>
            </w:pPr>
            <w:r>
              <w:rPr>
                <w:highlight w:val="none"/>
              </w:rPr>
            </w:r>
            <w:r/>
          </w:p>
        </w:tc>
        <w:tc>
          <w:tcPr>
            <w:tcW w:w="649" w:type="dxa"/>
            <w:vAlign w:val="center"/>
            <w:textDirection w:val="lrTb"/>
            <w:noWrap w:val="false"/>
          </w:tcPr>
          <w:p>
            <w:pPr>
              <w:pStyle w:val="1136"/>
              <w:jc w:val="center"/>
              <w:rPr>
                <w:highlight w:val="none"/>
              </w:rPr>
            </w:pPr>
            <w:r>
              <w:rPr>
                <w:highlight w:val="none"/>
              </w:rPr>
            </w:r>
            <w:r/>
          </w:p>
        </w:tc>
        <w:tc>
          <w:tcPr>
            <w:tcW w:w="677" w:type="dxa"/>
            <w:vAlign w:val="center"/>
            <w:textDirection w:val="lrTb"/>
            <w:noWrap w:val="false"/>
          </w:tcPr>
          <w:p>
            <w:pPr>
              <w:pStyle w:val="1136"/>
              <w:rPr>
                <w:highlight w:val="none"/>
              </w:rPr>
            </w:pPr>
            <w:r>
              <w:rPr>
                <w:highlight w:val="none"/>
              </w:rPr>
            </w:r>
            <w:r/>
          </w:p>
        </w:tc>
        <w:tc>
          <w:tcPr>
            <w:tcW w:w="662" w:type="dxa"/>
            <w:vAlign w:val="center"/>
            <w:textDirection w:val="lrTb"/>
            <w:noWrap w:val="false"/>
          </w:tcPr>
          <w:p>
            <w:pPr>
              <w:pStyle w:val="1136"/>
              <w:jc w:val="center"/>
              <w:rPr>
                <w:highlight w:val="none"/>
              </w:rPr>
            </w:pPr>
            <w:r>
              <w:rPr>
                <w:highlight w:val="none"/>
              </w:rPr>
            </w:r>
            <w:r/>
          </w:p>
        </w:tc>
        <w:tc>
          <w:tcPr>
            <w:tcW w:w="712" w:type="dxa"/>
            <w:vAlign w:val="center"/>
            <w:vMerge w:val="restart"/>
            <w:textDirection w:val="lrTb"/>
            <w:noWrap w:val="false"/>
          </w:tcPr>
          <w:p>
            <w:pPr>
              <w:pStyle w:val="1136"/>
              <w:jc w:val="center"/>
              <w:rPr>
                <w:highlight w:val="none"/>
              </w:rPr>
            </w:pPr>
            <w:r>
              <w:rPr>
                <w:highlight w:val="none"/>
              </w:rPr>
            </w:r>
            <w:r/>
          </w:p>
        </w:tc>
      </w:tr>
      <w:tr>
        <w:trPr/>
        <w:tc>
          <w:tcPr>
            <w:tcW w:w="296" w:type="dxa"/>
            <w:vAlign w:val="center"/>
            <w:textDirection w:val="lrTb"/>
            <w:noWrap w:val="false"/>
          </w:tcPr>
          <w:p>
            <w:pPr>
              <w:pStyle w:val="1136"/>
              <w:jc w:val="center"/>
              <w:rPr>
                <w:highlight w:val="none"/>
              </w:rPr>
            </w:pPr>
            <w:r>
              <w:rPr>
                <w:highlight w:val="none"/>
              </w:rPr>
              <w:t xml:space="preserve">2</w:t>
            </w:r>
            <w:r>
              <w:rPr>
                <w:highlight w:val="none"/>
              </w:rPr>
            </w:r>
            <w:r/>
          </w:p>
        </w:tc>
        <w:tc>
          <w:tcPr>
            <w:tcW w:w="679" w:type="dxa"/>
            <w:vAlign w:val="center"/>
            <w:textDirection w:val="lrTb"/>
            <w:noWrap w:val="false"/>
          </w:tcPr>
          <w:p>
            <w:pPr>
              <w:pStyle w:val="1136"/>
              <w:jc w:val="center"/>
              <w:rPr>
                <w:highlight w:val="none"/>
              </w:rPr>
            </w:pPr>
            <w:r>
              <w:rPr>
                <w:highlight w:val="none"/>
              </w:rPr>
            </w:r>
            <w:r/>
          </w:p>
        </w:tc>
        <w:tc>
          <w:tcPr>
            <w:tcW w:w="633" w:type="dxa"/>
            <w:vAlign w:val="center"/>
            <w:textDirection w:val="lrTb"/>
            <w:noWrap w:val="false"/>
          </w:tcPr>
          <w:p>
            <w:pPr>
              <w:pStyle w:val="1136"/>
              <w:jc w:val="center"/>
              <w:rPr>
                <w:highlight w:val="none"/>
              </w:rPr>
            </w:pPr>
            <w:r>
              <w:rPr>
                <w:highlight w:val="none"/>
              </w:rPr>
            </w:r>
            <w:r/>
          </w:p>
        </w:tc>
        <w:tc>
          <w:tcPr>
            <w:tcW w:w="689" w:type="dxa"/>
            <w:vAlign w:val="center"/>
            <w:textDirection w:val="lrTb"/>
            <w:noWrap w:val="false"/>
          </w:tcPr>
          <w:p>
            <w:pPr>
              <w:pStyle w:val="1136"/>
              <w:rPr>
                <w:highlight w:val="none"/>
              </w:rPr>
            </w:pPr>
            <w:r>
              <w:rPr>
                <w:highlight w:val="none"/>
              </w:rPr>
            </w:r>
            <w:r/>
          </w:p>
        </w:tc>
        <w:tc>
          <w:tcPr>
            <w:tcW w:w="649" w:type="dxa"/>
            <w:vAlign w:val="center"/>
            <w:textDirection w:val="lrTb"/>
            <w:noWrap w:val="false"/>
          </w:tcPr>
          <w:p>
            <w:pPr>
              <w:pStyle w:val="1136"/>
              <w:jc w:val="center"/>
              <w:rPr>
                <w:highlight w:val="none"/>
              </w:rPr>
            </w:pPr>
            <w:r>
              <w:rPr>
                <w:highlight w:val="none"/>
              </w:rPr>
            </w:r>
            <w:r/>
          </w:p>
        </w:tc>
        <w:tc>
          <w:tcPr>
            <w:tcW w:w="677" w:type="dxa"/>
            <w:vAlign w:val="center"/>
            <w:textDirection w:val="lrTb"/>
            <w:noWrap w:val="false"/>
          </w:tcPr>
          <w:p>
            <w:pPr>
              <w:pStyle w:val="1136"/>
              <w:rPr>
                <w:highlight w:val="none"/>
              </w:rPr>
            </w:pPr>
            <w:r>
              <w:rPr>
                <w:highlight w:val="none"/>
              </w:rPr>
            </w:r>
            <w:r/>
          </w:p>
        </w:tc>
        <w:tc>
          <w:tcPr>
            <w:tcW w:w="662" w:type="dxa"/>
            <w:vAlign w:val="center"/>
            <w:textDirection w:val="lrTb"/>
            <w:noWrap w:val="false"/>
          </w:tcPr>
          <w:p>
            <w:pPr>
              <w:pStyle w:val="1136"/>
              <w:jc w:val="center"/>
              <w:rPr>
                <w:highlight w:val="none"/>
              </w:rPr>
            </w:pPr>
            <w:r>
              <w:rPr>
                <w:highlight w:val="none"/>
              </w:rPr>
            </w:r>
            <w:r/>
          </w:p>
        </w:tc>
        <w:tc>
          <w:tcPr>
            <w:tcW w:w="712" w:type="dxa"/>
            <w:vAlign w:val="center"/>
            <w:vMerge w:val="continue"/>
            <w:textDirection w:val="lrTb"/>
            <w:noWrap w:val="false"/>
          </w:tcPr>
          <w:p>
            <w:pPr>
              <w:pStyle w:val="1072"/>
              <w:jc w:val="left"/>
              <w:widowControl/>
              <w:rPr>
                <w:rFonts w:ascii="宋体" w:hAnsi="宋体"/>
                <w:sz w:val="24"/>
                <w:highlight w:val="none"/>
              </w:rPr>
            </w:pPr>
            <w:r>
              <w:rPr>
                <w:rFonts w:ascii="宋体" w:hAnsi="宋体"/>
                <w:sz w:val="24"/>
                <w:highlight w:val="none"/>
              </w:rPr>
            </w:r>
            <w:r/>
          </w:p>
        </w:tc>
      </w:tr>
      <w:tr>
        <w:trPr/>
        <w:tc>
          <w:tcPr>
            <w:tcW w:w="296" w:type="dxa"/>
            <w:vAlign w:val="center"/>
            <w:textDirection w:val="lrTb"/>
            <w:noWrap w:val="false"/>
          </w:tcPr>
          <w:p>
            <w:pPr>
              <w:pStyle w:val="1136"/>
              <w:jc w:val="center"/>
              <w:rPr>
                <w:highlight w:val="none"/>
              </w:rPr>
            </w:pPr>
            <w:r>
              <w:rPr>
                <w:rFonts w:hint="eastAsia"/>
                <w:highlight w:val="none"/>
              </w:rPr>
              <w:t xml:space="preserve">3</w:t>
            </w:r>
            <w:r>
              <w:rPr>
                <w:highlight w:val="none"/>
              </w:rPr>
            </w:r>
            <w:r/>
          </w:p>
        </w:tc>
        <w:tc>
          <w:tcPr>
            <w:tcW w:w="679" w:type="dxa"/>
            <w:vAlign w:val="center"/>
            <w:textDirection w:val="lrTb"/>
            <w:noWrap w:val="false"/>
          </w:tcPr>
          <w:p>
            <w:pPr>
              <w:pStyle w:val="1136"/>
              <w:jc w:val="center"/>
              <w:rPr>
                <w:rFonts w:cs="等线"/>
                <w:highlight w:val="none"/>
              </w:rPr>
            </w:pPr>
            <w:r>
              <w:rPr>
                <w:rFonts w:cs="等线"/>
                <w:highlight w:val="none"/>
              </w:rPr>
            </w:r>
            <w:r/>
          </w:p>
        </w:tc>
        <w:tc>
          <w:tcPr>
            <w:tcW w:w="633" w:type="dxa"/>
            <w:vAlign w:val="center"/>
            <w:textDirection w:val="lrTb"/>
            <w:noWrap w:val="false"/>
          </w:tcPr>
          <w:p>
            <w:pPr>
              <w:pStyle w:val="1136"/>
              <w:jc w:val="center"/>
              <w:rPr>
                <w:rFonts w:cs="等线"/>
                <w:highlight w:val="none"/>
              </w:rPr>
            </w:pPr>
            <w:r>
              <w:rPr>
                <w:rFonts w:cs="等线"/>
                <w:highlight w:val="none"/>
              </w:rPr>
            </w:r>
            <w:r/>
          </w:p>
        </w:tc>
        <w:tc>
          <w:tcPr>
            <w:tcW w:w="689" w:type="dxa"/>
            <w:vAlign w:val="center"/>
            <w:textDirection w:val="lrTb"/>
            <w:noWrap w:val="false"/>
          </w:tcPr>
          <w:p>
            <w:pPr>
              <w:pStyle w:val="1136"/>
              <w:rPr>
                <w:rFonts w:cs="等线"/>
                <w:highlight w:val="none"/>
              </w:rPr>
            </w:pPr>
            <w:r>
              <w:rPr>
                <w:rFonts w:cs="等线"/>
                <w:highlight w:val="none"/>
              </w:rPr>
            </w:r>
            <w:r/>
          </w:p>
        </w:tc>
        <w:tc>
          <w:tcPr>
            <w:tcW w:w="649" w:type="dxa"/>
            <w:vAlign w:val="center"/>
            <w:textDirection w:val="lrTb"/>
            <w:noWrap w:val="false"/>
          </w:tcPr>
          <w:p>
            <w:pPr>
              <w:pStyle w:val="1136"/>
              <w:jc w:val="center"/>
              <w:rPr>
                <w:highlight w:val="none"/>
              </w:rPr>
            </w:pPr>
            <w:r>
              <w:rPr>
                <w:highlight w:val="none"/>
              </w:rPr>
            </w:r>
            <w:r/>
          </w:p>
        </w:tc>
        <w:tc>
          <w:tcPr>
            <w:tcW w:w="677" w:type="dxa"/>
            <w:vAlign w:val="center"/>
            <w:textDirection w:val="lrTb"/>
            <w:noWrap w:val="false"/>
          </w:tcPr>
          <w:p>
            <w:pPr>
              <w:pStyle w:val="1136"/>
              <w:rPr>
                <w:rFonts w:cs="等线"/>
                <w:highlight w:val="none"/>
              </w:rPr>
            </w:pPr>
            <w:r>
              <w:rPr>
                <w:rFonts w:cs="等线"/>
                <w:highlight w:val="none"/>
              </w:rPr>
            </w:r>
            <w:r/>
          </w:p>
        </w:tc>
        <w:tc>
          <w:tcPr>
            <w:tcW w:w="662" w:type="dxa"/>
            <w:vAlign w:val="center"/>
            <w:textDirection w:val="lrTb"/>
            <w:noWrap w:val="false"/>
          </w:tcPr>
          <w:p>
            <w:pPr>
              <w:pStyle w:val="1136"/>
              <w:jc w:val="center"/>
              <w:rPr>
                <w:highlight w:val="none"/>
              </w:rPr>
            </w:pPr>
            <w:r>
              <w:rPr>
                <w:highlight w:val="none"/>
              </w:rPr>
            </w:r>
            <w:r/>
          </w:p>
        </w:tc>
        <w:tc>
          <w:tcPr>
            <w:tcW w:w="712" w:type="dxa"/>
            <w:vAlign w:val="center"/>
            <w:vMerge w:val="continue"/>
            <w:textDirection w:val="lrTb"/>
            <w:noWrap w:val="false"/>
          </w:tcPr>
          <w:p>
            <w:pPr>
              <w:pStyle w:val="1072"/>
              <w:jc w:val="left"/>
              <w:widowControl/>
              <w:rPr>
                <w:rFonts w:ascii="宋体" w:hAnsi="宋体"/>
                <w:sz w:val="24"/>
                <w:highlight w:val="none"/>
              </w:rPr>
            </w:pPr>
            <w:r>
              <w:rPr>
                <w:rFonts w:ascii="宋体" w:hAnsi="宋体"/>
                <w:sz w:val="24"/>
                <w:highlight w:val="none"/>
              </w:rPr>
            </w:r>
            <w:r/>
          </w:p>
        </w:tc>
      </w:tr>
      <w:tr>
        <w:trPr/>
        <w:tc>
          <w:tcPr>
            <w:tcW w:w="296" w:type="dxa"/>
            <w:vAlign w:val="center"/>
            <w:textDirection w:val="lrTb"/>
            <w:noWrap w:val="false"/>
          </w:tcPr>
          <w:p>
            <w:pPr>
              <w:pStyle w:val="1136"/>
              <w:jc w:val="center"/>
              <w:rPr>
                <w:highlight w:val="none"/>
              </w:rPr>
            </w:pPr>
            <w:r>
              <w:rPr>
                <w:rFonts w:hint="eastAsia"/>
                <w:highlight w:val="none"/>
              </w:rPr>
              <w:t xml:space="preserve">4</w:t>
            </w:r>
            <w:r>
              <w:rPr>
                <w:highlight w:val="none"/>
              </w:rPr>
            </w:r>
            <w:r/>
          </w:p>
        </w:tc>
        <w:tc>
          <w:tcPr>
            <w:tcW w:w="679" w:type="dxa"/>
            <w:vAlign w:val="center"/>
            <w:textDirection w:val="lrTb"/>
            <w:noWrap w:val="false"/>
          </w:tcPr>
          <w:p>
            <w:pPr>
              <w:pStyle w:val="1136"/>
              <w:jc w:val="center"/>
              <w:rPr>
                <w:highlight w:val="none"/>
              </w:rPr>
            </w:pPr>
            <w:r>
              <w:rPr>
                <w:highlight w:val="none"/>
              </w:rPr>
            </w:r>
            <w:r/>
          </w:p>
        </w:tc>
        <w:tc>
          <w:tcPr>
            <w:tcW w:w="633" w:type="dxa"/>
            <w:vAlign w:val="center"/>
            <w:textDirection w:val="lrTb"/>
            <w:noWrap w:val="false"/>
          </w:tcPr>
          <w:p>
            <w:pPr>
              <w:pStyle w:val="1136"/>
              <w:jc w:val="center"/>
              <w:rPr>
                <w:rFonts w:cs="等线"/>
                <w:highlight w:val="none"/>
              </w:rPr>
            </w:pPr>
            <w:r>
              <w:rPr>
                <w:rFonts w:cs="等线"/>
                <w:highlight w:val="none"/>
              </w:rPr>
            </w:r>
            <w:r/>
          </w:p>
        </w:tc>
        <w:tc>
          <w:tcPr>
            <w:tcW w:w="689" w:type="dxa"/>
            <w:vAlign w:val="center"/>
            <w:textDirection w:val="lrTb"/>
            <w:noWrap w:val="false"/>
          </w:tcPr>
          <w:p>
            <w:pPr>
              <w:pStyle w:val="1136"/>
              <w:rPr>
                <w:rFonts w:cs="等线"/>
                <w:highlight w:val="none"/>
              </w:rPr>
            </w:pPr>
            <w:r>
              <w:rPr>
                <w:rFonts w:cs="等线"/>
                <w:highlight w:val="none"/>
              </w:rPr>
            </w:r>
            <w:r/>
          </w:p>
        </w:tc>
        <w:tc>
          <w:tcPr>
            <w:tcW w:w="649" w:type="dxa"/>
            <w:vAlign w:val="center"/>
            <w:textDirection w:val="lrTb"/>
            <w:noWrap w:val="false"/>
          </w:tcPr>
          <w:p>
            <w:pPr>
              <w:pStyle w:val="1136"/>
              <w:jc w:val="center"/>
              <w:rPr>
                <w:highlight w:val="none"/>
              </w:rPr>
            </w:pPr>
            <w:r>
              <w:rPr>
                <w:highlight w:val="none"/>
              </w:rPr>
            </w:r>
            <w:r/>
          </w:p>
        </w:tc>
        <w:tc>
          <w:tcPr>
            <w:tcW w:w="677" w:type="dxa"/>
            <w:vAlign w:val="center"/>
            <w:textDirection w:val="lrTb"/>
            <w:noWrap w:val="false"/>
          </w:tcPr>
          <w:p>
            <w:pPr>
              <w:pStyle w:val="1136"/>
              <w:rPr>
                <w:rFonts w:cs="等线"/>
                <w:highlight w:val="none"/>
              </w:rPr>
            </w:pPr>
            <w:r>
              <w:rPr>
                <w:rFonts w:cs="等线"/>
                <w:highlight w:val="none"/>
              </w:rPr>
            </w:r>
            <w:r/>
          </w:p>
        </w:tc>
        <w:tc>
          <w:tcPr>
            <w:tcW w:w="662" w:type="dxa"/>
            <w:vAlign w:val="center"/>
            <w:textDirection w:val="lrTb"/>
            <w:noWrap w:val="false"/>
          </w:tcPr>
          <w:p>
            <w:pPr>
              <w:pStyle w:val="1136"/>
              <w:jc w:val="center"/>
              <w:rPr>
                <w:highlight w:val="none"/>
              </w:rPr>
            </w:pPr>
            <w:r>
              <w:rPr>
                <w:highlight w:val="none"/>
              </w:rPr>
            </w:r>
            <w:r/>
          </w:p>
        </w:tc>
        <w:tc>
          <w:tcPr>
            <w:tcW w:w="712" w:type="dxa"/>
            <w:vAlign w:val="center"/>
            <w:vMerge w:val="continue"/>
            <w:textDirection w:val="lrTb"/>
            <w:noWrap w:val="false"/>
          </w:tcPr>
          <w:p>
            <w:pPr>
              <w:pStyle w:val="1072"/>
              <w:jc w:val="left"/>
              <w:widowControl/>
              <w:rPr>
                <w:rFonts w:ascii="宋体" w:hAnsi="宋体"/>
                <w:sz w:val="24"/>
                <w:highlight w:val="none"/>
              </w:rPr>
            </w:pPr>
            <w:r>
              <w:rPr>
                <w:rFonts w:ascii="宋体" w:hAnsi="宋体"/>
                <w:sz w:val="24"/>
                <w:highlight w:val="none"/>
              </w:rPr>
            </w:r>
            <w:r/>
          </w:p>
        </w:tc>
      </w:tr>
      <w:tr>
        <w:trPr/>
        <w:tc>
          <w:tcPr>
            <w:tcW w:w="296" w:type="dxa"/>
            <w:vAlign w:val="center"/>
            <w:textDirection w:val="lrTb"/>
            <w:noWrap w:val="false"/>
          </w:tcPr>
          <w:p>
            <w:pPr>
              <w:pStyle w:val="1136"/>
              <w:jc w:val="center"/>
              <w:rPr>
                <w:highlight w:val="none"/>
              </w:rPr>
            </w:pPr>
            <w:r>
              <w:rPr>
                <w:rFonts w:hint="eastAsia"/>
                <w:highlight w:val="none"/>
              </w:rPr>
              <w:t xml:space="preserve">5</w:t>
            </w:r>
            <w:r>
              <w:rPr>
                <w:highlight w:val="none"/>
              </w:rPr>
            </w:r>
            <w:r/>
          </w:p>
        </w:tc>
        <w:tc>
          <w:tcPr>
            <w:tcW w:w="679" w:type="dxa"/>
            <w:vAlign w:val="center"/>
            <w:textDirection w:val="lrTb"/>
            <w:noWrap w:val="false"/>
          </w:tcPr>
          <w:p>
            <w:pPr>
              <w:pStyle w:val="1136"/>
              <w:jc w:val="center"/>
              <w:rPr>
                <w:highlight w:val="none"/>
              </w:rPr>
            </w:pPr>
            <w:r>
              <w:rPr>
                <w:highlight w:val="none"/>
              </w:rPr>
            </w:r>
            <w:r/>
          </w:p>
        </w:tc>
        <w:tc>
          <w:tcPr>
            <w:tcW w:w="633" w:type="dxa"/>
            <w:vAlign w:val="center"/>
            <w:textDirection w:val="lrTb"/>
            <w:noWrap w:val="false"/>
          </w:tcPr>
          <w:p>
            <w:pPr>
              <w:pStyle w:val="1136"/>
              <w:jc w:val="center"/>
              <w:rPr>
                <w:rFonts w:cs="等线"/>
                <w:highlight w:val="none"/>
              </w:rPr>
            </w:pPr>
            <w:r>
              <w:rPr>
                <w:rFonts w:cs="等线"/>
                <w:highlight w:val="none"/>
              </w:rPr>
            </w:r>
            <w:r/>
          </w:p>
        </w:tc>
        <w:tc>
          <w:tcPr>
            <w:tcW w:w="689" w:type="dxa"/>
            <w:vAlign w:val="center"/>
            <w:textDirection w:val="lrTb"/>
            <w:noWrap w:val="false"/>
          </w:tcPr>
          <w:p>
            <w:pPr>
              <w:pStyle w:val="1136"/>
              <w:rPr>
                <w:rFonts w:cs="等线"/>
                <w:highlight w:val="none"/>
              </w:rPr>
            </w:pPr>
            <w:r>
              <w:rPr>
                <w:rFonts w:cs="等线"/>
                <w:highlight w:val="none"/>
              </w:rPr>
            </w:r>
            <w:r/>
          </w:p>
        </w:tc>
        <w:tc>
          <w:tcPr>
            <w:tcW w:w="649" w:type="dxa"/>
            <w:vAlign w:val="center"/>
            <w:textDirection w:val="lrTb"/>
            <w:noWrap w:val="false"/>
          </w:tcPr>
          <w:p>
            <w:pPr>
              <w:pStyle w:val="1136"/>
              <w:jc w:val="center"/>
              <w:rPr>
                <w:highlight w:val="none"/>
              </w:rPr>
            </w:pPr>
            <w:r>
              <w:rPr>
                <w:highlight w:val="none"/>
              </w:rPr>
            </w:r>
            <w:r/>
          </w:p>
        </w:tc>
        <w:tc>
          <w:tcPr>
            <w:tcW w:w="677" w:type="dxa"/>
            <w:vAlign w:val="center"/>
            <w:textDirection w:val="lrTb"/>
            <w:noWrap w:val="false"/>
          </w:tcPr>
          <w:p>
            <w:pPr>
              <w:pStyle w:val="1136"/>
              <w:rPr>
                <w:rFonts w:cs="等线"/>
                <w:highlight w:val="none"/>
              </w:rPr>
            </w:pPr>
            <w:r>
              <w:rPr>
                <w:rFonts w:cs="等线"/>
                <w:highlight w:val="none"/>
              </w:rPr>
            </w:r>
            <w:r/>
          </w:p>
        </w:tc>
        <w:tc>
          <w:tcPr>
            <w:tcW w:w="662" w:type="dxa"/>
            <w:vAlign w:val="center"/>
            <w:textDirection w:val="lrTb"/>
            <w:noWrap w:val="false"/>
          </w:tcPr>
          <w:p>
            <w:pPr>
              <w:pStyle w:val="1136"/>
              <w:jc w:val="center"/>
              <w:rPr>
                <w:highlight w:val="none"/>
              </w:rPr>
            </w:pPr>
            <w:r>
              <w:rPr>
                <w:highlight w:val="none"/>
              </w:rPr>
            </w:r>
            <w:r/>
          </w:p>
        </w:tc>
        <w:tc>
          <w:tcPr>
            <w:tcW w:w="712" w:type="dxa"/>
            <w:vAlign w:val="center"/>
            <w:vMerge w:val="continue"/>
            <w:textDirection w:val="lrTb"/>
            <w:noWrap w:val="false"/>
          </w:tcPr>
          <w:p>
            <w:pPr>
              <w:pStyle w:val="1072"/>
              <w:jc w:val="left"/>
              <w:widowControl/>
              <w:rPr>
                <w:rFonts w:ascii="宋体" w:hAnsi="宋体"/>
                <w:sz w:val="24"/>
                <w:highlight w:val="none"/>
              </w:rPr>
            </w:pPr>
            <w:r>
              <w:rPr>
                <w:rFonts w:ascii="宋体" w:hAnsi="宋体"/>
                <w:sz w:val="24"/>
                <w:highlight w:val="none"/>
              </w:rPr>
            </w:r>
            <w:r/>
          </w:p>
        </w:tc>
      </w:tr>
      <w:tr>
        <w:trPr>
          <w:trHeight w:val="826"/>
        </w:trPr>
        <w:tc>
          <w:tcPr>
            <w:gridSpan w:val="2"/>
            <w:tcW w:w="1812" w:type="dxa"/>
            <w:vAlign w:val="center"/>
            <w:textDirection w:val="lrTb"/>
            <w:noWrap w:val="false"/>
          </w:tcPr>
          <w:p>
            <w:pPr>
              <w:pStyle w:val="1136"/>
              <w:jc w:val="center"/>
              <w:rPr>
                <w:b/>
                <w:bCs/>
                <w:highlight w:val="none"/>
              </w:rPr>
            </w:pPr>
            <w:r>
              <w:rPr>
                <w:rFonts w:hint="eastAsia"/>
                <w:b/>
                <w:bCs/>
                <w:highlight w:val="none"/>
              </w:rPr>
              <w:t xml:space="preserve">每月投标单价</w:t>
            </w:r>
            <w:r>
              <w:rPr>
                <w:b/>
                <w:bCs/>
                <w:highlight w:val="none"/>
              </w:rPr>
            </w:r>
            <w:r/>
          </w:p>
        </w:tc>
        <w:tc>
          <w:tcPr>
            <w:gridSpan w:val="6"/>
            <w:tcW w:w="7469" w:type="dxa"/>
            <w:vAlign w:val="center"/>
            <w:textDirection w:val="lrTb"/>
            <w:noWrap w:val="false"/>
          </w:tcPr>
          <w:p>
            <w:pPr>
              <w:pStyle w:val="1072"/>
              <w:jc w:val="left"/>
              <w:widowControl/>
              <w:rPr>
                <w:rFonts w:ascii="宋体" w:hAnsi="宋体"/>
                <w:sz w:val="24"/>
                <w:highlight w:val="none"/>
              </w:rPr>
            </w:pPr>
            <w:r>
              <w:rPr>
                <w:rFonts w:ascii="宋体" w:hAnsi="宋体"/>
                <w:sz w:val="24"/>
                <w:highlight w:val="none"/>
              </w:rPr>
            </w:r>
            <w:r/>
          </w:p>
        </w:tc>
      </w:tr>
      <w:tr>
        <w:trPr>
          <w:trHeight w:val="332"/>
        </w:trPr>
        <w:tc>
          <w:tcPr>
            <w:gridSpan w:val="2"/>
            <w:tcW w:w="1812" w:type="dxa"/>
            <w:vAlign w:val="center"/>
            <w:textDirection w:val="lrTb"/>
            <w:noWrap w:val="false"/>
          </w:tcPr>
          <w:p>
            <w:pPr>
              <w:pStyle w:val="1136"/>
              <w:jc w:val="center"/>
              <w:rPr>
                <w:bCs/>
                <w:highlight w:val="none"/>
              </w:rPr>
            </w:pPr>
            <w:r>
              <w:rPr>
                <w:rStyle w:val="1144"/>
                <w:rFonts w:hint="eastAsia" w:cs="等线"/>
                <w:highlight w:val="none"/>
              </w:rPr>
              <w:t xml:space="preserve">投标报价</w:t>
            </w:r>
            <w:r>
              <w:rPr>
                <w:bCs/>
                <w:highlight w:val="none"/>
              </w:rPr>
            </w:r>
            <w:r/>
          </w:p>
        </w:tc>
        <w:tc>
          <w:tcPr>
            <w:gridSpan w:val="6"/>
            <w:tcW w:w="7469" w:type="dxa"/>
            <w:vAlign w:val="center"/>
            <w:textDirection w:val="lrTb"/>
            <w:noWrap w:val="false"/>
          </w:tcPr>
          <w:p>
            <w:pPr>
              <w:pStyle w:val="1136"/>
              <w:jc w:val="center"/>
              <w:rPr>
                <w:highlight w:val="none"/>
              </w:rPr>
            </w:pPr>
            <w:r>
              <w:rPr>
                <w:highlight w:val="none"/>
              </w:rPr>
              <w:t xml:space="preserve"> </w:t>
            </w:r>
            <w:r>
              <w:rPr>
                <w:highlight w:val="none"/>
              </w:rPr>
            </w:r>
            <w:r/>
          </w:p>
          <w:p>
            <w:pPr>
              <w:pStyle w:val="1136"/>
              <w:rPr>
                <w:highlight w:val="none"/>
              </w:rPr>
            </w:pPr>
            <w:r>
              <w:rPr>
                <w:highlight w:val="none"/>
              </w:rPr>
              <w:t xml:space="preserve"> </w:t>
            </w:r>
            <w:r>
              <w:rPr>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color w:val="000000"/>
          <w:sz w:val="24"/>
          <w:szCs w:val="22"/>
          <w:highlight w:val="none"/>
        </w:rPr>
      </w:pPr>
      <w:r>
        <w:rPr>
          <w:rFonts w:hint="eastAsia"/>
          <w:color w:val="000000"/>
          <w:sz w:val="24"/>
          <w:highlight w:val="none"/>
        </w:rPr>
        <w:t xml:space="preserve">注：</w:t>
      </w:r>
      <w:r>
        <w:rPr>
          <w:color w:val="000000"/>
          <w:sz w:val="24"/>
          <w:highlight w:val="none"/>
        </w:rPr>
        <w:t xml:space="preserve">1.</w:t>
      </w:r>
      <w:r>
        <w:rPr>
          <w:rFonts w:hint="eastAsia"/>
          <w:color w:val="000000"/>
          <w:sz w:val="24"/>
          <w:highlight w:val="none"/>
        </w:rPr>
        <w:t xml:space="preserve">本表应按包分别填写。</w:t>
      </w:r>
      <w:r>
        <w:rPr>
          <w:color w:val="000000"/>
          <w:sz w:val="24"/>
          <w:szCs w:val="22"/>
          <w:highlight w:val="none"/>
        </w:rPr>
      </w:r>
      <w:r/>
    </w:p>
    <w:p>
      <w:pPr>
        <w:pStyle w:val="1072"/>
        <w:ind w:firstLine="480"/>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如果不提供分项报价将视为没有实质性响应磋商文件</w:t>
      </w:r>
      <w:r>
        <w:rPr>
          <w:color w:val="000000"/>
          <w:sz w:val="24"/>
          <w:highlight w:val="none"/>
        </w:rPr>
      </w:r>
      <w:r/>
    </w:p>
    <w:p>
      <w:pPr>
        <w:pStyle w:val="1072"/>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color w:val="000000"/>
          <w:sz w:val="24"/>
          <w:highlight w:val="none"/>
        </w:rPr>
      </w:r>
      <w:r/>
    </w:p>
    <w:p>
      <w:pPr>
        <w:pStyle w:val="1072"/>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4.</w:t>
      </w:r>
      <w:r>
        <w:rPr>
          <w:rFonts w:hint="eastAsia"/>
          <w:color w:val="000000"/>
          <w:sz w:val="24"/>
          <w:highlight w:val="none"/>
        </w:rPr>
        <w:t xml:space="preserve">上述各项的服务内容如表格中填写不下的，可以逐项另页描述。</w:t>
      </w:r>
      <w:r>
        <w:rPr>
          <w:rFonts w:hint="eastAsia"/>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color w:val="000000"/>
          <w:sz w:val="24"/>
          <w:highlight w:val="none"/>
        </w:rPr>
        <w:t xml:space="preserve">5.投标人的投标总价应包括为完成本项目所发生的一切相关费用和税费等，招标人将不再支付投标总价以外的任何费用。</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sz w:val="24"/>
          <w:highlight w:val="none"/>
        </w:rPr>
        <w:t xml:space="preserve">对合同条款中的所有要求，除本表所列明的所有偏离外，均视作供应商已对之理解和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rPr>
          <w:rFonts w:ascii="宋体" w:hAnsi="宋体"/>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sz w:val="24"/>
          <w:highlight w:val="none"/>
        </w:rPr>
        <w:t xml:space="preserve">2</w:t>
      </w:r>
      <w:r>
        <w:rPr>
          <w:rFonts w:ascii="宋体" w:hAnsi="宋体"/>
          <w:sz w:val="24"/>
          <w:highlight w:val="none"/>
        </w:rPr>
        <w:t xml:space="preserve">. </w:t>
      </w:r>
      <w:r>
        <w:rPr>
          <w:rFonts w:hint="eastAsia" w:ascii="宋体" w:hAnsi="宋体"/>
          <w:sz w:val="24"/>
          <w:highlight w:val="none"/>
        </w:rPr>
        <w:t xml:space="preserve">“偏离情况”列应</w:t>
      </w:r>
      <w:r>
        <w:rPr>
          <w:rFonts w:ascii="宋体" w:hAnsi="宋体"/>
          <w:color w:val="000000"/>
          <w:sz w:val="24"/>
          <w:highlight w:val="none"/>
        </w:rPr>
        <w:t xml:space="preserve">据实</w:t>
      </w:r>
      <w:r>
        <w:rPr>
          <w:rFonts w:hint="eastAsia" w:ascii="宋体" w:hAnsi="宋体"/>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sz w:val="24"/>
          <w:highlight w:val="none"/>
        </w:rPr>
        <w:t xml:space="preserve">对招标文件中的所有商务、技术要求，除本表所列明的所有偏离外，均视作供应商已对之理解和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。2.</w:t>
      </w:r>
      <w:r>
        <w:rPr>
          <w:rFonts w:hint="eastAsia" w:ascii="宋体" w:hAnsi="宋体"/>
          <w:sz w:val="24"/>
          <w:highlight w:val="none"/>
        </w:rPr>
        <w:t xml:space="preserve">“偏离情况”列应</w:t>
      </w:r>
      <w:r>
        <w:rPr>
          <w:rFonts w:ascii="宋体" w:hAnsi="宋体"/>
          <w:color w:val="000000"/>
          <w:sz w:val="24"/>
          <w:highlight w:val="none"/>
        </w:rPr>
        <w:t xml:space="preserve">据实</w:t>
      </w:r>
      <w:r>
        <w:rPr>
          <w:rFonts w:hint="eastAsia" w:ascii="宋体" w:hAnsi="宋体"/>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sz w:val="24"/>
          <w:highlight w:val="none"/>
        </w:rPr>
      </w:pPr>
      <w:r>
        <w:rPr>
          <w:rFonts w:ascii="宋体" w:hAnsi="宋体"/>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sz w:val="24"/>
          <w:highlight w:val="none"/>
        </w:rPr>
      </w:pPr>
      <w:r>
        <w:rPr>
          <w:rFonts w:hint="eastAsia" w:ascii="宋体" w:hAnsi="宋体"/>
          <w:sz w:val="24"/>
          <w:highlight w:val="none"/>
        </w:rPr>
        <w:t xml:space="preserve">说明：</w:t>
      </w:r>
      <w:r>
        <w:rPr>
          <w:rFonts w:ascii="宋体" w:hAnsi="宋体"/>
          <w:sz w:val="24"/>
          <w:highlight w:val="none"/>
        </w:rPr>
      </w:r>
      <w:r/>
    </w:p>
    <w:p>
      <w:pPr>
        <w:pStyle w:val="1072"/>
        <w:spacing w:line="360" w:lineRule="auto"/>
        <w:tabs>
          <w:tab w:val="left" w:pos="5580" w:leader="none"/>
        </w:tabs>
        <w:rPr>
          <w:rFonts w:ascii="宋体" w:hAnsi="宋体"/>
          <w:sz w:val="24"/>
          <w:highlight w:val="none"/>
        </w:rPr>
      </w:pPr>
      <w:r>
        <w:rPr>
          <w:rFonts w:hint="eastAsia" w:ascii="宋体" w:hAnsi="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highlight w:val="none"/>
        </w:rPr>
      </w:r>
      <w:r/>
    </w:p>
    <w:p>
      <w:pPr>
        <w:pStyle w:val="1072"/>
        <w:spacing w:line="360" w:lineRule="auto"/>
        <w:tabs>
          <w:tab w:val="left" w:pos="5580" w:leader="none"/>
        </w:tabs>
        <w:rPr>
          <w:rFonts w:ascii="宋体" w:hAnsi="宋体"/>
          <w:sz w:val="24"/>
          <w:highlight w:val="none"/>
        </w:rPr>
      </w:pPr>
      <w:r>
        <w:rPr>
          <w:rFonts w:hint="eastAsia"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highlight w:val="none"/>
        </w:rPr>
      </w:r>
      <w:r/>
    </w:p>
    <w:p>
      <w:pPr>
        <w:pStyle w:val="1072"/>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3）对于多标的的采购项目，投标人应充分、准确地了解所投产品制造企业信息。对相关情况了解不清楚的，不建议填报本声明函。</w:t>
      </w:r>
      <w:r>
        <w:rPr>
          <w:rFonts w:hint="eastAsia" w:ascii="宋体" w:hAnsi="宋体"/>
          <w:sz w:val="24"/>
          <w:highlight w:val="none"/>
        </w:rPr>
      </w:r>
      <w:r/>
    </w:p>
    <w:p>
      <w:pPr>
        <w:pStyle w:val="1072"/>
        <w:spacing w:line="360" w:lineRule="auto"/>
        <w:tabs>
          <w:tab w:val="left" w:pos="5580" w:leader="none"/>
        </w:tabs>
        <w:rPr>
          <w:rFonts w:ascii="宋体" w:hAnsi="宋体"/>
          <w:sz w:val="24"/>
          <w:highlight w:val="none"/>
        </w:rPr>
      </w:pPr>
      <w:r>
        <w:rPr>
          <w:rFonts w:hint="eastAsia" w:ascii="宋体" w:hAnsi="宋体"/>
          <w:sz w:val="24"/>
          <w:highlight w:val="none"/>
        </w:rPr>
        <w:t xml:space="preserve">4）中小企业认定标准以《关于印发中小企业划型标准规定的通知》（工信部联企业〔2011〕300号）文件规定为准。</w:t>
      </w:r>
      <w:r>
        <w:rPr>
          <w:rFonts w:ascii="宋体" w:hAnsi="宋体"/>
          <w:sz w:val="24"/>
          <w:highlight w:val="none"/>
        </w:rPr>
      </w:r>
      <w:r/>
    </w:p>
    <w:p>
      <w:pPr>
        <w:pStyle w:val="1072"/>
        <w:spacing w:line="360" w:lineRule="auto"/>
        <w:tabs>
          <w:tab w:val="left" w:pos="5580" w:leader="none"/>
        </w:tabs>
        <w:rPr>
          <w:rFonts w:hint="eastAsia" w:ascii="宋体" w:hAnsi="宋体"/>
          <w:sz w:val="24"/>
          <w:highlight w:val="none"/>
        </w:rPr>
      </w:pPr>
      <w:r>
        <w:rPr>
          <w:rFonts w:hint="eastAsia"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highlight w:val="none"/>
        </w:rPr>
        <w:fldChar w:fldCharType="begin"/>
      </w:r>
      <w:r>
        <w:rPr>
          <w:rFonts w:ascii="宋体" w:hAnsi="宋体"/>
          <w:sz w:val="24"/>
          <w:highlight w:val="none"/>
        </w:rPr>
        <w:instrText xml:space="preserve"> HYPERLINK "http://202.106.120.146/baosong/appweb/orgScale.html" </w:instrText>
      </w:r>
      <w:r>
        <w:rPr>
          <w:rFonts w:ascii="宋体" w:hAnsi="宋体"/>
          <w:sz w:val="24"/>
          <w:highlight w:val="none"/>
        </w:rPr>
        <w:fldChar w:fldCharType="separate"/>
      </w:r>
      <w:r>
        <w:rPr>
          <w:rStyle w:val="1148"/>
          <w:rFonts w:ascii="宋体" w:hAnsi="宋体"/>
          <w:sz w:val="24"/>
          <w:highlight w:val="none"/>
        </w:rPr>
        <w:t xml:space="preserve">http://202.106.120.146/baosong/appweb/orgScale.html</w:t>
      </w:r>
      <w:r>
        <w:rPr>
          <w:rFonts w:ascii="宋体" w:hAnsi="宋体"/>
          <w:sz w:val="24"/>
          <w:highlight w:val="none"/>
        </w:rPr>
        <w:fldChar w:fldCharType="end"/>
      </w:r>
      <w:r>
        <w:rPr>
          <w:rFonts w:hint="eastAsia" w:ascii="宋体" w:hAnsi="宋体"/>
          <w:sz w:val="24"/>
          <w:highlight w:val="none"/>
        </w:rPr>
        <w:t xml:space="preserve">）</w:t>
      </w:r>
      <w:r>
        <w:rPr>
          <w:rFonts w:hint="eastAsia" w:ascii="宋体" w:hAnsi="宋体"/>
          <w:sz w:val="24"/>
          <w:highlight w:val="none"/>
        </w:rPr>
      </w:r>
      <w:r/>
    </w:p>
    <w:p>
      <w:pPr>
        <w:pStyle w:val="1072"/>
        <w:spacing w:line="360" w:lineRule="auto"/>
        <w:tabs>
          <w:tab w:val="left" w:pos="5580" w:leader="none"/>
        </w:tabs>
        <w:rPr>
          <w:rFonts w:hint="eastAsia" w:ascii="宋体" w:hAnsi="宋体"/>
          <w:b/>
          <w:sz w:val="24"/>
          <w:highlight w:val="none"/>
        </w:rPr>
      </w:pPr>
      <w:r>
        <w:rPr>
          <w:rFonts w:hint="eastAsia" w:ascii="宋体" w:hAnsi="宋体"/>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1072"/>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2"/>
        <w:ind w:left="220" w:right="415" w:firstLine="640"/>
        <w:jc w:val="left"/>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ascii="宋体" w:hAnsi="宋体"/>
          <w:i/>
          <w:sz w:val="24"/>
          <w:highlight w:val="none"/>
          <w:u w:val="single"/>
        </w:rPr>
        <w:t xml:space="preserve">（单位名称）</w:t>
      </w:r>
      <w:r>
        <w:rPr>
          <w:rFonts w:ascii="宋体" w:hAnsi="宋体"/>
          <w:sz w:val="24"/>
          <w:highlight w:val="none"/>
        </w:rPr>
        <w:t xml:space="preserve">的</w:t>
      </w:r>
      <w:r>
        <w:rPr>
          <w:rFonts w:ascii="宋体" w:hAnsi="宋体"/>
          <w:i/>
          <w:sz w:val="24"/>
          <w:highlight w:val="none"/>
          <w:u w:val="single"/>
        </w:rPr>
        <w:t xml:space="preserve">（项目名称）</w:t>
      </w:r>
      <w:r>
        <w:rPr>
          <w:rFonts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highlight w:val="none"/>
        </w:rPr>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w:t>
      </w:r>
      <w:r>
        <w:rPr>
          <w:rFonts w:ascii="宋体" w:hAnsi="宋体"/>
          <w:highlight w:val="none"/>
        </w:rPr>
        <w:fldChar w:fldCharType="begin"/>
      </w:r>
      <w:r>
        <w:rPr>
          <w:rFonts w:ascii="宋体" w:hAnsi="宋体"/>
          <w:highlight w:val="none"/>
        </w:rPr>
        <w:instrText xml:space="preserve"> HYPERLINK \l "_bookmark1" </w:instrText>
      </w:r>
      <w:r>
        <w:rPr>
          <w:rFonts w:ascii="宋体" w:hAnsi="宋体"/>
          <w:highlight w:val="none"/>
        </w:rPr>
        <w:fldChar w:fldCharType="separate"/>
      </w:r>
      <w:r>
        <w:rPr>
          <w:rFonts w:ascii="宋体" w:hAnsi="宋体"/>
          <w:position w:val="16"/>
          <w:sz w:val="24"/>
          <w:highlight w:val="none"/>
        </w:rPr>
        <w:t xml:space="preserve">1</w:t>
      </w:r>
      <w:r>
        <w:rPr>
          <w:rFonts w:ascii="宋体" w:hAnsi="宋体"/>
          <w:position w:val="16"/>
          <w:sz w:val="24"/>
          <w:highlight w:val="none"/>
        </w:rPr>
        <w:fldChar w:fldCharType="end"/>
      </w:r>
      <w:r>
        <w:rPr>
          <w:rFonts w:ascii="宋体" w:hAnsi="宋体"/>
          <w:sz w:val="24"/>
          <w:highlight w:val="none"/>
        </w:rPr>
        <w:t xml:space="preserve">，属于</w:t>
      </w:r>
      <w:r>
        <w:rPr>
          <w:rFonts w:ascii="宋体" w:hAnsi="宋体"/>
          <w:i/>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highlight w:val="none"/>
        </w:rPr>
      </w:pPr>
      <w:r>
        <w:rPr>
          <w:rFonts w:ascii="宋体" w:hAnsi="宋体"/>
          <w:i/>
          <w:sz w:val="24"/>
          <w:highlight w:val="none"/>
          <w:u w:val="single"/>
        </w:rPr>
        <w:t xml:space="preserve">（标的名称）</w:t>
      </w:r>
      <w:r>
        <w:rPr>
          <w:rFonts w:ascii="宋体" w:hAnsi="宋体"/>
          <w:sz w:val="24"/>
          <w:highlight w:val="none"/>
        </w:rPr>
        <w:t xml:space="preserve">，属于</w:t>
      </w:r>
      <w:r>
        <w:rPr>
          <w:rFonts w:ascii="宋体" w:hAnsi="宋体"/>
          <w:i/>
          <w:sz w:val="24"/>
          <w:highlight w:val="none"/>
        </w:rPr>
        <w:t xml:space="preserve">（</w:t>
      </w:r>
      <w:r>
        <w:rPr>
          <w:rFonts w:ascii="宋体" w:hAnsi="宋体"/>
          <w:i/>
          <w:sz w:val="24"/>
          <w:highlight w:val="none"/>
          <w:u w:val="single"/>
        </w:rPr>
        <w:t xml:space="preserve">采购文件中明确的所属行业）</w:t>
      </w:r>
      <w:r>
        <w:rPr>
          <w:rFonts w:ascii="宋体" w:hAnsi="宋体"/>
          <w:sz w:val="24"/>
          <w:highlight w:val="none"/>
        </w:rPr>
        <w:t xml:space="preserve">；承建（承接）企业为</w:t>
      </w:r>
      <w:r>
        <w:rPr>
          <w:rFonts w:ascii="宋体" w:hAnsi="宋体"/>
          <w:i/>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i/>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1072"/>
        <w:ind w:left="860"/>
        <w:jc w:val="left"/>
        <w:spacing w:line="360" w:lineRule="auto"/>
        <w:rPr>
          <w:rFonts w:ascii="宋体" w:hAnsi="宋体"/>
          <w:sz w:val="24"/>
          <w:highlight w:val="none"/>
        </w:rPr>
      </w:pPr>
      <w:r>
        <w:rPr>
          <w:rFonts w:ascii="宋体" w:hAnsi="宋体"/>
          <w:sz w:val="24"/>
          <w:highlight w:val="none"/>
        </w:rPr>
        <w:t xml:space="preserve">……</w:t>
      </w:r>
      <w:r>
        <w:rPr>
          <w:rFonts w:ascii="宋体" w:hAnsi="宋体"/>
          <w:sz w:val="24"/>
          <w:highlight w:val="none"/>
        </w:rPr>
      </w:r>
      <w:r/>
    </w:p>
    <w:p>
      <w:pPr>
        <w:pStyle w:val="1072"/>
        <w:ind w:left="220" w:right="417" w:firstLine="645"/>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rPr>
          <w:rFonts w:ascii="宋体" w:hAnsi="宋体"/>
          <w:sz w:val="24"/>
          <w:highlight w:val="none"/>
        </w:rPr>
      </w:r>
      <w:r/>
    </w:p>
    <w:p>
      <w:pPr>
        <w:pStyle w:val="1072"/>
        <w:ind w:firstLine="504"/>
        <w:spacing w:line="360" w:lineRule="auto"/>
        <w:rPr>
          <w:rFonts w:ascii="宋体" w:hAnsi="宋体"/>
          <w:spacing w:val="6"/>
          <w:sz w:val="24"/>
          <w:highlight w:val="none"/>
        </w:rPr>
      </w:pPr>
      <w:r>
        <w:rPr>
          <w:rFonts w:ascii="宋体" w:hAnsi="宋体"/>
          <w:sz w:val="24"/>
          <w:highlight w:val="none"/>
        </w:rPr>
        <w:t xml:space="preserve">本企业对上述声明内容的真实性负责。如有虚假，将依法承担相应责任。</w:t>
      </w:r>
      <w:r>
        <w:rPr>
          <w:rFonts w:ascii="宋体" w:hAnsi="宋体"/>
          <w:spacing w:val="6"/>
          <w:sz w:val="24"/>
          <w:highlight w:val="none"/>
        </w:rPr>
      </w:r>
      <w:r/>
    </w:p>
    <w:p>
      <w:pPr>
        <w:pStyle w:val="1072"/>
        <w:ind w:firstLine="504"/>
        <w:spacing w:line="360" w:lineRule="auto"/>
        <w:rPr>
          <w:rFonts w:ascii="宋体" w:hAnsi="宋体"/>
          <w:spacing w:val="6"/>
          <w:sz w:val="24"/>
          <w:highlight w:val="none"/>
        </w:rPr>
      </w:pPr>
      <w:r>
        <w:rPr>
          <w:rFonts w:ascii="宋体" w:hAnsi="宋体"/>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ascii="宋体" w:hAnsi="宋体"/>
          <w:spacing w:val="6"/>
          <w:sz w:val="24"/>
          <w:highlight w:val="none"/>
        </w:rPr>
      </w:r>
      <w:r/>
    </w:p>
    <w:p>
      <w:pPr>
        <w:pStyle w:val="1072"/>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ascii="宋体" w:hAnsi="宋体"/>
          <w:b/>
          <w:spacing w:val="6"/>
          <w:sz w:val="24"/>
          <w:highlight w:val="none"/>
        </w:rPr>
      </w:r>
      <w:r/>
    </w:p>
    <w:p>
      <w:pPr>
        <w:pStyle w:val="1072"/>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1072"/>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1072"/>
        <w:ind w:firstLine="504"/>
        <w:spacing w:line="588" w:lineRule="exact"/>
        <w:rPr>
          <w:rFonts w:ascii="宋体" w:hAnsi="宋体"/>
          <w:spacing w:val="6"/>
          <w:sz w:val="24"/>
          <w:highlight w:val="none"/>
        </w:rPr>
      </w:pPr>
      <w:r>
        <w:rPr>
          <w:rFonts w:ascii="宋体" w:hAnsi="宋体"/>
          <w:spacing w:val="6"/>
          <w:sz w:val="24"/>
          <w:highlight w:val="none"/>
        </w:rPr>
      </w:r>
      <w:r/>
    </w:p>
    <w:p>
      <w:pPr>
        <w:pStyle w:val="1072"/>
        <w:ind w:firstLine="504"/>
        <w:spacing w:line="588" w:lineRule="exact"/>
        <w:rPr>
          <w:rFonts w:ascii="宋体" w:hAnsi="宋体"/>
          <w:spacing w:val="6"/>
          <w:sz w:val="24"/>
          <w:highlight w:val="none"/>
        </w:rPr>
      </w:pPr>
      <w:r>
        <w:rPr>
          <w:rFonts w:ascii="宋体" w:hAnsi="宋体"/>
          <w:spacing w:val="6"/>
          <w:sz w:val="24"/>
          <w:highlight w:val="none"/>
        </w:rPr>
      </w:r>
      <w:r/>
    </w:p>
    <w:p>
      <w:pPr>
        <w:pStyle w:val="1072"/>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单位名称（加盖公章）：</w:t>
      </w:r>
      <w:r>
        <w:rPr>
          <w:rFonts w:ascii="宋体" w:hAnsi="宋体"/>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w:t>
      </w:r>
      <w:r>
        <w:rPr>
          <w:rFonts w:hint="eastAsia" w:ascii="宋体" w:hAnsi="宋体"/>
          <w:b/>
          <w:sz w:val="24"/>
          <w:szCs w:val="20"/>
          <w:highlight w:val="none"/>
        </w:rPr>
        <w:t xml:space="preserve">明函</w:t>
      </w:r>
      <w:r>
        <w:rPr>
          <w:rFonts w:hint="eastAsia" w:ascii="方正魏碑_GBK" w:hAnsi="方正魏碑_GBK" w:eastAsia="方正魏碑_GBK" w:cs="方正魏碑_GBK"/>
          <w:b/>
          <w:sz w:val="24"/>
          <w:highlight w:val="none"/>
        </w:rPr>
        <w:t xml:space="preserve">（采购包号：**）</w:t>
      </w:r>
      <w:r>
        <w:rPr>
          <w:rFonts w:ascii="宋体" w:hAnsi="宋体"/>
          <w:sz w:val="24"/>
          <w:szCs w:val="20"/>
          <w:highlight w:val="none"/>
        </w:rPr>
      </w:r>
      <w:r/>
    </w:p>
    <w:p>
      <w:pPr>
        <w:pStyle w:val="1136"/>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1136"/>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highlight w:val="none"/>
        </w:rPr>
      </w:r>
      <w:r/>
    </w:p>
    <w:p>
      <w:pPr>
        <w:pStyle w:val="1136"/>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highlight w:val="none"/>
          <w:shd w:val="clear" w:color="auto" w:fill="ffffff"/>
        </w:rPr>
        <w:t xml:space="preserve">1.</w:t>
      </w:r>
      <w:r>
        <w:rPr>
          <w:rStyle w:val="1147"/>
          <w:rFonts w:hint="eastAsia" w:ascii="方正魏碑_GBK" w:hAnsi="方正魏碑_GBK" w:eastAsia="方正魏碑_GBK" w:cs="方正魏碑_GBK"/>
          <w:color w:val="000000"/>
          <w:highlight w:val="none"/>
          <w:u w:val="single"/>
          <w:shd w:val="clear" w:color="auto" w:fill="ffffff"/>
        </w:rPr>
        <w:t xml:space="preserve">（产品名称1）</w:t>
      </w:r>
      <w:r>
        <w:rPr>
          <w:rStyle w:val="1147"/>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1147"/>
          <w:rFonts w:hint="eastAsia" w:ascii="方正魏碑_GBK" w:hAnsi="方正魏碑_GBK" w:eastAsia="方正魏碑_GBK" w:cs="方正魏碑_GBK"/>
          <w:color w:val="000000"/>
          <w:highlight w:val="none"/>
          <w:u w:val="single"/>
          <w:shd w:val="clear" w:color="auto" w:fill="ffffff"/>
        </w:rPr>
        <w:t xml:space="preserve">（厂名）</w:t>
      </w:r>
      <w:r>
        <w:rPr>
          <w:rStyle w:val="1147"/>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1147"/>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1147"/>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highlight w:val="none"/>
          <w:shd w:val="clear" w:color="auto" w:fill="ffffff"/>
        </w:rPr>
        <w:t xml:space="preserve">的中国境内生产的组件成本占比≥</w:t>
      </w:r>
      <w:r>
        <w:rPr>
          <w:rStyle w:val="1147"/>
          <w:rFonts w:hint="eastAsia" w:ascii="方正魏碑_GBK" w:hAnsi="方正魏碑_GBK" w:eastAsia="方正魏碑_GBK" w:cs="方正魏碑_GBK"/>
          <w:color w:val="000000"/>
          <w:highlight w:val="none"/>
          <w:u w:val="single"/>
          <w:shd w:val="clear" w:color="auto" w:fill="ffffff"/>
        </w:rPr>
        <w:t xml:space="preserve">（规定</w:t>
      </w:r>
      <w:r>
        <w:rPr>
          <w:rStyle w:val="1147"/>
          <w:rFonts w:ascii="方正魏碑_GBK" w:hAnsi="方正魏碑_GBK" w:eastAsia="方正魏碑_GBK" w:cs="方正魏碑_GBK"/>
          <w:color w:val="000000"/>
          <w:highlight w:val="none"/>
          <w:u w:val="single"/>
          <w:shd w:val="clear" w:color="auto" w:fill="ffffff"/>
        </w:rPr>
        <w:t xml:space="preserve">比例</w:t>
      </w:r>
      <w:r>
        <w:rPr>
          <w:rStyle w:val="1147"/>
          <w:rFonts w:hint="eastAsia" w:ascii="方正魏碑_GBK" w:hAnsi="方正魏碑_GBK" w:eastAsia="方正魏碑_GBK" w:cs="方正魏碑_GBK"/>
          <w:color w:val="000000"/>
          <w:highlight w:val="none"/>
          <w:u w:val="single"/>
          <w:shd w:val="clear" w:color="auto" w:fill="ffffff"/>
        </w:rPr>
        <w:t xml:space="preserve">）</w:t>
      </w:r>
      <w:r>
        <w:rPr>
          <w:rStyle w:val="1147"/>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1147"/>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1147"/>
          <w:rFonts w:hint="eastAsia" w:ascii="方正魏碑_GBK" w:hAnsi="方正魏碑_GBK" w:eastAsia="方正魏碑_GBK" w:cs="方正魏碑_GBK"/>
          <w:color w:val="000000"/>
          <w:highlight w:val="none"/>
          <w:u w:val="single"/>
          <w:shd w:val="clear" w:color="auto" w:fill="ffffff"/>
        </w:rPr>
        <w:t xml:space="preserve">（关键</w:t>
      </w:r>
      <w:r>
        <w:rPr>
          <w:rStyle w:val="1147"/>
          <w:rFonts w:ascii="方正魏碑_GBK" w:hAnsi="方正魏碑_GBK" w:eastAsia="方正魏碑_GBK" w:cs="方正魏碑_GBK"/>
          <w:color w:val="000000"/>
          <w:highlight w:val="none"/>
          <w:u w:val="single"/>
          <w:shd w:val="clear" w:color="auto" w:fill="ffffff"/>
        </w:rPr>
        <w:t xml:space="preserve">组件</w:t>
      </w:r>
      <w:r>
        <w:rPr>
          <w:rStyle w:val="1147"/>
          <w:rFonts w:hint="eastAsia" w:ascii="方正魏碑_GBK" w:hAnsi="方正魏碑_GBK" w:eastAsia="方正魏碑_GBK" w:cs="方正魏碑_GBK"/>
          <w:color w:val="000000"/>
          <w:highlight w:val="none"/>
          <w:u w:val="single"/>
          <w:shd w:val="clear" w:color="auto" w:fill="ffffff"/>
        </w:rPr>
        <w:t xml:space="preserve">）</w:t>
      </w:r>
      <w:r>
        <w:rPr>
          <w:rStyle w:val="1147"/>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1147"/>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1147"/>
          <w:rFonts w:hint="eastAsia" w:ascii="方正魏碑_GBK" w:hAnsi="方正魏碑_GBK" w:eastAsia="方正魏碑_GBK" w:cs="方正魏碑_GBK"/>
          <w:color w:val="000000"/>
          <w:highlight w:val="none"/>
          <w:u w:val="single"/>
          <w:shd w:val="clear" w:color="auto" w:fill="ffffff"/>
        </w:rPr>
        <w:t xml:space="preserve">（关键工序）</w:t>
      </w:r>
      <w:r>
        <w:rPr>
          <w:rStyle w:val="1147"/>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rPr>
          <w:rFonts w:hint="eastAsia" w:ascii="方正魏碑_GBK" w:hAnsi="方正魏碑_GBK" w:eastAsia="方正魏碑_GBK" w:cs="方正魏碑_GBK"/>
          <w:highlight w:val="none"/>
        </w:rPr>
      </w:r>
      <w:r/>
    </w:p>
    <w:p>
      <w:pPr>
        <w:pStyle w:val="1136"/>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highlight w:val="none"/>
          <w:shd w:val="clear" w:color="auto" w:fill="ffffff"/>
        </w:rPr>
        <w:t xml:space="preserve">2.</w:t>
      </w:r>
      <w:r>
        <w:rPr>
          <w:rStyle w:val="114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1147"/>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1147"/>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114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的中国境内生产的组件成本占比≥</w:t>
      </w:r>
      <w:r>
        <w:rPr>
          <w:rStyle w:val="1147"/>
          <w:rFonts w:hint="eastAsia" w:ascii="方正魏碑_GBK" w:hAnsi="方正魏碑_GBK" w:eastAsia="方正魏碑_GBK" w:cs="方正魏碑_GBK"/>
          <w:color w:val="000000"/>
          <w:highlight w:val="none"/>
          <w:u w:val="single"/>
          <w:shd w:val="clear" w:color="auto" w:fill="ffffff"/>
        </w:rPr>
        <w:t xml:space="preserve">（规定</w:t>
      </w:r>
      <w:r>
        <w:rPr>
          <w:rStyle w:val="1147"/>
          <w:rFonts w:ascii="方正魏碑_GBK" w:hAnsi="方正魏碑_GBK" w:eastAsia="方正魏碑_GBK" w:cs="方正魏碑_GBK"/>
          <w:color w:val="000000"/>
          <w:highlight w:val="none"/>
          <w:u w:val="single"/>
          <w:shd w:val="clear" w:color="auto" w:fill="ffffff"/>
        </w:rPr>
        <w:t xml:space="preserve">比例</w:t>
      </w:r>
      <w:r>
        <w:rPr>
          <w:rStyle w:val="1147"/>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114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w:t>
      </w:r>
      <w:r>
        <w:rPr>
          <w:rStyle w:val="1147"/>
          <w:rFonts w:hint="eastAsia" w:ascii="方正魏碑_GBK" w:hAnsi="方正魏碑_GBK" w:eastAsia="方正魏碑_GBK" w:cs="方正魏碑_GBK"/>
          <w:color w:val="000000"/>
          <w:highlight w:val="none"/>
          <w:u w:val="single"/>
          <w:shd w:val="clear" w:color="auto" w:fill="ffffff"/>
        </w:rPr>
        <w:t xml:space="preserve">（关键</w:t>
      </w:r>
      <w:r>
        <w:rPr>
          <w:rStyle w:val="1147"/>
          <w:rFonts w:ascii="方正魏碑_GBK" w:hAnsi="方正魏碑_GBK" w:eastAsia="方正魏碑_GBK" w:cs="方正魏碑_GBK"/>
          <w:color w:val="000000"/>
          <w:highlight w:val="none"/>
          <w:u w:val="single"/>
          <w:shd w:val="clear" w:color="auto" w:fill="ffffff"/>
        </w:rPr>
        <w:t xml:space="preserve">组件</w:t>
      </w:r>
      <w:r>
        <w:rPr>
          <w:rStyle w:val="1147"/>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114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w:t>
      </w:r>
      <w:r>
        <w:rPr>
          <w:rStyle w:val="1147"/>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highlight w:val="none"/>
          <w:shd w:val="clear" w:color="auto" w:fill="ffffff"/>
        </w:rPr>
        <w:t xml:space="preserve">在中国境内完成。</w:t>
      </w:r>
      <w:r>
        <w:rPr>
          <w:rFonts w:hint="eastAsia" w:ascii="方正魏碑_GBK" w:hAnsi="方正魏碑_GBK" w:eastAsia="方正魏碑_GBK" w:cs="方正魏碑_GBK"/>
          <w:highlight w:val="none"/>
        </w:rPr>
      </w:r>
      <w:r/>
    </w:p>
    <w:p>
      <w:pPr>
        <w:pStyle w:val="1136"/>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rPr>
      </w:r>
      <w:r/>
    </w:p>
    <w:p>
      <w:pPr>
        <w:pStyle w:val="1136"/>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highlight w:val="none"/>
        </w:rPr>
      </w:r>
      <w:r/>
    </w:p>
    <w:p>
      <w:pPr>
        <w:pStyle w:val="1136"/>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1136"/>
        <w:ind w:right="480" w:firstLine="37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公司（单位）名称（盖章）：　        </w:t>
      </w:r>
      <w:r>
        <w:rPr>
          <w:rFonts w:hint="eastAsia" w:ascii="方正魏碑_GBK" w:hAnsi="方正魏碑_GBK" w:eastAsia="方正魏碑_GBK" w:cs="方正魏碑_GBK"/>
          <w:highlight w:val="none"/>
        </w:rPr>
      </w:r>
      <w:r/>
    </w:p>
    <w:p>
      <w:pPr>
        <w:pStyle w:val="1136"/>
        <w:jc w:val="center"/>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日期：　   年　  月　  日         </w:t>
      </w:r>
      <w:r>
        <w:rPr>
          <w:rFonts w:hint="eastAsia" w:ascii="方正魏碑_GBK" w:hAnsi="方正魏碑_GBK" w:eastAsia="方正魏碑_GBK" w:cs="方正魏碑_GBK"/>
          <w:highlight w:val="none"/>
        </w:rPr>
      </w:r>
      <w:r/>
    </w:p>
    <w:p>
      <w:pPr>
        <w:pStyle w:val="1136"/>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rPr>
          <w:rFonts w:hint="eastAsia" w:ascii="方正魏碑_GBK" w:hAnsi="方正魏碑_GBK" w:eastAsia="方正魏碑_GBK" w:cs="方正魏碑_GBK"/>
          <w:highlight w:val="none"/>
        </w:rPr>
      </w:r>
      <w:r/>
    </w:p>
    <w:p>
      <w:pPr>
        <w:pStyle w:val="1136"/>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rPr>
          <w:rFonts w:hint="eastAsia" w:ascii="方正魏碑_GBK" w:hAnsi="方正魏碑_GBK" w:eastAsia="方正魏碑_GBK" w:cs="方正魏碑_GBK"/>
          <w:sz w:val="22"/>
          <w:highlight w:val="none"/>
        </w:rPr>
      </w:r>
      <w:r/>
    </w:p>
    <w:p>
      <w:pPr>
        <w:pStyle w:val="1136"/>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highlight w:val="none"/>
        </w:rPr>
      </w:r>
      <w:r/>
    </w:p>
    <w:p>
      <w:pPr>
        <w:pStyle w:val="1136"/>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highlight w:val="none"/>
        </w:rPr>
      </w:r>
      <w:r/>
    </w:p>
    <w:p>
      <w:pPr>
        <w:pStyle w:val="1136"/>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sz w:val="22"/>
          <w:highlight w:val="none"/>
        </w:rPr>
      </w:r>
      <w:r/>
    </w:p>
    <w:p>
      <w:pPr>
        <w:pStyle w:val="1136"/>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rPr>
          <w:rFonts w:ascii="方正魏碑_GBK" w:hAnsi="方正魏碑_GBK" w:eastAsia="方正魏碑_GBK" w:cs="方正魏碑_GBK"/>
          <w:sz w:val="22"/>
          <w:highlight w:val="none"/>
          <w:shd w:val="clear" w:color="auto" w:fill="ffffff"/>
        </w:rPr>
      </w:r>
      <w:r/>
    </w:p>
    <w:p>
      <w:pPr>
        <w:pStyle w:val="1136"/>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6.用斜线划除的地方无需填写。</w:t>
      </w:r>
      <w:r>
        <w:rPr>
          <w:rFonts w:ascii="方正魏碑_GBK" w:hAnsi="方正魏碑_GBK" w:eastAsia="方正魏碑_GBK" w:cs="方正魏碑_GBK"/>
          <w:sz w:val="22"/>
          <w:highlight w:val="none"/>
          <w:shd w:val="clear" w:color="auto" w:fill="ffffff"/>
        </w:rPr>
      </w:r>
      <w:r/>
    </w:p>
    <w:p>
      <w:pPr>
        <w:pStyle w:val="1072"/>
        <w:rPr>
          <w:rFonts w:ascii="方正魏碑_GBK" w:hAnsi="方正魏碑_GBK" w:eastAsia="方正魏碑_GBK" w:cs="方正魏碑_GBK"/>
          <w:color w:val="ff0000"/>
          <w:highlight w:val="none"/>
        </w:rPr>
      </w:pPr>
      <w:r>
        <w:rPr>
          <w:rFonts w:hint="eastAsia" w:ascii="宋体" w:hAnsi="宋体"/>
          <w:b/>
          <w:sz w:val="24"/>
          <w:highlight w:val="none"/>
        </w:rPr>
        <w:br w:type="page" w:clear="all"/>
      </w:r>
      <w:r>
        <w:rPr>
          <w:rFonts w:ascii="方正魏碑_GBK" w:hAnsi="方正魏碑_GBK" w:eastAsia="方正魏碑_GBK" w:cs="方正魏碑_GBK"/>
          <w:color w:val="ff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7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72"/>
        <w:spacing w:line="360" w:lineRule="auto"/>
        <w:rPr>
          <w:rFonts w:ascii="宋体" w:hAnsi="宋体"/>
          <w:sz w:val="22"/>
          <w:highlight w:val="none"/>
        </w:rPr>
      </w:pPr>
      <w:r>
        <w:rPr>
          <w:rFonts w:ascii="宋体" w:hAnsi="宋体"/>
          <w:sz w:val="22"/>
          <w:highlight w:val="none"/>
        </w:rPr>
      </w:r>
      <w:r/>
    </w:p>
    <w:p>
      <w:pPr>
        <w:pStyle w:val="107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7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7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7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072"/>
        <w:spacing w:line="360" w:lineRule="auto"/>
        <w:rPr>
          <w:rFonts w:ascii="宋体" w:hAnsi="宋体"/>
          <w:sz w:val="24"/>
          <w:highlight w:val="none"/>
        </w:rPr>
      </w:pPr>
      <w:r>
        <w:rPr>
          <w:rFonts w:ascii="宋体" w:hAnsi="宋体"/>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sz w:val="22"/>
          <w:highlight w:val="none"/>
        </w:rPr>
        <w:br w:type="page" w:clear="all"/>
      </w:r>
      <w:bookmarkStart w:id="909" w:name="_Toc288738839"/>
      <w:r/>
      <w:bookmarkStart w:id="910"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9"/>
      <w:r/>
      <w:bookmarkEnd w:id="910"/>
      <w:r>
        <w:rPr>
          <w:rFonts w:ascii="宋体" w:hAnsi="宋体"/>
          <w:b/>
          <w:sz w:val="32"/>
          <w:szCs w:val="32"/>
          <w:highlight w:val="none"/>
        </w:rPr>
      </w:r>
      <w:r/>
    </w:p>
    <w:p>
      <w:pPr>
        <w:pStyle w:val="1072"/>
        <w:jc w:val="center"/>
        <w:spacing w:line="360" w:lineRule="auto"/>
        <w:rPr>
          <w:rFonts w:ascii="宋体" w:hAnsi="宋体"/>
          <w:b/>
          <w:sz w:val="28"/>
          <w:szCs w:val="30"/>
          <w:highlight w:val="none"/>
        </w:rPr>
      </w:pPr>
      <w:r>
        <w:rPr>
          <w:rFonts w:ascii="宋体" w:hAnsi="宋体"/>
          <w:b/>
          <w:sz w:val="28"/>
          <w:szCs w:val="30"/>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7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72"/>
        <w:spacing w:line="360" w:lineRule="auto"/>
        <w:rPr>
          <w:rFonts w:ascii="宋体" w:hAnsi="宋体" w:cs="宋体"/>
          <w:sz w:val="24"/>
          <w:highlight w:val="none"/>
        </w:rPr>
      </w:pPr>
      <w:r>
        <w:rPr>
          <w:rFonts w:ascii="宋体" w:hAnsi="宋体" w:cs="宋体"/>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sz w:val="36"/>
          <w:szCs w:val="36"/>
          <w:highlight w:val="none"/>
        </w:rPr>
      </w:pPr>
      <w:r>
        <w:rPr>
          <w:rFonts w:ascii="宋体" w:hAnsi="宋体"/>
          <w:b/>
          <w:sz w:val="36"/>
          <w:szCs w:val="36"/>
          <w:highlight w:val="none"/>
        </w:rPr>
      </w:r>
      <w:r/>
    </w:p>
    <w:p>
      <w:pPr>
        <w:pStyle w:val="1072"/>
        <w:jc w:val="left"/>
        <w:widowControl/>
        <w:rPr>
          <w:rFonts w:ascii="宋体" w:hAnsi="宋体"/>
          <w:b/>
          <w:sz w:val="36"/>
          <w:szCs w:val="36"/>
          <w:highlight w:val="none"/>
        </w:rPr>
      </w:pPr>
      <w:r>
        <w:rPr>
          <w:rFonts w:ascii="宋体" w:hAnsi="宋体"/>
          <w:b/>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hint="eastAsia" w:ascii="宋体" w:hAnsi="宋体"/>
          <w:sz w:val="36"/>
          <w:szCs w:val="36"/>
          <w:highlight w:val="none"/>
        </w:rPr>
      </w:pPr>
      <w:r>
        <w:rPr>
          <w:rFonts w:hint="eastAsia" w:ascii="宋体" w:hAnsi="宋体"/>
          <w:sz w:val="36"/>
          <w:szCs w:val="36"/>
          <w:highlight w:val="none"/>
        </w:rPr>
      </w:r>
      <w:r/>
    </w:p>
    <w:p>
      <w:pPr>
        <w:pStyle w:val="1072"/>
        <w:rPr>
          <w:rFonts w:hint="eastAsia" w:ascii="宋体" w:hAnsi="宋体"/>
          <w:sz w:val="36"/>
          <w:szCs w:val="36"/>
          <w:highlight w:val="none"/>
        </w:rPr>
      </w:pPr>
      <w:r>
        <w:rPr>
          <w:rFonts w:hint="eastAsia" w:ascii="宋体" w:hAnsi="宋体"/>
          <w:sz w:val="36"/>
          <w:szCs w:val="36"/>
          <w:highlight w:val="none"/>
        </w:rPr>
      </w:r>
      <w:r/>
    </w:p>
    <w:p>
      <w:pPr>
        <w:pStyle w:val="1072"/>
        <w:rPr>
          <w:rFonts w:hint="eastAsia" w:ascii="宋体" w:hAnsi="宋体"/>
          <w:sz w:val="36"/>
          <w:szCs w:val="36"/>
          <w:highlight w:val="none"/>
        </w:rPr>
      </w:pPr>
      <w:r>
        <w:rPr>
          <w:rFonts w:hint="eastAsia" w:ascii="宋体" w:hAnsi="宋体"/>
          <w:sz w:val="36"/>
          <w:szCs w:val="36"/>
          <w:highlight w:val="none"/>
        </w:rPr>
      </w:r>
      <w:r/>
    </w:p>
    <w:p>
      <w:pPr>
        <w:pStyle w:val="1072"/>
        <w:rPr>
          <w:rFonts w:hint="eastAsia" w:ascii="宋体" w:hAnsi="宋体"/>
          <w:sz w:val="36"/>
          <w:szCs w:val="36"/>
          <w:highlight w:val="none"/>
        </w:rPr>
      </w:pPr>
      <w:r>
        <w:rPr>
          <w:rFonts w:hint="eastAsia" w:ascii="宋体" w:hAnsi="宋体"/>
          <w:sz w:val="36"/>
          <w:szCs w:val="36"/>
          <w:highlight w:val="none"/>
        </w:rPr>
      </w:r>
      <w:r/>
    </w:p>
    <w:p>
      <w:pPr>
        <w:pStyle w:val="1072"/>
        <w:rPr>
          <w:rFonts w:hint="eastAsia" w:ascii="宋体" w:hAnsi="宋体"/>
          <w:sz w:val="36"/>
          <w:szCs w:val="36"/>
          <w:highlight w:val="none"/>
        </w:rPr>
      </w:pPr>
      <w:r>
        <w:rPr>
          <w:rFonts w:hint="eastAsia"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rPr>
          <w:rFonts w:ascii="宋体" w:hAnsi="宋体"/>
          <w:sz w:val="36"/>
          <w:szCs w:val="36"/>
          <w:highlight w:val="none"/>
        </w:rPr>
      </w:pPr>
      <w:r>
        <w:rPr>
          <w:rFonts w:ascii="宋体" w:hAnsi="宋体"/>
          <w:sz w:val="36"/>
          <w:szCs w:val="36"/>
          <w:highlight w:val="none"/>
        </w:rPr>
      </w:r>
      <w:r/>
    </w:p>
    <w:p>
      <w:pPr>
        <w:pStyle w:val="1072"/>
        <w:jc w:val="center"/>
        <w:spacing w:line="360" w:lineRule="auto"/>
        <w:rPr>
          <w:rFonts w:hint="eastAsia" w:ascii="宋体" w:hAnsi="宋体" w:cs="黑体"/>
          <w:bCs/>
          <w:sz w:val="24"/>
          <w:highlight w:val="none"/>
        </w:rPr>
      </w:pPr>
      <w:r>
        <w:rPr>
          <w:rFonts w:hint="eastAsia" w:ascii="宋体" w:hAnsi="宋体" w:cs="黑体"/>
          <w:b/>
          <w:sz w:val="28"/>
          <w:szCs w:val="28"/>
          <w:highlight w:val="none"/>
        </w:rPr>
        <w:t xml:space="preserve">本招标文件的最终解释权归常州市城投建设工程招标有限公司所有</w:t>
      </w:r>
      <w:r>
        <w:rPr>
          <w:rFonts w:hint="eastAsia" w:ascii="宋体" w:hAnsi="宋体" w:cs="黑体"/>
          <w:bCs/>
          <w:sz w:val="24"/>
          <w:highlight w:val="none"/>
        </w:rPr>
        <w:t xml:space="preserve">。</w:t>
      </w:r>
      <w:r>
        <w:rPr>
          <w:rFonts w:hint="eastAsia" w:ascii="宋体" w:hAnsi="宋体" w:cs="黑体"/>
          <w:bCs/>
          <w:sz w:val="24"/>
          <w:highlight w:val="none"/>
        </w:rPr>
      </w:r>
      <w:r/>
    </w:p>
    <w:p>
      <w:pPr>
        <w:pStyle w:val="1072"/>
        <w:jc w:val="center"/>
        <w:rPr>
          <w:rFonts w:hint="eastAsia" w:ascii="宋体" w:hAnsi="宋体" w:cs="黑体"/>
          <w:highlight w:val="none"/>
        </w:rPr>
      </w:pPr>
      <w:r>
        <w:rPr>
          <w:rFonts w:hint="eastAsia" w:ascii="宋体" w:hAnsi="宋体" w:cs="黑体"/>
          <w:b/>
          <w:sz w:val="32"/>
          <w:highlight w:val="none"/>
        </w:rPr>
        <w:t xml:space="preserve">（全文完）</w:t>
      </w:r>
      <w:r>
        <w:rPr>
          <w:rFonts w:hint="eastAsia" w:ascii="宋体" w:hAnsi="宋体" w:cs="黑体"/>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right="360"/>
      <w:tabs>
        <w:tab w:val="center" w:pos="4153" w:leader="none"/>
        <w:tab w:val="right" w:pos="8306" w:leader="none"/>
      </w:tabs>
      <w:rPr>
        <w:rStyle w:val="1145"/>
      </w:rPr>
      <w:framePr w:wrap="around" w:vAnchor="text" w:hAnchor="margin" w:y="1"/>
    </w:pPr>
    <w:r>
      <w:rPr>
        <w:rStyle w:val="1145"/>
      </w:rPr>
    </w:r>
    <w:r/>
  </w:p>
  <w:p>
    <w:pPr>
      <w:pStyle w:val="112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5"/>
      </w:rPr>
      <w:framePr w:wrap="around" w:vAnchor="text" w:hAnchor="margin" w:xAlign="right" w:y="1"/>
    </w:pPr>
    <w:r>
      <w:rPr>
        <w:rStyle w:val="1145"/>
      </w:rPr>
    </w:r>
    <w:r/>
  </w:p>
  <w:p>
    <w:pPr>
      <w:pStyle w:val="112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3"/>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84"/>
    <w:link w:val="1072"/>
    <w:qFormat/>
    <w:pPr>
      <w:jc w:val="both"/>
      <w:widowControl w:val="off"/>
    </w:pPr>
    <w:rPr>
      <w:sz w:val="21"/>
      <w:szCs w:val="24"/>
      <w:lang w:val="en-US" w:eastAsia="zh-CN" w:bidi="ar-SA"/>
    </w:rPr>
  </w:style>
  <w:style w:type="paragraph" w:styleId="1073">
    <w:name w:val="标题 1"/>
    <w:basedOn w:val="1072"/>
    <w:next w:val="1072"/>
    <w:link w:val="1089"/>
    <w:qFormat/>
    <w:pPr>
      <w:jc w:val="center"/>
      <w:keepLines/>
      <w:keepNext/>
      <w:spacing w:before="240" w:after="120" w:line="300" w:lineRule="auto"/>
      <w:outlineLvl w:val="0"/>
    </w:pPr>
    <w:rPr>
      <w:rFonts w:ascii="宋体"/>
      <w:b/>
      <w:sz w:val="32"/>
      <w:szCs w:val="20"/>
    </w:rPr>
  </w:style>
  <w:style w:type="paragraph" w:styleId="1074">
    <w:name w:val="标题 2"/>
    <w:basedOn w:val="1072"/>
    <w:next w:val="1091"/>
    <w:link w:val="1090"/>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91"/>
    <w:link w:val="1093"/>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4"/>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5"/>
    <w:qFormat/>
    <w:pPr>
      <w:keepLines/>
      <w:keepNext/>
      <w:spacing w:before="280" w:after="290" w:line="376" w:lineRule="atLeast"/>
      <w:outlineLvl w:val="4"/>
    </w:pPr>
    <w:rPr>
      <w:b/>
      <w:sz w:val="28"/>
      <w:szCs w:val="20"/>
    </w:rPr>
  </w:style>
  <w:style w:type="paragraph" w:styleId="1078">
    <w:name w:val="标题 6"/>
    <w:basedOn w:val="1072"/>
    <w:next w:val="1072"/>
    <w:link w:val="1096"/>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7"/>
    <w:qFormat/>
    <w:pPr>
      <w:keepLines/>
      <w:keepNext/>
      <w:spacing w:before="240" w:after="64" w:line="320" w:lineRule="atLeast"/>
      <w:outlineLvl w:val="6"/>
    </w:pPr>
    <w:rPr>
      <w:b/>
      <w:sz w:val="24"/>
      <w:szCs w:val="20"/>
    </w:rPr>
  </w:style>
  <w:style w:type="paragraph" w:styleId="1080">
    <w:name w:val="标题 8"/>
    <w:basedOn w:val="1072"/>
    <w:next w:val="1072"/>
    <w:link w:val="1098"/>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9"/>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paragraph" w:styleId="1084">
    <w:name w:val="正文首行缩进 2"/>
    <w:basedOn w:val="1085"/>
    <w:next w:val="1072"/>
    <w:link w:val="1088"/>
    <w:qFormat/>
    <w:pPr>
      <w:ind w:left="420" w:firstLine="420"/>
      <w:spacing w:after="120" w:line="480" w:lineRule="exact"/>
    </w:pPr>
    <w:rPr>
      <w:szCs w:val="20"/>
    </w:rPr>
  </w:style>
  <w:style w:type="paragraph" w:styleId="1085">
    <w:name w:val="正文文本缩进"/>
    <w:basedOn w:val="1072"/>
    <w:next w:val="1087"/>
    <w:link w:val="1086"/>
    <w:qFormat/>
    <w:pPr>
      <w:ind w:firstLine="570"/>
      <w:spacing w:line="360" w:lineRule="auto"/>
    </w:pPr>
    <w:rPr>
      <w:sz w:val="24"/>
    </w:rPr>
  </w:style>
  <w:style w:type="character" w:styleId="1086">
    <w:name w:val="正文文本缩进 字符"/>
    <w:next w:val="1086"/>
    <w:link w:val="1085"/>
    <w:qFormat/>
    <w:rPr>
      <w:rFonts w:eastAsia="宋体"/>
      <w:sz w:val="24"/>
      <w:szCs w:val="24"/>
      <w:lang w:val="en-US" w:eastAsia="zh-CN" w:bidi="ar-SA"/>
    </w:rPr>
  </w:style>
  <w:style w:type="paragraph" w:styleId="1087">
    <w:name w:val="寄信人地址"/>
    <w:basedOn w:val="1072"/>
    <w:next w:val="1087"/>
    <w:link w:val="1072"/>
    <w:uiPriority w:val="99"/>
    <w:qFormat/>
    <w:rPr>
      <w:rFonts w:ascii="Arial" w:hAnsi="Arial" w:cs="Arial"/>
    </w:rPr>
  </w:style>
  <w:style w:type="character" w:styleId="1088">
    <w:name w:val="正文文本首行缩进 2 字符"/>
    <w:next w:val="1088"/>
    <w:link w:val="1084"/>
    <w:qFormat/>
    <w:rPr>
      <w:rFonts w:eastAsia="宋体"/>
      <w:sz w:val="24"/>
      <w:szCs w:val="24"/>
      <w:lang w:val="en-US" w:eastAsia="zh-CN" w:bidi="ar-SA"/>
    </w:rPr>
  </w:style>
  <w:style w:type="character" w:styleId="1089">
    <w:name w:val="标题 1 字符"/>
    <w:next w:val="1089"/>
    <w:link w:val="1073"/>
    <w:qFormat/>
    <w:rPr>
      <w:rFonts w:ascii="宋体"/>
      <w:b/>
      <w:sz w:val="32"/>
    </w:rPr>
  </w:style>
  <w:style w:type="character" w:styleId="1090">
    <w:name w:val="标题 2 字符"/>
    <w:next w:val="1090"/>
    <w:link w:val="1074"/>
    <w:qFormat/>
    <w:rPr>
      <w:rFonts w:ascii="Arial" w:hAnsi="Arial" w:eastAsia="黑体"/>
      <w:b/>
      <w:sz w:val="30"/>
      <w:lang w:val="en-US" w:eastAsia="zh-CN" w:bidi="ar-SA"/>
    </w:rPr>
  </w:style>
  <w:style w:type="paragraph" w:styleId="1091">
    <w:name w:val="正文缩进"/>
    <w:basedOn w:val="1072"/>
    <w:next w:val="1091"/>
    <w:link w:val="1092"/>
    <w:uiPriority w:val="99"/>
    <w:qFormat/>
    <w:pPr>
      <w:ind w:firstLine="420"/>
      <w:jc w:val="left"/>
    </w:pPr>
    <w:rPr>
      <w:rFonts w:ascii="宋体"/>
      <w:sz w:val="24"/>
    </w:rPr>
  </w:style>
  <w:style w:type="character" w:styleId="1092">
    <w:name w:val="正文缩进 字符1"/>
    <w:next w:val="1092"/>
    <w:link w:val="1091"/>
    <w:qFormat/>
    <w:rPr>
      <w:rFonts w:ascii="宋体" w:eastAsia="宋体"/>
      <w:sz w:val="24"/>
      <w:szCs w:val="24"/>
      <w:lang w:val="en-US" w:eastAsia="zh-CN" w:bidi="ar-SA"/>
    </w:rPr>
  </w:style>
  <w:style w:type="character" w:styleId="1093">
    <w:name w:val="标题 3 字符"/>
    <w:next w:val="1093"/>
    <w:link w:val="1075"/>
    <w:qFormat/>
    <w:rPr>
      <w:rFonts w:ascii="宋体" w:eastAsia="宋体"/>
      <w:b/>
      <w:sz w:val="24"/>
      <w:u w:val="single"/>
      <w:lang w:val="en-US" w:eastAsia="zh-CN" w:bidi="ar-SA"/>
    </w:rPr>
  </w:style>
  <w:style w:type="character" w:styleId="1094">
    <w:name w:val="标题 4 字符"/>
    <w:next w:val="1094"/>
    <w:link w:val="1076"/>
    <w:qFormat/>
    <w:rPr>
      <w:rFonts w:ascii="Arial" w:hAnsi="Arial" w:eastAsia="黑体"/>
      <w:b/>
      <w:sz w:val="28"/>
    </w:rPr>
  </w:style>
  <w:style w:type="character" w:styleId="1095">
    <w:name w:val="标题 5 字符"/>
    <w:next w:val="1095"/>
    <w:link w:val="1077"/>
    <w:qFormat/>
    <w:rPr>
      <w:b/>
      <w:sz w:val="28"/>
    </w:rPr>
  </w:style>
  <w:style w:type="character" w:styleId="1096">
    <w:name w:val="标题 6 字符"/>
    <w:next w:val="1096"/>
    <w:link w:val="1078"/>
    <w:qFormat/>
    <w:rPr>
      <w:rFonts w:ascii="Arial" w:hAnsi="Arial" w:eastAsia="黑体"/>
      <w:b/>
      <w:sz w:val="24"/>
    </w:rPr>
  </w:style>
  <w:style w:type="character" w:styleId="1097">
    <w:name w:val="标题 7 字符"/>
    <w:next w:val="1097"/>
    <w:link w:val="1079"/>
    <w:qFormat/>
    <w:rPr>
      <w:b/>
      <w:sz w:val="24"/>
    </w:rPr>
  </w:style>
  <w:style w:type="character" w:styleId="1098">
    <w:name w:val="标题 8 字符"/>
    <w:next w:val="1098"/>
    <w:link w:val="1080"/>
    <w:qFormat/>
    <w:rPr>
      <w:rFonts w:ascii="Arial" w:hAnsi="Arial" w:eastAsia="黑体"/>
      <w:sz w:val="24"/>
    </w:rPr>
  </w:style>
  <w:style w:type="character" w:styleId="1099">
    <w:name w:val="标题 9 字符"/>
    <w:next w:val="1099"/>
    <w:link w:val="1081"/>
    <w:qFormat/>
    <w:rPr>
      <w:rFonts w:ascii="Arial" w:hAnsi="Arial" w:eastAsia="黑体"/>
      <w:sz w:val="21"/>
    </w:rPr>
  </w:style>
  <w:style w:type="paragraph" w:styleId="1100">
    <w:name w:val="目录 7"/>
    <w:basedOn w:val="1072"/>
    <w:next w:val="1072"/>
    <w:link w:val="1072"/>
    <w:qFormat/>
    <w:pPr>
      <w:ind w:left="2520"/>
    </w:pPr>
  </w:style>
  <w:style w:type="paragraph" w:styleId="1101">
    <w:name w:val="题注"/>
    <w:basedOn w:val="1072"/>
    <w:next w:val="1072"/>
    <w:link w:val="1072"/>
    <w:qFormat/>
    <w:pPr>
      <w:spacing w:line="480" w:lineRule="auto"/>
    </w:pPr>
    <w:rPr>
      <w:rFonts w:ascii="华文中宋" w:hAnsi="华文中宋" w:eastAsia="华文中宋"/>
      <w:sz w:val="36"/>
      <w:szCs w:val="20"/>
    </w:rPr>
  </w:style>
  <w:style w:type="paragraph" w:styleId="1102">
    <w:name w:val="文档结构图"/>
    <w:basedOn w:val="1072"/>
    <w:next w:val="1102"/>
    <w:link w:val="1103"/>
    <w:qFormat/>
    <w:pPr>
      <w:shd w:val="clear" w:color="auto" w:fill="000080"/>
    </w:pPr>
  </w:style>
  <w:style w:type="character" w:styleId="1103">
    <w:name w:val="文档结构图 字符"/>
    <w:next w:val="1103"/>
    <w:link w:val="1102"/>
    <w:qFormat/>
    <w:rPr>
      <w:sz w:val="21"/>
      <w:szCs w:val="24"/>
      <w:shd w:val="clear" w:color="auto" w:fill="000080"/>
    </w:rPr>
  </w:style>
  <w:style w:type="paragraph" w:styleId="1104">
    <w:name w:val="批注文字"/>
    <w:basedOn w:val="1072"/>
    <w:next w:val="1104"/>
    <w:link w:val="1105"/>
    <w:uiPriority w:val="99"/>
    <w:qFormat/>
    <w:pPr>
      <w:jc w:val="left"/>
    </w:pPr>
  </w:style>
  <w:style w:type="character" w:styleId="1105">
    <w:name w:val="批注文字 字符1"/>
    <w:next w:val="1105"/>
    <w:link w:val="1104"/>
    <w:uiPriority w:val="99"/>
    <w:qFormat/>
    <w:rPr>
      <w:sz w:val="21"/>
      <w:szCs w:val="24"/>
    </w:rPr>
  </w:style>
  <w:style w:type="paragraph" w:styleId="1106">
    <w:name w:val="正文文本 3"/>
    <w:basedOn w:val="1072"/>
    <w:next w:val="1106"/>
    <w:link w:val="1107"/>
    <w:qFormat/>
    <w:pPr>
      <w:spacing w:after="120"/>
    </w:pPr>
    <w:rPr>
      <w:sz w:val="16"/>
      <w:szCs w:val="16"/>
    </w:rPr>
  </w:style>
  <w:style w:type="character" w:styleId="1107">
    <w:name w:val="正文文本 3 字符"/>
    <w:next w:val="1107"/>
    <w:link w:val="1106"/>
    <w:qFormat/>
    <w:rPr>
      <w:sz w:val="16"/>
      <w:szCs w:val="16"/>
    </w:rPr>
  </w:style>
  <w:style w:type="paragraph" w:styleId="1108">
    <w:name w:val="正文文本"/>
    <w:basedOn w:val="1072"/>
    <w:next w:val="1108"/>
    <w:link w:val="1109"/>
    <w:qFormat/>
    <w:pPr>
      <w:spacing w:before="120" w:line="22" w:lineRule="atLeast"/>
      <w:tabs>
        <w:tab w:val="left" w:pos="567" w:leader="none"/>
      </w:tabs>
    </w:pPr>
    <w:rPr>
      <w:rFonts w:ascii="宋体" w:hAnsi="宋体"/>
      <w:sz w:val="24"/>
    </w:rPr>
  </w:style>
  <w:style w:type="character" w:styleId="1109">
    <w:name w:val="正文文本 字符1"/>
    <w:next w:val="1109"/>
    <w:link w:val="1108"/>
    <w:qFormat/>
    <w:rPr>
      <w:rFonts w:ascii="宋体" w:hAnsi="宋体"/>
      <w:sz w:val="24"/>
      <w:szCs w:val="24"/>
    </w:rPr>
  </w:style>
  <w:style w:type="paragraph" w:styleId="1110">
    <w:name w:val="列表 2"/>
    <w:basedOn w:val="1072"/>
    <w:next w:val="1110"/>
    <w:link w:val="1072"/>
    <w:qFormat/>
    <w:pPr>
      <w:ind w:left="100" w:hanging="200"/>
    </w:pPr>
  </w:style>
  <w:style w:type="paragraph" w:styleId="1111">
    <w:name w:val="文本块"/>
    <w:basedOn w:val="1072"/>
    <w:next w:val="1111"/>
    <w:link w:val="1072"/>
    <w:qFormat/>
    <w:pPr>
      <w:ind w:left="480" w:right="-341" w:firstLine="513"/>
      <w:widowControl/>
    </w:pPr>
    <w:rPr>
      <w:sz w:val="24"/>
      <w:szCs w:val="20"/>
    </w:rPr>
  </w:style>
  <w:style w:type="paragraph" w:styleId="1112">
    <w:name w:val="目录 5"/>
    <w:basedOn w:val="1072"/>
    <w:next w:val="1072"/>
    <w:link w:val="1072"/>
    <w:qFormat/>
    <w:pPr>
      <w:ind w:left="1680"/>
    </w:pPr>
  </w:style>
  <w:style w:type="paragraph" w:styleId="1113">
    <w:name w:val="目录 3"/>
    <w:basedOn w:val="1072"/>
    <w:next w:val="1072"/>
    <w:link w:val="1072"/>
    <w:uiPriority w:val="39"/>
    <w:qFormat/>
    <w:pPr>
      <w:ind w:left="840"/>
    </w:pPr>
  </w:style>
  <w:style w:type="paragraph" w:styleId="1114">
    <w:name w:val="纯文本"/>
    <w:basedOn w:val="1072"/>
    <w:next w:val="1114"/>
    <w:link w:val="1115"/>
    <w:uiPriority w:val="99"/>
    <w:qFormat/>
    <w:rPr>
      <w:rFonts w:hint="eastAsia" w:ascii="宋体" w:hAnsi="Courier New"/>
      <w:szCs w:val="20"/>
    </w:rPr>
  </w:style>
  <w:style w:type="character" w:styleId="1115">
    <w:name w:val="纯文本 字符2"/>
    <w:next w:val="1115"/>
    <w:link w:val="1114"/>
    <w:qFormat/>
    <w:rPr>
      <w:rFonts w:hint="eastAsia" w:ascii="宋体" w:hAnsi="Courier New" w:eastAsia="宋体" w:cs="宋体"/>
      <w:sz w:val="21"/>
    </w:rPr>
  </w:style>
  <w:style w:type="paragraph" w:styleId="1116">
    <w:name w:val="目录 8"/>
    <w:basedOn w:val="1072"/>
    <w:next w:val="1072"/>
    <w:link w:val="1072"/>
    <w:qFormat/>
    <w:pPr>
      <w:ind w:left="2940"/>
    </w:pPr>
  </w:style>
  <w:style w:type="paragraph" w:styleId="1117">
    <w:name w:val="日期"/>
    <w:basedOn w:val="1072"/>
    <w:next w:val="1072"/>
    <w:link w:val="1118"/>
    <w:qFormat/>
    <w:pPr>
      <w:ind w:left="100"/>
    </w:pPr>
    <w:rPr>
      <w:rFonts w:ascii="仿宋_GB2312" w:hAnsi="宋体" w:eastAsia="仿宋_GB2312"/>
      <w:color w:val="000000"/>
      <w:sz w:val="24"/>
    </w:rPr>
  </w:style>
  <w:style w:type="character" w:styleId="1118">
    <w:name w:val="日期 字符"/>
    <w:next w:val="1118"/>
    <w:link w:val="1117"/>
    <w:qFormat/>
    <w:rPr>
      <w:rFonts w:ascii="仿宋_GB2312" w:hAnsi="宋体" w:eastAsia="仿宋_GB2312"/>
      <w:color w:val="000000"/>
      <w:sz w:val="24"/>
      <w:szCs w:val="24"/>
    </w:rPr>
  </w:style>
  <w:style w:type="paragraph" w:styleId="1119">
    <w:name w:val="正文文本缩进 2"/>
    <w:basedOn w:val="1072"/>
    <w:next w:val="1119"/>
    <w:link w:val="1120"/>
    <w:qFormat/>
    <w:pPr>
      <w:ind w:firstLine="480"/>
    </w:pPr>
    <w:rPr>
      <w:rFonts w:ascii="仿宋_GB2312" w:eastAsia="仿宋_GB2312"/>
      <w:sz w:val="24"/>
    </w:rPr>
  </w:style>
  <w:style w:type="character" w:styleId="1120">
    <w:name w:val="正文文本缩进 2 字符"/>
    <w:next w:val="1120"/>
    <w:link w:val="1119"/>
    <w:qFormat/>
    <w:rPr>
      <w:rFonts w:ascii="仿宋_GB2312" w:eastAsia="仿宋_GB2312"/>
      <w:sz w:val="24"/>
      <w:szCs w:val="24"/>
    </w:rPr>
  </w:style>
  <w:style w:type="paragraph" w:styleId="1121">
    <w:name w:val="批注框文本"/>
    <w:basedOn w:val="1072"/>
    <w:next w:val="1121"/>
    <w:link w:val="1122"/>
    <w:qFormat/>
    <w:rPr>
      <w:sz w:val="18"/>
      <w:szCs w:val="18"/>
    </w:rPr>
  </w:style>
  <w:style w:type="character" w:styleId="1122">
    <w:name w:val="批注框文本 字符"/>
    <w:next w:val="1122"/>
    <w:link w:val="1121"/>
    <w:qFormat/>
    <w:rPr>
      <w:sz w:val="18"/>
      <w:szCs w:val="18"/>
    </w:rPr>
  </w:style>
  <w:style w:type="paragraph" w:styleId="1123">
    <w:name w:val="页脚"/>
    <w:basedOn w:val="1072"/>
    <w:next w:val="1123"/>
    <w:link w:val="1124"/>
    <w:uiPriority w:val="99"/>
    <w:qFormat/>
    <w:pPr>
      <w:jc w:val="left"/>
      <w:tabs>
        <w:tab w:val="center" w:pos="4153" w:leader="none"/>
        <w:tab w:val="right" w:pos="8306" w:leader="none"/>
      </w:tabs>
    </w:pPr>
    <w:rPr>
      <w:rFonts w:ascii="宋体"/>
      <w:sz w:val="18"/>
      <w:szCs w:val="20"/>
    </w:rPr>
  </w:style>
  <w:style w:type="character" w:styleId="1124">
    <w:name w:val="页脚 字符"/>
    <w:next w:val="1124"/>
    <w:link w:val="1123"/>
    <w:uiPriority w:val="99"/>
    <w:qFormat/>
    <w:rPr>
      <w:rFonts w:ascii="宋体" w:eastAsia="宋体"/>
      <w:sz w:val="18"/>
      <w:lang w:val="en-US" w:eastAsia="zh-CN" w:bidi="ar-SA"/>
    </w:rPr>
  </w:style>
  <w:style w:type="paragraph" w:styleId="1125">
    <w:name w:val="页眉"/>
    <w:basedOn w:val="1072"/>
    <w:next w:val="1125"/>
    <w:link w:val="1126"/>
    <w:qFormat/>
    <w:pPr>
      <w:jc w:val="center"/>
      <w:tabs>
        <w:tab w:val="center" w:pos="4153" w:leader="none"/>
        <w:tab w:val="right" w:pos="8306" w:leader="none"/>
      </w:tabs>
      <w:pBdr>
        <w:bottom w:val="single" w:color="000000" w:sz="6" w:space="1"/>
      </w:pBdr>
    </w:pPr>
    <w:rPr>
      <w:sz w:val="18"/>
      <w:szCs w:val="18"/>
    </w:rPr>
  </w:style>
  <w:style w:type="character" w:styleId="1126">
    <w:name w:val="页眉 字符"/>
    <w:next w:val="1126"/>
    <w:link w:val="1125"/>
    <w:qFormat/>
    <w:rPr>
      <w:rFonts w:eastAsia="宋体"/>
      <w:sz w:val="18"/>
      <w:szCs w:val="18"/>
      <w:lang w:val="en-US" w:eastAsia="zh-CN" w:bidi="ar-SA"/>
    </w:rPr>
  </w:style>
  <w:style w:type="paragraph" w:styleId="1127">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8">
    <w:name w:val="目录 4"/>
    <w:basedOn w:val="1072"/>
    <w:next w:val="1072"/>
    <w:link w:val="1072"/>
    <w:qFormat/>
    <w:pPr>
      <w:ind w:left="1260"/>
    </w:pPr>
  </w:style>
  <w:style w:type="paragraph" w:styleId="1129">
    <w:name w:val="目录 6"/>
    <w:basedOn w:val="1072"/>
    <w:next w:val="1072"/>
    <w:link w:val="1072"/>
    <w:qFormat/>
    <w:pPr>
      <w:ind w:left="2100"/>
    </w:pPr>
  </w:style>
  <w:style w:type="paragraph" w:styleId="1130">
    <w:name w:val="正文文本缩进 3"/>
    <w:basedOn w:val="1072"/>
    <w:next w:val="1130"/>
    <w:link w:val="1131"/>
    <w:qFormat/>
    <w:pPr>
      <w:ind w:left="720" w:firstLine="480"/>
      <w:jc w:val="left"/>
      <w:spacing w:before="120" w:line="22" w:lineRule="atLeast"/>
    </w:pPr>
    <w:rPr>
      <w:rFonts w:ascii="宋体"/>
      <w:sz w:val="24"/>
      <w:szCs w:val="20"/>
    </w:rPr>
  </w:style>
  <w:style w:type="character" w:styleId="1131">
    <w:name w:val="正文文本缩进 3 字符"/>
    <w:next w:val="1131"/>
    <w:link w:val="1130"/>
    <w:qFormat/>
    <w:rPr>
      <w:rFonts w:ascii="宋体"/>
      <w:sz w:val="24"/>
    </w:rPr>
  </w:style>
  <w:style w:type="paragraph" w:styleId="1132">
    <w:name w:val="目录 2"/>
    <w:basedOn w:val="1072"/>
    <w:next w:val="1072"/>
    <w:link w:val="1072"/>
    <w:uiPriority w:val="39"/>
    <w:qFormat/>
    <w:pPr>
      <w:ind w:left="420"/>
      <w:spacing w:line="312" w:lineRule="auto"/>
      <w:tabs>
        <w:tab w:val="right" w:pos="8937" w:leader="dot"/>
      </w:tabs>
    </w:pPr>
  </w:style>
  <w:style w:type="paragraph" w:styleId="1133">
    <w:name w:val="目录 9"/>
    <w:basedOn w:val="1072"/>
    <w:next w:val="1072"/>
    <w:link w:val="1072"/>
    <w:qFormat/>
    <w:pPr>
      <w:ind w:left="3360"/>
    </w:pPr>
  </w:style>
  <w:style w:type="paragraph" w:styleId="1134">
    <w:name w:val="HTML 预设格式"/>
    <w:basedOn w:val="1072"/>
    <w:next w:val="1134"/>
    <w:link w:val="11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5">
    <w:name w:val="HTML 预设格式 字符"/>
    <w:next w:val="1135"/>
    <w:link w:val="1134"/>
    <w:qFormat/>
    <w:rPr>
      <w:rFonts w:ascii="宋体" w:hAnsi="宋体" w:cs="宋体"/>
      <w:sz w:val="24"/>
      <w:szCs w:val="24"/>
    </w:rPr>
  </w:style>
  <w:style w:type="paragraph" w:styleId="1136">
    <w:name w:val="普通(网站)"/>
    <w:basedOn w:val="1072"/>
    <w:next w:val="1136"/>
    <w:link w:val="1072"/>
    <w:uiPriority w:val="99"/>
    <w:unhideWhenUsed/>
    <w:qFormat/>
    <w:pPr>
      <w:jc w:val="left"/>
      <w:spacing w:before="100" w:beforeAutospacing="1" w:after="100" w:afterAutospacing="1"/>
      <w:widowControl/>
    </w:pPr>
    <w:rPr>
      <w:rFonts w:ascii="宋体" w:hAnsi="宋体" w:cs="宋体"/>
      <w:sz w:val="24"/>
    </w:rPr>
  </w:style>
  <w:style w:type="paragraph" w:styleId="1137">
    <w:name w:val="索引 1"/>
    <w:basedOn w:val="1072"/>
    <w:next w:val="1072"/>
    <w:link w:val="1072"/>
    <w:qFormat/>
    <w:rPr>
      <w:szCs w:val="20"/>
    </w:rPr>
  </w:style>
  <w:style w:type="paragraph" w:styleId="1138">
    <w:name w:val="标题"/>
    <w:basedOn w:val="1072"/>
    <w:next w:val="1138"/>
    <w:link w:val="1139"/>
    <w:qFormat/>
    <w:pPr>
      <w:jc w:val="center"/>
      <w:outlineLvl w:val="0"/>
    </w:pPr>
    <w:rPr>
      <w:b/>
      <w:sz w:val="32"/>
      <w:szCs w:val="20"/>
    </w:rPr>
  </w:style>
  <w:style w:type="character" w:styleId="1139">
    <w:name w:val="标题 字符"/>
    <w:next w:val="1139"/>
    <w:link w:val="1138"/>
    <w:qFormat/>
    <w:rPr>
      <w:b/>
      <w:sz w:val="32"/>
    </w:rPr>
  </w:style>
  <w:style w:type="paragraph" w:styleId="1140">
    <w:name w:val="批注主题"/>
    <w:basedOn w:val="1104"/>
    <w:next w:val="1104"/>
    <w:link w:val="1141"/>
    <w:qFormat/>
    <w:rPr>
      <w:b/>
      <w:bCs/>
    </w:rPr>
  </w:style>
  <w:style w:type="character" w:styleId="1141">
    <w:name w:val="批注主题 字符"/>
    <w:next w:val="1141"/>
    <w:link w:val="1140"/>
    <w:qFormat/>
    <w:rPr>
      <w:rFonts w:ascii="Times New Roman" w:hAnsi="Times New Roman" w:eastAsia="宋体" w:cs="Times New Roman"/>
      <w:b/>
      <w:bCs/>
      <w:sz w:val="21"/>
      <w:szCs w:val="24"/>
      <w:lang w:val="en-US" w:eastAsia="zh-CN" w:bidi="ar-SA"/>
    </w:rPr>
  </w:style>
  <w:style w:type="table" w:styleId="1142">
    <w:name w:val="网格型"/>
    <w:basedOn w:val="1083"/>
    <w:next w:val="1142"/>
    <w:link w:val="1072"/>
    <w:uiPriority w:val="39"/>
    <w:qFormat/>
    <w:tblPr/>
  </w:style>
  <w:style w:type="table" w:styleId="1143">
    <w:name w:val="中等深浅网格 1 - 强调文字颜色 2"/>
    <w:basedOn w:val="1083"/>
    <w:next w:val="1143"/>
    <w:link w:val="1072"/>
    <w:qFormat/>
    <w:rPr>
      <w:sz w:val="21"/>
      <w:szCs w:val="24"/>
    </w:rPr>
    <w:tblPr/>
  </w:style>
  <w:style w:type="character" w:styleId="1144">
    <w:name w:val="要点"/>
    <w:next w:val="1144"/>
    <w:link w:val="1072"/>
    <w:qFormat/>
    <w:rPr>
      <w:b/>
      <w:bCs/>
    </w:rPr>
  </w:style>
  <w:style w:type="character" w:styleId="1145">
    <w:name w:val="页码"/>
    <w:next w:val="1145"/>
    <w:link w:val="1072"/>
    <w:qFormat/>
  </w:style>
  <w:style w:type="character" w:styleId="1146">
    <w:name w:val="已访问的超链接"/>
    <w:next w:val="1146"/>
    <w:link w:val="1072"/>
    <w:qFormat/>
    <w:rPr>
      <w:color w:val="800080"/>
      <w:u w:val="single"/>
    </w:rPr>
  </w:style>
  <w:style w:type="character" w:styleId="1147">
    <w:name w:val="强调"/>
    <w:next w:val="1147"/>
    <w:link w:val="1072"/>
    <w:qFormat/>
    <w:rPr>
      <w:color w:val="cc0033"/>
    </w:rPr>
  </w:style>
  <w:style w:type="character" w:styleId="1148">
    <w:name w:val="超链接"/>
    <w:next w:val="1148"/>
    <w:link w:val="1072"/>
    <w:uiPriority w:val="99"/>
    <w:qFormat/>
    <w:rPr>
      <w:color w:val="0000ff"/>
      <w:u w:val="singl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表段落 字符"/>
    <w:next w:val="1166"/>
    <w:link w:val="1167"/>
    <w:uiPriority w:val="34"/>
    <w:qFormat/>
    <w:rPr>
      <w:rFonts w:ascii="Calibri" w:hAnsi="Calibri" w:eastAsia="宋体"/>
      <w:sz w:val="21"/>
      <w:szCs w:val="22"/>
      <w:lang w:val="en-US" w:eastAsia="zh-CN" w:bidi="ar-SA"/>
    </w:rPr>
  </w:style>
  <w:style w:type="paragraph" w:styleId="1167">
    <w:name w:val="列表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102"/>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7"/>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085"/>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91"/>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91"/>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8"/>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6</cp:revision>
  <dcterms:created xsi:type="dcterms:W3CDTF">2022-05-30T08:08:00Z</dcterms:created>
  <dcterms:modified xsi:type="dcterms:W3CDTF">2026-10-19T03:04:00Z</dcterms:modified>
</cp:coreProperties>
</file>