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s="宋体"/>
          <w:color w:val="auto"/>
          <w:sz w:val="36"/>
          <w:highlight w:val="none"/>
        </w:rPr>
      </w:r>
      <w:r/>
    </w:p>
    <w:p>
      <w:pPr>
        <w:jc w:val="right"/>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编号：</w:t>
      </w:r>
      <w:r>
        <w:rPr>
          <w:rFonts w:hint="eastAsia" w:ascii="Times New Roman" w:hAnsi="Times New Roman" w:cs="宋体"/>
          <w:b/>
          <w:bCs/>
          <w:strike w:val="0"/>
          <w:color w:val="auto"/>
          <w:sz w:val="36"/>
          <w:highlight w:val="none"/>
          <w:lang w:eastAsia="zh-CN"/>
        </w:rPr>
        <w:t xml:space="preserve">JSZC-321000-SWGC-G2026-0131</w:t>
      </w:r>
      <w:r>
        <w:rPr>
          <w:rFonts w:hint="eastAsia" w:ascii="Times New Roman" w:hAnsi="Times New Roman" w:eastAsia="宋体" w:cs="宋体"/>
          <w:b/>
          <w:bCs/>
          <w:strike w:val="0"/>
          <w:color w:val="auto"/>
          <w:sz w:val="36"/>
          <w:highlight w:val="none"/>
          <w:lang w:eastAsia="zh-CN"/>
        </w:rPr>
        <w:t xml:space="preserve">号</w:t>
      </w:r>
      <w:r/>
    </w:p>
    <w:p>
      <w:pPr>
        <w:jc w:val="both"/>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cs="宋体"/>
          <w:b/>
          <w:bCs/>
          <w:color w:val="auto"/>
          <w:sz w:val="36"/>
          <w:highlight w:val="none"/>
          <w:lang w:eastAsia="zh-CN"/>
        </w:rPr>
        <w:t xml:space="preserve">扬州市警务技能训练基地功能区域窗帘纱窗集中采购安装项目</w:t>
      </w:r>
      <w:r>
        <w:rPr>
          <w:rFonts w:hint="eastAsia" w:ascii="Times New Roman" w:hAnsi="Times New Roman" w:eastAsia="宋体" w:cs="宋体"/>
          <w:b/>
          <w:bCs/>
          <w:color w:val="auto"/>
          <w:sz w:val="36"/>
          <w:highlight w:val="none"/>
        </w:rPr>
        <w:t xml:space="preserve">公开招标文件</w:t>
      </w:r>
      <w:r/>
    </w:p>
    <w:p>
      <w:pPr>
        <w:pStyle w:val="975"/>
        <w:pageBreakBefore w:val="0"/>
        <w:spacing w:after="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4"/>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4" o:title=""/>
              </v:shape>
            </w:pict>
          </mc:Fallback>
        </mc:AlternateConten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江苏苏维工程管理有限公司</w:t>
      </w:r>
      <w:r/>
    </w:p>
    <w:p>
      <w:pPr>
        <w:jc w:val="center"/>
        <w:pageBreakBefore w:val="0"/>
        <w:spacing w:line="360" w:lineRule="auto"/>
        <w:rPr>
          <w:rFonts w:hint="eastAsia" w:ascii="Times New Roman" w:hAnsi="Times New Roman" w:eastAsia="宋体" w:cs="宋体"/>
          <w:b/>
          <w:bCs/>
          <w:color w:val="auto"/>
          <w:sz w:val="36"/>
          <w:highlight w:val="none"/>
        </w:rPr>
      </w:pPr>
      <w:r>
        <w:rPr>
          <w:rFonts w:hint="eastAsia" w:ascii="Times New Roman" w:hAnsi="Times New Roman" w:eastAsia="宋体" w:cs="宋体"/>
          <w:b/>
          <w:bCs/>
          <w:color w:val="auto"/>
          <w:sz w:val="36"/>
          <w:highlight w:val="none"/>
        </w:rPr>
        <w:t xml:space="preserve">202</w:t>
      </w:r>
      <w:r>
        <w:rPr>
          <w:rFonts w:hint="eastAsia" w:ascii="Times New Roman" w:hAnsi="Times New Roman" w:eastAsia="宋体" w:cs="宋体"/>
          <w:b/>
          <w:bCs/>
          <w:color w:val="auto"/>
          <w:sz w:val="36"/>
          <w:highlight w:val="none"/>
          <w:lang w:val="en-US" w:eastAsia="zh-CN"/>
        </w:rPr>
        <w:t xml:space="preserve">6</w:t>
      </w:r>
      <w:r>
        <w:rPr>
          <w:rFonts w:hint="eastAsia" w:ascii="Times New Roman" w:hAnsi="Times New Roman" w:eastAsia="宋体" w:cs="宋体"/>
          <w:b/>
          <w:bCs/>
          <w:color w:val="auto"/>
          <w:sz w:val="36"/>
          <w:highlight w:val="none"/>
        </w:rPr>
        <w:t xml:space="preserve">年</w:t>
      </w:r>
      <w:r>
        <w:rPr>
          <w:rFonts w:hint="default" w:ascii="Times New Roman" w:hAnsi="Times New Roman" w:cs="宋体"/>
          <w:b/>
          <w:bCs/>
          <w:color w:val="auto"/>
          <w:sz w:val="36"/>
          <w:highlight w:val="none"/>
          <w:lang w:val="en-US" w:eastAsia="zh-CN"/>
        </w:rPr>
        <w:t xml:space="preserve">10</w:t>
      </w:r>
      <w:r>
        <w:rPr>
          <w:rFonts w:hint="eastAsia" w:ascii="Times New Roman" w:hAnsi="Times New Roman" w:eastAsia="宋体" w:cs="宋体"/>
          <w:b/>
          <w:bCs/>
          <w:color w:val="auto"/>
          <w:sz w:val="36"/>
          <w:highlight w:val="none"/>
        </w:rPr>
        <w:t xml:space="preserve">月</w:t>
      </w:r>
      <w:r>
        <w:rPr>
          <w:rFonts w:hint="default" w:ascii="Times New Roman" w:hAnsi="Times New Roman" w:cs="宋体"/>
          <w:b/>
          <w:bCs/>
          <w:color w:val="auto"/>
          <w:sz w:val="36"/>
          <w:highlight w:val="none"/>
          <w:lang w:val="en-US" w:eastAsia="zh-CN"/>
        </w:rPr>
        <w:t xml:space="preserve">29</w:t>
      </w:r>
      <w:r>
        <w:rPr>
          <w:rFonts w:hint="eastAsia" w:ascii="Times New Roman" w:hAnsi="Times New Roman" w:eastAsia="宋体" w:cs="宋体"/>
          <w:b/>
          <w:bCs/>
          <w:color w:val="auto"/>
          <w:sz w:val="36"/>
          <w:highlight w:val="none"/>
        </w:rPr>
        <w:t xml:space="preserve">日</w:t>
      </w:r>
      <w:r/>
    </w:p>
    <w:p>
      <w:pPr>
        <w:jc w:val="center"/>
        <w:pageBreakBefore w:val="0"/>
        <w:spacing w:line="360" w:lineRule="auto"/>
        <w:rPr>
          <w:rFonts w:hint="eastAsia" w:ascii="Times New Roman" w:hAnsi="Times New Roman" w:eastAsia="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color w:val="auto"/>
          <w:sz w:val="32"/>
          <w:highlight w:val="none"/>
        </w:rPr>
      </w:r>
      <w:r/>
    </w:p>
    <w:p>
      <w:pPr>
        <w:pStyle w:val="985"/>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bidi="ar-SA"/>
        </w:rPr>
      </w:pPr>
      <w:r>
        <w:rPr>
          <w:rFonts w:hint="eastAsia" w:ascii="Times New Roman" w:hAnsi="Times New Roman" w:eastAsia="宋体" w:cs="宋体"/>
          <w:color w:val="auto"/>
          <w:sz w:val="21"/>
          <w:szCs w:val="21"/>
          <w:highlight w:val="none"/>
          <w:lang w:val="en-US" w:eastAsia="zh-CN" w:bidi="ar-SA"/>
        </w:rPr>
      </w:r>
      <w:r/>
    </w:p>
    <w:p>
      <w:pPr>
        <w:pageBreakBefore w:val="0"/>
        <w:spacing w:line="360" w:lineRule="auto"/>
        <w:rPr>
          <w:rFonts w:hint="eastAsia" w:ascii="Times New Roman" w:hAnsi="Times New Roman" w:eastAsia="宋体" w:cs="宋体"/>
          <w:color w:val="auto"/>
          <w:sz w:val="32"/>
          <w:szCs w:val="32"/>
          <w:highlight w:val="none"/>
          <w:lang w:val="en-US" w:eastAsia="zh-CN" w:bidi="ar-SA"/>
        </w:rPr>
      </w:pPr>
      <w:r>
        <w:rPr>
          <w:rFonts w:hint="eastAsia" w:ascii="Times New Roman" w:hAnsi="Times New Roman" w:eastAsia="宋体" w:cs="宋体"/>
          <w:color w:val="auto"/>
          <w:sz w:val="32"/>
          <w:szCs w:val="32"/>
          <w:highlight w:val="none"/>
          <w:lang w:val="en-US" w:eastAsia="zh-CN" w:bidi="ar-SA"/>
        </w:rPr>
      </w:r>
      <w:r/>
    </w:p>
    <w:sdt>
      <w:sdtPr>
        <w15:appearance w15:val="boundingBox"/>
        <w15:color w:val="dbdbdb"/>
        <w:id w:val="147455955"/>
        <w:docPartObj>
          <w:docPartGallery w:val="Table of Contents"/>
          <w:docPartUnique w:val="true"/>
        </w:docPartObj>
        <w:rPr>
          <w:rFonts w:hint="default" w:ascii="宋体" w:hAnsi="宋体" w:eastAsia="宋体" w:cs="Times New Roman"/>
          <w:color w:val="auto"/>
          <w:sz w:val="21"/>
          <w:szCs w:val="22"/>
          <w:highlight w:val="none"/>
          <w:lang w:val="en-US" w:eastAsia="zh-CN" w:bidi="ar-SA"/>
        </w:rPr>
      </w:sdtPr>
      <w:sdtContent>
        <w:p>
          <w:pPr>
            <w:ind w:left="0" w:right="0" w:firstLine="0"/>
            <w:jc w:val="center"/>
            <w:keepLines w:val="0"/>
            <w:keepNext w:val="0"/>
            <w:pageBreakBefore w:val="0"/>
            <w:spacing w:before="0" w:after="0" w:line="360" w:lineRule="auto"/>
            <w:widowControl w:val="off"/>
            <w:rPr>
              <w:color w:val="auto"/>
              <w:sz w:val="28"/>
              <w:szCs w:val="28"/>
              <w:highlight w:val="none"/>
            </w:rPr>
          </w:pPr>
          <w:r>
            <w:rPr>
              <w:rFonts w:ascii="宋体" w:hAnsi="宋体" w:eastAsia="宋体"/>
              <w:color w:val="auto"/>
              <w:sz w:val="28"/>
              <w:szCs w:val="28"/>
              <w:highlight w:val="none"/>
            </w:rPr>
            <w:t xml:space="preserve">目录</w:t>
          </w:r>
          <w:r/>
        </w:p>
        <w:p>
          <w:pPr>
            <w:pStyle w:val="749"/>
            <w:keepLines w:val="0"/>
            <w:keepNext w:val="0"/>
            <w:pageBreakBefore w:val="0"/>
            <w:spacing w:line="36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TOC \o "1-1" \h \u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_Toc9352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第一章 采购公告</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_Toc9352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9"/>
            <w:keepLines w:val="0"/>
            <w:keepNext w:val="0"/>
            <w:pageBreakBefore w:val="0"/>
            <w:spacing w:line="36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_Toc15067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_Toc15067 \h </w:instrText>
          </w:r>
          <w:r>
            <w:rPr>
              <w:color w:val="auto"/>
              <w:sz w:val="28"/>
              <w:szCs w:val="28"/>
              <w:highlight w:val="none"/>
            </w:rPr>
            <w:fldChar w:fldCharType="separate"/>
          </w:r>
          <w:r>
            <w:rPr>
              <w:color w:val="auto"/>
              <w:sz w:val="28"/>
              <w:szCs w:val="28"/>
              <w:highlight w:val="none"/>
            </w:rPr>
            <w:t xml:space="preserve">5</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9"/>
            <w:keepLines w:val="0"/>
            <w:keepNext w:val="0"/>
            <w:pageBreakBefore w:val="0"/>
            <w:spacing w:line="36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_Toc12895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第三章 合同条款及格式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_Toc12895 \h </w:instrText>
          </w:r>
          <w:r>
            <w:rPr>
              <w:color w:val="auto"/>
              <w:sz w:val="28"/>
              <w:szCs w:val="28"/>
              <w:highlight w:val="none"/>
            </w:rPr>
            <w:fldChar w:fldCharType="separate"/>
          </w:r>
          <w:r>
            <w:rPr>
              <w:color w:val="auto"/>
              <w:sz w:val="28"/>
              <w:szCs w:val="28"/>
              <w:highlight w:val="none"/>
            </w:rPr>
            <w:t xml:space="preserve">17</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9"/>
            <w:keepLines w:val="0"/>
            <w:keepNext w:val="0"/>
            <w:pageBreakBefore w:val="0"/>
            <w:spacing w:line="36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_Toc4495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s="Arial"/>
              <w:color w:val="auto"/>
              <w:sz w:val="28"/>
              <w:szCs w:val="28"/>
              <w:highlight w:val="none"/>
              <w:lang w:val="en-US" w:eastAsia="zh-CN" w:bidi="ar-SA"/>
            </w:rPr>
            <w:t xml:space="preserve">第四章 </w:t>
          </w:r>
          <w:r>
            <w:rPr>
              <w:rFonts w:hint="eastAsia" w:ascii="Times New Roman" w:hAnsi="Times New Roman" w:eastAsia="宋体"/>
              <w:color w:val="auto"/>
              <w:sz w:val="28"/>
              <w:szCs w:val="28"/>
              <w:highlight w:val="none"/>
            </w:rPr>
            <w:t xml:space="preserve">项目需求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_Toc4495 \h </w:instrText>
          </w:r>
          <w:r>
            <w:rPr>
              <w:color w:val="auto"/>
              <w:sz w:val="28"/>
              <w:szCs w:val="28"/>
              <w:highlight w:val="none"/>
            </w:rPr>
            <w:fldChar w:fldCharType="separate"/>
          </w:r>
          <w:r>
            <w:rPr>
              <w:color w:val="auto"/>
              <w:sz w:val="28"/>
              <w:szCs w:val="28"/>
              <w:highlight w:val="none"/>
            </w:rPr>
            <w:t xml:space="preserve">21</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9"/>
            <w:keepLines w:val="0"/>
            <w:keepNext w:val="0"/>
            <w:pageBreakBefore w:val="0"/>
            <w:spacing w:line="36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_Toc821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第五章 评标方法及评标标准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_Toc821 \h </w:instrText>
          </w:r>
          <w:r>
            <w:rPr>
              <w:color w:val="auto"/>
              <w:sz w:val="28"/>
              <w:szCs w:val="28"/>
              <w:highlight w:val="none"/>
            </w:rPr>
            <w:fldChar w:fldCharType="separate"/>
          </w:r>
          <w:r>
            <w:rPr>
              <w:color w:val="auto"/>
              <w:sz w:val="28"/>
              <w:szCs w:val="28"/>
              <w:highlight w:val="none"/>
            </w:rPr>
            <w:t xml:space="preserve">31</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pStyle w:val="749"/>
            <w:keepLines w:val="0"/>
            <w:keepNext w:val="0"/>
            <w:pageBreakBefore w:val="0"/>
            <w:spacing w:line="360" w:lineRule="auto"/>
            <w:widowControl w:val="off"/>
            <w:tabs>
              <w:tab w:val="right" w:pos="8306" w:leader="dot"/>
            </w:tabs>
            <w:rPr>
              <w:color w:val="auto"/>
              <w:sz w:val="28"/>
              <w:szCs w:val="28"/>
              <w:highlight w:val="none"/>
            </w:rPr>
          </w:pPr>
          <w:r>
            <w:rPr>
              <w:rFonts w:hint="eastAsia" w:ascii="Times New Roman" w:hAnsi="Times New Roman" w:eastAsia="宋体" w:cs="Times New Roman"/>
              <w:color w:val="auto"/>
              <w:sz w:val="28"/>
              <w:szCs w:val="28"/>
              <w:highlight w:val="none"/>
              <w:lang w:val="en-US" w:eastAsia="zh-CN" w:bidi="ar-SA"/>
            </w:rPr>
            <w:fldChar w:fldCharType="begin"/>
          </w:r>
          <w:r>
            <w:rPr>
              <w:rFonts w:hint="eastAsia" w:ascii="Times New Roman" w:hAnsi="Times New Roman" w:eastAsia="宋体" w:cs="Times New Roman"/>
              <w:color w:val="auto"/>
              <w:sz w:val="28"/>
              <w:szCs w:val="28"/>
              <w:highlight w:val="none"/>
              <w:lang w:val="en-US" w:eastAsia="zh-CN" w:bidi="ar-SA"/>
            </w:rPr>
            <w:instrText xml:space="preserve"> HYPERLINK \l _Toc8012 </w:instrText>
          </w:r>
          <w:r>
            <w:rPr>
              <w:rFonts w:hint="eastAsia" w:ascii="Times New Roman" w:hAnsi="Times New Roman" w:eastAsia="宋体" w:cs="Times New Roman"/>
              <w:color w:val="auto"/>
              <w:sz w:val="28"/>
              <w:szCs w:val="28"/>
              <w:highlight w:val="none"/>
              <w:lang w:val="en-US" w:eastAsia="zh-CN" w:bidi="ar-SA"/>
            </w:rPr>
            <w:fldChar w:fldCharType="separate"/>
          </w:r>
          <w:r>
            <w:rPr>
              <w:rFonts w:hint="eastAsia" w:ascii="Times New Roman" w:hAnsi="Times New Roman" w:eastAsia="宋体"/>
              <w:color w:val="auto"/>
              <w:sz w:val="28"/>
              <w:szCs w:val="28"/>
              <w:highlight w:val="none"/>
            </w:rPr>
            <w:t xml:space="preserve">第六章 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_Toc8012 \h </w:instrText>
          </w:r>
          <w:r>
            <w:rPr>
              <w:color w:val="auto"/>
              <w:sz w:val="28"/>
              <w:szCs w:val="28"/>
              <w:highlight w:val="none"/>
            </w:rPr>
            <w:fldChar w:fldCharType="separate"/>
          </w:r>
          <w:r>
            <w:rPr>
              <w:color w:val="auto"/>
              <w:sz w:val="28"/>
              <w:szCs w:val="28"/>
              <w:highlight w:val="none"/>
            </w:rPr>
            <w:t xml:space="preserve">35</w:t>
          </w:r>
          <w:r>
            <w:rPr>
              <w:color w:val="auto"/>
              <w:sz w:val="28"/>
              <w:szCs w:val="28"/>
              <w:highlight w:val="none"/>
            </w:rPr>
            <w:fldChar w:fldCharType="end"/>
          </w:r>
          <w:r>
            <w:rPr>
              <w:rFonts w:hint="eastAsia" w:ascii="Times New Roman" w:hAnsi="Times New Roman" w:eastAsia="宋体" w:cs="Times New Roman"/>
              <w:color w:val="auto"/>
              <w:sz w:val="28"/>
              <w:szCs w:val="28"/>
              <w:highlight w:val="none"/>
              <w:lang w:val="en-US" w:eastAsia="zh-CN" w:bidi="ar-SA"/>
            </w:rPr>
            <w:fldChar w:fldCharType="end"/>
          </w:r>
          <w:r/>
        </w:p>
        <w:p>
          <w:pPr>
            <w:keepLines w:val="0"/>
            <w:keepNext w:val="0"/>
            <w:pageBreakBefore w:val="0"/>
            <w:spacing w:line="360" w:lineRule="auto"/>
            <w:widowControl w:val="off"/>
            <w:rPr>
              <w:rFonts w:hint="eastAsia" w:ascii="Times New Roman" w:hAnsi="Times New Roman" w:eastAsia="宋体" w:cs="Times New Roman"/>
              <w:color w:val="auto"/>
              <w:sz w:val="21"/>
              <w:szCs w:val="22"/>
              <w:highlight w:val="none"/>
              <w:lang w:val="en-US" w:eastAsia="zh-CN" w:bidi="ar-SA"/>
            </w:rPr>
          </w:pPr>
          <w:r>
            <w:rPr>
              <w:rFonts w:hint="eastAsia" w:ascii="Times New Roman" w:hAnsi="Times New Roman" w:eastAsia="宋体" w:cs="Times New Roman"/>
              <w:color w:val="auto"/>
              <w:sz w:val="28"/>
              <w:szCs w:val="28"/>
              <w:highlight w:val="none"/>
              <w:lang w:val="en-US" w:eastAsia="zh-CN" w:bidi="ar-SA"/>
            </w:rPr>
            <w:fldChar w:fldCharType="end"/>
          </w:r>
          <w:r/>
        </w:p>
      </w:sdtContent>
    </w:sdt>
    <w:p>
      <w:pPr>
        <w:pageBreakBefore w:val="0"/>
        <w:spacing w:line="360" w:lineRule="auto"/>
        <w:rPr>
          <w:rFonts w:hint="eastAsia" w:ascii="Times New Roman" w:hAnsi="Times New Roman" w:eastAsia="宋体" w:cs="Times New Roman"/>
          <w:color w:val="auto"/>
          <w:sz w:val="21"/>
          <w:szCs w:val="22"/>
          <w:highlight w:val="none"/>
          <w:lang w:val="en-US" w:eastAsia="zh-CN" w:bidi="ar-SA"/>
        </w:rPr>
        <w:sectPr>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Times New Roman"/>
          <w:color w:val="auto"/>
          <w:sz w:val="21"/>
          <w:szCs w:val="22"/>
          <w:highlight w:val="none"/>
          <w:lang w:val="en-US" w:eastAsia="zh-CN" w:bidi="ar-SA"/>
        </w:rPr>
      </w:r>
      <w:r/>
    </w:p>
    <w:p>
      <w:pPr>
        <w:pStyle w:val="719"/>
        <w:pageBreakBefore w:val="0"/>
        <w:spacing w:line="360" w:lineRule="auto"/>
        <w:rPr>
          <w:rFonts w:ascii="Times New Roman" w:hAnsi="Times New Roman" w:eastAsia="宋体"/>
          <w:color w:val="auto"/>
          <w:highlight w:val="none"/>
        </w:rPr>
      </w:pPr>
      <w:r/>
      <w:bookmarkStart w:id="0" w:name="_Toc27131"/>
      <w:r/>
      <w:bookmarkStart w:id="1" w:name="_Toc24386"/>
      <w:r/>
      <w:bookmarkStart w:id="2" w:name="_Toc27214"/>
      <w:r/>
      <w:bookmarkStart w:id="3" w:name="_Toc13036"/>
      <w:r/>
      <w:bookmarkStart w:id="4" w:name="_Toc9352"/>
      <w:r>
        <w:rPr>
          <w:rFonts w:hint="eastAsia" w:ascii="Times New Roman" w:hAnsi="Times New Roman" w:eastAsia="宋体"/>
          <w:color w:val="auto"/>
          <w:highlight w:val="none"/>
        </w:rPr>
        <w:t xml:space="preserve">第一章 </w:t>
      </w:r>
      <w:bookmarkStart w:id="5" w:name="_Toc28446"/>
      <w:r/>
      <w:bookmarkStart w:id="6" w:name="_Toc27417"/>
      <w:r>
        <w:rPr>
          <w:rFonts w:hint="eastAsia" w:ascii="Times New Roman" w:hAnsi="Times New Roman" w:eastAsia="宋体"/>
          <w:color w:val="auto"/>
          <w:highlight w:val="none"/>
        </w:rPr>
        <w:t xml:space="preserve">采购公告</w:t>
      </w:r>
      <w:bookmarkEnd w:id="0"/>
      <w:r/>
      <w:bookmarkEnd w:id="1"/>
      <w:r/>
      <w:bookmarkEnd w:id="2"/>
      <w:r/>
      <w:bookmarkEnd w:id="3"/>
      <w:r/>
      <w:bookmarkEnd w:id="4"/>
      <w:r/>
      <w:bookmarkEnd w:id="5"/>
      <w:r/>
      <w:bookmarkEnd w:id="6"/>
      <w:r/>
      <w:r/>
    </w:p>
    <w:p>
      <w:pPr>
        <w:ind w:firstLine="420"/>
        <w:jc w:val="left"/>
        <w:pageBreakBefore w:val="0"/>
        <w:spacing w:line="360" w:lineRule="auto"/>
        <w:tabs>
          <w:tab w:val="left" w:pos="266" w:leader="none"/>
        </w:tabs>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扬州市公安局</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cs="宋体"/>
          <w:color w:val="auto"/>
          <w:highlight w:val="none"/>
          <w:lang w:eastAsia="zh-CN"/>
        </w:rPr>
        <w:t xml:space="preserve">扬州市警务技能训练基地功能区域窗帘纱窗集中采购安装项目</w:t>
      </w:r>
      <w:r>
        <w:rPr>
          <w:rFonts w:hint="eastAsia" w:ascii="Times New Roman" w:hAnsi="Times New Roman" w:eastAsia="宋体" w:cs="宋体"/>
          <w:color w:val="auto"/>
          <w:highlight w:val="none"/>
        </w:rPr>
        <w:t xml:space="preserve">（</w:t>
      </w:r>
      <w:r>
        <w:rPr>
          <w:rFonts w:hint="eastAsia" w:ascii="Times New Roman" w:hAnsi="Times New Roman" w:cs="宋体"/>
          <w:color w:val="auto"/>
          <w:szCs w:val="21"/>
          <w:highlight w:val="none"/>
          <w:lang w:eastAsia="zh-CN"/>
        </w:rPr>
        <w:t xml:space="preserve">JSZC-321000-SWGC-G2026-0131</w:t>
      </w:r>
      <w:r>
        <w:rPr>
          <w:rFonts w:hint="eastAsia" w:ascii="Times New Roman" w:hAnsi="Times New Roman" w:eastAsia="宋体" w:cs="宋体"/>
          <w:color w:val="auto"/>
          <w:szCs w:val="21"/>
          <w:highlight w:val="none"/>
          <w:lang w:eastAsia="zh-CN"/>
        </w:rPr>
        <w:t xml:space="preserve">号</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hint="eastAsia" w:ascii="Times New Roman" w:hAnsi="Times New Roman" w:eastAsia="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hint="eastAsia" w:ascii="Times New Roman" w:hAnsi="Times New Roman" w:eastAsia="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宋体"/>
          <w:color w:val="auto"/>
          <w:highlight w:val="none"/>
          <w:u w:val="single"/>
          <w:lang w:eastAsia="zh-CN"/>
        </w:rPr>
        <w:t xml:space="preserve">扬州市警务技能训练基地功能区域窗帘纱窗集中采购安装项目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lang w:eastAsia="zh-CN"/>
        </w:rPr>
        <w:t xml:space="preserve">“扬州市政府采购网”、“江苏省政府采购网”和“中国政府采购网”</w:t>
      </w:r>
      <w:r>
        <w:rPr>
          <w:rFonts w:hint="eastAsia" w:ascii="Times New Roman" w:hAnsi="Times New Roman" w:eastAsia="宋体" w:cs="宋体"/>
          <w:color w:val="auto"/>
          <w:highlight w:val="none"/>
          <w:u w:val="single"/>
        </w:rPr>
        <w:t xml:space="preserve">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w:t>
      </w:r>
      <w:r>
        <w:rPr>
          <w:rFonts w:hint="default" w:ascii="Times New Roman" w:hAnsi="Times New Roman" w:cs="宋体"/>
          <w:bCs/>
          <w:color w:val="auto"/>
          <w:highlight w:val="none"/>
          <w:u w:val="single"/>
          <w:lang w:val="en-US" w:eastAsia="zh-CN"/>
        </w:rPr>
        <w:t xml:space="preserve">11</w:t>
      </w:r>
      <w:r>
        <w:rPr>
          <w:rFonts w:hint="eastAsia" w:ascii="Times New Roman" w:hAnsi="Times New Roman" w:eastAsia="宋体" w:cs="宋体"/>
          <w:bCs/>
          <w:color w:val="auto"/>
          <w:highlight w:val="none"/>
          <w:u w:val="single"/>
        </w:rPr>
        <w:t xml:space="preserve">月</w:t>
      </w:r>
      <w:r>
        <w:rPr>
          <w:rFonts w:hint="default" w:ascii="Times New Roman" w:hAnsi="Times New Roman" w:cs="宋体"/>
          <w:bCs/>
          <w:color w:val="auto"/>
          <w:highlight w:val="none"/>
          <w:u w:val="single"/>
          <w:lang w:val="en-US"/>
        </w:rPr>
        <w:t xml:space="preserve">19</w:t>
      </w:r>
      <w:r>
        <w:rPr>
          <w:rFonts w:hint="eastAsia" w:ascii="Times New Roman" w:hAnsi="Times New Roman" w:eastAsia="宋体" w:cs="宋体"/>
          <w:bCs/>
          <w:color w:val="auto"/>
          <w:highlight w:val="none"/>
          <w:u w:val="single"/>
        </w:rPr>
        <w:t xml:space="preserve">日</w:t>
      </w:r>
      <w:r>
        <w:rPr>
          <w:rFonts w:hint="eastAsia" w:ascii="Times New Roman" w:hAnsi="Times New Roman" w:cs="宋体"/>
          <w:bCs/>
          <w:color w:val="auto"/>
          <w:highlight w:val="none"/>
          <w:u w:val="single"/>
          <w:lang w:val="en-US" w:eastAsia="zh-CN"/>
        </w:rPr>
        <w:t xml:space="preserve">下</w:t>
      </w:r>
      <w:r>
        <w:rPr>
          <w:rFonts w:hint="eastAsia" w:ascii="Times New Roman" w:hAnsi="Times New Roman" w:eastAsia="宋体" w:cs="宋体"/>
          <w:bCs/>
          <w:color w:val="auto"/>
          <w:highlight w:val="none"/>
          <w:u w:val="single"/>
        </w:rPr>
        <w:t xml:space="preserve">午</w:t>
      </w:r>
      <w:r>
        <w:rPr>
          <w:rFonts w:hint="default" w:ascii="Times New Roman" w:hAnsi="Times New Roman" w:cs="宋体"/>
          <w:bCs/>
          <w:color w:val="auto"/>
          <w:highlight w:val="none"/>
          <w:u w:val="single"/>
          <w:lang w:val="en-US"/>
        </w:rPr>
        <w:t xml:space="preserve">2</w:t>
      </w:r>
      <w:r>
        <w:rPr>
          <w:rFonts w:hint="eastAsia" w:ascii="Times New Roman" w:hAnsi="Times New Roman" w:eastAsia="宋体" w:cs="宋体"/>
          <w:bCs/>
          <w:color w:val="auto"/>
          <w:highlight w:val="none"/>
          <w:u w:val="single"/>
        </w:rPr>
        <w:t xml:space="preserve">:30</w:t>
      </w:r>
      <w:r>
        <w:rPr>
          <w:rFonts w:hint="eastAsia" w:ascii="Times New Roman" w:hAnsi="Times New Roman" w:eastAsia="宋体" w:cs="宋体"/>
          <w:bCs/>
          <w:color w:val="auto"/>
          <w:highlight w:val="none"/>
          <w:u w:val="single"/>
          <w:lang w:val="en-US" w:eastAsia="zh-CN"/>
        </w:rPr>
        <w:t xml:space="preserve"> </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7" w:name="_Toc35393621"/>
      <w:r/>
      <w:bookmarkStart w:id="8" w:name="_Toc28359079"/>
      <w:r/>
      <w:bookmarkStart w:id="9" w:name="_Toc28359002"/>
      <w:r/>
      <w:bookmarkStart w:id="10" w:name="_Toc38985263"/>
      <w:r/>
      <w:bookmarkStart w:id="11" w:name="_Toc35393790"/>
      <w:r/>
      <w:bookmarkStart w:id="12" w:name="_Hlk24379207"/>
      <w:r>
        <w:rPr>
          <w:rFonts w:hint="eastAsia" w:ascii="Times New Roman" w:hAnsi="Times New Roman" w:eastAsia="宋体" w:cs="宋体"/>
          <w:b/>
          <w:bCs/>
          <w:color w:val="auto"/>
          <w:highlight w:val="none"/>
        </w:rPr>
        <w:t xml:space="preserve">一、项目基本情况</w:t>
      </w:r>
      <w:bookmarkEnd w:id="7"/>
      <w:r/>
      <w:bookmarkEnd w:id="8"/>
      <w:r/>
      <w:bookmarkEnd w:id="9"/>
      <w:r/>
      <w:bookmarkEnd w:id="10"/>
      <w:r/>
      <w:bookmarkEnd w:id="11"/>
      <w:r/>
      <w:r/>
    </w:p>
    <w:p>
      <w:pPr>
        <w:ind w:firstLine="420"/>
        <w:keepLines w:val="0"/>
        <w:keepNext w:val="0"/>
        <w:pageBreakBefore w:val="0"/>
        <w:spacing w:line="360" w:lineRule="auto"/>
        <w:widowControl w:val="off"/>
        <w:rPr>
          <w:rFonts w:hint="eastAsia"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1.项目编号：</w:t>
      </w:r>
      <w:r>
        <w:rPr>
          <w:rFonts w:hint="eastAsia" w:ascii="Times New Roman" w:hAnsi="Times New Roman" w:cs="宋体"/>
          <w:color w:val="auto"/>
          <w:szCs w:val="21"/>
          <w:highlight w:val="none"/>
          <w:lang w:eastAsia="zh-CN"/>
        </w:rPr>
        <w:t xml:space="preserve">JSZC-321000-SWGC-G2026-0131</w:t>
      </w:r>
      <w:r>
        <w:rPr>
          <w:rFonts w:hint="eastAsia" w:ascii="Times New Roman" w:hAnsi="Times New Roman" w:eastAsia="宋体" w:cs="宋体"/>
          <w:color w:val="auto"/>
          <w:szCs w:val="21"/>
          <w:highlight w:val="none"/>
          <w:lang w:eastAsia="zh-CN"/>
        </w:rPr>
        <w:t xml:space="preserve">号</w:t>
      </w:r>
      <w:bookmarkStart w:id="135" w:name="_GoBack"/>
      <w:r/>
      <w:bookmarkEnd w:id="135"/>
      <w:r/>
      <w:r/>
    </w:p>
    <w:p>
      <w:pPr>
        <w:ind w:firstLine="420"/>
        <w:keepLines w:val="0"/>
        <w:keepNext w:val="0"/>
        <w:pageBreakBefore w:val="0"/>
        <w:spacing w:line="360" w:lineRule="auto"/>
        <w:widowControl w:val="off"/>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bookmarkEnd w:id="12"/>
      <w:r>
        <w:rPr>
          <w:rFonts w:hint="eastAsia" w:ascii="Times New Roman" w:hAnsi="Times New Roman" w:cs="宋体"/>
          <w:color w:val="auto"/>
          <w:highlight w:val="none"/>
          <w:lang w:eastAsia="zh-CN"/>
        </w:rPr>
        <w:t xml:space="preserve">扬州市警务技能训练基地功能区域窗帘纱窗集中采购安装项目</w:t>
      </w:r>
      <w:r/>
    </w:p>
    <w:p>
      <w:pPr>
        <w:ind w:firstLine="420"/>
        <w:pageBreakBefore w:val="0"/>
        <w:spacing w:line="360" w:lineRule="auto"/>
        <w:rPr>
          <w:rFonts w:hint="default" w:ascii="Times New Roman" w:hAnsi="Times New Roman" w:eastAsia="宋体"/>
          <w:color w:val="auto"/>
          <w:sz w:val="21"/>
          <w:szCs w:val="21"/>
          <w:highlight w:val="none"/>
          <w:lang w:val="en-US"/>
        </w:rPr>
      </w:pPr>
      <w:r>
        <w:rPr>
          <w:rFonts w:hint="eastAsia" w:ascii="Times New Roman" w:hAnsi="Times New Roman" w:eastAsia="宋体" w:cs="宋体"/>
          <w:color w:val="auto"/>
          <w:sz w:val="21"/>
          <w:szCs w:val="21"/>
          <w:highlight w:val="none"/>
        </w:rPr>
        <w:t xml:space="preserve">3.预算金额：</w:t>
      </w:r>
      <w:r>
        <w:rPr>
          <w:rFonts w:hint="eastAsia" w:ascii="Times New Roman" w:hAnsi="Times New Roman" w:cs="宋体"/>
          <w:color w:val="auto"/>
          <w:sz w:val="21"/>
          <w:szCs w:val="21"/>
          <w:highlight w:val="none"/>
          <w:lang w:val="en-US" w:eastAsia="zh-CN"/>
        </w:rPr>
        <w:t xml:space="preserve">100.51</w:t>
      </w:r>
      <w:r>
        <w:rPr>
          <w:rFonts w:hint="eastAsia" w:ascii="Times New Roman" w:hAnsi="Times New Roman" w:eastAsia="宋体" w:cs="宋体"/>
          <w:color w:val="auto"/>
          <w:sz w:val="21"/>
          <w:szCs w:val="21"/>
          <w:highlight w:val="none"/>
          <w:lang w:val="en-US" w:eastAsia="zh-CN"/>
        </w:rPr>
        <w:t xml:space="preserve">万元</w:t>
      </w:r>
      <w:r/>
    </w:p>
    <w:p>
      <w:pPr>
        <w:ind w:firstLine="420"/>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2"/>
          <w:highlight w:val="none"/>
          <w:lang w:val="en-US" w:eastAsia="zh-CN" w:bidi="ar-SA"/>
        </w:rPr>
        <w:t xml:space="preserve">最高限价：</w:t>
      </w:r>
      <w:r>
        <w:rPr>
          <w:rFonts w:hint="eastAsia" w:ascii="Times New Roman" w:hAnsi="Times New Roman" w:cs="宋体"/>
          <w:color w:val="auto"/>
          <w:sz w:val="21"/>
          <w:szCs w:val="21"/>
          <w:highlight w:val="none"/>
          <w:lang w:val="en-US" w:eastAsia="zh-CN"/>
        </w:rPr>
        <w:t xml:space="preserve">100.51</w:t>
      </w:r>
      <w:r>
        <w:rPr>
          <w:rFonts w:hint="eastAsia" w:ascii="Times New Roman" w:hAnsi="Times New Roman" w:eastAsia="宋体" w:cs="宋体"/>
          <w:color w:val="auto"/>
          <w:sz w:val="21"/>
          <w:szCs w:val="21"/>
          <w:highlight w:val="none"/>
          <w:lang w:val="en-US" w:eastAsia="zh-CN"/>
        </w:rPr>
        <w:t xml:space="preserve">万元</w:t>
      </w:r>
      <w:r>
        <w:rPr>
          <w:rFonts w:hint="eastAsia" w:ascii="Times New Roman" w:hAnsi="Times New Roman" w:eastAsia="宋体" w:cs="宋体"/>
          <w:color w:val="auto"/>
          <w:sz w:val="21"/>
          <w:szCs w:val="22"/>
          <w:highlight w:val="none"/>
          <w:lang w:val="en-US" w:eastAsia="zh-CN" w:bidi="ar-SA"/>
        </w:rPr>
        <w:t xml:space="preserve">，报价超过最高限价的为无效投标文件。</w:t>
      </w:r>
      <w:r/>
    </w:p>
    <w:p>
      <w:pPr>
        <w:ind w:firstLine="420"/>
        <w:pageBreakBefore w:val="0"/>
        <w:spacing w:line="360" w:lineRule="auto"/>
        <w:rPr>
          <w:rFonts w:hint="eastAsia"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6.合同履行期限：见招标文件第四章。 </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13" w:name="_Toc28359003"/>
      <w:r/>
      <w:bookmarkStart w:id="14" w:name="_Toc38985264"/>
      <w:r/>
      <w:bookmarkStart w:id="15" w:name="_Toc28359080"/>
      <w:r/>
      <w:bookmarkStart w:id="16" w:name="_Toc35393622"/>
      <w:r/>
      <w:bookmarkStart w:id="17" w:name="_Toc35393791"/>
      <w:r>
        <w:rPr>
          <w:rFonts w:hint="eastAsia" w:ascii="Times New Roman" w:hAnsi="Times New Roman" w:eastAsia="宋体" w:cs="宋体"/>
          <w:b/>
          <w:bCs/>
          <w:color w:val="auto"/>
          <w:highlight w:val="none"/>
        </w:rPr>
        <w:t xml:space="preserve">二、申请人的资格要求：</w:t>
      </w:r>
      <w:bookmarkEnd w:id="13"/>
      <w:r/>
      <w:bookmarkEnd w:id="14"/>
      <w:r/>
      <w:bookmarkEnd w:id="15"/>
      <w:r/>
      <w:bookmarkEnd w:id="16"/>
      <w:r/>
      <w:bookmarkEnd w:id="17"/>
      <w:r/>
      <w:r/>
    </w:p>
    <w:p>
      <w:pPr>
        <w:ind w:firstLine="420"/>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（一）通用资格要求</w:t>
      </w:r>
      <w:r>
        <w:rPr>
          <w:rFonts w:hint="eastAsia" w:ascii="Times New Roman" w:hAnsi="Times New Roman" w:eastAsia="宋体" w:cs="宋体"/>
          <w:color w:val="auto"/>
          <w:szCs w:val="21"/>
          <w:highlight w:val="none"/>
          <w:lang w:val="en-US" w:eastAsia="zh-CN"/>
        </w:rPr>
        <w:tab/>
      </w:r>
      <w:r/>
    </w:p>
    <w:p>
      <w:pPr>
        <w:ind w:firstLine="420"/>
        <w:pageBreakBefore w:val="0"/>
        <w:spacing w:line="360" w:lineRule="auto"/>
        <w:rPr>
          <w:rFonts w:hint="eastAsia" w:ascii="Times New Roman" w:hAnsi="Times New Roman" w:eastAsia="宋体" w:cs="宋体"/>
          <w:color w:val="auto"/>
          <w:szCs w:val="21"/>
          <w:highlight w:val="none"/>
        </w:rPr>
      </w:pPr>
      <w:r/>
      <w:bookmarkStart w:id="18" w:name="_Toc35393792"/>
      <w:r/>
      <w:bookmarkStart w:id="19" w:name="_Toc28359004"/>
      <w:r/>
      <w:bookmarkStart w:id="20" w:name="_Toc35393623"/>
      <w:r/>
      <w:bookmarkStart w:id="21" w:name="_Toc38985265"/>
      <w:r/>
      <w:bookmarkStart w:id="22" w:name="_Toc28359081"/>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 </w:t>
      </w:r>
      <w:r>
        <w:rPr>
          <w:rFonts w:hint="eastAsia" w:ascii="Times New Roman" w:hAnsi="Times New Roman" w:eastAsia="宋体" w:cs="宋体"/>
          <w:i/>
          <w:iCs/>
          <w:color w:val="auto"/>
          <w:szCs w:val="21"/>
          <w:highlight w:val="none"/>
          <w:u w:val="single"/>
          <w:lang w:eastAsia="zh-CN"/>
        </w:rPr>
        <w:t xml:space="preserve">上一年度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（成立不满一年无需提供）</w:t>
      </w:r>
      <w:r/>
    </w:p>
    <w:p>
      <w:pPr>
        <w:ind w:firstLine="420"/>
        <w:pageBreakBefore w:val="0"/>
        <w:spacing w:line="360" w:lineRule="auto"/>
        <w:rPr>
          <w:rFonts w:hint="eastAsia" w:ascii="Times New Roman" w:hAnsi="Times New Roman" w:eastAsia="宋体" w:cs="宋体"/>
          <w:i/>
          <w:iCs/>
          <w:color w:val="auto"/>
          <w:highlight w:val="none"/>
          <w:u w:val="single"/>
        </w:rPr>
      </w:pPr>
      <w:r>
        <w:rPr>
          <w:rFonts w:hint="eastAsia" w:ascii="Times New Roman" w:hAnsi="Times New Roman" w:eastAsia="宋体" w:cs="宋体"/>
          <w:i/>
          <w:iCs/>
          <w:color w:val="auto"/>
          <w:szCs w:val="21"/>
          <w:highlight w:val="none"/>
          <w:u w:val="single"/>
        </w:rPr>
        <w:t xml:space="preserve">1.3 依法缴纳税收和社会保障资金的相关材料</w:t>
      </w:r>
      <w:r>
        <w:rPr>
          <w:rFonts w:hint="eastAsia" w:ascii="Times New Roman" w:hAnsi="Times New Roman" w:eastAsia="宋体" w:cs="宋体"/>
          <w:b/>
          <w:bCs/>
          <w:i/>
          <w:iCs/>
          <w:color w:val="auto"/>
          <w:szCs w:val="21"/>
          <w:highlight w:val="none"/>
          <w:u w:val="single"/>
        </w:rPr>
        <w:t xml:space="preserve">（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1.4 具备履行合同所必需的设备和专业技术能力的书面声明；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 参加政府采购活动前3年内在经营活动中没有重大违法记录的书面声明；</w:t>
      </w:r>
      <w:r/>
    </w:p>
    <w:p>
      <w:pPr>
        <w:ind w:firstLine="420"/>
        <w:pageBreakBefore w:val="0"/>
        <w:spacing w:line="360" w:lineRule="auto"/>
        <w:rPr>
          <w:rFonts w:hint="eastAsia"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1.6 供应商信用承诺书；</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1.7 未被“信用中国”网站（www.creditchina.gov.cn）、“中国政府采购网"</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www.ccgp.gov.cn）列入失信被执行人、重大税收违法案件当事人名单、政府采购严重违法失信行为记录名单及其他不符合《中华人民共和国政府采购法》第二十二条规定条件的信用记录。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hint="eastAsia" w:ascii="Times New Roman" w:hAnsi="Times New Roman" w:eastAsia="宋体" w:cs="宋体"/>
          <w:i/>
          <w:color w:val="auto"/>
          <w:szCs w:val="21"/>
          <w:highlight w:val="none"/>
          <w:u w:val="single"/>
          <w:lang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color w:val="auto"/>
          <w:highlight w:val="none"/>
          <w:lang w:val="en-US" w:eastAsia="zh-CN"/>
        </w:rPr>
        <w:t xml:space="preserve">3.</w:t>
      </w:r>
      <w:r>
        <w:rPr>
          <w:rFonts w:hint="eastAsia" w:ascii="Times New Roman" w:hAnsi="Times New Roman" w:eastAsia="宋体" w:cs="宋体"/>
          <w:color w:val="auto"/>
          <w:sz w:val="21"/>
          <w:szCs w:val="21"/>
          <w:highlight w:val="none"/>
        </w:rPr>
        <w:t xml:space="preserve">联合体投标。</w:t>
      </w:r>
      <w:r/>
    </w:p>
    <w:tbl>
      <w:tblPr>
        <w:tblStyle w:val="729"/>
        <w:tblW w:w="0" w:type="auto"/>
        <w:tblInd w:w="4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5"/>
        <w:gridCol w:w="2968"/>
        <w:gridCol w:w="3252"/>
      </w:tblGrid>
      <w:tr>
        <w:trPr>
          <w:trHeight w:val="593"/>
        </w:trPr>
        <w:tc>
          <w:tcPr>
            <w:tcW w:w="111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采购包号</w:t>
            </w:r>
            <w:r/>
          </w:p>
        </w:tc>
        <w:tc>
          <w:tcPr>
            <w:tcW w:w="296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是否接受联合体</w:t>
            </w:r>
            <w:r>
              <w:rPr>
                <w:rFonts w:ascii="Times New Roman" w:hAnsi="Times New Roman" w:eastAsia="宋体"/>
                <w:color w:val="auto"/>
                <w:sz w:val="21"/>
                <w:szCs w:val="21"/>
                <w:highlight w:val="none"/>
              </w:rPr>
              <w:t xml:space="preserve">投标</w:t>
            </w:r>
            <w:r/>
          </w:p>
        </w:tc>
        <w:tc>
          <w:tcPr>
            <w:tcW w:w="3252"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该采购包中</w:t>
            </w:r>
            <w:r>
              <w:rPr>
                <w:rFonts w:ascii="Times New Roman" w:hAnsi="Times New Roman" w:eastAsia="宋体"/>
                <w:color w:val="auto"/>
                <w:sz w:val="21"/>
                <w:szCs w:val="21"/>
                <w:highlight w:val="none"/>
              </w:rPr>
              <w:t xml:space="preserve">联合体成员数量</w:t>
            </w:r>
            <w:r>
              <w:rPr>
                <w:rFonts w:hint="eastAsia" w:ascii="Times New Roman" w:hAnsi="Times New Roman" w:eastAsia="宋体"/>
                <w:color w:val="auto"/>
                <w:sz w:val="21"/>
                <w:szCs w:val="21"/>
                <w:highlight w:val="none"/>
              </w:rPr>
              <w:t xml:space="preserve">上限</w:t>
            </w:r>
            <w:r/>
          </w:p>
        </w:tc>
      </w:tr>
      <w:tr>
        <w:trPr>
          <w:trHeight w:val="618"/>
        </w:trPr>
        <w:tc>
          <w:tcPr>
            <w:tcW w:w="1115"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296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否</w:t>
            </w:r>
            <w:r/>
          </w:p>
        </w:tc>
        <w:tc>
          <w:tcPr>
            <w:tcW w:w="3252"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w:t>
            </w:r>
            <w:r/>
          </w:p>
        </w:tc>
      </w:tr>
    </w:tbl>
    <w:p>
      <w:pPr>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（二）本项目的特定资格要求</w:t>
      </w:r>
      <w:r/>
    </w:p>
    <w:tbl>
      <w:tblPr>
        <w:tblStyle w:val="72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250"/>
      </w:tblGrid>
      <w:tr>
        <w:trPr>
          <w:trHeight w:val="623"/>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采购包号</w:t>
            </w:r>
            <w:r/>
          </w:p>
        </w:tc>
        <w:tc>
          <w:tcPr>
            <w:tcW w:w="625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特定资格要求</w:t>
            </w:r>
            <w:r/>
          </w:p>
        </w:tc>
      </w:tr>
      <w:tr>
        <w:trPr>
          <w:trHeight w:val="558"/>
        </w:trPr>
        <w:tc>
          <w:tcPr>
            <w:tcW w:w="114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w:t>
            </w:r>
            <w:r/>
          </w:p>
        </w:tc>
        <w:tc>
          <w:tcPr>
            <w:tcW w:w="6250" w:type="dxa"/>
            <w:vAlign w:val="center"/>
            <w:textDirection w:val="lrTb"/>
            <w:noWrap w:val="false"/>
          </w:tcPr>
          <w:p>
            <w:pPr>
              <w:jc w:val="left"/>
              <w:pageBreakBefore w:val="0"/>
              <w:spacing w:line="360" w:lineRule="auto"/>
              <w:rPr>
                <w:rFonts w:hint="eastAsia" w:ascii="Times New Roman" w:hAnsi="Times New Roman" w:eastAsia="宋体" w:cs="宋体"/>
                <w:color w:val="auto"/>
                <w:sz w:val="21"/>
                <w:szCs w:val="21"/>
                <w:highlight w:val="none"/>
                <w:lang w:eastAsia="zh-CN"/>
              </w:rPr>
            </w:pPr>
            <w:r>
              <w:rPr>
                <w:rFonts w:hint="eastAsia" w:ascii="Times New Roman" w:hAnsi="Times New Roman" w:cs="Times New Roman"/>
                <w:i w:val="0"/>
                <w:iCs w:val="0"/>
                <w:color w:val="auto"/>
                <w:sz w:val="21"/>
                <w:szCs w:val="21"/>
                <w:highlight w:val="none"/>
                <w:u w:val="none"/>
                <w:lang w:val="en-US" w:eastAsia="zh-CN"/>
              </w:rPr>
              <w:t xml:space="preserve">无</w:t>
            </w:r>
            <w:r/>
          </w:p>
        </w:tc>
      </w:tr>
    </w:tbl>
    <w:p>
      <w:pPr>
        <w:ind w:firstLine="63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8"/>
      <w:r/>
      <w:bookmarkEnd w:id="19"/>
      <w:r/>
      <w:bookmarkEnd w:id="20"/>
      <w:r/>
      <w:bookmarkEnd w:id="21"/>
      <w:r/>
      <w:bookmarkEnd w:id="22"/>
      <w:r/>
      <w:r/>
    </w:p>
    <w:p>
      <w:pPr>
        <w:ind w:firstLine="420"/>
        <w:pageBreakBefore w:val="0"/>
        <w:spacing w:line="360" w:lineRule="auto"/>
        <w:rPr>
          <w:rFonts w:hint="eastAsia" w:ascii="Times New Roman" w:hAnsi="Times New Roman" w:eastAsia="宋体" w:cs="宋体"/>
          <w:color w:val="auto"/>
          <w:highlight w:val="none"/>
        </w:rPr>
      </w:pPr>
      <w:r/>
      <w:bookmarkStart w:id="23" w:name="_Toc28359005"/>
      <w:r/>
      <w:bookmarkStart w:id="24" w:name="_Toc28359082"/>
      <w:r/>
      <w:bookmarkStart w:id="25" w:name="_Toc35393624"/>
      <w:r/>
      <w:bookmarkStart w:id="26" w:name="_Toc38985266"/>
      <w:r/>
      <w:bookmarkStart w:id="27"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2.获取方式：本项目采用网上注册登记方式。</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3.潜在供应商访问政府采购管理交易系统（苏采云）的网络地址和方法：</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（1）潜在供应商访问政府采购管理交易系统（苏采云）的方法：“苏采云”系统用户注册－</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获取“CA数字证书”--CA绑定与登录--网上报名--下载采购文件（后缀名为“kedt”）--将后缀名为</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kedt”的采购文件导入政府采购客户端工具</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制作投标文件</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导出加密的投标文件（后缀名为zip）--通过“苏采云”系统上传投标文件。</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（3）“CA数字证书”的办理材料以及供应商操作手册详见：</w:t>
      </w:r>
      <w:r/>
    </w:p>
    <w:p>
      <w:pPr>
        <w:pStyle w:val="757"/>
        <w:ind w:left="0" w:right="0" w:firstLine="600"/>
        <w:jc w:val="both"/>
        <w:keepLines w:val="0"/>
        <w:keepNext w:val="0"/>
        <w:pageBreakBefore w:val="0"/>
        <w:spacing w:beforeAutospacing="0" w:afterAutospacing="0" w:line="360" w:lineRule="auto"/>
        <w:widowControl w:val="off"/>
        <w:rPr>
          <w:rFonts w:ascii="Times New Roman" w:hAnsi="Times New Roman" w:eastAsia="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宋体"/>
          <w:b/>
          <w:bCs/>
          <w:color w:val="auto"/>
          <w:sz w:val="21"/>
          <w:szCs w:val="21"/>
          <w:highlight w:val="none"/>
          <w:shd w:val="clear" w:color="auto" w:fill="ffffff"/>
        </w:rPr>
        <w:t xml:space="preserve">http://zfcg.yangzhou.gov.cn/xzzx/art/2023/art_4d7de1f7865f4a2894fc22bc452f94d8.html</w:t>
      </w:r>
      <w:r>
        <w:rPr>
          <w:rFonts w:hint="eastAsia" w:ascii="Times New Roman" w:hAnsi="Times New Roman" w:eastAsia="宋体" w:cs="宋体"/>
          <w:b/>
          <w:bCs/>
          <w:color w:val="auto"/>
          <w:sz w:val="21"/>
          <w:szCs w:val="21"/>
          <w:highlight w:val="none"/>
          <w:shd w:val="clear" w:color="auto" w:fill="ffffff"/>
          <w:lang w:eastAsia="zh-CN"/>
        </w:rPr>
        <w:t xml:space="preserve">.</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（4）潜在供应商访问“苏采云”系统的网络地址和方法：“苏采云”系统的网址：http</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//jszfcg.jsczt.cn/。</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（5）采购文件（后缀名为“.kedt”）、供应商操作手册及政府采购客户端工具也可通过“苏采云”系统</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已报名项目</w:t>
      </w:r>
      <w:r>
        <w:rPr>
          <w:rFonts w:hint="eastAsia" w:ascii="Times New Roman" w:hAnsi="Times New Roman" w:eastAsia="宋体" w:cs="宋体"/>
          <w:b/>
          <w:bCs/>
          <w:color w:val="auto"/>
          <w:szCs w:val="21"/>
          <w:highlight w:val="none"/>
          <w:lang w:eastAsia="zh-CN"/>
        </w:rPr>
        <w:t xml:space="preserve">－－</w:t>
      </w:r>
      <w:r>
        <w:rPr>
          <w:rFonts w:hint="eastAsia" w:ascii="Times New Roman" w:hAnsi="Times New Roman" w:eastAsia="宋体" w:cs="宋体"/>
          <w:b/>
          <w:bCs/>
          <w:color w:val="auto"/>
          <w:szCs w:val="21"/>
          <w:highlight w:val="none"/>
        </w:rPr>
        <w:t xml:space="preserve">报名详情页面内相应链接进行下载。</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（7）苏采云系统使用谷歌浏览器参与不见面开标。</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23"/>
      <w:r/>
      <w:bookmarkEnd w:id="24"/>
      <w:r>
        <w:rPr>
          <w:rFonts w:hint="eastAsia" w:ascii="Times New Roman" w:hAnsi="Times New Roman" w:eastAsia="宋体" w:cs="宋体"/>
          <w:b/>
          <w:bCs/>
          <w:color w:val="auto"/>
          <w:highlight w:val="none"/>
        </w:rPr>
        <w:t xml:space="preserve">截止时间、开标时间和地点</w:t>
      </w:r>
      <w:bookmarkEnd w:id="25"/>
      <w:r/>
      <w:bookmarkEnd w:id="26"/>
      <w:r/>
      <w:bookmarkEnd w:id="27"/>
      <w:r/>
      <w:r/>
    </w:p>
    <w:p>
      <w:pPr>
        <w:ind w:firstLine="420"/>
        <w:pageBreakBefore w:val="0"/>
        <w:spacing w:line="360" w:lineRule="auto"/>
        <w:rPr>
          <w:rFonts w:hint="eastAsia"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w:t>
      </w:r>
      <w:r>
        <w:rPr>
          <w:rFonts w:hint="eastAsia" w:ascii="Times New Roman" w:hAnsi="Times New Roman" w:eastAsia="宋体" w:cs="宋体"/>
          <w:bCs/>
          <w:color w:val="auto"/>
          <w:highlight w:val="none"/>
          <w:u w:val="single"/>
        </w:rPr>
        <w:t xml:space="preserve">2026年11月19日下午2:30 </w:t>
      </w:r>
      <w:r>
        <w:rPr>
          <w:rFonts w:hint="eastAsia" w:ascii="Times New Roman" w:hAnsi="Times New Roman" w:eastAsia="宋体" w:cs="宋体"/>
          <w:color w:val="auto"/>
          <w:highlight w:val="none"/>
        </w:rPr>
        <w:t xml:space="preserve">（北京时间）</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//jszfcg.jsczt.cn/）</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bookmarkStart w:id="28" w:name="_Toc35393625"/>
      <w:r/>
      <w:bookmarkStart w:id="29" w:name="_Toc28359084"/>
      <w:r/>
      <w:bookmarkStart w:id="30" w:name="_Toc28359007"/>
      <w:r/>
      <w:bookmarkStart w:id="31" w:name="_Toc38985267"/>
      <w:r/>
      <w:bookmarkStart w:id="32" w:name="_Toc35393794"/>
      <w:r>
        <w:rPr>
          <w:rFonts w:hint="eastAsia" w:ascii="Times New Roman" w:hAnsi="Times New Roman" w:eastAsia="宋体" w:cs="宋体"/>
          <w:b/>
          <w:bCs/>
          <w:color w:val="auto"/>
          <w:highlight w:val="none"/>
        </w:rPr>
        <w:t xml:space="preserve">五、公告期限</w:t>
      </w:r>
      <w:bookmarkEnd w:id="28"/>
      <w:r/>
      <w:bookmarkEnd w:id="29"/>
      <w:r/>
      <w:bookmarkEnd w:id="30"/>
      <w:r/>
      <w:bookmarkEnd w:id="31"/>
      <w:r/>
      <w:bookmarkEnd w:id="32"/>
      <w:r/>
      <w:r/>
    </w:p>
    <w:p>
      <w:pPr>
        <w:ind w:firstLine="420"/>
        <w:pageBreakBefore w:val="0"/>
        <w:spacing w:line="360" w:lineRule="auto"/>
        <w:rPr>
          <w:rFonts w:hint="eastAsia" w:ascii="Times New Roman" w:hAnsi="Times New Roman" w:eastAsia="宋体" w:cs="宋体"/>
          <w:color w:val="auto"/>
          <w:highlight w:val="none"/>
        </w:rPr>
      </w:pPr>
      <w:r/>
      <w:bookmarkStart w:id="33" w:name="_Toc35393626"/>
      <w:r/>
      <w:bookmarkStart w:id="34" w:name="_Toc35393795"/>
      <w:r/>
      <w:bookmarkStart w:id="35" w:name="_Toc38985268"/>
      <w:r>
        <w:rPr>
          <w:rFonts w:hint="eastAsia" w:ascii="Times New Roman" w:hAnsi="Times New Roman" w:eastAsia="宋体" w:cs="宋体"/>
          <w:color w:val="auto"/>
          <w:highlight w:val="none"/>
        </w:rPr>
        <w:t xml:space="preserve">招标公告及招标文件公告期限为自本公告发布之日起5个工作日。</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33"/>
      <w:r/>
      <w:bookmarkEnd w:id="34"/>
      <w:r/>
      <w:bookmarkEnd w:id="35"/>
      <w:r/>
      <w:r/>
    </w:p>
    <w:p>
      <w:pPr>
        <w:ind w:firstLine="422"/>
        <w:pageBreakBefore w:val="0"/>
        <w:spacing w:line="360" w:lineRule="auto"/>
        <w:rPr>
          <w:rFonts w:hint="eastAsia" w:ascii="Times New Roman" w:hAnsi="Times New Roman" w:eastAsia="宋体" w:cs="宋体"/>
          <w:b/>
          <w:bCs/>
          <w:color w:val="auto"/>
          <w:highlight w:val="none"/>
        </w:rPr>
      </w:pPr>
      <w:r/>
      <w:bookmarkStart w:id="36" w:name="_Toc28359008"/>
      <w:r/>
      <w:bookmarkStart w:id="37" w:name="_Toc35393796"/>
      <w:r/>
      <w:bookmarkStart w:id="38" w:name="_Toc28359085"/>
      <w:r/>
      <w:bookmarkStart w:id="39" w:name="_Toc35393627"/>
      <w:r/>
      <w:bookmarkStart w:id="40" w:name="_Toc38985269"/>
      <w:r>
        <w:rPr>
          <w:rFonts w:hint="eastAsia" w:ascii="Times New Roman" w:hAnsi="Times New Roman" w:eastAsia="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s="宋体"/>
          <w:color w:val="auto"/>
          <w:highlight w:val="none"/>
        </w:rPr>
        <w:t xml:space="preserve">本次招标</w:t>
      </w:r>
      <w:r>
        <w:rPr>
          <w:rFonts w:hint="eastAsia" w:ascii="Times New Roman" w:hAnsi="Times New Roman" w:eastAsia="宋体" w:cs="宋体"/>
          <w:color w:val="auto"/>
          <w:highlight w:val="none"/>
          <w:u w:val="single"/>
        </w:rPr>
        <w:t xml:space="preserve">不收取 </w:t>
      </w:r>
      <w:r>
        <w:rPr>
          <w:rFonts w:hint="eastAsia" w:ascii="Times New Roman" w:hAnsi="Times New Roman" w:eastAsia="宋体" w:cs="宋体"/>
          <w:color w:val="auto"/>
          <w:highlight w:val="none"/>
        </w:rPr>
        <w:t xml:space="preserve">投标保证金。</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hint="eastAsia"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0"/>
        <w:keepLines w:val="0"/>
        <w:keepNext w:val="0"/>
        <w:pageBreakBefore w:val="0"/>
        <w:spacing w:line="360" w:lineRule="auto"/>
        <w:tabs>
          <w:tab w:val="left" w:pos="266" w:leader="none"/>
        </w:tabs>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10.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p>
    <w:p>
      <w:pPr>
        <w:ind w:firstLine="422"/>
        <w:pageBreakBefore w:val="0"/>
        <w:spacing w:line="360" w:lineRule="auto"/>
        <w:tabs>
          <w:tab w:val="left" w:pos="266" w:leader="none"/>
        </w:tabs>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6"/>
      <w:r/>
      <w:bookmarkEnd w:id="37"/>
      <w:r/>
      <w:bookmarkEnd w:id="38"/>
      <w:r/>
      <w:bookmarkEnd w:id="39"/>
      <w:r/>
      <w:bookmarkEnd w:id="40"/>
      <w:r/>
      <w:r/>
    </w:p>
    <w:p>
      <w:pPr>
        <w:ind w:firstLine="420"/>
        <w:jc w:val="left"/>
        <w:pageBreakBefore w:val="0"/>
        <w:spacing w:line="360" w:lineRule="auto"/>
        <w:widowControl/>
        <w:rPr>
          <w:rFonts w:hint="eastAsia" w:ascii="Times New Roman" w:hAnsi="Times New Roman" w:eastAsia="宋体" w:cs="宋体"/>
          <w:color w:val="auto"/>
          <w:szCs w:val="21"/>
          <w:highlight w:val="none"/>
        </w:rPr>
      </w:pPr>
      <w:r/>
      <w:bookmarkStart w:id="41" w:name="_Toc28359087"/>
      <w:r/>
      <w:bookmarkStart w:id="42"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 称：</w:t>
      </w:r>
      <w:r>
        <w:rPr>
          <w:rFonts w:hint="eastAsia" w:ascii="Times New Roman" w:hAnsi="Times New Roman" w:eastAsia="宋体" w:cs="宋体"/>
          <w:color w:val="auto"/>
          <w:szCs w:val="21"/>
          <w:highlight w:val="none"/>
          <w:lang w:eastAsia="zh-CN"/>
        </w:rPr>
        <w:t xml:space="preserve">扬州市公安局</w:t>
      </w:r>
      <w:r/>
    </w:p>
    <w:p>
      <w:pPr>
        <w:ind w:firstLine="420"/>
        <w:jc w:val="left"/>
        <w:pageBreakBefore w:val="0"/>
        <w:spacing w:line="360" w:lineRule="auto"/>
        <w:rPr>
          <w:rFonts w:hint="eastAsia" w:ascii="Times New Roman" w:hAnsi="Times New Roman" w:eastAsia="宋体" w:cs="宋体"/>
          <w:color w:val="auto"/>
          <w:highlight w:val="none"/>
          <w:lang w:eastAsia="zh-CN"/>
        </w:rPr>
      </w:pPr>
      <w:r/>
      <w:bookmarkStart w:id="43" w:name="_Toc28359009"/>
      <w:r/>
      <w:bookmarkStart w:id="44" w:name="_Toc28359086"/>
      <w:r>
        <w:rPr>
          <w:rFonts w:hint="eastAsia" w:ascii="Times New Roman" w:hAnsi="Times New Roman" w:eastAsia="宋体" w:cs="宋体"/>
          <w:color w:val="auto"/>
          <w:highlight w:val="none"/>
        </w:rPr>
        <w:t xml:space="preserve">地 址：</w:t>
      </w:r>
      <w:r>
        <w:rPr>
          <w:rFonts w:hint="eastAsia" w:ascii="Times New Roman" w:hAnsi="Times New Roman" w:eastAsia="宋体"/>
          <w:color w:val="auto"/>
          <w:szCs w:val="21"/>
          <w:highlight w:val="none"/>
          <w:lang w:eastAsia="zh-CN"/>
        </w:rPr>
        <w:t xml:space="preserve">扬州市邗江区润扬中路98号</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联系人：</w:t>
      </w:r>
      <w:r>
        <w:rPr>
          <w:rFonts w:hint="eastAsia" w:ascii="Times New Roman" w:hAnsi="Times New Roman" w:cs="宋体"/>
          <w:color w:val="auto"/>
          <w:highlight w:val="none"/>
          <w:lang w:eastAsia="zh-CN"/>
        </w:rPr>
        <w:t xml:space="preserve">王成</w:t>
      </w:r>
      <w:r>
        <w:rPr>
          <w:rFonts w:hint="eastAsia" w:ascii="Times New Roman" w:hAnsi="Times New Roman" w:eastAsia="宋体" w:cs="宋体"/>
          <w:color w:val="auto"/>
          <w:highlight w:val="none"/>
        </w:rPr>
        <w:t xml:space="preserve"> </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联系方式：</w:t>
      </w:r>
      <w:r>
        <w:rPr>
          <w:rFonts w:hint="eastAsia" w:ascii="Times New Roman" w:hAnsi="Times New Roman" w:cs="宋体"/>
          <w:color w:val="auto"/>
          <w:highlight w:val="none"/>
          <w:lang w:val="en-US" w:eastAsia="zh-CN"/>
        </w:rPr>
        <w:t xml:space="preserve">13905271668</w:t>
      </w:r>
      <w:r/>
    </w:p>
    <w:p>
      <w:pPr>
        <w:ind w:firstLine="420"/>
        <w:jc w:val="left"/>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43"/>
      <w:r/>
      <w:bookmarkEnd w:id="44"/>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s="宋体"/>
          <w:color w:val="auto"/>
          <w:szCs w:val="21"/>
          <w:highlight w:val="none"/>
        </w:rPr>
        <w:t xml:space="preserve">江苏苏维工程管理有限公司</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　址：</w:t>
      </w:r>
      <w:r>
        <w:rPr>
          <w:rFonts w:hint="eastAsia" w:ascii="Times New Roman" w:hAnsi="Times New Roman" w:eastAsia="宋体" w:cs="宋体"/>
          <w:color w:val="auto"/>
          <w:szCs w:val="21"/>
          <w:highlight w:val="none"/>
        </w:rPr>
        <w:t xml:space="preserve">扬州市邗江区</w:t>
      </w:r>
      <w:r>
        <w:rPr>
          <w:rFonts w:hint="eastAsia" w:ascii="Times New Roman" w:hAnsi="Times New Roman" w:eastAsia="宋体" w:cs="宋体"/>
          <w:color w:val="auto"/>
          <w:szCs w:val="21"/>
          <w:highlight w:val="none"/>
          <w:lang w:val="en-US" w:eastAsia="zh-CN"/>
        </w:rPr>
        <w:t xml:space="preserve">翠岗路48</w:t>
      </w:r>
      <w:r>
        <w:rPr>
          <w:rFonts w:hint="eastAsia" w:ascii="Times New Roman" w:hAnsi="Times New Roman" w:eastAsia="宋体" w:cs="宋体"/>
          <w:color w:val="auto"/>
          <w:szCs w:val="21"/>
          <w:highlight w:val="none"/>
        </w:rPr>
        <w:t xml:space="preserve">号</w:t>
      </w:r>
      <w:r/>
    </w:p>
    <w:p>
      <w:pPr>
        <w:ind w:firstLine="420"/>
        <w:pageBreakBefore w:val="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szCs w:val="21"/>
          <w:highlight w:val="none"/>
          <w:lang w:val="en-US" w:eastAsia="zh-CN"/>
        </w:rPr>
        <w:t xml:space="preserve">赵凌云、</w:t>
      </w:r>
      <w:r>
        <w:rPr>
          <w:rFonts w:hint="eastAsia" w:ascii="Times New Roman" w:hAnsi="Times New Roman" w:cs="宋体"/>
          <w:color w:val="auto"/>
          <w:szCs w:val="21"/>
          <w:highlight w:val="none"/>
          <w:lang w:val="en-US" w:eastAsia="zh-CN"/>
        </w:rPr>
        <w:t xml:space="preserve">黄炎</w:t>
      </w:r>
      <w:r/>
    </w:p>
    <w:p>
      <w:pPr>
        <w:ind w:firstLine="420"/>
        <w:pageBreakBefore w:val="0"/>
        <w:spacing w:line="360" w:lineRule="auto"/>
        <w:rPr>
          <w:rFonts w:hint="default" w:ascii="Times New Roman" w:hAnsi="Times New Roman" w:eastAsia="宋体" w:cs="宋体"/>
          <w:color w:val="auto"/>
          <w:highlight w:val="none"/>
          <w:u w:val="single"/>
          <w:lang w:val="en-US" w:eastAsia="zh-CN"/>
        </w:rPr>
      </w:pPr>
      <w:r>
        <w:rPr>
          <w:rFonts w:hint="eastAsia" w:ascii="Times New Roman" w:hAnsi="Times New Roman" w:eastAsia="宋体" w:cs="宋体"/>
          <w:color w:val="auto"/>
          <w:highlight w:val="none"/>
        </w:rPr>
        <w:t xml:space="preserve">联系方式：</w:t>
      </w:r>
      <w:bookmarkEnd w:id="41"/>
      <w:r/>
      <w:bookmarkEnd w:id="42"/>
      <w:r>
        <w:rPr>
          <w:rFonts w:hint="eastAsia" w:ascii="Times New Roman" w:hAnsi="Times New Roman" w:eastAsia="宋体" w:cs="宋体"/>
          <w:color w:val="auto"/>
          <w:szCs w:val="21"/>
          <w:highlight w:val="none"/>
          <w:lang w:eastAsia="zh-CN"/>
        </w:rPr>
        <w:t xml:space="preserve">0514-</w:t>
      </w:r>
      <w:r>
        <w:rPr>
          <w:rFonts w:hint="default" w:ascii="Times New Roman" w:hAnsi="Times New Roman" w:cs="宋体"/>
          <w:color w:val="auto"/>
          <w:szCs w:val="21"/>
          <w:highlight w:val="none"/>
          <w:lang w:val="en-US" w:eastAsia="zh-CN"/>
        </w:rPr>
        <w:t xml:space="preserve">82129101</w:t>
      </w:r>
      <w:r/>
    </w:p>
    <w:p>
      <w:pPr>
        <w:pageBreakBefore w:val="0"/>
        <w:spacing w:line="360" w:lineRule="auto"/>
        <w:rPr>
          <w:rFonts w:hint="eastAsia" w:ascii="Times New Roman" w:hAnsi="Times New Roman" w:eastAsia="宋体"/>
          <w:color w:val="auto"/>
          <w:highlight w:val="none"/>
        </w:rPr>
      </w:pPr>
      <w:r/>
      <w:bookmarkStart w:id="45" w:name="_Toc55204178"/>
      <w:r/>
      <w:bookmarkStart w:id="46" w:name="_Toc13371"/>
      <w:r>
        <w:rPr>
          <w:rFonts w:hint="eastAsia" w:ascii="Times New Roman" w:hAnsi="Times New Roman" w:eastAsia="宋体"/>
          <w:color w:val="auto"/>
          <w:highlight w:val="none"/>
        </w:rPr>
        <w:br w:type="page" w:clear="all"/>
      </w:r>
      <w:r/>
    </w:p>
    <w:p>
      <w:pPr>
        <w:pStyle w:val="719"/>
        <w:pageBreakBefore w:val="0"/>
        <w:spacing w:line="360" w:lineRule="auto"/>
        <w:rPr>
          <w:rFonts w:ascii="Times New Roman" w:hAnsi="Times New Roman" w:eastAsia="宋体"/>
          <w:color w:val="auto"/>
          <w:highlight w:val="none"/>
        </w:rPr>
      </w:pPr>
      <w:r/>
      <w:bookmarkStart w:id="47" w:name="_Toc8455"/>
      <w:r/>
      <w:bookmarkStart w:id="48" w:name="_Toc19440"/>
      <w:r/>
      <w:bookmarkStart w:id="49" w:name="_Toc27937"/>
      <w:r/>
      <w:bookmarkStart w:id="50" w:name="_Toc15067"/>
      <w:r/>
      <w:bookmarkStart w:id="51" w:name="_Toc23235"/>
      <w:r>
        <w:rPr>
          <w:rFonts w:hint="eastAsia" w:ascii="Times New Roman" w:hAnsi="Times New Roman" w:eastAsia="宋体"/>
          <w:color w:val="auto"/>
          <w:highlight w:val="none"/>
        </w:rPr>
        <w:t xml:space="preserve">第二章 投标人须知</w:t>
      </w:r>
      <w:bookmarkEnd w:id="45"/>
      <w:r/>
      <w:bookmarkEnd w:id="46"/>
      <w:r/>
      <w:bookmarkEnd w:id="47"/>
      <w:r/>
      <w:bookmarkEnd w:id="48"/>
      <w:r/>
      <w:bookmarkEnd w:id="49"/>
      <w:r/>
      <w:bookmarkEnd w:id="50"/>
      <w:r/>
      <w:bookmarkEnd w:id="51"/>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1.招标方式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 本次招标采取公开招标方式，本招标文件仅适用于</w:t>
      </w:r>
      <w:r>
        <w:rPr>
          <w:rFonts w:hint="eastAsia" w:ascii="Times New Roman" w:hAnsi="Times New Roman" w:cs="宋体"/>
          <w:bCs/>
          <w:color w:val="auto"/>
          <w:szCs w:val="21"/>
          <w:highlight w:val="none"/>
          <w:lang w:eastAsia="zh-CN"/>
        </w:rPr>
        <w:t xml:space="preserve">JSZC-321000-SWGC-G2026-0131</w:t>
      </w:r>
      <w:r>
        <w:rPr>
          <w:rFonts w:hint="eastAsia" w:ascii="Times New Roman" w:hAnsi="Times New Roman" w:eastAsia="宋体" w:cs="宋体"/>
          <w:bCs/>
          <w:color w:val="auto"/>
          <w:szCs w:val="21"/>
          <w:highlight w:val="none"/>
          <w:lang w:eastAsia="zh-CN"/>
        </w:rPr>
        <w:t xml:space="preserve">号</w:t>
      </w:r>
      <w:r>
        <w:rPr>
          <w:rFonts w:hint="eastAsia" w:ascii="Times New Roman" w:hAnsi="Times New Roman" w:eastAsia="宋体" w:cs="宋体"/>
          <w:bCs/>
          <w:color w:val="auto"/>
          <w:szCs w:val="21"/>
          <w:highlight w:val="none"/>
        </w:rPr>
        <w:t xml:space="preserve">项目。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 本招标文件中“供应商”，即“投标人”，是指参加投标竞争，并符合招标文件规定资格条件的法人、其他组织或者自然人。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2.2合格的投标人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满足招标公告中供应商的资格条件要求的规定。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满足本文件实质性条款的规定。</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3.适用法律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3.1 本次招标及由此产生的合同受中华人民共和国有关的法律法规制约和保护。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4.投标费用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cs="宋体"/>
          <w:b/>
          <w:bCs/>
          <w:color w:val="auto"/>
          <w:szCs w:val="21"/>
          <w:highlight w:val="none"/>
        </w:rPr>
        <w:t xml:space="preserve">4.2</w:t>
      </w:r>
      <w:r>
        <w:rPr>
          <w:rFonts w:hint="eastAsia" w:ascii="Times New Roman" w:hAnsi="Times New Roman" w:eastAsia="宋体"/>
          <w:b/>
          <w:bCs/>
          <w:color w:val="auto"/>
          <w:szCs w:val="21"/>
          <w:highlight w:val="none"/>
        </w:rPr>
        <w:t xml:space="preserve">本次采购</w:t>
      </w:r>
      <w:r>
        <w:rPr>
          <w:rFonts w:hint="eastAsia" w:ascii="Times New Roman" w:hAnsi="Times New Roman" w:eastAsia="宋体"/>
          <w:b/>
          <w:bCs/>
          <w:color w:val="auto"/>
          <w:szCs w:val="21"/>
          <w:highlight w:val="none"/>
          <w:lang w:val="en-US" w:eastAsia="zh-CN"/>
        </w:rPr>
        <w:t xml:space="preserve">预算中已包含代理服务费，</w:t>
      </w:r>
      <w:r>
        <w:rPr>
          <w:rFonts w:hint="eastAsia" w:ascii="Times New Roman" w:hAnsi="Times New Roman" w:eastAsia="宋体"/>
          <w:b/>
          <w:bCs/>
          <w:color w:val="auto"/>
          <w:szCs w:val="21"/>
          <w:highlight w:val="none"/>
        </w:rPr>
        <w:t xml:space="preserve">由</w:t>
      </w:r>
      <w:r>
        <w:rPr>
          <w:rFonts w:hint="eastAsia" w:ascii="Times New Roman" w:hAnsi="Times New Roman" w:eastAsia="宋体"/>
          <w:b/>
          <w:bCs/>
          <w:color w:val="auto"/>
          <w:szCs w:val="21"/>
          <w:highlight w:val="none"/>
          <w:lang w:val="en-US" w:eastAsia="zh-CN"/>
        </w:rPr>
        <w:t xml:space="preserve">中标人</w:t>
      </w:r>
      <w:r>
        <w:rPr>
          <w:rFonts w:hint="eastAsia" w:ascii="Times New Roman" w:hAnsi="Times New Roman" w:eastAsia="宋体"/>
          <w:b/>
          <w:bCs/>
          <w:color w:val="auto"/>
          <w:szCs w:val="21"/>
          <w:highlight w:val="none"/>
        </w:rPr>
        <w:t xml:space="preserve">在领取</w:t>
      </w:r>
      <w:r>
        <w:rPr>
          <w:rFonts w:hint="eastAsia" w:ascii="Times New Roman" w:hAnsi="Times New Roman" w:eastAsia="宋体"/>
          <w:b/>
          <w:bCs/>
          <w:color w:val="auto"/>
          <w:szCs w:val="21"/>
          <w:highlight w:val="none"/>
          <w:lang w:val="en-US" w:eastAsia="zh-CN"/>
        </w:rPr>
        <w:t xml:space="preserve">中标</w:t>
      </w:r>
      <w:r>
        <w:rPr>
          <w:rFonts w:hint="eastAsia" w:ascii="Times New Roman" w:hAnsi="Times New Roman" w:eastAsia="宋体"/>
          <w:b/>
          <w:bCs/>
          <w:color w:val="auto"/>
          <w:szCs w:val="21"/>
          <w:highlight w:val="none"/>
        </w:rPr>
        <w:t xml:space="preserve">通知书前</w:t>
      </w:r>
      <w:r>
        <w:rPr>
          <w:rFonts w:hint="eastAsia" w:ascii="Times New Roman" w:hAnsi="Times New Roman"/>
          <w:b/>
          <w:bCs/>
          <w:color w:val="auto"/>
          <w:szCs w:val="21"/>
          <w:highlight w:val="none"/>
          <w:lang w:val="en-US" w:eastAsia="zh-CN"/>
        </w:rPr>
        <w:t xml:space="preserve">参照</w:t>
      </w:r>
      <w:r>
        <w:rPr>
          <w:rFonts w:hint="eastAsia" w:ascii="Times New Roman" w:hAnsi="Times New Roman" w:eastAsia="宋体"/>
          <w:b/>
          <w:bCs/>
          <w:color w:val="auto"/>
          <w:szCs w:val="21"/>
          <w:highlight w:val="none"/>
        </w:rPr>
        <w:t xml:space="preserve">国家计委印发的《招标代理服务收费管理暂行办法》（计价格〔2002〕1980号文）</w:t>
      </w:r>
      <w:r>
        <w:rPr>
          <w:rFonts w:hint="eastAsia" w:ascii="Times New Roman" w:hAnsi="Times New Roman" w:eastAsia="宋体"/>
          <w:b/>
          <w:bCs/>
          <w:color w:val="auto"/>
          <w:szCs w:val="21"/>
          <w:highlight w:val="none"/>
          <w:lang w:val="en-US" w:eastAsia="zh-CN"/>
        </w:rPr>
        <w:t xml:space="preserve">货物</w:t>
      </w:r>
      <w:r>
        <w:rPr>
          <w:rFonts w:hint="eastAsia" w:ascii="Times New Roman" w:hAnsi="Times New Roman" w:eastAsia="宋体"/>
          <w:b/>
          <w:bCs/>
          <w:color w:val="auto"/>
          <w:szCs w:val="21"/>
          <w:highlight w:val="none"/>
        </w:rPr>
        <w:t xml:space="preserve">类标准</w:t>
      </w:r>
      <w:r>
        <w:rPr>
          <w:rFonts w:hint="eastAsia" w:ascii="Times New Roman" w:hAnsi="Times New Roman" w:eastAsia="宋体"/>
          <w:b/>
          <w:bCs/>
          <w:color w:val="auto"/>
          <w:szCs w:val="21"/>
          <w:highlight w:val="none"/>
          <w:u w:val="none"/>
        </w:rPr>
        <w:t xml:space="preserve">一</w:t>
      </w:r>
      <w:r>
        <w:rPr>
          <w:rFonts w:hint="eastAsia" w:ascii="Times New Roman" w:hAnsi="Times New Roman" w:eastAsia="宋体"/>
          <w:b/>
          <w:bCs/>
          <w:color w:val="auto"/>
          <w:szCs w:val="21"/>
          <w:highlight w:val="none"/>
        </w:rPr>
        <w:t xml:space="preserve">次性支付给招标代理机构。</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（1）代理服务费以人民币支付；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（2）代理服务费一次性以电汇或转账等非现金形式支付。</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代理服务费开户银行：中国工商银行扬州雍华府支行</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开户名称：江苏苏维工程管理有限公司</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               开户账号：1108020819100000612</w:t>
      </w:r>
      <w:r/>
    </w:p>
    <w:p>
      <w:pPr>
        <w:ind w:firstLine="422"/>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w:t>
      </w:r>
      <w:r>
        <w:rPr>
          <w:rFonts w:hint="eastAsia" w:ascii="Times New Roman" w:hAnsi="Times New Roman" w:eastAsia="宋体"/>
          <w:b/>
          <w:bCs/>
          <w:color w:val="auto"/>
          <w:szCs w:val="21"/>
          <w:highlight w:val="none"/>
          <w:lang w:val="en-US" w:eastAsia="zh-CN"/>
        </w:rPr>
        <w:t xml:space="preserve">3</w:t>
      </w:r>
      <w:r>
        <w:rPr>
          <w:rFonts w:hint="eastAsia" w:ascii="Times New Roman" w:hAnsi="Times New Roman" w:eastAsia="宋体" w:cs="宋体"/>
          <w:b/>
          <w:bCs/>
          <w:color w:val="auto"/>
          <w:sz w:val="21"/>
          <w:szCs w:val="21"/>
          <w:highlight w:val="none"/>
        </w:rPr>
        <w:t xml:space="preserve">专家评审费按照《扬州市财政局关于进一步规范扬州市政府采购专家评审费标准的通知》（扬财购〔2020〕40号）执行，由采购人支付。</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5.招标文件的约束力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5.1 投标人一旦参加本项目采购活动，即被认为接受了本招标文件的规定和约束。</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6.招标文件构成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6.1 招标文件由以下部分组成：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（1）招标公告</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（2）投标人须知</w:t>
      </w:r>
      <w:r>
        <w:rPr>
          <w:rFonts w:hint="eastAsia" w:ascii="Times New Roman" w:hAnsi="Times New Roman" w:eastAsia="宋体" w:cs="宋体"/>
          <w:bCs/>
          <w:color w:val="auto"/>
          <w:szCs w:val="21"/>
          <w:highlight w:val="none"/>
        </w:rPr>
        <w:tab/>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（3）合同条款及格式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（4）项目需求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（5）评标方法与评标标准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（6）投标文件格式</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6.3 招标文件如果要求供应商提交备选投标方案的，供应商可以提交备选方案；否则，备选方案将被拒绝。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7.招标文件的澄清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8.招标文件的修改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8.1 在投标截止时间前，代理机构可以对招标文件进行修改。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8.3招标文件的修改将在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公布，补充文件将作为招标文件的组成部分，并对投标人具有约束力。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9.投标文件的语言、度量衡单位、货币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9.2 除技术性能另有规定外，投标文件所使用的度量衡单位，均须采用国家法定计量单位。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9.3投标人应使用人民币报价。</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10.投标文件构成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10.1投标文件由以下部分组成</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（1）资格审查响应对照表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（2）符合性审查响应对照表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（3）非实质性响应对照表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（4）开标一览表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（5）分项报价表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（6）技术参数响应及偏离表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（7）商务条款响应及偏离表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（8）其他 （投标人认为有必要提供的声明和文件，如有自拟并自行添加）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11.证明投标人资格及符合招标文件规定的文件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11.1投标人应按要求提交资格证明文件及符合招标文件规定的文件。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12.投标配置与分项报价表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12.2 标的物</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采购人需求的服务供应、安装，调试及有关技术服务等。</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12.3有关费用处理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12.4其它费用处理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招标文件未列明，而投标人认为必需的费用也需列入报价。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12.5投标货币</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投标文件中的服务单价和总价无特殊规定的采用人民币报价，以元为单位标注。招标文件中另有规定的按规定执行。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12.6 投标配置与分项报价表上的价格应按下列方式分开填写：</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2.项目单价按投标配置及分项报价表中要求填报。</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13.技术参数响应及偏离表、商务条款响应及偏离表及投标货物说明</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13.1 对招标文件中的技术与商务条款要求逐项作出响应或偏离，并说明原因；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13.2 提供参加本项目类似案例简介；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13.3 培训计划；</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13.4 详细阐述所投货物的主要组成部分、功能设计、实现思路及关键技术；</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13.5 投标人认为需要的其他技术文件或说明。</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14.服务承诺及售后服务机构、人员的情况介绍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14.1投标人的服务承诺应按不低于招标文件中商务要求的标准。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15.投标函和开标一览表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15.1 投标人应按照招标文件中提供的格式完整、正确填写投标函、开标一览表。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16.投标有效期</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16.1 投标有效期为开标之日起六十（60）天。投标有效期比规定短的将被视为非响应性投标而予以拒绝。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hint="eastAsia" w:ascii="Times New Roman" w:hAnsi="Times New Roman" w:eastAsia="宋体" w:cs="宋体"/>
          <w:b/>
          <w:color w:val="auto"/>
          <w:szCs w:val="21"/>
          <w:highlight w:val="none"/>
        </w:rPr>
      </w:pPr>
      <w:r/>
      <w:bookmarkStart w:id="52" w:name="_Toc462564084"/>
      <w:r/>
      <w:bookmarkStart w:id="53" w:name="_Toc20823297"/>
      <w:r/>
      <w:bookmarkStart w:id="54" w:name="_Toc513029225"/>
      <w:r/>
      <w:bookmarkStart w:id="55" w:name="_Toc16938541"/>
      <w:r>
        <w:rPr>
          <w:rFonts w:hint="eastAsia" w:ascii="Times New Roman" w:hAnsi="Times New Roman" w:eastAsia="宋体" w:cs="宋体"/>
          <w:b/>
          <w:color w:val="auto"/>
          <w:szCs w:val="21"/>
          <w:highlight w:val="none"/>
        </w:rPr>
        <w:t xml:space="preserve">17.投标文件</w:t>
      </w:r>
      <w:bookmarkEnd w:id="52"/>
      <w:r/>
      <w:bookmarkEnd w:id="53"/>
      <w:r/>
      <w:bookmarkEnd w:id="54"/>
      <w:r/>
      <w:bookmarkEnd w:id="55"/>
      <w:r>
        <w:rPr>
          <w:rFonts w:hint="eastAsia" w:ascii="Times New Roman" w:hAnsi="Times New Roman" w:eastAsia="宋体" w:cs="宋体"/>
          <w:b/>
          <w:color w:val="auto"/>
          <w:szCs w:val="21"/>
          <w:highlight w:val="none"/>
        </w:rPr>
        <w:t xml:space="preserve">的递交</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17.1 电子投标文件的递交投标人应当按照《操作手册》规定，在投标截止时间前制作并上传电子投标文件。</w:t>
      </w:r>
      <w:bookmarkStart w:id="56" w:name="_Toc16938542"/>
      <w:r/>
      <w:bookmarkStart w:id="57" w:name="_Toc513029226"/>
      <w:r/>
      <w:bookmarkStart w:id="58" w:name="_Toc20823298"/>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17.2政府采购管理交易系统（苏采云）相关要求是本招标文件的组成部分。</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17.3投标人应对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17.4投标人应当对招标文件提出的要求和条件作出实质性响应，并在电子投标系统逐条应答。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17.5投标人应对要求提供的资格证明文件（如资质证书、资格证书）、技术资料（如白皮书、彩页、手册、检测报告等）扫描上传至投标系统。</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
          <w:bCs w:val="0"/>
          <w:color w:val="auto"/>
          <w:szCs w:val="21"/>
          <w:highlight w:val="none"/>
        </w:rPr>
        <w:t xml:space="preserve">17.7各投标人应在规定时间内凭CA证书进行网上解密。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18.投标截止日期</w:t>
      </w:r>
      <w:bookmarkEnd w:id="56"/>
      <w:r/>
      <w:bookmarkEnd w:id="57"/>
      <w:r/>
      <w:bookmarkEnd w:id="58"/>
      <w:r/>
      <w:r/>
    </w:p>
    <w:p>
      <w:pPr>
        <w:ind w:firstLine="420"/>
        <w:pageBreakBefore w:val="0"/>
        <w:spacing w:line="360" w:lineRule="auto"/>
        <w:rPr>
          <w:rFonts w:hint="eastAsia" w:ascii="Times New Roman" w:hAnsi="Times New Roman" w:eastAsia="宋体" w:cs="宋体"/>
          <w:bCs/>
          <w:i/>
          <w:iCs/>
          <w:color w:val="auto"/>
          <w:szCs w:val="21"/>
          <w:highlight w:val="none"/>
          <w:u w:val="single"/>
        </w:rPr>
      </w:pPr>
      <w:r>
        <w:rPr>
          <w:rFonts w:hint="eastAsia" w:ascii="Times New Roman" w:hAnsi="Times New Roman" w:eastAsia="宋体" w:cs="宋体"/>
          <w:bCs/>
          <w:i/>
          <w:iCs/>
          <w:color w:val="auto"/>
          <w:szCs w:val="21"/>
          <w:highlight w:val="none"/>
          <w:u w:val="single"/>
        </w:rPr>
        <w:t xml:space="preserve">18.1 投标人上传电子投标文件的时间不得迟于招标公告中规定的投标截止时间。</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投标人应充分考虑网络环境、网络带宽等风险因素，如因投标人自身原因造成的电子投标文件上传不成功由投标人自行承担全部责任。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hint="eastAsia" w:ascii="Times New Roman" w:hAnsi="Times New Roman" w:eastAsia="宋体" w:cs="宋体"/>
          <w:b/>
          <w:color w:val="auto"/>
          <w:szCs w:val="21"/>
          <w:highlight w:val="none"/>
        </w:rPr>
      </w:pPr>
      <w:r/>
      <w:bookmarkStart w:id="59" w:name="_Toc16938543"/>
      <w:r/>
      <w:bookmarkStart w:id="60" w:name="_Toc513029227"/>
      <w:r/>
      <w:bookmarkStart w:id="61" w:name="_Toc20823299"/>
      <w:r>
        <w:rPr>
          <w:rFonts w:hint="eastAsia" w:ascii="Times New Roman" w:hAnsi="Times New Roman" w:eastAsia="宋体" w:cs="宋体"/>
          <w:b/>
          <w:color w:val="auto"/>
          <w:szCs w:val="21"/>
          <w:highlight w:val="none"/>
        </w:rPr>
        <w:t xml:space="preserve">19.投标文件</w:t>
      </w:r>
      <w:bookmarkEnd w:id="59"/>
      <w:r/>
      <w:bookmarkEnd w:id="60"/>
      <w:r/>
      <w:bookmarkEnd w:id="61"/>
      <w:r>
        <w:rPr>
          <w:rFonts w:hint="eastAsia" w:ascii="Times New Roman" w:hAnsi="Times New Roman" w:eastAsia="宋体" w:cs="宋体"/>
          <w:b/>
          <w:color w:val="auto"/>
          <w:szCs w:val="21"/>
          <w:highlight w:val="none"/>
        </w:rPr>
        <w:t xml:space="preserve">的拒收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hint="eastAsia" w:ascii="Times New Roman" w:hAnsi="Times New Roman" w:eastAsia="宋体" w:cs="宋体"/>
          <w:b/>
          <w:color w:val="auto"/>
          <w:szCs w:val="21"/>
          <w:highlight w:val="none"/>
        </w:rPr>
      </w:pPr>
      <w:r/>
      <w:bookmarkStart w:id="62" w:name="_Toc20823300"/>
      <w:r/>
      <w:bookmarkStart w:id="63" w:name="_Toc16938544"/>
      <w:r/>
      <w:bookmarkStart w:id="64" w:name="_Toc513029228"/>
      <w:r>
        <w:rPr>
          <w:rFonts w:hint="eastAsia" w:ascii="Times New Roman" w:hAnsi="Times New Roman" w:eastAsia="宋体" w:cs="宋体"/>
          <w:b/>
          <w:color w:val="auto"/>
          <w:szCs w:val="21"/>
          <w:highlight w:val="none"/>
        </w:rPr>
        <w:t xml:space="preserve">20.投标文件的撤回和修改</w:t>
      </w:r>
      <w:bookmarkEnd w:id="62"/>
      <w:r/>
      <w:bookmarkEnd w:id="63"/>
      <w:r/>
      <w:bookmarkEnd w:id="64"/>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 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20.1.1 电子投标文件的撤回</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20.1.2 投标人撤回电子投标文件，则认为其不再参与本项目投标活动。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20.2 投标文件的修改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20.3 在投标截止时间之后，投标人不得对其电子投标文件作任何修改。</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20.4 在投标截止时间至招标文件中规定的投标有效期满之间的这段时间内，投标人不得撤回其投标。</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21.开标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pageBreakBefore w:val="0"/>
        <w:spacing w:line="360" w:lineRule="auto"/>
        <w:rPr>
          <w:rFonts w:hint="eastAsia" w:ascii="Times New Roman" w:hAnsi="Times New Roman" w:eastAsia="宋体" w:cs="宋体"/>
          <w:b/>
          <w:bCs w:val="0"/>
          <w:color w:val="auto"/>
          <w:szCs w:val="21"/>
          <w:highlight w:val="none"/>
        </w:rPr>
      </w:pPr>
      <w:r>
        <w:rPr>
          <w:rFonts w:hint="eastAsia" w:ascii="Times New Roman" w:hAnsi="Times New Roman" w:eastAsia="宋体" w:cs="宋体"/>
          <w:b/>
          <w:bCs w:val="0"/>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21.3投标人在开标过程中</w:t>
      </w:r>
      <w:r>
        <w:rPr>
          <w:rFonts w:hint="eastAsia" w:ascii="Times New Roman" w:hAnsi="Times New Roman" w:eastAsia="宋体" w:cs="宋体"/>
          <w:bCs/>
          <w:color w:val="auto"/>
          <w:szCs w:val="21"/>
          <w:highlight w:val="none"/>
          <w:lang w:eastAsia="zh-CN"/>
        </w:rPr>
        <w:t xml:space="preserve">涉及</w:t>
      </w:r>
      <w:r>
        <w:rPr>
          <w:rFonts w:hint="eastAsia" w:ascii="Times New Roman" w:hAnsi="Times New Roman" w:eastAsia="宋体" w:cs="宋体"/>
          <w:bCs/>
          <w:color w:val="auto"/>
          <w:szCs w:val="21"/>
          <w:highlight w:val="none"/>
        </w:rPr>
        <w:t xml:space="preserve">的投标文件解密、开标结果确认等工作，应按照《操作手册》规定执行。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22.评标委员会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22.1 开标后，代理机构将立即组织评标委员会（以下简称评委会）进行评标。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22.2 评委会由采购人代表和有关技术、经济等方面的专家组成，且人员构成符合政府采购有关规定。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22.3评委会独立工作，负责评审所有投标文件并确定中标候选人。</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23.评标过程的保密与公正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23.3 在评标期间，代理机构将设专门工作人员与投标人联系。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23.4 代理机构和评委会不向未中标的投标人解释未中标原因，也不公布评标过程中的相关细节。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24.投标的澄清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24.3 接到评委会澄清要求的投标人如未按规定作出澄清，其风险由投标人自行承担。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25.对投标文件的初审</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25.1投标文件初审分为资格审查和符合性审查。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25.3如果投标文件实质上没有响应招标文件的要求，评委会将予以拒绝，投标人不得通过修改或撤销不符合要求的偏离或保留而使其投标成为实质性响应的投标。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（2）大写金额与小写金额不一致的，以大写金额为准。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（4）总价金额与按单价汇总金额不一致的，以单价金额计算结果为准。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同时出现两种以上错误的，按照前款规定的顺序修正。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25.5评委会将按上述修正错误的方法调整投标文件中的投标报价，并通过“政府采购管理交易系统（苏采云）”告知投标人，调整后的价格对投标人具有约束力。如果投标人不接受修正后的价格，则其投标将被拒绝。</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非单一产品采购项目，招标文件中将载明其中的核心产品</w:t>
      </w:r>
      <w:r>
        <w:rPr>
          <w:rFonts w:hint="eastAsia" w:ascii="Times New Roman" w:hAnsi="Times New Roman" w:eastAsia="宋体" w:cs="宋体"/>
          <w:b/>
          <w:bCs/>
          <w:color w:val="auto"/>
          <w:szCs w:val="21"/>
          <w:highlight w:val="none"/>
          <w:u w:val="single"/>
        </w:rPr>
        <w:t xml:space="preserve">（本项目的核心产品为“</w:t>
      </w:r>
      <w:r>
        <w:rPr>
          <w:rFonts w:hint="eastAsia" w:ascii="Times New Roman" w:hAnsi="Times New Roman" w:cs="宋体"/>
          <w:b/>
          <w:bCs/>
          <w:color w:val="auto"/>
          <w:szCs w:val="21"/>
          <w:highlight w:val="none"/>
          <w:u w:val="single"/>
          <w:lang w:eastAsia="zh-CN"/>
        </w:rPr>
        <w:t xml:space="preserve">布帘</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eastAsia="zh-CN"/>
        </w:rPr>
        <w:t xml:space="preserve">）</w:t>
      </w:r>
      <w:r>
        <w:rPr>
          <w:rFonts w:hint="eastAsia" w:ascii="Times New Roman" w:hAnsi="Times New Roman" w:eastAsia="宋体" w:cs="宋体"/>
          <w:bCs/>
          <w:color w:val="auto"/>
          <w:szCs w:val="21"/>
          <w:highlight w:val="none"/>
        </w:rPr>
        <w:t xml:space="preserve">。多家投标人提供的核心产品品牌相同的，按前两款规定处理。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25.8 投标人在开、评标全过程中应保持通信畅通，并安排专人与代理机构及评委会联系。</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w:t>
      </w:r>
      <w:r>
        <w:rPr>
          <w:rFonts w:hint="eastAsia" w:ascii="Times New Roman" w:hAnsi="Times New Roman" w:eastAsia="宋体"/>
          <w:b/>
          <w:bCs/>
          <w:color w:val="auto"/>
          <w:sz w:val="21"/>
          <w:szCs w:val="21"/>
          <w:highlight w:val="none"/>
          <w:lang w:val="en-US" w:eastAsia="zh-CN"/>
        </w:rPr>
        <w:t xml:space="preserve">9</w:t>
      </w:r>
      <w:r>
        <w:rPr>
          <w:rFonts w:hint="eastAsia" w:ascii="Times New Roman" w:hAnsi="Times New Roman" w:eastAsia="宋体"/>
          <w:b/>
          <w:bCs/>
          <w:color w:val="auto"/>
          <w:sz w:val="21"/>
          <w:szCs w:val="21"/>
          <w:highlight w:val="none"/>
        </w:rPr>
        <w:t xml:space="preserve"> 异常低价投标审查</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25.9.1评标过程中出现下列情形之一的，评标委员会应当启动异常低价投标审查程序:</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1.投标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响应)报价〈全部通过符合性审查供应商投标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2.投标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响应)报价50%的，即投标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响应)报价〈通过符合性审查的次低报价供应商投标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50%</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lang w:eastAsia="zh-CN"/>
        </w:rPr>
      </w:pPr>
      <w:r>
        <w:rPr>
          <w:rFonts w:hint="eastAsia" w:ascii="Times New Roman" w:hAnsi="Times New Roman" w:eastAsia="宋体"/>
          <w:b/>
          <w:bCs/>
          <w:color w:val="auto"/>
          <w:sz w:val="21"/>
          <w:szCs w:val="21"/>
          <w:highlight w:val="none"/>
        </w:rPr>
        <w:t xml:space="preserve">3.投标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响应)报价低于采购项目最高限价45%的，即投标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响应)报价&lt;采购项目最高限价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b/>
          <w:bCs/>
          <w:color w:val="auto"/>
          <w:sz w:val="21"/>
          <w:szCs w:val="21"/>
          <w:highlight w:val="none"/>
        </w:rPr>
        <w:t xml:space="preserve">45%</w:t>
      </w:r>
      <w:r>
        <w:rPr>
          <w:rFonts w:hint="eastAsia" w:ascii="Times New Roman" w:hAnsi="Times New Roman" w:eastAsia="宋体"/>
          <w:b/>
          <w:bCs/>
          <w:color w:val="auto"/>
          <w:sz w:val="21"/>
          <w:szCs w:val="21"/>
          <w:highlight w:val="none"/>
          <w:lang w:eastAsia="zh-CN"/>
        </w:rPr>
        <w:t xml:space="preserve">；</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25.9.2评审委员会启动异常低价投标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响应)审查后，属于前述第1项至第4项情形的，应当要求相关供应商在评审现场合理的时间内对投标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Times New Roman" w:hAnsi="Times New Roman" w:eastAsia="宋体" w:cs="宋体"/>
          <w:b/>
          <w:bCs/>
          <w:color w:val="auto"/>
          <w:szCs w:val="21"/>
          <w:highlight w:val="none"/>
        </w:rPr>
      </w:pPr>
      <w:r>
        <w:rPr>
          <w:rFonts w:hint="eastAsia" w:ascii="Times New Roman" w:hAnsi="Times New Roman" w:eastAsia="宋体"/>
          <w:b/>
          <w:bCs/>
          <w:color w:val="auto"/>
          <w:sz w:val="21"/>
          <w:szCs w:val="21"/>
          <w:highlight w:val="none"/>
        </w:rPr>
        <w:t xml:space="preserve">25.9.3评审委员会依据专业经验，参考同类项目中标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b/>
          <w:bCs/>
          <w:color w:val="auto"/>
          <w:sz w:val="21"/>
          <w:szCs w:val="21"/>
          <w:highlight w:val="none"/>
          <w:lang w:eastAsia="zh-CN"/>
        </w:rPr>
        <w:t xml:space="preserve">（</w:t>
      </w:r>
      <w:r>
        <w:rPr>
          <w:rFonts w:hint="eastAsia" w:ascii="Times New Roman" w:hAnsi="Times New Roman" w:eastAsia="宋体"/>
          <w:b/>
          <w:bCs/>
          <w:color w:val="auto"/>
          <w:sz w:val="21"/>
          <w:szCs w:val="21"/>
          <w:highlight w:val="none"/>
        </w:rPr>
        <w:t xml:space="preserve">响应)处理。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26.无效投标、废标及投标人不足三家的处理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26.1无效投标条款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 投标人未成功解密电子投标文件的。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26.1.2 投标人未按照招标文件要求上传电子投标文件的。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26.1.3投标人在报价时采用选择性报价的。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26.1.4投标人不具备招标文件中规定的资格要求的。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26.1.5投标人的报价超过了采购预算或最高限价的。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26.1.6未通过符合性审查的。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26.1.7不符合招标文件中规定的其他实质性要求和条件的（</w:t>
      </w:r>
      <w:r>
        <w:rPr>
          <w:rFonts w:hint="eastAsia" w:ascii="Times New Roman" w:hAnsi="Times New Roman" w:eastAsia="宋体" w:cs="宋体"/>
          <w:bCs/>
          <w:i/>
          <w:iCs/>
          <w:color w:val="auto"/>
          <w:szCs w:val="21"/>
          <w:highlight w:val="none"/>
          <w:u w:val="single"/>
        </w:rPr>
        <w:t xml:space="preserve">本招标文件中斜体且有下划线部分为实质性要求和条件</w:t>
      </w:r>
      <w:r>
        <w:rPr>
          <w:rFonts w:hint="eastAsia" w:ascii="Times New Roman" w:hAnsi="Times New Roman" w:eastAsia="宋体" w:cs="宋体"/>
          <w:bCs/>
          <w:color w:val="auto"/>
          <w:szCs w:val="21"/>
          <w:highlight w:val="none"/>
        </w:rPr>
        <w:t xml:space="preserve">）。</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26.1.8 投标人被 “信用中国”网站（www.creditchina.gov.cn）、“中国政府采购网"</w:t>
      </w:r>
      <w:r>
        <w:rPr>
          <w:rFonts w:hint="eastAsia" w:ascii="Times New Roman" w:hAnsi="Times New Roman" w:eastAsia="宋体" w:cs="宋体"/>
          <w:bCs/>
          <w:color w:val="auto"/>
          <w:szCs w:val="21"/>
          <w:highlight w:val="none"/>
          <w:lang w:eastAsia="zh-CN"/>
        </w:rPr>
        <w:t xml:space="preserve">（</w:t>
      </w:r>
      <w:r>
        <w:rPr>
          <w:rFonts w:hint="eastAsia" w:ascii="Times New Roman" w:hAnsi="Times New Roman" w:eastAsia="宋体" w:cs="宋体"/>
          <w:bCs/>
          <w:color w:val="auto"/>
          <w:szCs w:val="21"/>
          <w:highlight w:val="none"/>
        </w:rPr>
        <w:t xml:space="preserve">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26.1.9  投标文件含有采购人不能接受的附加条件的。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26.1.10 评标委员会按照本招标文件规定对投标人进行异常低价投标审查后，认为投标人不能证明其报价合理性的。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26.1.12 投标文件未按照招标文件要求加盖电子签章。</w:t>
      </w:r>
      <w:r/>
    </w:p>
    <w:p>
      <w:pPr>
        <w:ind w:firstLine="420"/>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val="0"/>
          <w:bCs/>
          <w:color w:val="auto"/>
          <w:szCs w:val="21"/>
          <w:highlight w:val="none"/>
        </w:rPr>
        <w:t xml:space="preserve">26.1.13 </w:t>
      </w:r>
      <w:r>
        <w:rPr>
          <w:rFonts w:hint="eastAsia" w:ascii="Times New Roman" w:hAnsi="Times New Roman" w:eastAsia="宋体" w:cs="宋体"/>
          <w:b w:val="0"/>
          <w:bCs/>
          <w:color w:val="auto"/>
          <w:szCs w:val="21"/>
          <w:highlight w:val="none"/>
          <w:lang w:val="en-US" w:eastAsia="zh-CN"/>
        </w:rPr>
        <w:t xml:space="preserve">投标人所投标产品不符合招标文件中所列国家强制性标准的。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26.1.14其他</w:t>
      </w:r>
      <w:r>
        <w:rPr>
          <w:rFonts w:hint="eastAsia" w:ascii="Times New Roman" w:hAnsi="Times New Roman" w:eastAsia="宋体" w:cs="宋体"/>
          <w:bCs/>
          <w:color w:val="auto"/>
          <w:szCs w:val="21"/>
          <w:highlight w:val="none"/>
          <w:lang w:eastAsia="zh-CN"/>
        </w:rPr>
        <w:t xml:space="preserve">法律法规</w:t>
      </w:r>
      <w:r>
        <w:rPr>
          <w:rFonts w:hint="eastAsia" w:ascii="Times New Roman" w:hAnsi="Times New Roman" w:eastAsia="宋体" w:cs="宋体"/>
          <w:bCs/>
          <w:color w:val="auto"/>
          <w:szCs w:val="21"/>
          <w:highlight w:val="none"/>
        </w:rPr>
        <w:t xml:space="preserve">及本招标文件规定的无效投标的情形。</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26.2废标条款：</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26.2.2出现影响采购公正的违法、违规行为的。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26.2.3因重大变故，采购任务取消的。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26.2.4评委会认定招标文件存在歧义、重大缺陷导致评审工作无法进行。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 投标截止时间结束后参加投标的供应商不足三家的处理：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27.确定中标单位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27.1评委会根据本招标文件规定的评标方法与评标标准向采购人推荐出中标候选人。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27.2 采购人应根据评委会推荐的中标候选人确定中标人。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27.3代理机构将在</w:t>
      </w:r>
      <w:r>
        <w:rPr>
          <w:rFonts w:hint="eastAsia" w:ascii="Times New Roman" w:hAnsi="Times New Roman" w:eastAsia="宋体" w:cs="宋体"/>
          <w:bCs/>
          <w:color w:val="auto"/>
          <w:szCs w:val="21"/>
          <w:highlight w:val="none"/>
          <w:lang w:eastAsia="zh-CN"/>
        </w:rPr>
        <w:t xml:space="preserve">“扬州市政府采购网”“江苏省政府采购网”和“中国政府采购网”</w:t>
      </w:r>
      <w:r>
        <w:rPr>
          <w:rFonts w:hint="eastAsia" w:ascii="Times New Roman" w:hAnsi="Times New Roman" w:eastAsia="宋体" w:cs="宋体"/>
          <w:bCs/>
          <w:color w:val="auto"/>
          <w:szCs w:val="21"/>
          <w:highlight w:val="none"/>
        </w:rPr>
        <w:t xml:space="preserve">发布中标公告，公告期限为1个工作日。</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27.4.1提供虚假材料谋取中标的；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27.4.2向采购人、代理机构行贿或者提供其他不正当利益的；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27.4.5与采购人或者其他投标人恶意串通的；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27.4.6采取不正当手段诋毁、排挤其他供应商的；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27.4.7不符合法律法规的规定的。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 有下列情形之一的，视为投标人串通投标，投标无效：</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27.5.1不同投标人的投标文件由同一单位或者个人编制。</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27.5.2不同投标人委托同一单位或者个人办理投标事宜。</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27.5.3 不同投标人的投标文件载明的项目管理成员或者联系人员为同一人。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27.5.4不同投标人的投标文件异常一致或者投标报价呈规律性差异。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27.5.5不同投标人的投标文件相互混装。</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28、质疑处理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28.2.1对采购文件提出质疑的，应当在获取采购文件之日或者采购文件公告期限届满之日起7个工作日内提出。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28.2.2对采购过程提出质疑的，为各采购程序环节结束之日起7个工作日内提出。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28.5 采购人及</w:t>
      </w:r>
      <w:r>
        <w:rPr>
          <w:rFonts w:hint="eastAsia" w:ascii="Times New Roman" w:hAnsi="Times New Roman" w:eastAsia="宋体" w:cs="宋体"/>
          <w:bCs/>
          <w:color w:val="auto"/>
          <w:szCs w:val="21"/>
          <w:highlight w:val="none"/>
          <w:lang w:eastAsia="zh-CN"/>
        </w:rPr>
        <w:t xml:space="preserve">代理机构</w:t>
      </w:r>
      <w:r>
        <w:rPr>
          <w:rFonts w:hint="eastAsia" w:ascii="Times New Roman" w:hAnsi="Times New Roman" w:eastAsia="宋体" w:cs="宋体"/>
          <w:bCs/>
          <w:color w:val="auto"/>
          <w:szCs w:val="21"/>
          <w:highlight w:val="none"/>
        </w:rPr>
        <w:t xml:space="preserve">只接收以纸质原件形式送达的质疑,同时需与采购代理机构经办人确认是否收到《质疑函》，如供应商未按上述要求去做，将自行承担所产生的风险。</w:t>
      </w:r>
      <w:r>
        <w:rPr>
          <w:rFonts w:hint="eastAsia" w:ascii="Times New Roman" w:hAnsi="Times New Roman" w:eastAsia="宋体"/>
          <w:bCs/>
          <w:color w:val="auto"/>
          <w:szCs w:val="21"/>
          <w:highlight w:val="none"/>
        </w:rPr>
        <w:t xml:space="preserve">（代理机构及采购人不接受无快递运单号的快递。）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28.7质疑人应当在法定质疑期限内进行补正并重新提交质疑函。</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 以下情形的质疑不予受理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28.8.1 内容不符合《政府采购质疑和投诉办法》第十二条规定的质疑。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28.8.2 超出政府采购法定期限的质疑。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28.8.3 以传真、电子邮件等方式递交的非原件形式的质疑。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28.8.4 未参加投标活动的供应商或在投标活动中自身权益未受到损害的供应商所提出的质疑。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29.中标通知书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29.l 中标结果确定后，代理机构将向中标人发出中标通知书。</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cs="宋体"/>
          <w:bCs/>
          <w:color w:val="auto"/>
          <w:szCs w:val="21"/>
          <w:highlight w:val="none"/>
        </w:rPr>
        <w:t xml:space="preserve">29.</w:t>
      </w:r>
      <w:r>
        <w:rPr>
          <w:rFonts w:hint="eastAsia" w:ascii="Times New Roman" w:hAnsi="Times New Roman" w:eastAsia="宋体" w:cs="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中标人可在“政府采购管理交易系统（苏采云）”中标通知书下载模块中自行下载中标通知书。</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29.3</w:t>
      </w:r>
      <w:r>
        <w:rPr>
          <w:rFonts w:hint="eastAsia" w:ascii="Times New Roman" w:hAnsi="Times New Roman" w:eastAsia="宋体" w:cs="宋体"/>
          <w:bCs/>
          <w:color w:val="auto"/>
          <w:szCs w:val="21"/>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30. 签订合同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30.l中标人应在中标通知书发出之日起三十日内，按照招标文件确定的事项与采购人签订政府采购合同。</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30.2 招标文件、中标人的投标文件及招标过程中有关澄清、承诺文件均应作为合同附件。</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30.3 合同在“政府采购管理交易系统（苏采云）”中签订，签订合同后，</w:t>
      </w:r>
      <w:r>
        <w:rPr>
          <w:rFonts w:hint="eastAsia" w:ascii="Times New Roman" w:hAnsi="Times New Roman" w:eastAsia="宋体" w:cs="宋体"/>
          <w:bCs/>
          <w:i/>
          <w:iCs/>
          <w:color w:val="auto"/>
          <w:szCs w:val="21"/>
          <w:highlight w:val="none"/>
          <w:u w:val="single"/>
        </w:rPr>
        <w:t xml:space="preserve">中标人不得将货物或服务及其他服务进行转包</w:t>
      </w:r>
      <w:r>
        <w:rPr>
          <w:rFonts w:hint="eastAsia" w:ascii="Times New Roman" w:hAnsi="Times New Roman" w:eastAsia="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31、货物（包含与货物相关的服务）的追加</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32、政府采购履约资金扶持政策</w:t>
      </w:r>
      <w:r/>
    </w:p>
    <w:p>
      <w:pPr>
        <w:ind w:firstLine="420"/>
        <w:pageBreakBefore w:val="0"/>
        <w:spacing w:line="360" w:lineRule="auto"/>
        <w:rPr>
          <w:rFonts w:hint="eastAsia" w:ascii="Times New Roman" w:hAnsi="Times New Roman" w:eastAsia="宋体" w:cs="宋体"/>
          <w:b w:val="0"/>
          <w:bCs/>
          <w:color w:val="auto"/>
          <w:szCs w:val="21"/>
          <w:highlight w:val="none"/>
        </w:rPr>
      </w:pPr>
      <w:r>
        <w:rPr>
          <w:rFonts w:hint="eastAsia" w:ascii="Times New Roman" w:hAnsi="Times New Roman" w:eastAsia="宋体" w:cs="宋体"/>
          <w:b w:val="0"/>
          <w:bCs/>
          <w:color w:val="auto"/>
          <w:szCs w:val="21"/>
          <w:highlight w:val="none"/>
        </w:rPr>
        <w:t xml:space="preserve">中标供应商可凭政府采购合同办理融资贷款，详情请见江苏政府采购网“政采贷”专栏。</w:t>
      </w:r>
      <w:r/>
    </w:p>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33</w:t>
      </w:r>
      <w:r>
        <w:rPr>
          <w:rFonts w:hint="eastAsia" w:ascii="Times New Roman" w:hAnsi="Times New Roman" w:eastAsia="宋体" w:cs="宋体"/>
          <w:b/>
          <w:color w:val="auto"/>
          <w:szCs w:val="21"/>
          <w:highlight w:val="none"/>
        </w:rPr>
        <w:t xml:space="preserve">、电子投标文件要求</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.1政府采购管理交易系统（苏采云）相关要求是本招标文件的组成部分。</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.2投标人应对 CA 证书妥善保管，如被他人盗用投标，因此带来的结果均由投标人自行承担。</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.3投标人应当对招标文件提出的要求和条件作出实质性响应，并在电子投标系统逐条应答。</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lang w:val="en-US" w:eastAsia="zh-CN"/>
        </w:rPr>
        <w:t xml:space="preserve">33</w:t>
      </w:r>
      <w:r>
        <w:rPr>
          <w:rFonts w:hint="eastAsia" w:ascii="Times New Roman" w:hAnsi="Times New Roman" w:eastAsia="宋体" w:cs="宋体"/>
          <w:bCs/>
          <w:color w:val="auto"/>
          <w:szCs w:val="21"/>
          <w:highlight w:val="none"/>
        </w:rPr>
        <w:t xml:space="preserve">.4投标人应对要求提供的资格证明文件（如资质证书、资格证书）、技术资料（如白皮书、彩页、手册、检测报告等）扫描上传至投标系统。</w:t>
      </w:r>
      <w:r/>
    </w:p>
    <w:p>
      <w:pPr>
        <w:ind w:firstLine="422"/>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lang w:val="en-US" w:eastAsia="zh-CN"/>
        </w:rPr>
        <w:t xml:space="preserve">34</w:t>
      </w:r>
      <w:r>
        <w:rPr>
          <w:rFonts w:hint="eastAsia" w:ascii="Times New Roman" w:hAnsi="Times New Roman" w:eastAsia="宋体" w:cs="宋体"/>
          <w:b/>
          <w:bCs/>
          <w:color w:val="auto"/>
          <w:highlight w:val="none"/>
        </w:rPr>
        <w:t xml:space="preserve">、其他</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color w:val="auto"/>
          <w:highlight w:val="none"/>
          <w:lang w:val="en-US" w:eastAsia="zh-CN"/>
        </w:rPr>
        <w:t xml:space="preserve">34</w:t>
      </w:r>
      <w:r>
        <w:rPr>
          <w:rFonts w:hint="eastAsia" w:ascii="Times New Roman" w:hAnsi="Times New Roman" w:eastAsia="宋体" w:cs="宋体"/>
          <w:color w:val="auto"/>
          <w:highlight w:val="none"/>
        </w:rPr>
        <w:t xml:space="preserve">.1 依据《政府采购促进中小企业发展管理办法》享受享受扶持政策获得政府采购合同的，小微企业不得将合同分包给大中型企业，中型企业不得将合同分包给大型企业。</w:t>
      </w:r>
      <w:r/>
    </w:p>
    <w:p>
      <w:pPr>
        <w:ind w:firstLine="420"/>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br w:type="page" w:clear="all"/>
      </w:r>
      <w:r/>
    </w:p>
    <w:p>
      <w:pPr>
        <w:pStyle w:val="719"/>
        <w:pageBreakBefore w:val="0"/>
        <w:spacing w:line="360" w:lineRule="auto"/>
        <w:rPr>
          <w:rFonts w:ascii="Times New Roman" w:hAnsi="Times New Roman" w:eastAsia="宋体"/>
          <w:color w:val="auto"/>
          <w:highlight w:val="none"/>
        </w:rPr>
      </w:pPr>
      <w:r/>
      <w:bookmarkStart w:id="65" w:name="_Toc55204179"/>
      <w:r/>
      <w:bookmarkStart w:id="66" w:name="_Toc18307"/>
      <w:r/>
      <w:bookmarkStart w:id="67" w:name="_Toc30440"/>
      <w:r/>
      <w:bookmarkStart w:id="68" w:name="_Toc1445"/>
      <w:r/>
      <w:bookmarkStart w:id="69" w:name="_Toc23141"/>
      <w:r/>
      <w:bookmarkStart w:id="70" w:name="_Toc12895"/>
      <w:r/>
      <w:bookmarkStart w:id="71" w:name="_Toc7691"/>
      <w:r/>
      <w:bookmarkStart w:id="72" w:name="_Hlk69392822"/>
      <w:r>
        <w:rPr>
          <w:rFonts w:hint="eastAsia" w:ascii="Times New Roman" w:hAnsi="Times New Roman" w:eastAsia="宋体"/>
          <w:color w:val="auto"/>
          <w:highlight w:val="none"/>
        </w:rPr>
        <w:t xml:space="preserve">第三章 合同条款及格式</w:t>
      </w:r>
      <w:bookmarkEnd w:id="65"/>
      <w:r/>
      <w:bookmarkEnd w:id="66"/>
      <w:r/>
      <w:bookmarkEnd w:id="67"/>
      <w:r/>
      <w:bookmarkEnd w:id="68"/>
      <w:r/>
      <w:bookmarkEnd w:id="69"/>
      <w:r/>
      <w:bookmarkEnd w:id="70"/>
      <w:r/>
      <w:bookmarkEnd w:id="71"/>
      <w:r/>
      <w:r/>
    </w:p>
    <w:p>
      <w:pPr>
        <w:pStyle w:val="981"/>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以下为中标后签订本项目合同的通用条款，中标人不得提出实质性的修改，关于专用条款将由采购人与中标人结合本项目具体情况协商后签订。</w:t>
      </w:r>
      <w:r/>
    </w:p>
    <w:p>
      <w:pPr>
        <w:pStyle w:val="981"/>
        <w:ind w:firstLine="422"/>
        <w:jc w:val="center"/>
        <w:pageBreakBefore w:val="0"/>
        <w:spacing w:line="360" w:lineRule="auto"/>
        <w:rPr>
          <w:rFonts w:hint="eastAsia"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r>
      <w:bookmarkEnd w:id="72"/>
      <w:r/>
      <w:r/>
    </w:p>
    <w:p>
      <w:pPr>
        <w:pStyle w:val="743"/>
        <w:ind w:firstLine="422"/>
        <w:jc w:val="center"/>
        <w:pageBreakBefore w:val="0"/>
        <w:spacing w:line="360" w:lineRule="auto"/>
        <w:rPr>
          <w:rFonts w:hint="eastAsia" w:ascii="Times New Roman" w:hAnsi="Times New Roman" w:eastAsia="宋体"/>
          <w:b/>
          <w:bCs/>
          <w:color w:val="auto"/>
          <w:sz w:val="21"/>
          <w:highlight w:val="none"/>
        </w:rPr>
      </w:pPr>
      <w:r/>
      <w:bookmarkStart w:id="73" w:name="_Toc14006"/>
      <w:r/>
      <w:bookmarkStart w:id="74" w:name="_Toc17457"/>
      <w:r/>
      <w:bookmarkStart w:id="75" w:name="_Toc3819"/>
      <w:r/>
      <w:bookmarkStart w:id="76" w:name="_Toc15957"/>
      <w:r>
        <w:rPr>
          <w:rFonts w:hint="eastAsia" w:ascii="Times New Roman" w:hAnsi="Times New Roman" w:eastAsia="宋体"/>
          <w:b/>
          <w:bCs/>
          <w:color w:val="auto"/>
          <w:sz w:val="21"/>
          <w:highlight w:val="none"/>
        </w:rPr>
        <w:t xml:space="preserve">扬州市政府采购合同（货物</w:t>
      </w:r>
      <w:r>
        <w:rPr>
          <w:rFonts w:hint="eastAsia" w:ascii="Times New Roman" w:hAnsi="Times New Roman" w:eastAsia="宋体"/>
          <w:b/>
          <w:bCs/>
          <w:color w:val="auto"/>
          <w:sz w:val="21"/>
          <w:highlight w:val="none"/>
          <w:lang w:eastAsia="zh-CN"/>
        </w:rPr>
        <w:t xml:space="preserve">）</w:t>
      </w:r>
      <w:r>
        <w:rPr>
          <w:rFonts w:hint="eastAsia" w:ascii="Times New Roman" w:hAnsi="Times New Roman" w:eastAsia="宋体"/>
          <w:b/>
          <w:bCs/>
          <w:color w:val="auto"/>
          <w:sz w:val="21"/>
          <w:highlight w:val="none"/>
        </w:rPr>
        <w:t xml:space="preserve">（合同编号）</w:t>
      </w:r>
      <w:r/>
    </w:p>
    <w:p>
      <w:pPr>
        <w:pStyle w:val="743"/>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项目名称：</w:t>
      </w:r>
      <w:r>
        <w:rPr>
          <w:rFonts w:hint="eastAsia" w:ascii="Times New Roman" w:hAnsi="Times New Roman"/>
          <w:color w:val="auto"/>
          <w:sz w:val="21"/>
          <w:highlight w:val="none"/>
          <w:lang w:eastAsia="zh-CN"/>
        </w:rPr>
        <w:t xml:space="preserve">扬州市警务技能训练基地功能区域窗帘纱窗集中采购安装项目</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JSZC-321000-SWGC-G2026-0131</w:t>
      </w:r>
      <w:r>
        <w:rPr>
          <w:rFonts w:hint="eastAsia" w:ascii="Times New Roman" w:hAnsi="Times New Roman" w:eastAsia="宋体"/>
          <w:color w:val="auto"/>
          <w:sz w:val="21"/>
          <w:highlight w:val="none"/>
          <w:lang w:eastAsia="zh-CN"/>
        </w:rPr>
        <w:t xml:space="preserve">号</w:t>
      </w:r>
      <w:r/>
    </w:p>
    <w:p>
      <w:pPr>
        <w:pStyle w:val="743"/>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eastAsia="宋体"/>
          <w:color w:val="auto"/>
          <w:sz w:val="21"/>
          <w:highlight w:val="none"/>
          <w:lang w:eastAsia="zh-CN"/>
        </w:rPr>
        <w:t xml:space="preserve">扬州市公安局</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甲、乙双方根据江苏苏维工程管理有限公司项目公开招标的结果，签署本合同。</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一、货物及伴随服务</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货物及服务名称：</w:t>
      </w:r>
      <w:r/>
    </w:p>
    <w:p>
      <w:pPr>
        <w:pStyle w:val="743"/>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1.2 型号规格：</w:t>
      </w:r>
      <w:r/>
    </w:p>
    <w:p>
      <w:pPr>
        <w:pStyle w:val="743"/>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1.3 数量（单位）</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3.1乙方应按招标文件规定的时间向甲方提供使用货物及服务的有关技术资料。</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743"/>
        <w:ind w:firstLine="420"/>
        <w:pageBreakBefore w:val="0"/>
        <w:spacing w:line="360" w:lineRule="auto"/>
        <w:rPr>
          <w:rFonts w:hint="eastAsia" w:ascii="Times New Roman" w:hAnsi="Times New Roman" w:eastAsia="宋体"/>
          <w:color w:val="auto"/>
          <w:sz w:val="21"/>
          <w:highlight w:val="none"/>
        </w:rPr>
      </w:pPr>
      <w:r>
        <w:rPr>
          <w:rFonts w:ascii="Times New Roman" w:hAnsi="Times New Roman" w:eastAsia="宋体"/>
          <w:color w:val="auto"/>
          <w:sz w:val="21"/>
          <w:highlight w:val="none"/>
        </w:rPr>
        <w:t xml:space="preserve">6.1 收取履约保证金的，</w:t>
      </w:r>
      <w:r>
        <w:rPr>
          <w:rFonts w:hint="eastAsia" w:ascii="Times New Roman" w:hAnsi="Times New Roman" w:eastAsia="宋体"/>
          <w:color w:val="auto"/>
          <w:sz w:val="21"/>
          <w:highlight w:val="none"/>
        </w:rPr>
        <w:t xml:space="preserve">允许中标人自主选择支票、汇票、本票、保函等非现金形式缴纳或提交，</w:t>
      </w:r>
      <w:r>
        <w:rPr>
          <w:rFonts w:ascii="Times New Roman" w:hAnsi="Times New Roman" w:eastAsia="宋体"/>
          <w:color w:val="auto"/>
          <w:sz w:val="21"/>
          <w:highlight w:val="none"/>
        </w:rPr>
        <w:t xml:space="preserve">应当在采购合同中约定履约保证金退还的方式、时间、条件和不予退还的情形，明确逾期退还履约保证金的违约责任。</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743"/>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6.4 履约保证金收取：</w:t>
      </w:r>
      <w:r>
        <w:rPr>
          <w:rFonts w:hint="eastAsia" w:ascii="Times New Roman" w:hAnsi="Times New Roman" w:eastAsia="宋体"/>
          <w:color w:val="auto"/>
          <w:sz w:val="21"/>
          <w:highlight w:val="none"/>
          <w:u w:val="single"/>
        </w:rPr>
        <w:t xml:space="preserve">无</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7.1本合同范围的货物及服务，应由乙方直接供应，不得转让他人供应；</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 除非得到甲方的书面同意，乙方不得部分分包给他人供应。</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7.3如有转让和未经甲方同意的分包行为，甲方有权给予终止合同。</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八、质保期</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质保期</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u w:val="single"/>
          <w:lang w:val="en-US" w:eastAsia="zh-CN"/>
        </w:rPr>
        <w:t xml:space="preserve">  </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年。（自交货验收合格之日起计）</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九、交付期、交付方式及交付地点</w:t>
      </w:r>
      <w:r/>
    </w:p>
    <w:p>
      <w:pPr>
        <w:pStyle w:val="743"/>
        <w:ind w:firstLine="420"/>
        <w:pageBreakBefore w:val="0"/>
        <w:spacing w:line="360" w:lineRule="auto"/>
        <w:rPr>
          <w:rFonts w:hint="eastAsia" w:ascii="Times New Roman" w:hAnsi="Times New Roman" w:eastAsia="宋体"/>
          <w:color w:val="auto"/>
          <w:sz w:val="21"/>
          <w:highlight w:val="none"/>
          <w:u w:val="single"/>
          <w:lang w:eastAsia="zh-CN"/>
        </w:rPr>
      </w:pPr>
      <w:r>
        <w:rPr>
          <w:rFonts w:hint="eastAsia" w:ascii="Times New Roman" w:hAnsi="Times New Roman" w:eastAsia="宋体"/>
          <w:color w:val="auto"/>
          <w:sz w:val="21"/>
          <w:highlight w:val="none"/>
        </w:rPr>
        <w:t xml:space="preserve">9.1 交付期：</w:t>
      </w:r>
      <w:r>
        <w:rPr>
          <w:rFonts w:hint="eastAsia" w:ascii="Times New Roman" w:hAnsi="Times New Roman" w:eastAsia="宋体"/>
          <w:color w:val="auto"/>
          <w:sz w:val="21"/>
          <w:highlight w:val="none"/>
          <w:u w:val="none"/>
        </w:rPr>
        <w:t xml:space="preserve">合同签订后30个自然日内（除不可抗力、非乙方原因）完成供货、运输、安装、调试等直至交付采购人使用的所有内容，并调试成功</w:t>
      </w:r>
      <w:r>
        <w:rPr>
          <w:rFonts w:hint="eastAsia" w:ascii="Times New Roman" w:hAnsi="Times New Roman" w:eastAsia="宋体"/>
          <w:color w:val="auto"/>
          <w:sz w:val="21"/>
          <w:highlight w:val="none"/>
          <w:u w:val="none"/>
          <w:lang w:eastAsia="zh-CN"/>
        </w:rPr>
        <w:t xml:space="preserve">。</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9.2 交付方式：甲方指定方式</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9.3 交付地点：甲方指定地点</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十、货款支付</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10.1 本合同项下所有款项均以人民币支付。 </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10.2 本合同项下的采购资金由甲方支付，付款前乙方向甲方开具发票。</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10.3 甲方付款方式：</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合同签订后，乙方向甲方开具发票，甲方自收到发票之日起10个工作日内支付合同总价</w:t>
      </w:r>
      <w:r>
        <w:rPr>
          <w:rFonts w:hint="eastAsia" w:ascii="Times New Roman" w:hAnsi="Times New Roman" w:eastAsia="宋体" w:cs="宋体"/>
          <w:color w:val="auto"/>
          <w:szCs w:val="21"/>
          <w:highlight w:val="none"/>
          <w:lang w:val="en-US" w:eastAsia="zh-CN"/>
        </w:rPr>
        <w:t xml:space="preserve">30</w:t>
      </w:r>
      <w:r>
        <w:rPr>
          <w:rFonts w:hint="eastAsia" w:ascii="Times New Roman" w:hAnsi="Times New Roman" w:eastAsia="宋体" w:cs="宋体"/>
          <w:color w:val="auto"/>
          <w:szCs w:val="21"/>
          <w:highlight w:val="none"/>
        </w:rPr>
        <w:t xml:space="preserve">%的预付款；</w:t>
      </w:r>
      <w:r/>
    </w:p>
    <w:p>
      <w:pPr>
        <w:pStyle w:val="743"/>
        <w:ind w:firstLine="420"/>
        <w:pageBreakBefore w:val="0"/>
        <w:spacing w:line="360" w:lineRule="auto"/>
        <w:rPr>
          <w:rFonts w:hint="eastAsia"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项目</w:t>
      </w:r>
      <w:r>
        <w:rPr>
          <w:rFonts w:hint="eastAsia" w:ascii="Times New Roman" w:hAnsi="Times New Roman" w:cs="宋体"/>
          <w:color w:val="auto"/>
          <w:sz w:val="21"/>
          <w:highlight w:val="none"/>
          <w:lang w:val="en-US" w:eastAsia="zh-CN"/>
        </w:rPr>
        <w:t xml:space="preserve">完成并</w:t>
      </w:r>
      <w:r>
        <w:rPr>
          <w:rFonts w:hint="eastAsia" w:ascii="Times New Roman" w:hAnsi="Times New Roman" w:eastAsia="宋体" w:cs="宋体"/>
          <w:color w:val="auto"/>
          <w:sz w:val="21"/>
          <w:highlight w:val="none"/>
        </w:rPr>
        <w:t xml:space="preserve">经验收合格后，乙方向甲方开具发票，甲方自收到发票之日起10个工作日内支付合同总价</w:t>
      </w:r>
      <w:r>
        <w:rPr>
          <w:rFonts w:hint="eastAsia" w:ascii="Times New Roman" w:hAnsi="Times New Roman" w:eastAsia="宋体"/>
          <w:color w:val="auto"/>
          <w:sz w:val="21"/>
          <w:highlight w:val="none"/>
          <w:lang w:val="zh-CN"/>
        </w:rPr>
        <w:t xml:space="preserve">的</w:t>
      </w:r>
      <w:r>
        <w:rPr>
          <w:rFonts w:hint="eastAsia" w:ascii="Times New Roman" w:hAnsi="Times New Roman" w:eastAsia="宋体"/>
          <w:color w:val="auto"/>
          <w:sz w:val="21"/>
          <w:highlight w:val="none"/>
          <w:lang w:val="en-US" w:eastAsia="zh-CN"/>
        </w:rPr>
        <w:t xml:space="preserve">7</w:t>
      </w:r>
      <w:r>
        <w:rPr>
          <w:rFonts w:hint="eastAsia" w:ascii="Times New Roman" w:hAnsi="Times New Roman" w:eastAsia="宋体"/>
          <w:color w:val="auto"/>
          <w:sz w:val="21"/>
          <w:highlight w:val="none"/>
        </w:rPr>
        <w:t xml:space="preserve">0</w:t>
      </w:r>
      <w:r>
        <w:rPr>
          <w:rFonts w:ascii="Times New Roman" w:hAnsi="Times New Roman" w:eastAsia="宋体"/>
          <w:color w:val="auto"/>
          <w:sz w:val="21"/>
          <w:highlight w:val="none"/>
        </w:rPr>
        <w:t xml:space="preserve">%</w:t>
      </w:r>
      <w:r>
        <w:rPr>
          <w:rFonts w:hint="eastAsia" w:ascii="Times New Roman" w:hAnsi="Times New Roman" w:eastAsia="宋体"/>
          <w:color w:val="auto"/>
          <w:sz w:val="21"/>
          <w:highlight w:val="none"/>
        </w:rPr>
        <w:t xml:space="preserve">。</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十一、税费</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11.1本合同执行中相关的一切税费均由乙方负担。</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十二、质量保证及售后服务</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12.1 乙方应按招标文件规定的货物及服务性能、技术要求、质量标准向甲方提供。</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⑴更换：由乙方承担所发生的全部费用。</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⑵贬值处理：由甲乙双方合议定价。</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⑶退还处理：乙方应退还甲方支付的合同款，同时应承担该货物及服务的直接费用（运输、保险、检验、款项利息及银行手续费等）。</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12.3 如在使用过程中发生质量问题，乙方在接到甲方通知后在</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小时内到达甲方现场。</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12.4 在质保期内，乙方应对货物及服务出现的质量及安全问题负责处理解决并承担一切费用。</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12.5上述的货物及服务免费保修期为</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年，因人为因素出现的故障不在免费保修范围内。超过保修期的机器设备，终生维修，维修时只收部件成本费。</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十三、调试和验收</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13.4 对技术复杂的货物及服务，甲方可请国家认可的专业检测机构参与初步验收及最终验收，并由其出具质量检测报告。</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13.5 验收时乙方必须在现场，验收完毕后作出验收结果报告；验收费用由甲乙双方协商解决。</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十四、货物及服务包装、发运及运输</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14.2 使用说明书、质量检验证明书、随配附件和工具以及清单一并交付甲方。</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14.3 乙方在货物及服务发运手续办理完毕后24小时内或交付到甲方48小时前通知甲方，以准备接受交付。</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14.4 货物在交付甲方前发生的风险均由乙方负责。</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14.5 货物及服务在规定的交付期限内由乙方送达甲方指定的地点视为交付，乙方同时需通知甲方货物及服务已送达。</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十五、违约责任</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15.1 甲方无正当理由拒收货物及服务的，甲方向乙方偿付拒收款项总值的百分之五违约金。</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15.2 甲方无故逾期验收和办理款项支付手续的</w:t>
      </w:r>
      <w:r>
        <w:rPr>
          <w:rFonts w:hint="eastAsia" w:ascii="Times New Roman" w:hAnsi="Times New Roman" w:eastAsia="宋体"/>
          <w:color w:val="auto"/>
          <w:sz w:val="21"/>
          <w:highlight w:val="none"/>
          <w:lang w:eastAsia="zh-CN"/>
        </w:rPr>
        <w:t xml:space="preserve">，</w:t>
      </w:r>
      <w:r>
        <w:rPr>
          <w:rFonts w:hint="eastAsia" w:ascii="Times New Roman" w:hAnsi="Times New Roman" w:eastAsia="宋体"/>
          <w:color w:val="auto"/>
          <w:sz w:val="21"/>
          <w:highlight w:val="none"/>
        </w:rPr>
        <w:t xml:space="preserve">甲方应按逾期付款总额每日万分之五向乙方支付违约金。</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十六、不可抗力事件处理</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16.1 在合同有效期内，任何一方因不可抗力事件导致不能履行合同，则合同履行期可延长，其延长期与不可抗力影响期相同。</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16.2 不可抗力事件发生后，应立即通知对方，并寄送有关权威机构出具的证明。</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16.3 不可抗力事件延续120天以上，双方应通过友好协商，确定是否继续履行合同。</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十七、诉讼</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17.1 双方在执行合同中所发生的一切争议，应通过协商解决。如协商不成，可向合同签订地法院起诉，合同签订地在此约定为扬州市。</w:t>
      </w:r>
      <w:r/>
    </w:p>
    <w:p>
      <w:pPr>
        <w:ind w:firstLine="422"/>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b/>
          <w:bCs/>
          <w:color w:val="auto"/>
          <w:szCs w:val="21"/>
          <w:highlight w:val="none"/>
        </w:rPr>
        <w:t xml:space="preserve">十八、</w:t>
      </w:r>
      <w:r>
        <w:rPr>
          <w:rFonts w:hint="eastAsia" w:ascii="Times New Roman" w:hAnsi="Times New Roman" w:eastAsia="宋体" w:cs="宋体"/>
          <w:bCs/>
          <w:color w:val="auto"/>
          <w:highlight w:val="none"/>
        </w:rPr>
        <w:t xml:space="preserve">为落实好政府采购履约资金扶持政策，乙方可凭政府采购合同办理融资贷款，详见江苏政府采购网“政采贷”专栏</w:t>
      </w:r>
      <w:r>
        <w:rPr>
          <w:rFonts w:hint="eastAsia" w:ascii="Times New Roman" w:hAnsi="Times New Roman" w:eastAsia="宋体"/>
          <w:color w:val="auto"/>
          <w:szCs w:val="21"/>
          <w:highlight w:val="none"/>
        </w:rPr>
        <w:t xml:space="preserve">。</w:t>
      </w:r>
      <w:r/>
    </w:p>
    <w:p>
      <w:pPr>
        <w:pStyle w:val="743"/>
        <w:ind w:firstLine="422"/>
        <w:pageBreakBefore w:val="0"/>
        <w:spacing w:line="360" w:lineRule="auto"/>
        <w:rPr>
          <w:rFonts w:hint="eastAsia"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十九、合同生效及其它</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19.1 合同经双方法定代表人签章并加盖单位公章后生效。</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19.2本合同未尽事宜，遵照《</w:t>
      </w:r>
      <w:r>
        <w:rPr>
          <w:rFonts w:hint="eastAsia" w:ascii="Times New Roman" w:hAnsi="Times New Roman" w:eastAsia="宋体"/>
          <w:color w:val="auto"/>
          <w:sz w:val="21"/>
          <w:highlight w:val="none"/>
          <w:lang w:val="en-US" w:eastAsia="zh-CN"/>
        </w:rPr>
        <w:t xml:space="preserve">中华人民共和国</w:t>
      </w:r>
      <w:r>
        <w:rPr>
          <w:rFonts w:hint="eastAsia" w:ascii="Times New Roman" w:hAnsi="Times New Roman" w:eastAsia="宋体"/>
          <w:color w:val="auto"/>
          <w:sz w:val="21"/>
          <w:highlight w:val="none"/>
        </w:rPr>
        <w:t xml:space="preserve">民法典》有关条文执行。</w:t>
      </w:r>
      <w:r/>
    </w:p>
    <w:p>
      <w:pPr>
        <w:pStyle w:val="743"/>
        <w:ind w:firstLine="420"/>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19.3 本合同正本一式四份，具有同等法律效力，甲方、乙方</w:t>
      </w:r>
      <w:r>
        <w:rPr>
          <w:rFonts w:hint="eastAsia" w:ascii="Times New Roman" w:hAnsi="Times New Roman"/>
          <w:color w:val="auto"/>
          <w:sz w:val="21"/>
          <w:highlight w:val="none"/>
          <w:lang w:val="en-US" w:eastAsia="zh-CN"/>
        </w:rPr>
        <w:t xml:space="preserve">各执贰份</w:t>
      </w:r>
      <w:r>
        <w:rPr>
          <w:rFonts w:hint="eastAsia" w:ascii="Times New Roman" w:hAnsi="Times New Roman" w:eastAsia="宋体"/>
          <w:color w:val="auto"/>
          <w:sz w:val="21"/>
          <w:highlight w:val="none"/>
        </w:rPr>
        <w:t xml:space="preserve">。  </w:t>
      </w:r>
      <w:r/>
    </w:p>
    <w:tbl>
      <w:tblPr>
        <w:tblStyle w:val="729"/>
        <w:tblW w:w="8522" w:type="dxa"/>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3"/>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w:t>
            </w:r>
            <w:r>
              <w:rPr>
                <w:rFonts w:hint="eastAsia" w:ascii="Times New Roman" w:hAnsi="Times New Roman" w:eastAsia="宋体"/>
                <w:color w:val="auto"/>
                <w:sz w:val="21"/>
                <w:highlight w:val="none"/>
                <w:lang w:eastAsia="zh-CN"/>
              </w:rPr>
              <w:t xml:space="preserve">扬州市公安局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43"/>
              <w:pageBreakBefore w:val="0"/>
              <w:spacing w:line="360" w:lineRule="auto"/>
              <w:rPr>
                <w:rFonts w:hint="eastAsia" w:ascii="Times New Roman" w:hAnsi="Times New Roman" w:eastAsia="宋体"/>
                <w:color w:val="auto"/>
                <w:sz w:val="21"/>
                <w:highlight w:val="none"/>
              </w:rPr>
            </w:pPr>
            <w:r>
              <w:rPr>
                <w:rFonts w:hint="eastAsia" w:ascii="Times New Roman" w:hAnsi="Times New Roman" w:eastAsia="宋体"/>
                <w:color w:val="auto"/>
                <w:sz w:val="21"/>
                <w:highlight w:val="none"/>
              </w:rPr>
            </w:r>
            <w:r/>
          </w:p>
        </w:tc>
      </w:tr>
    </w:tbl>
    <w:p>
      <w:pPr>
        <w:pStyle w:val="719"/>
        <w:numPr>
          <w:ilvl w:val="0"/>
          <w:numId w:val="0"/>
        </w:numPr>
        <w:pageBreakBefore w:val="0"/>
        <w:spacing w:line="360" w:lineRule="auto"/>
        <w:rPr>
          <w:rFonts w:hint="eastAsia" w:ascii="Times New Roman" w:hAnsi="Times New Roman" w:eastAsia="宋体" w:cs="Arial"/>
          <w:b/>
          <w:color w:val="auto"/>
          <w:sz w:val="30"/>
          <w:szCs w:val="40"/>
          <w:highlight w:val="none"/>
          <w:lang w:val="en-US" w:eastAsia="zh-CN" w:bidi="ar-SA"/>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Times New Roman" w:hAnsi="Times New Roman" w:eastAsia="宋体" w:cs="Arial"/>
          <w:b/>
          <w:color w:val="auto"/>
          <w:sz w:val="30"/>
          <w:szCs w:val="40"/>
          <w:highlight w:val="none"/>
          <w:lang w:val="en-US" w:eastAsia="zh-CN" w:bidi="ar-SA"/>
        </w:rPr>
      </w:r>
      <w:r/>
    </w:p>
    <w:p>
      <w:pPr>
        <w:pStyle w:val="719"/>
        <w:numPr>
          <w:ilvl w:val="0"/>
          <w:numId w:val="0"/>
        </w:numPr>
        <w:pageBreakBefore w:val="0"/>
        <w:spacing w:line="360" w:lineRule="auto"/>
        <w:widowControl w:val="off"/>
        <w:rPr>
          <w:rFonts w:ascii="Times New Roman" w:hAnsi="Times New Roman" w:eastAsia="宋体"/>
          <w:color w:val="auto"/>
          <w:highlight w:val="none"/>
        </w:rPr>
      </w:pPr>
      <w:r/>
      <w:bookmarkStart w:id="77" w:name="_Toc4495"/>
      <w:r/>
      <w:bookmarkStart w:id="78" w:name="_Toc31443"/>
      <w:r>
        <w:rPr>
          <w:rFonts w:hint="eastAsia" w:ascii="Times New Roman" w:hAnsi="Times New Roman" w:eastAsia="宋体" w:cs="Arial"/>
          <w:b/>
          <w:color w:val="auto"/>
          <w:sz w:val="30"/>
          <w:szCs w:val="40"/>
          <w:highlight w:val="none"/>
          <w:lang w:val="en-US" w:eastAsia="zh-CN" w:bidi="ar-SA"/>
        </w:rPr>
        <w:t xml:space="preserve">第四章 </w:t>
      </w:r>
      <w:r>
        <w:rPr>
          <w:rFonts w:hint="eastAsia" w:ascii="Times New Roman" w:hAnsi="Times New Roman" w:eastAsia="宋体"/>
          <w:color w:val="auto"/>
          <w:highlight w:val="none"/>
        </w:rPr>
        <w:t xml:space="preserve">项目需求</w:t>
      </w:r>
      <w:bookmarkEnd w:id="73"/>
      <w:r/>
      <w:bookmarkEnd w:id="74"/>
      <w:r/>
      <w:bookmarkEnd w:id="75"/>
      <w:r/>
      <w:bookmarkEnd w:id="76"/>
      <w:r/>
      <w:bookmarkEnd w:id="77"/>
      <w:r/>
      <w:bookmarkEnd w:id="78"/>
      <w:r/>
      <w:r/>
    </w:p>
    <w:p>
      <w:pPr>
        <w:ind w:firstLine="422"/>
        <w:pageBreakBefore w:val="0"/>
        <w:spacing w:line="360" w:lineRule="auto"/>
        <w:widowControl w:val="off"/>
        <w:rPr>
          <w:rFonts w:hint="eastAsia" w:ascii="Times New Roman" w:hAnsi="Times New Roman" w:eastAsia="宋体" w:cs="宋体"/>
          <w:b/>
          <w:bCs/>
          <w:color w:val="auto"/>
          <w:highlight w:val="none"/>
        </w:rPr>
      </w:pPr>
      <w:r/>
      <w:bookmarkStart w:id="79" w:name="_Toc319408306"/>
      <w:r/>
      <w:bookmarkStart w:id="80" w:name="_Toc55204181"/>
      <w:r>
        <w:rPr>
          <w:rFonts w:hint="eastAsia" w:ascii="Times New Roman" w:hAnsi="Times New Roman" w:eastAsia="宋体" w:cs="宋体"/>
          <w:b/>
          <w:bCs/>
          <w:color w:val="auto"/>
          <w:highlight w:val="none"/>
        </w:rPr>
        <w:t xml:space="preserve">注：本章内容</w:t>
      </w:r>
      <w:r>
        <w:rPr>
          <w:rFonts w:hint="eastAsia" w:ascii="Times New Roman" w:hAnsi="Times New Roman" w:eastAsia="宋体" w:cs="宋体"/>
          <w:b/>
          <w:bCs/>
          <w:color w:val="auto"/>
          <w:highlight w:val="none"/>
          <w:lang w:eastAsia="zh-CN"/>
        </w:rPr>
        <w:t xml:space="preserve">中</w:t>
      </w:r>
      <w:r>
        <w:rPr>
          <w:rFonts w:hint="eastAsia" w:ascii="Times New Roman" w:hAnsi="Times New Roman" w:eastAsia="宋体" w:cs="宋体"/>
          <w:b/>
          <w:bCs/>
          <w:color w:val="auto"/>
          <w:highlight w:val="none"/>
        </w:rPr>
        <w:t xml:space="preserve">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contextualSpacing/>
        <w:ind w:firstLine="422"/>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ind w:firstLine="422"/>
        <w:pageBreakBefore w:val="0"/>
        <w:spacing w:line="360" w:lineRule="auto"/>
        <w:widowControl w:val="off"/>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t xml:space="preserve">项目属性:货物类项目</w:t>
      </w:r>
      <w:r/>
    </w:p>
    <w:p>
      <w:pPr>
        <w:pStyle w:val="738"/>
        <w:ind w:left="0" w:firstLine="422"/>
        <w:keepLines w:val="0"/>
        <w:keepNext w:val="0"/>
        <w:pageBreakBefore w:val="0"/>
        <w:spacing w:after="0"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核心产品</w:t>
      </w:r>
      <w:r>
        <w:rPr>
          <w:rFonts w:hint="eastAsia" w:ascii="Times New Roman" w:hAnsi="Times New Roman" w:eastAsia="宋体" w:cs="宋体"/>
          <w:b/>
          <w:bCs/>
          <w:color w:val="auto"/>
          <w:sz w:val="21"/>
          <w:szCs w:val="21"/>
          <w:highlight w:val="none"/>
          <w:lang w:eastAsia="zh-CN"/>
        </w:rPr>
        <w:t xml:space="preserve">：</w:t>
      </w:r>
      <w:r/>
    </w:p>
    <w:tbl>
      <w:tblPr>
        <w:tblStyle w:val="72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4"/>
        <w:gridCol w:w="4556"/>
      </w:tblGrid>
      <w:tr>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455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核心产品</w:t>
            </w:r>
            <w:r/>
          </w:p>
        </w:tc>
      </w:tr>
      <w:tr>
        <w:trPr>
          <w:trHeight w:val="553"/>
        </w:trPr>
        <w:tc>
          <w:tcPr>
            <w:tcW w:w="1234"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val="en-US" w:eastAsia="zh-CN"/>
              </w:rPr>
              <w:suppressLineNumbers w:val="0"/>
            </w:pPr>
            <w:r>
              <w:rPr>
                <w:rFonts w:hint="eastAsia" w:ascii="Times New Roman" w:hAnsi="Times New Roman" w:eastAsia="宋体" w:cs="宋体"/>
                <w:color w:val="auto"/>
                <w:sz w:val="21"/>
                <w:szCs w:val="21"/>
                <w:highlight w:val="none"/>
                <w:lang w:val="en-US" w:eastAsia="zh-CN"/>
              </w:rPr>
              <w:t xml:space="preserve">1</w:t>
            </w:r>
            <w:r/>
          </w:p>
        </w:tc>
        <w:tc>
          <w:tcPr>
            <w:tcW w:w="455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lang w:eastAsia="zh-CN"/>
              </w:rPr>
              <w:suppressLineNumbers w:val="0"/>
            </w:pPr>
            <w:r>
              <w:rPr>
                <w:rFonts w:hint="eastAsia" w:ascii="Times New Roman" w:hAnsi="Times New Roman" w:cs="宋体"/>
                <w:color w:val="auto"/>
                <w:sz w:val="21"/>
                <w:szCs w:val="21"/>
                <w:highlight w:val="none"/>
                <w:lang w:eastAsia="zh-CN"/>
              </w:rPr>
              <w:t xml:space="preserve">布帘</w:t>
            </w:r>
            <w:r/>
          </w:p>
        </w:tc>
      </w:tr>
    </w:tbl>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eastAsia="zh-CN"/>
        </w:rPr>
      </w:pPr>
      <w:r>
        <w:rPr>
          <w:rFonts w:hint="eastAsia" w:ascii="Times New Roman" w:hAnsi="Times New Roman" w:eastAsia="宋体" w:cs="宋体"/>
          <w:b/>
          <w:bCs/>
          <w:color w:val="auto"/>
          <w:sz w:val="21"/>
          <w:szCs w:val="21"/>
          <w:highlight w:val="none"/>
        </w:rPr>
        <w:t xml:space="preserve">进口产品投标</w:t>
      </w:r>
      <w:r>
        <w:rPr>
          <w:rFonts w:hint="eastAsia" w:ascii="Times New Roman" w:hAnsi="Times New Roman" w:eastAsia="宋体" w:cs="宋体"/>
          <w:b/>
          <w:bCs/>
          <w:color w:val="auto"/>
          <w:sz w:val="21"/>
          <w:szCs w:val="21"/>
          <w:highlight w:val="none"/>
          <w:lang w:eastAsia="zh-CN"/>
        </w:rPr>
        <w:t xml:space="preserve">：</w:t>
      </w:r>
      <w:r/>
    </w:p>
    <w:tbl>
      <w:tblPr>
        <w:tblStyle w:val="729"/>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46"/>
        <w:gridCol w:w="4559"/>
      </w:tblGrid>
      <w:tr>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采购</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包号</w:t>
            </w:r>
            <w:r/>
          </w:p>
        </w:tc>
        <w:tc>
          <w:tcPr>
            <w:tcW w:w="455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是否接受进口产品投标</w:t>
            </w:r>
            <w:r/>
          </w:p>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（是/否）</w:t>
            </w:r>
            <w:r/>
          </w:p>
        </w:tc>
      </w:tr>
      <w:tr>
        <w:trPr>
          <w:trHeight w:val="610"/>
        </w:trPr>
        <w:tc>
          <w:tcPr>
            <w:tcW w:w="1246"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1</w:t>
            </w:r>
            <w:r/>
          </w:p>
        </w:tc>
        <w:tc>
          <w:tcPr>
            <w:tcW w:w="4559" w:type="dxa"/>
            <w:vAlign w:val="center"/>
            <w:textDirection w:val="lrTb"/>
            <w:noWrap w:val="false"/>
          </w:tcPr>
          <w:p>
            <w:pPr>
              <w:ind w:left="0" w:right="0" w:firstLine="0"/>
              <w:jc w:val="center"/>
              <w:keepLines w:val="0"/>
              <w:keepNext w:val="0"/>
              <w:pageBreakBefore w:val="0"/>
              <w:spacing w:beforeAutospacing="0" w:afterAutospacing="0" w:line="360" w:lineRule="auto"/>
              <w:widowControl w:val="off"/>
              <w:rPr>
                <w:rFonts w:hint="eastAsia" w:ascii="Times New Roman" w:hAnsi="Times New Roman" w:eastAsia="宋体" w:cs="宋体"/>
                <w:color w:val="auto"/>
                <w:sz w:val="21"/>
                <w:szCs w:val="21"/>
                <w:highlight w:val="none"/>
              </w:rPr>
              <w:suppressLineNumbers w:val="0"/>
            </w:pPr>
            <w:r>
              <w:rPr>
                <w:rFonts w:hint="eastAsia" w:ascii="Times New Roman" w:hAnsi="Times New Roman" w:eastAsia="宋体" w:cs="宋体"/>
                <w:color w:val="auto"/>
                <w:sz w:val="21"/>
                <w:szCs w:val="21"/>
                <w:highlight w:val="none"/>
              </w:rPr>
              <w:t xml:space="preserve">否</w:t>
            </w:r>
            <w:r/>
          </w:p>
        </w:tc>
      </w:tr>
    </w:tbl>
    <w:p>
      <w:pPr>
        <w:ind w:firstLine="422"/>
        <w:pageBreakBefore w:val="0"/>
        <w:spacing w:line="360" w:lineRule="auto"/>
        <w:widowControl w:val="off"/>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lang w:val="en-US" w:eastAsia="zh-CN"/>
        </w:rPr>
        <w:t xml:space="preserve">一、</w:t>
      </w:r>
      <w:r>
        <w:rPr>
          <w:rFonts w:hint="eastAsia" w:ascii="Times New Roman" w:hAnsi="Times New Roman" w:eastAsia="宋体" w:cs="宋体"/>
          <w:b/>
          <w:bCs/>
          <w:color w:val="auto"/>
          <w:szCs w:val="21"/>
          <w:highlight w:val="none"/>
        </w:rPr>
        <w:t xml:space="preserve">政府采购中实施本国产品标准及相关政策</w:t>
      </w:r>
      <w:r/>
    </w:p>
    <w:p>
      <w:pPr>
        <w:ind w:firstLine="422"/>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1.本项目对采购本国产品给予政策支持，具体内容见招标文件“第五章评标方法与评标标准”。</w:t>
      </w:r>
      <w:r/>
    </w:p>
    <w:p>
      <w:pPr>
        <w:ind w:firstLine="422"/>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widowControl w:val="off"/>
        <w:rPr>
          <w:rFonts w:hint="eastAsia" w:ascii="Times New Roman" w:hAnsi="Times New Roman" w:eastAsia="宋体"/>
          <w:color w:val="auto"/>
          <w:sz w:val="24"/>
          <w:szCs w:val="24"/>
          <w:highlight w:val="none"/>
          <w:lang w:eastAsia="zh-CN"/>
        </w:rPr>
      </w:pPr>
      <w:r>
        <w:rPr>
          <w:rFonts w:hint="eastAsia" w:ascii="Times New Roman" w:hAnsi="Times New Roman" w:eastAsia="宋体" w:cs="宋体"/>
          <w:b/>
          <w:bCs/>
          <w:color w:val="auto"/>
          <w:szCs w:val="21"/>
          <w:highlight w:val="none"/>
          <w:lang w:val="en-US" w:eastAsia="zh-CN"/>
        </w:rPr>
        <w:t xml:space="preserve">二</w:t>
      </w:r>
      <w:r>
        <w:rPr>
          <w:rFonts w:hint="eastAsia" w:ascii="Times New Roman" w:hAnsi="Times New Roman" w:eastAsia="宋体" w:cs="宋体"/>
          <w:b/>
          <w:bCs/>
          <w:color w:val="auto"/>
          <w:szCs w:val="21"/>
          <w:highlight w:val="none"/>
        </w:rPr>
        <w:t xml:space="preserve">、</w:t>
      </w:r>
      <w:r>
        <w:rPr>
          <w:rFonts w:hint="eastAsia" w:ascii="Times New Roman" w:hAnsi="Times New Roman" w:eastAsia="宋体" w:cs="宋体"/>
          <w:b/>
          <w:bCs/>
          <w:color w:val="auto"/>
          <w:highlight w:val="none"/>
          <w:lang w:val="en-US" w:eastAsia="zh-CN"/>
        </w:rPr>
        <w:t xml:space="preserve">项目概况</w:t>
      </w:r>
      <w:bookmarkEnd w:id="79"/>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（一）窗帘部分。根据区域功能特点和现场安装条件，分别配置手动和电动卷帘、</w:t>
      </w:r>
      <w:r>
        <w:rPr>
          <w:rFonts w:hint="eastAsia" w:ascii="Times New Roman" w:hAnsi="Times New Roman" w:eastAsia="宋体" w:cstheme="minorEastAsia"/>
          <w:b w:val="0"/>
          <w:bCs/>
          <w:i w:val="0"/>
          <w:iCs w:val="0"/>
          <w:color w:val="auto"/>
          <w:sz w:val="21"/>
          <w:szCs w:val="21"/>
          <w:highlight w:val="none"/>
          <w:u w:val="none"/>
          <w:lang w:eastAsia="zh-CN"/>
        </w:rPr>
        <w:t xml:space="preserve">布帘，</w:t>
      </w:r>
      <w:r>
        <w:rPr>
          <w:rFonts w:hint="eastAsia" w:ascii="Times New Roman" w:hAnsi="Times New Roman" w:eastAsia="宋体" w:cstheme="minorEastAsia"/>
          <w:b w:val="0"/>
          <w:bCs/>
          <w:i w:val="0"/>
          <w:iCs w:val="0"/>
          <w:color w:val="auto"/>
          <w:sz w:val="21"/>
          <w:szCs w:val="21"/>
          <w:highlight w:val="none"/>
          <w:u w:val="none"/>
          <w:lang w:eastAsia="zh-CN"/>
        </w:rPr>
        <w:t xml:space="preserve">总体色调以咖色、米色、灰色系为主，体现公安机关稳重大气风格。</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配置方案：一是教学综合楼一层大厅、图书馆及公共休息区、食堂就餐区、所有办公室采用手动卷帘，美观简洁、收放灵活，具备环保、抗紫外线和透景功能；</w:t>
      </w:r>
      <w:r>
        <w:rPr>
          <w:rFonts w:hint="eastAsia"/>
          <w:color w:val="auto"/>
          <w:lang w:val="en-US" w:eastAsia="zh-CN"/>
        </w:rPr>
        <w:t xml:space="preserve">二是所有教室、会议室、接待室、宿舍、值班室采用布帘，</w:t>
      </w:r>
      <w:r>
        <w:rPr>
          <w:rFonts w:hint="eastAsia" w:ascii="Times New Roman" w:hAnsi="Times New Roman" w:eastAsia="宋体" w:cstheme="minorEastAsia"/>
          <w:b w:val="0"/>
          <w:bCs/>
          <w:i w:val="0"/>
          <w:iCs w:val="0"/>
          <w:color w:val="auto"/>
          <w:sz w:val="21"/>
          <w:szCs w:val="21"/>
          <w:highlight w:val="none"/>
          <w:u w:val="none"/>
          <w:lang w:eastAsia="zh-CN"/>
        </w:rPr>
        <w:t xml:space="preserve">具备遮光隔热和吸音功能，有效减少外界噪声，提升学员专注度</w:t>
      </w:r>
      <w:r>
        <w:rPr>
          <w:rFonts w:hint="eastAsia" w:ascii="Times New Roman" w:hAnsi="Times New Roman" w:cstheme="minorEastAsia"/>
          <w:b w:val="0"/>
          <w:bCs/>
          <w:i w:val="0"/>
          <w:iCs w:val="0"/>
          <w:color w:val="auto"/>
          <w:sz w:val="21"/>
          <w:szCs w:val="21"/>
          <w:highlight w:val="none"/>
          <w:u w:val="none"/>
          <w:lang w:eastAsia="zh-CN"/>
        </w:rPr>
        <w:t xml:space="preserve">，</w:t>
      </w:r>
      <w:r>
        <w:rPr>
          <w:rFonts w:hint="eastAsia"/>
          <w:color w:val="auto"/>
          <w:lang w:val="en-US" w:eastAsia="zh-CN"/>
        </w:rPr>
        <w:t xml:space="preserve">保证学员休息质量。</w:t>
      </w:r>
      <w:r>
        <w:rPr>
          <w:rFonts w:hint="eastAsia" w:ascii="Times New Roman" w:hAnsi="Times New Roman" w:eastAsia="宋体" w:cstheme="minorEastAsia"/>
          <w:b w:val="0"/>
          <w:bCs/>
          <w:i w:val="0"/>
          <w:iCs w:val="0"/>
          <w:color w:val="auto"/>
          <w:sz w:val="21"/>
          <w:szCs w:val="21"/>
          <w:highlight w:val="none"/>
          <w:u w:val="none"/>
          <w:lang w:eastAsia="zh-CN"/>
        </w:rPr>
        <w:t xml:space="preserve">三是高度超高的训练馆上半部分、大报告厅及其休息区，分别采用电动卷帘和布帘，操作省力、静音安全，便于同时开合。</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（二）纱窗部分。基地周边农田水网密布，拟结合办公、教学、生活需要，为部分必要区域安装纱窗。</w:t>
      </w:r>
      <w:r/>
    </w:p>
    <w:p>
      <w:pPr>
        <w:ind w:firstLine="420"/>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eastAsia="zh-CN"/>
        </w:rPr>
        <w:t xml:space="preserve">配置方案：为所有办公室、教室、会议室、图书馆、宿舍、值班室等人员逗留时间较长，以及食堂、卫生间、仓库等卫生要求较高的功能区域安装纱窗。所有纱窗材质均为优质金刚纱。</w:t>
      </w:r>
      <w:r/>
    </w:p>
    <w:tbl>
      <w:tblPr>
        <w:tblStyle w:val="72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31"/>
        <w:gridCol w:w="622"/>
        <w:gridCol w:w="707"/>
        <w:gridCol w:w="286"/>
        <w:gridCol w:w="929"/>
        <w:gridCol w:w="649"/>
        <w:gridCol w:w="414"/>
        <w:gridCol w:w="643"/>
        <w:gridCol w:w="421"/>
        <w:gridCol w:w="782"/>
        <w:gridCol w:w="280"/>
        <w:gridCol w:w="924"/>
        <w:gridCol w:w="140"/>
        <w:gridCol w:w="1094"/>
      </w:tblGrid>
      <w:tr>
        <w:trPr>
          <w:trHeight w:val="600"/>
        </w:trPr>
        <w:tc>
          <w:tcPr>
            <w:gridSpan w:val="14"/>
            <w:tcW w:w="5000"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窗帘项目分项清单</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区域</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产品名称</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单位</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所属行业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属性</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1#楼 教学楼一层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354.98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737.1</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布帘电机</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台</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电动布帘遥控器</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66.2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1#楼 教学楼二层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739.48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1#楼 教学楼三层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147.31</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170.24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1#楼 教学楼四层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126.54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184.8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25.64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1#楼 教学楼五层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140.66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152.32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1#楼 教学楼六层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135.84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19</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152.46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21.8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21</w:t>
            </w:r>
            <w:r/>
          </w:p>
        </w:tc>
        <w:tc>
          <w:tcPr>
            <w:gridSpan w:val="2"/>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2#楼 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450.5</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2#楼 二层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32.76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23</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797.08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24</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布帘电机</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台</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49.2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26</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电动布帘遥控器</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27</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3#楼 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35.33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29</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4#楼 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187.82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30</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42.84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4#楼 二层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100.7</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33</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652.01</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34</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73.9</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35</w:t>
            </w:r>
            <w:r/>
          </w:p>
        </w:tc>
        <w:tc>
          <w:tcPr>
            <w:gridSpan w:val="2"/>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5#楼 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545.43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5#楼 二层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27.04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37</w:t>
            </w:r>
            <w:r/>
          </w:p>
        </w:tc>
        <w:tc>
          <w:tcPr>
            <w:gridSpan w:val="2"/>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5#楼 夹层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39.76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38</w:t>
            </w:r>
            <w:r/>
          </w:p>
        </w:tc>
        <w:tc>
          <w:tcPr>
            <w:gridSpan w:val="2"/>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6#楼 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103.32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7#楼 一层（</w:t>
            </w:r>
            <w:r>
              <w:rPr>
                <w:rFonts w:hint="eastAsia" w:ascii="宋体" w:hAnsi="宋体" w:eastAsia="宋体" w:cs="宋体"/>
                <w:color w:val="auto"/>
                <w:sz w:val="21"/>
                <w:szCs w:val="21"/>
                <w:lang w:bidi="ar"/>
              </w:rPr>
              <w:t xml:space="preserve">手动卷帘面料同电动卷帘面料</w:t>
            </w:r>
            <w:r>
              <w:rPr>
                <w:rFonts w:hint="eastAsia" w:ascii="宋体" w:hAnsi="宋体" w:eastAsia="宋体" w:cs="宋体"/>
                <w:color w:val="auto"/>
                <w:sz w:val="21"/>
                <w:szCs w:val="21"/>
                <w:lang w:bidi="ar"/>
              </w:rPr>
              <w:t xml:space="preserve">）</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497.03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40</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W w:w="1094"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电动超高卷帘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615.81</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41</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电动超高卷帘电机</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台</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电动超高卷帘遥控器</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43</w:t>
            </w:r>
            <w:r/>
          </w:p>
        </w:tc>
        <w:tc>
          <w:tcPr>
            <w:gridSpan w:val="2"/>
            <w:tcBorders>
              <w:top w:val="single" w:color="000000" w:sz="4" w:space="0"/>
              <w:left w:val="single" w:color="000000" w:sz="4" w:space="0"/>
              <w:bottom w:val="single" w:color="000000" w:sz="4" w:space="0"/>
              <w:right w:val="single" w:color="000000" w:sz="4" w:space="0"/>
            </w:tcBorders>
            <w:tcW w:w="78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7#楼 二层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114.94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44</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8#楼 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113.76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45</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电动超高卷帘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492.07</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46</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电动超高卷帘电机</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台</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47</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电动超高卷帘遥控器</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个</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48</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9#楼 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49</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50</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51</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9#楼 二层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20.16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53</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9#楼 三层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20.16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55</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56</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57</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9#楼 四层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20.16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58</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59</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60</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9#楼 五层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20.16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61</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63</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9#楼 六层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20.16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64</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65</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66</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10#楼 一层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67</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68</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69</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10#楼 二层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70</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71</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10#楼 三层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73</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373.24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74</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55.8</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75</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10#楼 四层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76</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77</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78</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10#楼 五层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79</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80</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81</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restart"/>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10#楼 六层</w:t>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手动卷帘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18.2</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82</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lang w:eastAsia="zh-CN"/>
              </w:rPr>
            </w:pPr>
            <w:r>
              <w:rPr>
                <w:rFonts w:hint="eastAsia" w:ascii="宋体" w:hAnsi="宋体" w:cs="宋体"/>
                <w:color w:val="auto"/>
                <w:sz w:val="21"/>
                <w:szCs w:val="21"/>
                <w:lang w:eastAsia="zh-CN" w:bidi="ar"/>
              </w:rPr>
              <w:t xml:space="preserve">布帘</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390.6</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454"/>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83</w:t>
            </w:r>
            <w:r/>
          </w:p>
        </w:tc>
        <w:tc>
          <w:tcPr>
            <w:gridSpan w:val="2"/>
            <w:tcBorders>
              <w:top w:val="single" w:color="000000" w:sz="4" w:space="0"/>
              <w:left w:val="single" w:color="000000" w:sz="4" w:space="0"/>
              <w:bottom w:val="single" w:color="000000" w:sz="4" w:space="0"/>
              <w:right w:val="single" w:color="000000" w:sz="4" w:space="0"/>
            </w:tcBorders>
            <w:tcW w:w="780" w:type="pct"/>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gridSpan w:val="3"/>
            <w:tcBorders>
              <w:top w:val="single" w:color="000000" w:sz="4" w:space="0"/>
              <w:left w:val="single" w:color="000000" w:sz="4" w:space="0"/>
              <w:bottom w:val="single" w:color="000000" w:sz="4" w:space="0"/>
              <w:right w:val="single" w:color="000000" w:sz="4" w:space="0"/>
            </w:tcBorders>
            <w:tcW w:w="109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手动轨道</w:t>
            </w:r>
            <w:r/>
          </w:p>
        </w:tc>
        <w:tc>
          <w:tcPr>
            <w:gridSpan w:val="2"/>
            <w:tcBorders>
              <w:top w:val="single" w:color="000000" w:sz="4" w:space="0"/>
              <w:left w:val="single" w:color="000000" w:sz="4" w:space="0"/>
              <w:bottom w:val="single" w:color="000000" w:sz="4" w:space="0"/>
              <w:right w:val="single" w:color="000000" w:sz="4" w:space="0"/>
            </w:tcBorders>
            <w:tcW w:w="620"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54</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米</w:t>
            </w:r>
            <w:r/>
          </w:p>
        </w:tc>
        <w:tc>
          <w:tcPr>
            <w:gridSpan w:val="2"/>
            <w:tcBorders>
              <w:top w:val="single" w:color="000000" w:sz="4" w:space="0"/>
              <w:left w:val="single" w:color="000000" w:sz="4" w:space="0"/>
              <w:bottom w:val="single" w:color="000000" w:sz="4" w:space="0"/>
              <w:right w:val="single" w:color="000000" w:sz="4" w:space="0"/>
            </w:tcBorders>
            <w:tcW w:w="706"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工业</w:t>
            </w:r>
            <w:r/>
          </w:p>
        </w:tc>
        <w:tc>
          <w:tcPr>
            <w:gridSpan w:val="2"/>
            <w:tcBorders>
              <w:top w:val="single" w:color="000000" w:sz="4" w:space="0"/>
              <w:left w:val="single" w:color="000000" w:sz="4" w:space="0"/>
              <w:bottom w:val="single" w:color="000000" w:sz="4" w:space="0"/>
              <w:right w:val="single" w:color="000000" w:sz="4" w:space="0"/>
            </w:tcBorders>
            <w:tcW w:w="71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货物</w:t>
            </w:r>
            <w:r/>
          </w:p>
        </w:tc>
      </w:tr>
      <w:tr>
        <w:trPr>
          <w:trHeight w:val="780"/>
        </w:trPr>
        <w:tc>
          <w:tcPr>
            <w:gridSpan w:val="14"/>
            <w:tcW w:w="5000" w:type="pct"/>
            <w:vAlign w:val="center"/>
            <w:textDirection w:val="lrTb"/>
            <w:noWrap w:val="false"/>
          </w:tcPr>
          <w:p>
            <w:pPr>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注1：电动卷帘配件包括：1.标准安装支架套装-含85尾插63套;2.加长加强尾插支架套装-含85尾插8套。</w:t>
            </w:r>
            <w:r/>
          </w:p>
          <w:p>
            <w:pPr>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注2：牵引绳包括：导向钢丝及系统约1100米，其中常规钢丝底座与支架63套，加长钢丝底座与支架8套。</w:t>
            </w:r>
            <w:r/>
          </w:p>
          <w:p>
            <w:pPr>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t xml:space="preserve">注3：超高电动卷帘安装位置为7#馆（训练馆）与8#馆（泅渡馆）上侧，高度分别为约12米、8米，需搭建脚手架进行安装，其中7#馆（训练馆）地面已铺设训练地板，安装中需实施地面保护；相关安装及保护费用由投标人承担。</w:t>
            </w:r>
            <w:r/>
          </w:p>
          <w:p>
            <w:pPr>
              <w:jc w:val="center"/>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r>
            <w:r/>
          </w:p>
          <w:p>
            <w:pPr>
              <w:jc w:val="center"/>
              <w:widowControl/>
              <w:rPr>
                <w:rFonts w:hint="eastAsia" w:ascii="宋体" w:hAnsi="宋体" w:eastAsia="宋体" w:cs="宋体"/>
                <w:b/>
                <w:bCs/>
                <w:color w:val="auto"/>
                <w:sz w:val="21"/>
                <w:szCs w:val="21"/>
                <w:lang w:bidi="ar"/>
              </w:rPr>
            </w:pPr>
            <w:r>
              <w:rPr>
                <w:rFonts w:hint="eastAsia" w:ascii="宋体" w:hAnsi="宋体" w:eastAsia="宋体" w:cs="宋体"/>
                <w:b/>
                <w:bCs/>
                <w:color w:val="auto"/>
                <w:sz w:val="21"/>
                <w:szCs w:val="21"/>
                <w:lang w:bidi="ar"/>
              </w:rPr>
            </w:r>
            <w:r/>
          </w:p>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金刚网纱窗项目分项清单</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产品名称</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宽度</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高度</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单个面积</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数量</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总面积</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备注</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1.21</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32</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38.72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面积尺寸均为窗框+网纱面积，下同</w:t>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1.38</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1.02</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1.41</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23.97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1.02</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1.12</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155</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173.60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1.15</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1.84</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31.28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0.74</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1.11</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2.22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1.16</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1.47</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1.71</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17.10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1.08</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1.53</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8</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13.20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1.18</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1.89</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22.68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1.14</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1.31</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9.17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1.07</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1.47</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1.57</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36</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56.52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0.94</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1.08</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1.08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1.05</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1.69</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1.77</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28.32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1.28</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1.98</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17.82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1.06</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5</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7.00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1.56</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6.24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1.17</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1.47</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1.72</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9</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15.48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0.96</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1.44</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12</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17.28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0.99</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0.75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174</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174.00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上下推拉窗</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1.72</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1.49</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2.56</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4</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10.24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金刚网片纱</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0.5</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1.66</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208</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208</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000000"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折叠纱门</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2.58</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3.35</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3.35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2"/>
            <w:tcBorders>
              <w:top w:val="single" w:color="000000" w:sz="4" w:space="0"/>
              <w:left w:val="single" w:color="auto" w:sz="4" w:space="0"/>
              <w:bottom w:val="single" w:color="000000" w:sz="4" w:space="0"/>
              <w:right w:val="single" w:color="000000" w:sz="4" w:space="0"/>
            </w:tcBorders>
            <w:tcW w:w="73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折叠纱门</w:t>
            </w:r>
            <w:r/>
          </w:p>
        </w:tc>
        <w:tc>
          <w:tcPr>
            <w:gridSpan w:val="2"/>
            <w:tcBorders>
              <w:top w:val="single" w:color="000000" w:sz="4" w:space="0"/>
              <w:left w:val="single" w:color="000000" w:sz="4" w:space="0"/>
              <w:bottom w:val="single" w:color="000000" w:sz="4" w:space="0"/>
              <w:right w:val="single" w:color="000000" w:sz="4" w:space="0"/>
            </w:tcBorders>
            <w:tcW w:w="58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1.44</w:t>
            </w:r>
            <w:r/>
          </w:p>
        </w:tc>
        <w:tc>
          <w:tcPr>
            <w:tcBorders>
              <w:top w:val="single" w:color="000000" w:sz="4" w:space="0"/>
              <w:left w:val="single" w:color="000000" w:sz="4" w:space="0"/>
              <w:bottom w:val="single" w:color="000000" w:sz="4" w:space="0"/>
              <w:right w:val="single" w:color="000000" w:sz="4" w:space="0"/>
            </w:tcBorders>
            <w:tcW w:w="545"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2.58</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3.72</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623"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3.72 </w:t>
            </w:r>
            <w:r/>
          </w:p>
        </w:tc>
        <w:tc>
          <w:tcPr>
            <w:gridSpan w:val="2"/>
            <w:tcBorders>
              <w:top w:val="single" w:color="000000" w:sz="4" w:space="0"/>
              <w:left w:val="single" w:color="000000" w:sz="4" w:space="0"/>
              <w:bottom w:val="single" w:color="000000" w:sz="4" w:space="0"/>
              <w:right w:val="single" w:color="000000" w:sz="4" w:space="0"/>
            </w:tcBorders>
            <w:tcW w:w="624"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平方米</w:t>
            </w:r>
            <w:r/>
          </w:p>
        </w:tc>
        <w:tc>
          <w:tcPr>
            <w:tcBorders>
              <w:top w:val="single" w:color="000000" w:sz="4" w:space="0"/>
              <w:left w:val="single" w:color="000000" w:sz="4" w:space="0"/>
              <w:bottom w:val="single" w:color="000000" w:sz="4" w:space="0"/>
              <w:right w:val="single" w:color="000000" w:sz="4" w:space="0"/>
            </w:tcBorders>
            <w:tcW w:w="63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454"/>
        </w:trPr>
        <w:tc>
          <w:tcPr>
            <w:gridSpan w:val="14"/>
            <w:tcBorders>
              <w:top w:val="single" w:color="000000" w:sz="4" w:space="0"/>
              <w:left w:val="single" w:color="auto" w:sz="4" w:space="0"/>
              <w:bottom w:val="single" w:color="000000" w:sz="4" w:space="0"/>
              <w:right w:val="single" w:color="000000" w:sz="4" w:space="0"/>
            </w:tcBorders>
            <w:tcW w:w="5000" w:type="pct"/>
            <w:vAlign w:val="center"/>
            <w:textDirection w:val="lrTb"/>
            <w:noWrap w:val="false"/>
          </w:tcPr>
          <w:p>
            <w:pPr>
              <w:jc w:val="center"/>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bidi="ar"/>
              </w:rPr>
              <w:t xml:space="preserve">实际：上下推拉窗530个，金刚网片纱208个，折叠纱门2个</w:t>
            </w:r>
            <w:r/>
          </w:p>
        </w:tc>
      </w:tr>
    </w:tbl>
    <w:p>
      <w:pPr>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br w:type="page" w:clear="all"/>
      </w:r>
      <w:r/>
    </w:p>
    <w:p>
      <w:pPr>
        <w:pStyle w:val="760"/>
        <w:numPr>
          <w:ilvl w:val="0"/>
          <w:numId w:val="3"/>
        </w:numPr>
        <w:ind w:firstLine="426"/>
        <w:pageBreakBefore w:val="0"/>
        <w:spacing w:after="0" w:line="360" w:lineRule="auto"/>
        <w:rPr>
          <w:rFonts w:hint="eastAsia" w:ascii="Times New Roman" w:hAnsi="Times New Roman" w:eastAsia="宋体"/>
          <w:b/>
          <w:color w:val="auto"/>
          <w:sz w:val="21"/>
          <w:szCs w:val="21"/>
          <w:highlight w:val="none"/>
          <w:lang w:val="en-US" w:eastAsia="zh-CN"/>
        </w:rPr>
      </w:pPr>
      <w:r>
        <w:rPr>
          <w:rFonts w:hint="eastAsia" w:ascii="Times New Roman" w:hAnsi="Times New Roman" w:eastAsia="宋体"/>
          <w:b/>
          <w:color w:val="auto"/>
          <w:sz w:val="21"/>
          <w:szCs w:val="21"/>
          <w:highlight w:val="none"/>
          <w:lang w:val="en-US" w:eastAsia="zh-CN"/>
        </w:rPr>
        <w:t xml:space="preserve">采购清单</w:t>
      </w:r>
      <w:r/>
    </w:p>
    <w:tbl>
      <w:tblPr>
        <w:tblStyle w:val="729"/>
        <w:tblW w:w="8159" w:type="dxa"/>
        <w:tblInd w:w="-176" w:type="dxa"/>
        <w:tblLayout w:type="autofit"/>
        <w:tblCellMar>
          <w:left w:w="108" w:type="dxa"/>
          <w:top w:w="0" w:type="dxa"/>
          <w:right w:w="108" w:type="dxa"/>
          <w:bottom w:w="0" w:type="dxa"/>
        </w:tblCellMar>
        <w:tblLook w:val="04A0" w:firstRow="1" w:lastRow="0" w:firstColumn="1" w:lastColumn="0" w:noHBand="0" w:noVBand="1"/>
      </w:tblPr>
      <w:tblGrid>
        <w:gridCol w:w="557"/>
        <w:gridCol w:w="557"/>
        <w:gridCol w:w="5627"/>
        <w:gridCol w:w="951"/>
        <w:gridCol w:w="467"/>
      </w:tblGrid>
      <w:tr>
        <w:trPr>
          <w:trHeight w:val="664"/>
        </w:trPr>
        <w:tc>
          <w:tcPr>
            <w:tcBorders>
              <w:top w:val="single" w:color="auto"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设备</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类型</w:t>
            </w:r>
            <w:r/>
          </w:p>
        </w:tc>
        <w:tc>
          <w:tcPr>
            <w:tcBorders>
              <w:top w:val="single" w:color="auto"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5814"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规格、技术参数</w:t>
            </w:r>
            <w:r/>
          </w:p>
        </w:tc>
        <w:tc>
          <w:tcPr>
            <w:tcBorders>
              <w:top w:val="single" w:color="auto"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采购数量</w:t>
            </w:r>
            <w:r/>
          </w:p>
        </w:tc>
        <w:tc>
          <w:tcPr>
            <w:tcBorders>
              <w:top w:val="single" w:color="auto"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单位</w:t>
            </w:r>
            <w:r/>
          </w:p>
        </w:tc>
      </w:tr>
      <w:tr>
        <w:trPr>
          <w:trHeight w:val="7217"/>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定制成品帘</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卷帘</w:t>
            </w:r>
            <w:r/>
          </w:p>
        </w:tc>
        <w:tc>
          <w:tcPr>
            <w:tcBorders>
              <w:top w:val="none" w:color="000000" w:sz="4" w:space="0"/>
              <w:left w:val="none" w:color="000000" w:sz="4" w:space="0"/>
              <w:bottom w:val="single" w:color="auto" w:sz="4" w:space="0"/>
              <w:right w:val="single" w:color="auto" w:sz="4" w:space="0"/>
            </w:tcBorders>
            <w:tcW w:w="5814" w:type="dxa"/>
            <w:vAlign w:val="center"/>
            <w:textDirection w:val="lrTb"/>
            <w:noWrap w:val="false"/>
          </w:tcPr>
          <w:p>
            <w:pPr>
              <w:jc w:val="left"/>
              <w:widowControl/>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t xml:space="preserve">1.材质：100%本质阻燃聚酯纤维，不接受任何表面涂层或后整理阻燃面料</w:t>
            </w:r>
            <w:r>
              <w:rPr>
                <w:rFonts w:hint="eastAsia" w:ascii="宋体" w:hAnsi="宋体" w:eastAsia="宋体" w:cs="宋体"/>
                <w:b/>
                <w:bCs/>
                <w:color w:val="auto"/>
                <w:sz w:val="21"/>
                <w:szCs w:val="21"/>
              </w:rPr>
              <w:t xml:space="preserve">（提供投标人加盖公章后的</w:t>
            </w:r>
            <w:r>
              <w:rPr>
                <w:rFonts w:hint="eastAsia" w:ascii="宋体" w:hAnsi="宋体" w:cs="宋体"/>
                <w:b/>
                <w:bCs/>
                <w:color w:val="auto"/>
                <w:sz w:val="21"/>
                <w:szCs w:val="21"/>
                <w:lang w:eastAsia="zh-CN"/>
              </w:rPr>
              <w:t xml:space="preserve">接受供货期间抽样送检</w:t>
            </w:r>
            <w:r>
              <w:rPr>
                <w:rFonts w:hint="eastAsia" w:ascii="宋体" w:hAnsi="宋体" w:eastAsia="宋体" w:cs="宋体"/>
                <w:b/>
                <w:bCs/>
                <w:color w:val="auto"/>
                <w:sz w:val="21"/>
                <w:szCs w:val="21"/>
              </w:rPr>
              <w:t xml:space="preserve">，复检不合格按</w:t>
            </w:r>
            <w:r>
              <w:rPr>
                <w:rFonts w:hint="eastAsia" w:ascii="宋体" w:hAnsi="宋体" w:cs="宋体"/>
                <w:b/>
                <w:bCs/>
                <w:color w:val="auto"/>
                <w:sz w:val="21"/>
                <w:szCs w:val="21"/>
                <w:lang w:eastAsia="zh-CN"/>
              </w:rPr>
              <w:t xml:space="preserve">虚假响应处理</w:t>
            </w:r>
            <w:r>
              <w:rPr>
                <w:rFonts w:hint="eastAsia" w:ascii="宋体" w:hAnsi="宋体" w:eastAsia="宋体" w:cs="宋体"/>
                <w:b/>
                <w:bCs/>
                <w:color w:val="auto"/>
                <w:sz w:val="21"/>
                <w:szCs w:val="21"/>
              </w:rPr>
              <w:t xml:space="preserve">的承诺书）</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2.密度（根/10cm）：经向≥150、纬向≥135；其中</w:t>
            </w:r>
            <w:r>
              <w:rPr>
                <w:rFonts w:hint="eastAsia" w:ascii="宋体" w:hAnsi="宋体" w:eastAsia="宋体" w:cs="宋体"/>
                <w:color w:val="auto"/>
                <w:sz w:val="21"/>
                <w:szCs w:val="21"/>
              </w:rPr>
              <w:t xml:space="preserve">电动阳光卷帘克重≥500g/㎡</w:t>
            </w:r>
            <w:r>
              <w:rPr>
                <w:rFonts w:hint="eastAsia" w:ascii="宋体" w:hAnsi="宋体" w:eastAsia="宋体" w:cs="宋体"/>
                <w:color w:val="auto"/>
                <w:sz w:val="21"/>
                <w:szCs w:val="21"/>
              </w:rPr>
              <w:br/>
            </w:r>
            <w:r>
              <w:rPr>
                <w:rFonts w:hint="eastAsia" w:ascii="宋体" w:hAnsi="宋体" w:eastAsia="宋体" w:cs="宋体"/>
                <w:b/>
                <w:bCs/>
                <w:i/>
                <w:iCs/>
                <w:color w:val="auto"/>
                <w:sz w:val="21"/>
                <w:szCs w:val="21"/>
                <w:u w:val="single"/>
              </w:rPr>
              <w:t xml:space="preserve">3.甲醛含量：≤20mg/kg</w:t>
            </w:r>
            <w:r>
              <w:rPr>
                <w:rFonts w:hint="eastAsia" w:ascii="宋体" w:hAnsi="宋体" w:eastAsia="宋体" w:cs="宋体"/>
                <w:b/>
                <w:bCs/>
                <w:color w:val="auto"/>
                <w:sz w:val="21"/>
                <w:szCs w:val="21"/>
              </w:rPr>
              <w:t xml:space="preserve">（提供第三方检测报告</w:t>
            </w:r>
            <w:r>
              <w:rPr>
                <w:rFonts w:hint="eastAsia" w:ascii="宋体" w:hAnsi="宋体" w:eastAsia="宋体" w:cs="宋体"/>
                <w:b/>
                <w:bCs/>
                <w:color w:val="auto"/>
                <w:sz w:val="21"/>
                <w:szCs w:val="21"/>
                <w:lang w:eastAsia="zh-CN"/>
              </w:rPr>
              <w:t xml:space="preserve">原件扫描上传</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4.pH值：4.0-9.0</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5</w:t>
            </w:r>
            <w:r>
              <w:rPr>
                <w:rFonts w:hint="eastAsia" w:ascii="宋体" w:hAnsi="宋体" w:eastAsia="宋体" w:cs="宋体"/>
                <w:b/>
                <w:bCs/>
                <w:i/>
                <w:iCs/>
                <w:color w:val="auto"/>
                <w:sz w:val="21"/>
                <w:szCs w:val="21"/>
              </w:rPr>
              <w:t xml:space="preserve">.</w:t>
            </w:r>
            <w:r>
              <w:rPr>
                <w:rFonts w:hint="eastAsia" w:ascii="宋体" w:hAnsi="宋体" w:eastAsia="宋体" w:cs="宋体"/>
                <w:color w:val="auto"/>
                <w:sz w:val="21"/>
                <w:szCs w:val="21"/>
              </w:rPr>
              <w:t xml:space="preserve">异味：无</w:t>
            </w:r>
            <w:r>
              <w:rPr>
                <w:rFonts w:hint="eastAsia" w:ascii="宋体" w:hAnsi="宋体" w:eastAsia="宋体" w:cs="宋体"/>
                <w:b/>
                <w:bCs/>
                <w:color w:val="auto"/>
                <w:sz w:val="21"/>
                <w:szCs w:val="21"/>
              </w:rPr>
              <w:br/>
            </w:r>
            <w:r>
              <w:rPr>
                <w:rFonts w:hint="eastAsia" w:ascii="宋体" w:hAnsi="宋体" w:eastAsia="宋体" w:cs="宋体"/>
                <w:color w:val="auto"/>
                <w:sz w:val="21"/>
                <w:szCs w:val="21"/>
              </w:rPr>
              <w:t xml:space="preserve">6.断裂强力：经向：≥2200N、纬向：≥2000N</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7.顶破强力：≥2000N</w:t>
            </w:r>
            <w:r>
              <w:rPr>
                <w:rFonts w:hint="eastAsia" w:ascii="宋体" w:hAnsi="宋体" w:eastAsia="宋体" w:cs="宋体"/>
                <w:color w:val="auto"/>
                <w:sz w:val="21"/>
                <w:szCs w:val="21"/>
              </w:rPr>
              <w:br/>
            </w:r>
            <w:r>
              <w:rPr>
                <w:rFonts w:hint="eastAsia" w:ascii="宋体" w:hAnsi="宋体" w:eastAsia="宋体" w:cs="宋体"/>
                <w:b/>
                <w:bCs/>
                <w:i/>
                <w:iCs/>
                <w:color w:val="auto"/>
                <w:sz w:val="21"/>
                <w:szCs w:val="21"/>
                <w:u w:val="single"/>
              </w:rPr>
              <w:t xml:space="preserve">8.可分解致癌芳香胺染料：禁用（≤20mg/kg）</w:t>
            </w:r>
            <w:r>
              <w:rPr>
                <w:rFonts w:hint="eastAsia" w:ascii="宋体" w:hAnsi="宋体" w:eastAsia="宋体" w:cs="宋体"/>
                <w:b/>
                <w:bCs/>
                <w:color w:val="auto"/>
                <w:sz w:val="21"/>
                <w:szCs w:val="21"/>
              </w:rPr>
              <w:t xml:space="preserve">（提供第三方检测报告</w:t>
            </w:r>
            <w:r>
              <w:rPr>
                <w:rFonts w:hint="eastAsia" w:ascii="宋体" w:hAnsi="宋体" w:eastAsia="宋体" w:cs="宋体"/>
                <w:b/>
                <w:bCs/>
                <w:color w:val="auto"/>
                <w:sz w:val="21"/>
                <w:szCs w:val="21"/>
                <w:lang w:eastAsia="zh-CN"/>
              </w:rPr>
              <w:t xml:space="preserve">原件扫描上传</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9.可萃取重金属总量（mg/kg）：砷≤1.0、镉≤0.1、钴≤4.0、铬≤2.0、铜≤50、镍≤4.0、铅≤1.0、六价铬≤0.5</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10.含氯苯酚：≤0.05mg/kg</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11.▲耐光色牢度：≥5级</w:t>
            </w:r>
            <w:r>
              <w:rPr>
                <w:rFonts w:hint="eastAsia" w:ascii="宋体" w:hAnsi="宋体" w:eastAsia="宋体" w:cs="宋体"/>
                <w:b/>
                <w:bCs/>
                <w:color w:val="auto"/>
                <w:sz w:val="21"/>
                <w:szCs w:val="21"/>
              </w:rPr>
              <w:t xml:space="preserve">（提供第三方检测报告</w:t>
            </w:r>
            <w:r>
              <w:rPr>
                <w:rFonts w:hint="eastAsia" w:ascii="宋体" w:hAnsi="宋体" w:eastAsia="宋体" w:cs="宋体"/>
                <w:b/>
                <w:bCs/>
                <w:color w:val="auto"/>
                <w:sz w:val="21"/>
                <w:szCs w:val="21"/>
                <w:lang w:eastAsia="zh-CN"/>
              </w:rPr>
              <w:t xml:space="preserve">原件扫描上传</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12.耐干摩擦色牢度≥4级</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13.耐水色牢度：变色≥4级，沾色≥4级</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14.耐热压色牢度（干压、潮压、湿压）：4-5级</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15.耐酸斑色牢度：≥4级</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16.起球（级）≥4级</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17.静电性能要求：峰值电压：≤500V；半衰期≤5s</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18.透气性≥200mm/s</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19.▲遮光率≥85%</w:t>
            </w:r>
            <w:r>
              <w:rPr>
                <w:rFonts w:hint="eastAsia" w:ascii="宋体" w:hAnsi="宋体" w:eastAsia="宋体" w:cs="宋体"/>
                <w:b/>
                <w:bCs/>
                <w:color w:val="auto"/>
                <w:sz w:val="21"/>
                <w:szCs w:val="21"/>
              </w:rPr>
              <w:t xml:space="preserve">（提供第三方检测报告</w:t>
            </w:r>
            <w:r>
              <w:rPr>
                <w:rFonts w:hint="eastAsia" w:ascii="宋体" w:hAnsi="宋体" w:eastAsia="宋体" w:cs="宋体"/>
                <w:b/>
                <w:bCs/>
                <w:color w:val="auto"/>
                <w:sz w:val="21"/>
                <w:szCs w:val="21"/>
                <w:lang w:eastAsia="zh-CN"/>
              </w:rPr>
              <w:t xml:space="preserve">原件扫描上传</w:t>
            </w:r>
            <w:r>
              <w:rPr>
                <w:rFonts w:hint="eastAsia" w:ascii="宋体" w:hAnsi="宋体" w:eastAsia="宋体" w:cs="宋体"/>
                <w:b/>
                <w:bCs/>
                <w:color w:val="auto"/>
                <w:sz w:val="21"/>
                <w:szCs w:val="21"/>
              </w:rPr>
              <w:t xml:space="preserve">）</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20.防紫外线：UPF＞50，UVA透射比＜5%</w:t>
            </w:r>
            <w:r>
              <w:rPr>
                <w:rFonts w:hint="eastAsia" w:ascii="宋体" w:hAnsi="宋体" w:eastAsia="宋体" w:cs="宋体"/>
                <w:color w:val="auto"/>
                <w:sz w:val="21"/>
                <w:szCs w:val="21"/>
              </w:rPr>
              <w:br/>
            </w:r>
            <w:r>
              <w:rPr>
                <w:rFonts w:hint="eastAsia" w:ascii="宋体" w:hAnsi="宋体" w:eastAsia="宋体" w:cs="宋体"/>
                <w:b/>
                <w:bCs/>
                <w:i/>
                <w:iCs/>
                <w:color w:val="auto"/>
                <w:sz w:val="21"/>
                <w:szCs w:val="21"/>
                <w:u w:val="single"/>
              </w:rPr>
              <w:t xml:space="preserve">21.阻燃性能：符合GB 20286-2006阻燃1级（织物）标准和GB 8624-2012（窗帘幕布、家具制品装饰用织物）B1级标准。其中：氧指数≥32，经向/纬向损毁长度≤150mm，续燃时间≤5s，阴燃时间≤5s，燃烧滴落物未引起脱脂棉燃烧或阴燃，烟密度等级（SDR）≤15，产烟毒性等级：不低于ZA2级。面料经水洗≥12次后，阻燃性能仍须符合上述阻燃1级和B1级标准（提供符合上述两个标准的一份或数份第三方检测报告</w:t>
            </w:r>
            <w:r>
              <w:rPr>
                <w:rFonts w:hint="eastAsia" w:ascii="宋体" w:hAnsi="宋体" w:eastAsia="宋体" w:cs="宋体"/>
                <w:b/>
                <w:bCs/>
                <w:i/>
                <w:iCs/>
                <w:color w:val="auto"/>
                <w:sz w:val="21"/>
                <w:szCs w:val="21"/>
                <w:u w:val="single"/>
                <w:lang w:eastAsia="zh-CN"/>
              </w:rPr>
              <w:t xml:space="preserve">原件扫描上传</w:t>
            </w:r>
            <w:r>
              <w:rPr>
                <w:rFonts w:hint="eastAsia" w:ascii="宋体" w:hAnsi="宋体" w:eastAsia="宋体" w:cs="宋体"/>
                <w:b/>
                <w:bCs/>
                <w:i/>
                <w:iCs/>
                <w:color w:val="auto"/>
                <w:sz w:val="21"/>
                <w:szCs w:val="21"/>
                <w:u w:val="single"/>
              </w:rPr>
              <w:t xml:space="preserve">）</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4496.8</w:t>
            </w:r>
            <w:r>
              <w:rPr>
                <w:rFonts w:hint="eastAsia" w:ascii="宋体" w:hAnsi="宋体" w:eastAsia="宋体" w:cs="宋体"/>
                <w:color w:val="auto"/>
                <w:sz w:val="21"/>
                <w:szCs w:val="21"/>
              </w:rPr>
              <w:br/>
            </w:r>
            <w:r>
              <w:rPr>
                <w:rFonts w:hint="eastAsia" w:ascii="宋体" w:hAnsi="宋体" w:eastAsia="宋体" w:cs="宋体"/>
                <w:color w:val="auto"/>
                <w:sz w:val="21"/>
                <w:szCs w:val="21"/>
              </w:rPr>
              <w:t xml:space="preserve">（</w:t>
            </w:r>
            <w:r>
              <w:rPr>
                <w:rFonts w:hint="eastAsia" w:ascii="宋体" w:hAnsi="宋体" w:eastAsia="宋体" w:cs="宋体"/>
                <w:color w:val="auto"/>
                <w:sz w:val="21"/>
                <w:szCs w:val="21"/>
              </w:rPr>
              <w:t xml:space="preserve">其中含电动卷帘1107.88㎡，另</w:t>
            </w:r>
            <w:r>
              <w:rPr>
                <w:rFonts w:hint="eastAsia" w:ascii="宋体" w:hAnsi="宋体" w:eastAsia="宋体" w:cs="宋体"/>
                <w:color w:val="auto"/>
                <w:sz w:val="21"/>
                <w:szCs w:val="21"/>
                <w:lang w:bidi="ar"/>
              </w:rPr>
              <w:t xml:space="preserve">7#楼</w:t>
            </w:r>
            <w:r>
              <w:rPr>
                <w:rFonts w:hint="eastAsia" w:ascii="宋体" w:hAnsi="宋体" w:eastAsia="宋体" w:cs="宋体"/>
                <w:color w:val="auto"/>
                <w:sz w:val="21"/>
                <w:szCs w:val="21"/>
              </w:rPr>
              <w:t xml:space="preserve">训练馆一层下半部分手动卷帘面料497.03㎡同电动卷帘）</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r>
      <w:tr>
        <w:trPr>
          <w:trHeight w:val="804"/>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定制成品帘</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卷帘电机</w:t>
            </w:r>
            <w:r/>
          </w:p>
        </w:tc>
        <w:tc>
          <w:tcPr>
            <w:tcBorders>
              <w:top w:val="none" w:color="000000" w:sz="4" w:space="0"/>
              <w:left w:val="single" w:color="auto" w:sz="4" w:space="0"/>
              <w:bottom w:val="single" w:color="auto" w:sz="4" w:space="0"/>
              <w:right w:val="single" w:color="auto" w:sz="4" w:space="0"/>
            </w:tcBorders>
            <w:tcW w:w="5814"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电机符合CCC强制性认证标志</w:t>
            </w:r>
            <w:r/>
          </w:p>
        </w:tc>
        <w:tc>
          <w:tcPr>
            <w:tcBorders>
              <w:top w:val="none" w:color="000000" w:sz="4" w:space="0"/>
              <w:left w:val="none" w:color="000000"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71</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p>
        </w:tc>
      </w:tr>
      <w:tr>
        <w:trPr>
          <w:trHeight w:val="810"/>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定制成品帘</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电动卷帘遥控器</w:t>
            </w:r>
            <w:r/>
          </w:p>
        </w:tc>
        <w:tc>
          <w:tcPr>
            <w:tcBorders>
              <w:top w:val="none" w:color="000000" w:sz="4" w:space="0"/>
              <w:left w:val="single" w:color="auto" w:sz="4" w:space="0"/>
              <w:bottom w:val="single" w:color="auto" w:sz="4" w:space="0"/>
              <w:right w:val="none" w:color="000000" w:sz="4" w:space="0"/>
            </w:tcBorders>
            <w:tcW w:w="5814"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与电动卷帘相适配</w:t>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r>
      <w:tr>
        <w:trPr>
          <w:trHeight w:val="3920"/>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定制布帘</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布帘</w:t>
            </w:r>
            <w:r/>
          </w:p>
        </w:tc>
        <w:tc>
          <w:tcPr>
            <w:tcBorders>
              <w:top w:val="none" w:color="000000" w:sz="4" w:space="0"/>
              <w:left w:val="single" w:color="auto" w:sz="4" w:space="0"/>
              <w:bottom w:val="single" w:color="auto" w:sz="4" w:space="0"/>
              <w:right w:val="none" w:color="000000" w:sz="4" w:space="0"/>
            </w:tcBorders>
            <w:tcW w:w="5814" w:type="dxa"/>
            <w:vAlign w:val="center"/>
            <w:textDirection w:val="lrTb"/>
            <w:noWrap w:val="false"/>
          </w:tcPr>
          <w:p>
            <w:pPr>
              <w:jc w:val="left"/>
              <w:widowControl/>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br w:type="page" w:clear="all"/>
            </w:r>
            <w:r>
              <w:rPr>
                <w:rFonts w:hint="eastAsia" w:ascii="宋体" w:hAnsi="宋体" w:eastAsia="宋体" w:cs="宋体"/>
                <w:b/>
                <w:bCs/>
                <w:i/>
                <w:iCs/>
                <w:color w:val="auto"/>
                <w:sz w:val="21"/>
                <w:szCs w:val="21"/>
                <w:u w:val="single"/>
              </w:rPr>
              <w:t xml:space="preserve">1.材质：100%本质阻燃聚酯纤维，不接受任何表面涂层或后整理阻燃面料；</w:t>
            </w:r>
            <w:r>
              <w:rPr>
                <w:rFonts w:hint="eastAsia" w:ascii="宋体" w:hAnsi="宋体" w:eastAsia="宋体" w:cs="宋体"/>
                <w:b/>
                <w:bCs/>
                <w:color w:val="auto"/>
                <w:sz w:val="21"/>
                <w:szCs w:val="21"/>
              </w:rPr>
              <w:t xml:space="preserve">（提供投标人加盖公章后的</w:t>
            </w:r>
            <w:r>
              <w:rPr>
                <w:rFonts w:hint="eastAsia" w:ascii="宋体" w:hAnsi="宋体" w:cs="宋体"/>
                <w:b/>
                <w:bCs/>
                <w:color w:val="auto"/>
                <w:sz w:val="21"/>
                <w:szCs w:val="21"/>
                <w:lang w:eastAsia="zh-CN"/>
              </w:rPr>
              <w:t xml:space="preserve">接受供货期间抽样送检</w:t>
            </w:r>
            <w:r>
              <w:rPr>
                <w:rFonts w:hint="eastAsia" w:ascii="宋体" w:hAnsi="宋体" w:eastAsia="宋体" w:cs="宋体"/>
                <w:b/>
                <w:bCs/>
                <w:color w:val="auto"/>
                <w:sz w:val="21"/>
                <w:szCs w:val="21"/>
              </w:rPr>
              <w:t xml:space="preserve">，复检不合格按</w:t>
            </w:r>
            <w:r>
              <w:rPr>
                <w:rFonts w:hint="eastAsia" w:ascii="宋体" w:hAnsi="宋体" w:cs="宋体"/>
                <w:b/>
                <w:bCs/>
                <w:color w:val="auto"/>
                <w:sz w:val="21"/>
                <w:szCs w:val="21"/>
                <w:lang w:eastAsia="zh-CN"/>
              </w:rPr>
              <w:t xml:space="preserve">虚假响应处理</w:t>
            </w:r>
            <w:r>
              <w:rPr>
                <w:rFonts w:hint="eastAsia" w:ascii="宋体" w:hAnsi="宋体" w:eastAsia="宋体" w:cs="宋体"/>
                <w:b/>
                <w:bCs/>
                <w:color w:val="auto"/>
                <w:sz w:val="21"/>
                <w:szCs w:val="21"/>
              </w:rPr>
              <w:t xml:space="preserve">的承诺书）</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2.密度（根/10cm）：经向≥950，纬向≥450</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3.线密度（tex）：经向10（公差±10%），纬向36（公差±10%）</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b/>
                <w:bCs/>
                <w:i/>
                <w:iCs/>
                <w:color w:val="auto"/>
                <w:sz w:val="21"/>
                <w:szCs w:val="21"/>
                <w:u w:val="single"/>
              </w:rPr>
            </w:pPr>
            <w:r>
              <w:rPr>
                <w:rFonts w:hint="eastAsia" w:ascii="宋体" w:hAnsi="宋体" w:eastAsia="宋体" w:cs="宋体"/>
                <w:color w:val="auto"/>
                <w:sz w:val="21"/>
                <w:szCs w:val="21"/>
              </w:rPr>
              <w:t xml:space="preserve">4.▲单位面积质量≥350g/m²</w:t>
            </w:r>
            <w:r>
              <w:rPr>
                <w:rFonts w:hint="eastAsia" w:ascii="宋体" w:hAnsi="宋体" w:eastAsia="宋体" w:cs="宋体"/>
                <w:b/>
                <w:bCs/>
                <w:color w:val="auto"/>
                <w:sz w:val="21"/>
                <w:szCs w:val="21"/>
              </w:rPr>
              <w:t xml:space="preserve">（提供第三方检测报告复印件并加盖投标人公章）</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5.▲遮光率：≥90%</w:t>
            </w:r>
            <w:r>
              <w:rPr>
                <w:rFonts w:hint="eastAsia" w:ascii="宋体" w:hAnsi="宋体" w:eastAsia="宋体" w:cs="宋体"/>
                <w:b/>
                <w:bCs/>
                <w:color w:val="auto"/>
                <w:sz w:val="21"/>
                <w:szCs w:val="21"/>
              </w:rPr>
              <w:t xml:space="preserve">（提供第三方检测报告复印件并加盖投标人公章）</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6.</w:t>
            </w:r>
            <w:r>
              <w:rPr>
                <w:rFonts w:hint="eastAsia" w:ascii="宋体" w:hAnsi="宋体" w:eastAsia="宋体" w:cs="宋体"/>
                <w:b/>
                <w:bCs/>
                <w:i/>
                <w:iCs/>
                <w:color w:val="auto"/>
                <w:sz w:val="21"/>
                <w:szCs w:val="21"/>
                <w:u w:val="single"/>
              </w:rPr>
              <w:t xml:space="preserve">甲醛含量≤20mg/kg</w:t>
            </w:r>
            <w:r>
              <w:rPr>
                <w:rFonts w:hint="eastAsia" w:ascii="宋体" w:hAnsi="宋体" w:eastAsia="宋体" w:cs="宋体"/>
                <w:b/>
                <w:bCs/>
                <w:color w:val="auto"/>
                <w:sz w:val="21"/>
                <w:szCs w:val="21"/>
              </w:rPr>
              <w:t xml:space="preserve">（提供第三方检测报告复印件并加盖投标人公章）</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7.pH值：4.0-9.0</w:t>
            </w:r>
            <w:r/>
          </w:p>
          <w:p>
            <w:pPr>
              <w:jc w:val="left"/>
              <w:widowControl/>
              <w:rPr>
                <w:rFonts w:hint="eastAsia" w:ascii="宋体" w:hAnsi="宋体" w:eastAsia="宋体" w:cs="宋体"/>
                <w:b/>
                <w:bCs/>
                <w:i/>
                <w:iCs/>
                <w:color w:val="auto"/>
                <w:sz w:val="21"/>
                <w:szCs w:val="21"/>
                <w:u w:val="single"/>
              </w:rPr>
            </w:pPr>
            <w:r>
              <w:rPr>
                <w:rFonts w:hint="eastAsia" w:ascii="宋体" w:hAnsi="宋体" w:eastAsia="宋体" w:cs="宋体"/>
                <w:b/>
                <w:bCs/>
                <w:i/>
                <w:iCs/>
                <w:color w:val="auto"/>
                <w:sz w:val="21"/>
                <w:szCs w:val="21"/>
                <w:u w:val="single"/>
              </w:rPr>
              <w:br w:type="page" w:clear="all"/>
            </w:r>
            <w:r>
              <w:rPr>
                <w:rFonts w:hint="eastAsia" w:ascii="宋体" w:hAnsi="宋体" w:eastAsia="宋体" w:cs="宋体"/>
                <w:b/>
                <w:bCs/>
                <w:i/>
                <w:iCs/>
                <w:color w:val="auto"/>
                <w:sz w:val="21"/>
                <w:szCs w:val="21"/>
                <w:u w:val="single"/>
              </w:rPr>
              <w:t xml:space="preserve">8.可分解致癌芳香胺染料：禁用（≤20mg/kg）（提供第三方检测报告复印件并加盖投标人公章）</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9.异味：无</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10.▲致敏性分散染料：禁用</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i w:val="0"/>
                <w:iCs w:val="0"/>
                <w:color w:val="auto"/>
                <w:sz w:val="21"/>
                <w:szCs w:val="21"/>
                <w:u w:val="none"/>
              </w:rPr>
              <w:t xml:space="preserve">每种≤50mg/kg）</w:t>
            </w:r>
            <w:r>
              <w:rPr>
                <w:rFonts w:hint="eastAsia" w:ascii="宋体" w:hAnsi="宋体" w:eastAsia="宋体" w:cs="宋体"/>
                <w:b/>
                <w:bCs/>
                <w:color w:val="auto"/>
                <w:sz w:val="21"/>
                <w:szCs w:val="21"/>
              </w:rPr>
              <w:t xml:space="preserve">（提供第三方检测报告复印件并加盖投标人公章）</w:t>
            </w:r>
            <w:r/>
          </w:p>
          <w:p>
            <w:pPr>
              <w:jc w:val="left"/>
              <w:widowControl/>
              <w:rPr>
                <w:rFonts w:hint="eastAsia" w:ascii="宋体" w:hAnsi="宋体" w:eastAsia="宋体" w:cs="宋体"/>
                <w:b/>
                <w:bCs/>
                <w:i/>
                <w:iCs/>
                <w:color w:val="auto"/>
                <w:sz w:val="21"/>
                <w:szCs w:val="21"/>
                <w:u w:val="single"/>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11.▲致癌染料：禁用</w:t>
            </w:r>
            <w:r>
              <w:rPr>
                <w:rFonts w:hint="eastAsia" w:ascii="宋体" w:hAnsi="宋体" w:eastAsia="宋体" w:cs="宋体"/>
                <w:b w:val="0"/>
                <w:bCs w:val="0"/>
                <w:color w:val="auto"/>
                <w:sz w:val="21"/>
                <w:szCs w:val="21"/>
              </w:rPr>
              <w:t xml:space="preserve">（</w:t>
            </w:r>
            <w:r>
              <w:rPr>
                <w:rFonts w:hint="eastAsia" w:ascii="宋体" w:hAnsi="宋体" w:eastAsia="宋体" w:cs="宋体"/>
                <w:b w:val="0"/>
                <w:bCs w:val="0"/>
                <w:i w:val="0"/>
                <w:iCs w:val="0"/>
                <w:color w:val="auto"/>
                <w:sz w:val="21"/>
                <w:szCs w:val="21"/>
                <w:u w:val="none"/>
              </w:rPr>
              <w:t xml:space="preserve">每种≤50mg/kg）</w:t>
            </w:r>
            <w:r>
              <w:rPr>
                <w:rFonts w:hint="eastAsia" w:ascii="宋体" w:hAnsi="宋体" w:eastAsia="宋体" w:cs="宋体"/>
                <w:b/>
                <w:bCs/>
                <w:color w:val="auto"/>
                <w:sz w:val="21"/>
                <w:szCs w:val="21"/>
              </w:rPr>
              <w:t xml:space="preserve">（提供第三方检测报告复印件并加盖投标人公章）</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12.邻苯基苯酚≤25mg/kg</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13.氯化苯和氯化甲苯：不得检出</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14.含氯苯酚：≤0.05mg/kg</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15.可萃取重金属总量（mg/kg）：镉≤2，钴≤4，铜≤50，镍≤4，铅≤1，锌≤25（检测方法：GB/T 17593.2-2007）；六价铬≤0.5</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16.富马酸二甲酯≤1mg/kg</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17.色牢度：耐干摩擦色牢度≥4级、耐湿摩擦色牢度≥3级；耐水色牢度≥4级、耐汗渍色牢度≥4级、耐皂洗色牢度≥4级、耐光色牢度≥3级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18.酚黄变≥4级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19.悬垂性（悬垂系数）：静态≥45%，动态≥70%</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20.耐磨性≥10000次</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21.易去污性能≥3级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22.水洗后外观：变色≥4级、互染沾色≥4级；起毛、起球或毡化≥4级；外观平整度≥3.5级，无破损、抽纱</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23.水洗尺寸变化率：经向±3%，纬向±3%</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24.断裂强力：经向≥1500N，纬向≥1200N</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25.顶破强力≥1500N</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26.勾丝性能≥4级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27.静电性能（摩擦带电电压）≤1500V、静电半衰期≤5.0s</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28.防螨性能（驱避率或抑制率）≥70%</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29.抗菌性能（抑菌率）：金黄色葡萄球菌、大肠杆菌、肺炎克雷伯氏菌、白色念珠菌、铜绿假单胞菌均≥90%</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30.防霉性能（黑曲霉、绳状青霉、球毛壳霉、绿色木霉）：≤1级，霉菌生长稀少或局部生长，在样品表面的覆盖面积小于10%</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31.防紫外线性能：UPF＞50、UVA平均透过率＜5%、TUVB ＜5%</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32、吸声系数：频率250HZ 吸声系数≥0.2；频率500HZ吸声系数≥0.35；频率1000HZ吸声系数≥0.45；频率2000HZ吸声系数≥0.55；频率4000HZ吸声系数≥0.65</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color w:val="auto"/>
                <w:sz w:val="21"/>
                <w:szCs w:val="21"/>
              </w:rPr>
            </w:pPr>
            <w:r>
              <w:rPr>
                <w:rFonts w:hint="eastAsia" w:ascii="宋体" w:hAnsi="宋体" w:eastAsia="宋体" w:cs="宋体"/>
                <w:b/>
                <w:bCs/>
                <w:i/>
                <w:iCs/>
                <w:color w:val="auto"/>
                <w:sz w:val="21"/>
                <w:szCs w:val="21"/>
                <w:u w:val="single"/>
              </w:rPr>
              <w:t xml:space="preserve">33.阻燃性能：符合GB 20286-2006阻燃1级标准和GB 8624-2012 （B1级）标准。其中：氧指数≥32，经向/纬向损毁长度≤150mm，续燃时间≤5s，阴燃时间≤5s，燃烧滴落物未引起脱脂棉燃烧或阴燃，烟密度等级（SDR）≤15，产烟毒性等级：不低于ZA2级。面料经水洗≥12次后，阻燃性能仍须符合上述阻燃1级和B1级标准（提供符合上述两个标准的一份或数份第三方检测报告</w:t>
            </w:r>
            <w:r>
              <w:rPr>
                <w:rFonts w:hint="eastAsia" w:ascii="宋体" w:hAnsi="宋体" w:eastAsia="宋体" w:cs="宋体"/>
                <w:b/>
                <w:bCs/>
                <w:i/>
                <w:iCs/>
                <w:color w:val="auto"/>
                <w:sz w:val="21"/>
                <w:szCs w:val="21"/>
                <w:u w:val="single"/>
                <w:lang w:eastAsia="zh-CN"/>
              </w:rPr>
              <w:t xml:space="preserve">原件扫描上传</w:t>
            </w:r>
            <w:r>
              <w:rPr>
                <w:rFonts w:hint="eastAsia" w:ascii="宋体" w:hAnsi="宋体" w:eastAsia="宋体" w:cs="宋体"/>
                <w:b/>
                <w:bCs/>
                <w:i/>
                <w:iCs/>
                <w:color w:val="auto"/>
                <w:sz w:val="21"/>
                <w:szCs w:val="21"/>
                <w:u w:val="single"/>
              </w:rPr>
              <w:t xml:space="preserve">）</w:t>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8298.17</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（注：窗帘面积为展开面积，褶皱倍数2倍）</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r>
      <w:tr>
        <w:trPr>
          <w:trHeight w:val="5681"/>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定制布帘</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手动轨道</w:t>
            </w:r>
            <w:r/>
          </w:p>
        </w:tc>
        <w:tc>
          <w:tcPr>
            <w:tcBorders>
              <w:top w:val="none" w:color="000000" w:sz="4" w:space="0"/>
              <w:left w:val="single" w:color="auto" w:sz="4" w:space="0"/>
              <w:bottom w:val="single" w:color="auto" w:sz="4" w:space="0"/>
              <w:right w:val="none" w:color="000000" w:sz="4" w:space="0"/>
            </w:tcBorders>
            <w:tcW w:w="5814"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1.铝合金基材：采用6063-T5铝合金材质，表面电泳处理</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2.化学成分</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(1)Si:0.20%～0.6%</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(2)Fe:≤0.35%</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(3)Cu:≤0.10%</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(4)Mn:≤0.10%</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(5)Mg:0.45%～0.9%</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(6)Cr:≤0.10%</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(7)Zn:≤0.10%</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(8)Ti:≤0.10%</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 ▲壁厚：≥1.5mm</w:t>
            </w:r>
            <w:r>
              <w:rPr>
                <w:rFonts w:hint="eastAsia" w:ascii="宋体" w:hAnsi="宋体" w:eastAsia="宋体" w:cs="宋体"/>
                <w:b/>
                <w:bCs/>
                <w:color w:val="auto"/>
                <w:sz w:val="21"/>
                <w:szCs w:val="21"/>
              </w:rPr>
              <w:t xml:space="preserve">（提供第三方检测报告</w:t>
            </w:r>
            <w:r>
              <w:rPr>
                <w:rFonts w:hint="eastAsia" w:ascii="宋体" w:hAnsi="宋体" w:cs="宋体"/>
                <w:b/>
                <w:bCs/>
                <w:color w:val="auto"/>
                <w:sz w:val="21"/>
                <w:szCs w:val="21"/>
                <w:lang w:val="en-US" w:eastAsia="zh-CN"/>
              </w:rPr>
              <w:t xml:space="preserve">或</w:t>
            </w:r>
            <w:r>
              <w:rPr>
                <w:rFonts w:hint="eastAsia" w:ascii="宋体" w:hAnsi="宋体" w:eastAsia="宋体" w:cs="宋体"/>
                <w:b/>
                <w:bCs/>
                <w:color w:val="auto"/>
                <w:sz w:val="21"/>
                <w:szCs w:val="21"/>
              </w:rPr>
              <w:t xml:space="preserve">产品说明书</w:t>
            </w:r>
            <w:r>
              <w:rPr>
                <w:rFonts w:hint="eastAsia" w:ascii="宋体" w:hAnsi="宋体" w:cs="宋体"/>
                <w:b/>
                <w:bCs/>
                <w:color w:val="auto"/>
                <w:sz w:val="21"/>
                <w:szCs w:val="21"/>
                <w:lang w:val="en-US" w:eastAsia="zh-CN"/>
              </w:rPr>
              <w:t xml:space="preserve">或</w:t>
            </w:r>
            <w:r>
              <w:rPr>
                <w:rFonts w:hint="eastAsia" w:ascii="宋体" w:hAnsi="宋体" w:eastAsia="宋体" w:cs="宋体"/>
                <w:b/>
                <w:bCs/>
                <w:color w:val="auto"/>
                <w:sz w:val="21"/>
                <w:szCs w:val="21"/>
              </w:rPr>
              <w:t xml:space="preserve">官网产品参数截图</w:t>
            </w:r>
            <w:r>
              <w:rPr>
                <w:rFonts w:hint="eastAsia" w:ascii="宋体" w:hAnsi="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扫描上传</w:t>
            </w:r>
            <w:r>
              <w:rPr>
                <w:rFonts w:hint="eastAsia" w:ascii="宋体" w:hAnsi="宋体" w:eastAsia="宋体" w:cs="宋体"/>
                <w:b/>
                <w:bCs/>
                <w:color w:val="auto"/>
                <w:sz w:val="21"/>
                <w:szCs w:val="21"/>
              </w:rPr>
              <w:t xml:space="preserve">）</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4. 韦氏硬度：≥12HW</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5. 力学性能：规定塑性延伸强度（Mpa）≥130 MPa</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6. 抗拉强度Rm(MPa) ≥ 150 MPa</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7. 断后伸长率 ≥ 11%</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8. ▲阳极氧化膜局部膜厚≥15µm</w:t>
            </w:r>
            <w:r>
              <w:rPr>
                <w:rFonts w:hint="eastAsia" w:ascii="宋体" w:hAnsi="宋体" w:eastAsia="宋体" w:cs="宋体"/>
                <w:b/>
                <w:bCs/>
                <w:color w:val="auto"/>
                <w:sz w:val="21"/>
                <w:szCs w:val="21"/>
              </w:rPr>
              <w:t xml:space="preserve">（提供第三方检测报告</w:t>
            </w:r>
            <w:r>
              <w:rPr>
                <w:rFonts w:hint="eastAsia" w:ascii="宋体" w:hAnsi="宋体" w:eastAsia="宋体" w:cs="宋体"/>
                <w:b/>
                <w:bCs/>
                <w:color w:val="auto"/>
                <w:sz w:val="21"/>
                <w:szCs w:val="21"/>
                <w:lang w:eastAsia="zh-CN"/>
              </w:rPr>
              <w:t xml:space="preserve">原件扫描上传</w:t>
            </w:r>
            <w:r>
              <w:rPr>
                <w:rFonts w:hint="eastAsia" w:ascii="宋体" w:hAnsi="宋体" w:eastAsia="宋体" w:cs="宋体"/>
                <w:b/>
                <w:bCs/>
                <w:color w:val="auto"/>
                <w:sz w:val="21"/>
                <w:szCs w:val="21"/>
              </w:rPr>
              <w:t xml:space="preserve">）</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9. 涂层中可溶性重金属（mg/kg）：汞（Hg） ≤ 10、镉（Cd） ≤ 10、铅（Pb） ≤ 10、六价铬（Cr） ≤ 10</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10. 滑轮承重 ≥ 30 kg；</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11、耐沸水性：经沸水性试验后，膜层表面不应出现脱落、起皱等现象</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12. 耐盐酸性：经盐酸性试验后，膜层表面不应出现气泡及其他明显变化</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13. 耐碱性 ≥ 9.5级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14. 耐砂浆性：经砂浆性试验后，复合膜表面应无脱落、起泡、开裂或其他明显变化；</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15. 耐溶剂性：经耐溶剂性试验后，型材表面不露出阳极氧化膜；</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16. 耐洗涤性：经洗涤剂性试验后，膜层表面不应出现气泡及其他明显变化。</w:t>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991.84</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米</w:t>
            </w:r>
            <w:r/>
          </w:p>
        </w:tc>
      </w:tr>
      <w:tr>
        <w:trPr>
          <w:trHeight w:val="4900"/>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定制布帘</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电动轨道</w:t>
            </w:r>
            <w:r/>
          </w:p>
        </w:tc>
        <w:tc>
          <w:tcPr>
            <w:tcBorders>
              <w:top w:val="none" w:color="000000" w:sz="4" w:space="0"/>
              <w:left w:val="single" w:color="auto" w:sz="4" w:space="0"/>
              <w:bottom w:val="single" w:color="auto" w:sz="4" w:space="0"/>
              <w:right w:val="none" w:color="000000" w:sz="4" w:space="0"/>
            </w:tcBorders>
            <w:tcW w:w="5814"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1.铝合金基材：采用6063-T5铝合金材质，表面电泳处理</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2.化学成分</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(1)Si:0.20%～0.6%</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(2)Fe:≤0.35%</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(3)Cu:≤0.10%</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(4)Mn:≤0.10%</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(5)Mg:0.45%～0.9%</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(6)Cr:≤0.10%</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(7)Zn:≤0.10%</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(8)Ti:≤0.10%</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 ▲壁厚：≥1.8mm</w:t>
            </w:r>
            <w:r>
              <w:rPr>
                <w:rFonts w:hint="eastAsia" w:ascii="宋体" w:hAnsi="宋体" w:eastAsia="宋体" w:cs="宋体"/>
                <w:b/>
                <w:bCs/>
                <w:color w:val="auto"/>
                <w:sz w:val="21"/>
                <w:szCs w:val="21"/>
              </w:rPr>
              <w:t xml:space="preserve">（提供第三方检测报告</w:t>
            </w:r>
            <w:r>
              <w:rPr>
                <w:rFonts w:hint="eastAsia" w:ascii="宋体" w:hAnsi="宋体" w:cs="宋体"/>
                <w:b/>
                <w:bCs/>
                <w:color w:val="auto"/>
                <w:sz w:val="21"/>
                <w:szCs w:val="21"/>
                <w:lang w:val="en-US" w:eastAsia="zh-CN"/>
              </w:rPr>
              <w:t xml:space="preserve">或</w:t>
            </w:r>
            <w:r>
              <w:rPr>
                <w:rFonts w:hint="eastAsia" w:ascii="宋体" w:hAnsi="宋体" w:eastAsia="宋体" w:cs="宋体"/>
                <w:b/>
                <w:bCs/>
                <w:color w:val="auto"/>
                <w:sz w:val="21"/>
                <w:szCs w:val="21"/>
              </w:rPr>
              <w:t xml:space="preserve">产品说明书</w:t>
            </w:r>
            <w:r>
              <w:rPr>
                <w:rFonts w:hint="eastAsia" w:ascii="宋体" w:hAnsi="宋体" w:cs="宋体"/>
                <w:b/>
                <w:bCs/>
                <w:color w:val="auto"/>
                <w:sz w:val="21"/>
                <w:szCs w:val="21"/>
                <w:lang w:val="en-US" w:eastAsia="zh-CN"/>
              </w:rPr>
              <w:t xml:space="preserve">或</w:t>
            </w:r>
            <w:r>
              <w:rPr>
                <w:rFonts w:hint="eastAsia" w:ascii="宋体" w:hAnsi="宋体" w:eastAsia="宋体" w:cs="宋体"/>
                <w:b/>
                <w:bCs/>
                <w:color w:val="auto"/>
                <w:sz w:val="21"/>
                <w:szCs w:val="21"/>
              </w:rPr>
              <w:t xml:space="preserve">官网产品参数截图</w:t>
            </w:r>
            <w:r>
              <w:rPr>
                <w:rFonts w:hint="eastAsia" w:ascii="宋体" w:hAnsi="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扫描上传</w:t>
            </w:r>
            <w:r>
              <w:rPr>
                <w:rFonts w:hint="eastAsia" w:ascii="宋体" w:hAnsi="宋体" w:eastAsia="宋体" w:cs="宋体"/>
                <w:b/>
                <w:bCs/>
                <w:color w:val="auto"/>
                <w:sz w:val="21"/>
                <w:szCs w:val="21"/>
              </w:rPr>
              <w:t xml:space="preserve">）</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4. 韦氏硬度：≥12HW</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5. 力学性能：规定塑性延伸强度（Mpa）≥130 MPa</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6. 抗拉强度Rm(MPa) ≥ 150 MPa</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7. 断后伸长率 ≥ 11%</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8. ▲阳极氧化膜局部膜厚≥15µm</w:t>
            </w:r>
            <w:r>
              <w:rPr>
                <w:rFonts w:hint="eastAsia" w:ascii="宋体" w:hAnsi="宋体" w:eastAsia="宋体" w:cs="宋体"/>
                <w:b/>
                <w:bCs/>
                <w:color w:val="auto"/>
                <w:sz w:val="21"/>
                <w:szCs w:val="21"/>
              </w:rPr>
              <w:t xml:space="preserve">（提供检测报告</w:t>
            </w:r>
            <w:r>
              <w:rPr>
                <w:rFonts w:hint="eastAsia" w:ascii="宋体" w:hAnsi="宋体" w:eastAsia="宋体" w:cs="宋体"/>
                <w:b/>
                <w:bCs/>
                <w:color w:val="auto"/>
                <w:sz w:val="21"/>
                <w:szCs w:val="21"/>
                <w:lang w:val="en-US" w:eastAsia="zh-CN"/>
              </w:rPr>
              <w:t xml:space="preserve">原件扫描上传</w:t>
            </w:r>
            <w:r>
              <w:rPr>
                <w:rFonts w:hint="eastAsia" w:ascii="宋体" w:hAnsi="宋体" w:eastAsia="宋体" w:cs="宋体"/>
                <w:b/>
                <w:bCs/>
                <w:color w:val="auto"/>
                <w:sz w:val="21"/>
                <w:szCs w:val="21"/>
              </w:rPr>
              <w:t xml:space="preserve">）</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9. 涂层中可溶性重金属（mg/kg）：汞（Hg） ≤ 10、镉（Cd） ≤ 10、铅（Pb） ≤ 10、六价铬（Cr） ≤ 10</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10. 滑轮承重 ≥ 30 kg</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11、耐沸水性：经沸水性试验后，膜层表面不应出现脱落、起皱等现象</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12. 耐盐酸性：经盐酸性试验后，膜层表面不应出现气泡及其他明显变化</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13. 耐碱性 ≥ 9.5级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14. 耐砂浆性：经砂浆性试验后，复合膜表面应无脱落、起泡、开裂或其他明显变化</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15. 耐溶剂性：经耐溶剂性试验后，型材表面不露出阳极氧化膜</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16. 耐洗涤性：经洗涤剂性试验后，膜层表面不应出现气泡及其他明显变化</w:t>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67.2</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米</w:t>
            </w:r>
            <w:r/>
          </w:p>
        </w:tc>
      </w:tr>
      <w:tr>
        <w:trPr>
          <w:trHeight w:val="822"/>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定制布帘</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布帘电机</w:t>
            </w:r>
            <w:r/>
          </w:p>
        </w:tc>
        <w:tc>
          <w:tcPr>
            <w:tcBorders>
              <w:top w:val="none" w:color="000000" w:sz="4" w:space="0"/>
              <w:left w:val="single" w:color="auto" w:sz="4" w:space="0"/>
              <w:bottom w:val="single" w:color="auto" w:sz="4" w:space="0"/>
              <w:right w:val="none" w:color="000000" w:sz="4" w:space="0"/>
            </w:tcBorders>
            <w:tcW w:w="5814"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电机符合CCC强制性认证标志</w:t>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台</w:t>
            </w:r>
            <w:r/>
          </w:p>
        </w:tc>
      </w:tr>
      <w:tr>
        <w:trPr>
          <w:trHeight w:val="957"/>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定制布帘</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电动布帘遥控器</w:t>
            </w:r>
            <w:r/>
          </w:p>
        </w:tc>
        <w:tc>
          <w:tcPr>
            <w:tcBorders>
              <w:top w:val="none" w:color="000000" w:sz="4" w:space="0"/>
              <w:left w:val="single" w:color="auto" w:sz="4" w:space="0"/>
              <w:bottom w:val="single" w:color="auto" w:sz="4" w:space="0"/>
              <w:right w:val="none" w:color="000000" w:sz="4" w:space="0"/>
            </w:tcBorders>
            <w:tcW w:w="5814" w:type="dxa"/>
            <w:vAlign w:val="center"/>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与电动布帘相适配</w:t>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个</w:t>
            </w:r>
            <w:r/>
          </w:p>
        </w:tc>
      </w:tr>
      <w:tr>
        <w:trPr>
          <w:trHeight w:val="1371"/>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定制金刚网纱窗</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上下推拉窗</w:t>
            </w:r>
            <w:r/>
          </w:p>
        </w:tc>
        <w:tc>
          <w:tcPr>
            <w:tcBorders>
              <w:top w:val="none" w:color="000000" w:sz="4" w:space="0"/>
              <w:left w:val="single" w:color="auto" w:sz="4" w:space="0"/>
              <w:bottom w:val="single" w:color="000000" w:sz="4" w:space="0"/>
              <w:right w:val="none" w:color="000000" w:sz="4" w:space="0"/>
            </w:tcBorders>
            <w:tcW w:w="5814" w:type="dxa"/>
            <w:vAlign w:val="center"/>
            <w:vMerge w:val="restart"/>
            <w:textDirection w:val="lrTb"/>
            <w:noWrap w:val="false"/>
          </w:tcPr>
          <w:p>
            <w:pPr>
              <w:jc w:val="left"/>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 </w:t>
            </w:r>
            <w:r>
              <w:rPr>
                <w:rFonts w:hint="eastAsia" w:ascii="宋体" w:hAnsi="宋体" w:cs="宋体"/>
                <w:color w:val="auto"/>
                <w:sz w:val="21"/>
                <w:szCs w:val="21"/>
                <w:lang w:val="en-US" w:eastAsia="zh-CN"/>
              </w:rPr>
              <w:t xml:space="preserve">边框型材</w:t>
            </w:r>
            <w:r>
              <w:rPr>
                <w:rFonts w:hint="eastAsia" w:ascii="宋体" w:hAnsi="宋体" w:eastAsia="宋体" w:cs="宋体"/>
                <w:color w:val="auto"/>
                <w:sz w:val="21"/>
                <w:szCs w:val="21"/>
              </w:rPr>
              <w:t xml:space="preserve">硬度≥ 3H</w:t>
            </w:r>
            <w:r>
              <w:rPr>
                <w:rFonts w:hint="eastAsia" w:ascii="宋体" w:hAnsi="宋体" w:eastAsia="宋体" w:cs="宋体"/>
                <w:b/>
                <w:bCs/>
                <w:color w:val="auto"/>
                <w:sz w:val="21"/>
                <w:szCs w:val="21"/>
              </w:rPr>
              <w:t xml:space="preserve">（提供第三方检测报告</w:t>
            </w:r>
            <w:r>
              <w:rPr>
                <w:rFonts w:hint="eastAsia" w:ascii="宋体" w:hAnsi="宋体" w:cs="宋体"/>
                <w:b/>
                <w:bCs/>
                <w:color w:val="auto"/>
                <w:sz w:val="21"/>
                <w:szCs w:val="21"/>
                <w:lang w:val="en-US" w:eastAsia="zh-CN"/>
              </w:rPr>
              <w:t xml:space="preserve">或</w:t>
            </w:r>
            <w:r>
              <w:rPr>
                <w:rFonts w:hint="eastAsia" w:ascii="宋体" w:hAnsi="宋体" w:eastAsia="宋体" w:cs="宋体"/>
                <w:b/>
                <w:bCs/>
                <w:color w:val="auto"/>
                <w:sz w:val="21"/>
                <w:szCs w:val="21"/>
              </w:rPr>
              <w:t xml:space="preserve">产品说明书</w:t>
            </w:r>
            <w:r>
              <w:rPr>
                <w:rFonts w:hint="eastAsia" w:ascii="宋体" w:hAnsi="宋体" w:cs="宋体"/>
                <w:b/>
                <w:bCs/>
                <w:color w:val="auto"/>
                <w:sz w:val="21"/>
                <w:szCs w:val="21"/>
                <w:lang w:val="en-US" w:eastAsia="zh-CN"/>
              </w:rPr>
              <w:t xml:space="preserve">或</w:t>
            </w:r>
            <w:r>
              <w:rPr>
                <w:rFonts w:hint="eastAsia" w:ascii="宋体" w:hAnsi="宋体" w:eastAsia="宋体" w:cs="宋体"/>
                <w:b/>
                <w:bCs/>
                <w:color w:val="auto"/>
                <w:sz w:val="21"/>
                <w:szCs w:val="21"/>
              </w:rPr>
              <w:t xml:space="preserve">官网产品参数截图</w:t>
            </w:r>
            <w:r>
              <w:rPr>
                <w:rFonts w:hint="eastAsia" w:ascii="宋体" w:hAnsi="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扫描上传</w:t>
            </w:r>
            <w:r>
              <w:rPr>
                <w:rFonts w:hint="eastAsia" w:ascii="宋体" w:hAnsi="宋体" w:eastAsia="宋体" w:cs="宋体"/>
                <w:b/>
                <w:bCs/>
                <w:color w:val="auto"/>
                <w:sz w:val="21"/>
                <w:szCs w:val="21"/>
              </w:rPr>
              <w:t xml:space="preserve">）</w:t>
            </w:r>
            <w:r/>
          </w:p>
          <w:p>
            <w:pPr>
              <w:jc w:val="left"/>
              <w:widowControl/>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2. 冲击强度：冲击高度400mm，涂层无剥落、裂纹、皱纹</w:t>
            </w:r>
            <w:r>
              <w:rPr>
                <w:rFonts w:hint="eastAsia" w:ascii="宋体" w:hAnsi="宋体" w:eastAsia="宋体" w:cs="宋体"/>
                <w:b/>
                <w:bCs/>
                <w:color w:val="auto"/>
                <w:sz w:val="21"/>
                <w:szCs w:val="21"/>
              </w:rPr>
              <w:t xml:space="preserve">（提供第三方检测报告</w:t>
            </w:r>
            <w:r>
              <w:rPr>
                <w:rFonts w:hint="eastAsia" w:ascii="宋体" w:hAnsi="宋体" w:cs="宋体"/>
                <w:b/>
                <w:bCs/>
                <w:color w:val="auto"/>
                <w:sz w:val="21"/>
                <w:szCs w:val="21"/>
                <w:lang w:val="en-US" w:eastAsia="zh-CN"/>
              </w:rPr>
              <w:t xml:space="preserve">或</w:t>
            </w:r>
            <w:r>
              <w:rPr>
                <w:rFonts w:hint="eastAsia" w:ascii="宋体" w:hAnsi="宋体" w:eastAsia="宋体" w:cs="宋体"/>
                <w:b/>
                <w:bCs/>
                <w:color w:val="auto"/>
                <w:sz w:val="21"/>
                <w:szCs w:val="21"/>
              </w:rPr>
              <w:t xml:space="preserve">产品说明书</w:t>
            </w:r>
            <w:r>
              <w:rPr>
                <w:rFonts w:hint="eastAsia" w:ascii="宋体" w:hAnsi="宋体" w:cs="宋体"/>
                <w:b/>
                <w:bCs/>
                <w:color w:val="auto"/>
                <w:sz w:val="21"/>
                <w:szCs w:val="21"/>
                <w:lang w:val="en-US" w:eastAsia="zh-CN"/>
              </w:rPr>
              <w:t xml:space="preserve">或</w:t>
            </w:r>
            <w:r>
              <w:rPr>
                <w:rFonts w:hint="eastAsia" w:ascii="宋体" w:hAnsi="宋体" w:eastAsia="宋体" w:cs="宋体"/>
                <w:b/>
                <w:bCs/>
                <w:color w:val="auto"/>
                <w:sz w:val="21"/>
                <w:szCs w:val="21"/>
              </w:rPr>
              <w:t xml:space="preserve">官网产品参数截图</w:t>
            </w:r>
            <w:r>
              <w:rPr>
                <w:rFonts w:hint="eastAsia" w:ascii="宋体" w:hAnsi="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扫描上传</w:t>
            </w:r>
            <w:r>
              <w:rPr>
                <w:rFonts w:hint="eastAsia" w:ascii="宋体" w:hAnsi="宋体" w:eastAsia="宋体" w:cs="宋体"/>
                <w:b/>
                <w:bCs/>
                <w:color w:val="auto"/>
                <w:sz w:val="21"/>
                <w:szCs w:val="21"/>
              </w:rPr>
              <w:t xml:space="preserve">）</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3. 耐腐蚀性：100 h内，观察在溶剂中样板上划道两侧3 mm以外，应无气泡产生；100 h后，检查划道两侧3 mm以外，应无锈迹、剥落、起皱、变色和失光等现象</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4. 附着力：≤1级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5. 粗糙度（Ra）≤1.6μm</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6.光泽度：无光≤14，14&lt;半光(亚光)≤50，50&lt;平光(半亚光)≤85，高光&gt;85</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7. 抗盐雾：18 h，1.5 mm以下锈点 ≤ 20点/dm²，其中 ≥ 1.0 mm锈点不超过5点（距离边缘棱角2 mm以内的不计）</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8. 耐液性：10%碳酸钠和30%乙酸，24h，无明显的变色、鼓泡、皱纹等</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9、附着力：每组割痕包括11条长35mm,间距2mm的平行割痕，2组不低于1级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10. 耐湿热：70 ℃、20 min，达到1级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11. 耐干热：70 ℃、20 min，达到1级</w:t>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12、耐冷热温差：温度40±2℃,相对湿度98%～99%,和-20℃±℃,3周期，无鼓泡、裂缝和明显失光</w:t>
            </w:r>
            <w:r>
              <w:rPr>
                <w:rFonts w:hint="eastAsia" w:ascii="宋体" w:hAnsi="宋体" w:eastAsia="宋体" w:cs="宋体"/>
                <w:color w:val="auto"/>
                <w:sz w:val="21"/>
                <w:szCs w:val="21"/>
              </w:rPr>
              <w:br w:type="page" w:clear="all"/>
            </w:r>
            <w:r/>
          </w:p>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br w:type="page" w:clear="all"/>
            </w:r>
            <w:r>
              <w:rPr>
                <w:rFonts w:hint="eastAsia" w:ascii="宋体" w:hAnsi="宋体" w:eastAsia="宋体" w:cs="宋体"/>
                <w:color w:val="auto"/>
                <w:sz w:val="21"/>
                <w:szCs w:val="21"/>
              </w:rPr>
              <w:t xml:space="preserve">13. 窗纱冲击强度：标准测试钢球从500 mm高度自由落体对纱网中心部位进行冲击（冲击能量≥0.5 J），测试结束无破裂、撕裂、明显塑性变形，且网丝无脱落</w:t>
            </w:r>
            <w:r>
              <w:rPr>
                <w:rFonts w:hint="eastAsia" w:ascii="宋体" w:hAnsi="宋体" w:eastAsia="宋体" w:cs="宋体"/>
                <w:color w:val="auto"/>
                <w:sz w:val="21"/>
                <w:szCs w:val="21"/>
              </w:rPr>
              <w:br w:type="page" w:clear="all"/>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665.92</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r>
      <w:tr>
        <w:trPr>
          <w:trHeight w:val="1389"/>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定制金刚网纱窗</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折叠纱门</w:t>
            </w:r>
            <w:r/>
          </w:p>
        </w:tc>
        <w:tc>
          <w:tcPr>
            <w:tcBorders>
              <w:top w:val="none" w:color="000000" w:sz="4" w:space="0"/>
              <w:left w:val="single" w:color="auto" w:sz="4" w:space="0"/>
              <w:bottom w:val="single" w:color="000000" w:sz="4" w:space="0"/>
              <w:right w:val="none" w:color="000000" w:sz="4" w:space="0"/>
            </w:tcBorders>
            <w:tcW w:w="5814"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7.07</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r>
      <w:tr>
        <w:trPr>
          <w:trHeight w:val="1636"/>
        </w:trPr>
        <w:tc>
          <w:tcPr>
            <w:tcBorders>
              <w:top w:val="none" w:color="000000" w:sz="4" w:space="0"/>
              <w:left w:val="single" w:color="auto"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定制金刚网纱窗</w:t>
            </w:r>
            <w:r/>
          </w:p>
        </w:tc>
        <w:tc>
          <w:tcPr>
            <w:tcBorders>
              <w:top w:val="none" w:color="000000" w:sz="4" w:space="0"/>
              <w:left w:val="none" w:color="000000" w:sz="4" w:space="0"/>
              <w:bottom w:val="single" w:color="auto" w:sz="4" w:space="0"/>
              <w:right w:val="single" w:color="auto" w:sz="4" w:space="0"/>
            </w:tcBorders>
            <w:tcW w:w="563"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金刚网片纱</w:t>
            </w:r>
            <w:r/>
          </w:p>
        </w:tc>
        <w:tc>
          <w:tcPr>
            <w:tcBorders>
              <w:top w:val="none" w:color="000000" w:sz="4" w:space="0"/>
              <w:left w:val="single" w:color="auto" w:sz="4" w:space="0"/>
              <w:bottom w:val="single" w:color="000000" w:sz="4" w:space="0"/>
              <w:right w:val="none" w:color="000000" w:sz="4" w:space="0"/>
            </w:tcBorders>
            <w:tcW w:w="5814" w:type="dxa"/>
            <w:vAlign w:val="center"/>
            <w:vMerge w:val="continue"/>
            <w:textDirection w:val="lrTb"/>
            <w:noWrap w:val="false"/>
          </w:tcPr>
          <w:p>
            <w:pPr>
              <w:jc w:val="lef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none" w:color="000000" w:sz="4" w:space="0"/>
              <w:left w:val="single" w:color="auto" w:sz="4" w:space="0"/>
              <w:bottom w:val="single" w:color="auto" w:sz="4" w:space="0"/>
              <w:right w:val="single" w:color="auto" w:sz="4" w:space="0"/>
            </w:tcBorders>
            <w:tcW w:w="750"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208</w:t>
            </w:r>
            <w:r/>
          </w:p>
        </w:tc>
        <w:tc>
          <w:tcPr>
            <w:tcBorders>
              <w:top w:val="none" w:color="000000" w:sz="4" w:space="0"/>
              <w:left w:val="none" w:color="000000" w:sz="4" w:space="0"/>
              <w:bottom w:val="single" w:color="auto" w:sz="4" w:space="0"/>
              <w:right w:val="single" w:color="auto" w:sz="4" w:space="0"/>
            </w:tcBorders>
            <w:tcW w:w="469" w:type="dxa"/>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p>
        </w:tc>
      </w:tr>
    </w:tbl>
    <w:p>
      <w:pPr>
        <w:jc w:val="both"/>
        <w:keepLines w:val="0"/>
        <w:keepNext w:val="0"/>
        <w:pageBreakBefore w:val="0"/>
        <w:spacing w:line="360" w:lineRule="auto"/>
        <w:widowControl w:val="off"/>
        <w:rPr>
          <w:rFonts w:hint="eastAsia" w:ascii="Times New Roman" w:hAnsi="Times New Roman" w:eastAsia="宋体" w:cstheme="minorEastAsia"/>
          <w:b w:val="0"/>
          <w:bCs/>
          <w:i w:val="0"/>
          <w:iCs w:val="0"/>
          <w:color w:val="auto"/>
          <w:sz w:val="21"/>
          <w:szCs w:val="21"/>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heme="minorEastAsia"/>
          <w:b w:val="0"/>
          <w:bCs/>
          <w:i w:val="0"/>
          <w:iCs w:val="0"/>
          <w:color w:val="auto"/>
          <w:sz w:val="21"/>
          <w:szCs w:val="21"/>
          <w:highlight w:val="none"/>
          <w:u w:val="none"/>
          <w:lang w:val="en-US" w:eastAsia="zh-CN"/>
        </w:rPr>
      </w:r>
      <w:r/>
    </w:p>
    <w:p>
      <w:pPr>
        <w:ind w:firstLine="422"/>
        <w:jc w:val="both"/>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bCs/>
          <w:color w:val="auto"/>
          <w:sz w:val="21"/>
          <w:szCs w:val="21"/>
          <w:highlight w:val="none"/>
          <w:lang w:val="en-US" w:eastAsia="zh-CN" w:bidi="ar-SA"/>
        </w:rPr>
      </w:r>
      <w:r/>
    </w:p>
    <w:p>
      <w:pPr>
        <w:numPr>
          <w:ilvl w:val="0"/>
          <w:numId w:val="0"/>
        </w:num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lang w:val="en-US" w:eastAsia="zh-CN" w:bidi="ar-SA"/>
        </w:rPr>
        <w:t xml:space="preserve">四、</w:t>
      </w:r>
      <w:r>
        <w:rPr>
          <w:rFonts w:hint="eastAsia" w:ascii="Times New Roman" w:hAnsi="Times New Roman" w:eastAsia="宋体" w:cs="宋体"/>
          <w:b/>
          <w:bCs/>
          <w:color w:val="auto"/>
          <w:sz w:val="21"/>
          <w:szCs w:val="21"/>
          <w:highlight w:val="none"/>
        </w:rPr>
        <w:t xml:space="preserve">商务要求</w:t>
      </w:r>
      <w:r/>
    </w:p>
    <w:p>
      <w:pPr>
        <w:numPr>
          <w:ilvl w:val="0"/>
          <w:numId w:val="0"/>
        </w:numPr>
        <w:ind w:firstLine="420"/>
        <w:keepLines w:val="0"/>
        <w:keepNext w:val="0"/>
        <w:pageBreakBefore w:val="0"/>
        <w:spacing w:line="360" w:lineRule="auto"/>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（一）报价要求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1、报价应包含与本次采购项目有关的所有费用。包含但不限于人员、设备、安装、调试、验收、售后服务、伴随配套服务等所有含税费用，以及供应商认为需要的其他费用等。</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2、供应商的任何错漏、优惠报价不得作为减轻责任、减少服务、增加收费、降低服务质量的理由。</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3、供应商报价除包含招标文件中列明的项目外，还应包括保障产品正常使用所需的全部辅材及配套服务。</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（二）实施要求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1、总体要求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（1）供应商中标后提供窗帘及金刚网纱窗安装日程计划。</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（2）供应商应及时与采购人联系，对本项目所有产品的规格尺寸、款式、颜色等要求进一步确认，得到采购人的签字盖章认可后方可生产，并确保产品质量。</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2、质量要求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所供产品必须是全新的合格产品，符合国家规定的质量标准，不得私自添加或更改，保证所有产品原材料及部件均是全新的产品，不得以废、旧材料制作，产品必须符合行业设计及采购人的品质、环保要求。交货时所有产品应完好，物品配件齐全，否则视为不合格产品。</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3、安全实施要求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供应商应采取安全措施，确保实施安全。因本项目实施产生的人员人身安全问题由供应商承担全部责任。</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4、验收要求</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（1）因产品质量或安装不当导致验收不合格，应及时处理直至验收合格，期间产生的一切费用由供应商承担；若二次验收不合格，采购人有权更换。</w:t>
      </w:r>
      <w:r/>
    </w:p>
    <w:p>
      <w:pPr>
        <w:ind w:firstLine="48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（2）安装完毕后，供应商主动配合采购人组织验收小组进行验收，如验收不合格，采购人有权更换产品，供应商承担采购人由此而造成的相关损失。</w:t>
      </w:r>
      <w:r/>
    </w:p>
    <w:p>
      <w:pPr>
        <w:ind w:firstLine="48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（三）质保及服务承诺</w:t>
      </w:r>
      <w:r/>
    </w:p>
    <w:p>
      <w:pPr>
        <w:ind w:firstLine="480"/>
        <w:spacing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1、安装和调试：中标供应商负责派人员到现场进行安装调试，直至验收合格；中标供应商应在货物运抵现场一周前，与采购人共同制定安装调试的进度计划表。</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2、技术培训：中标人应负责对采购人指定人员进行现场培训，直至采购人能完全操作和简单维修。</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3、售后服务要求</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质量保证（修）期：自验收合格后至少三年，所有产品及部件质保期内免费上门质保，质保期满后，中标人须提供最优惠的维修价格进行相关服务。</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（四）交付使用时间</w:t>
      </w:r>
      <w:r/>
    </w:p>
    <w:p>
      <w:pPr>
        <w:pStyle w:val="721"/>
        <w:numPr>
          <w:ilvl w:val="2"/>
          <w:numId w:val="0"/>
        </w:numPr>
        <w:ind w:firstLine="420"/>
        <w:spacing w:before="0" w:after="0" w:line="360" w:lineRule="auto"/>
        <w:rPr>
          <w:rFonts w:hint="eastAsia" w:ascii="宋体" w:hAnsi="宋体" w:eastAsia="宋体" w:cs="宋体"/>
          <w:b w:val="0"/>
          <w:bCs w:val="0"/>
          <w:i/>
          <w:iCs/>
          <w:color w:val="auto"/>
          <w:sz w:val="21"/>
          <w:szCs w:val="21"/>
        </w:rPr>
      </w:pPr>
      <w:r>
        <w:rPr>
          <w:rFonts w:hint="eastAsia" w:ascii="宋体" w:hAnsi="宋体" w:eastAsia="宋体" w:cs="宋体"/>
          <w:b w:val="0"/>
          <w:bCs w:val="0"/>
          <w:i/>
          <w:iCs/>
          <w:color w:val="auto"/>
          <w:sz w:val="21"/>
          <w:szCs w:val="21"/>
          <w:u w:val="single"/>
        </w:rPr>
        <w:t xml:space="preserve">合同签订后30个自然日内（除不可抗力、非乙方原因）完成供货、运输、安装、调试等直至交付采购人使用的所有内容，并调试成功</w:t>
      </w:r>
      <w:r>
        <w:rPr>
          <w:rFonts w:hint="eastAsia" w:ascii="宋体" w:hAnsi="宋体" w:eastAsia="宋体" w:cs="宋体"/>
          <w:i/>
          <w:iCs/>
          <w:color w:val="auto"/>
          <w:sz w:val="21"/>
          <w:szCs w:val="21"/>
          <w:u w:val="single"/>
        </w:rPr>
        <w:t xml:space="preserve">（提供承诺函，格式自拟，原件系统上传）</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（五）其他要求 </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本项目为交钥匙工程，项目包含货物制作（采购）、安装、施工、运输、调试验收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2、投标人应在投标文件中明确售后服务能力（包括交货期、保修期时限、售后服务、维护响应时间等）。</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3、采购人对所有供货产品进行抽样检测，若检测合格，相关检测费用由采购人承担。若检测不合格，相关检测费用由中标人承担，采购人有权终止合同，并退还其所有供货产品，相关损失由中标人自行承担。</w:t>
      </w:r>
      <w:r/>
    </w:p>
    <w:p>
      <w:pPr>
        <w:pStyle w:val="721"/>
        <w:numPr>
          <w:ilvl w:val="2"/>
          <w:numId w:val="0"/>
        </w:numPr>
        <w:ind w:firstLine="420"/>
        <w:spacing w:before="0" w:after="0" w:line="360" w:lineRule="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4、在货物运输、安装过程中如出现任何安全事故，责任由中标人承担。</w:t>
      </w:r>
      <w:r/>
    </w:p>
    <w:p>
      <w:pPr>
        <w:ind w:firstLine="42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5、信用承诺：投标人承诺按照招标文件要求提供的服务承诺及实施方案等是真实的，若技术指标、产品资料、服务承诺等与投标文件说明不符，</w:t>
      </w:r>
      <w:r>
        <w:rPr>
          <w:rFonts w:hint="eastAsia" w:ascii="宋体" w:hAnsi="宋体" w:eastAsia="宋体" w:cs="宋体"/>
          <w:color w:val="auto"/>
          <w:sz w:val="21"/>
          <w:szCs w:val="21"/>
        </w:rPr>
        <w:t xml:space="preserve">采购人</w:t>
      </w:r>
      <w:r>
        <w:rPr>
          <w:rFonts w:hint="eastAsia" w:ascii="宋体" w:hAnsi="宋体" w:eastAsia="宋体" w:cs="宋体"/>
          <w:color w:val="auto"/>
          <w:sz w:val="21"/>
          <w:szCs w:val="21"/>
          <w:lang w:val="en-US" w:eastAsia="zh-CN"/>
        </w:rPr>
        <w:t xml:space="preserve">将上报采购监管部门，按国家规定取消其中标资格或终止合同</w:t>
      </w:r>
      <w:r>
        <w:rPr>
          <w:rFonts w:hint="eastAsia" w:ascii="宋体" w:hAnsi="宋体" w:eastAsia="宋体" w:cs="宋体"/>
          <w:color w:val="auto"/>
          <w:sz w:val="21"/>
          <w:szCs w:val="21"/>
        </w:rPr>
        <w:t xml:space="preserve">。</w:t>
      </w:r>
      <w:r/>
    </w:p>
    <w:p>
      <w:pPr>
        <w:ind w:firstLine="42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（六）样品要求</w:t>
      </w:r>
      <w:r/>
    </w:p>
    <w:p>
      <w:pPr>
        <w:ind w:firstLine="42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1、样品：供应商在当天</w:t>
      </w:r>
      <w:r>
        <w:rPr>
          <w:rFonts w:hint="eastAsia" w:ascii="宋体" w:hAnsi="宋体" w:eastAsia="宋体" w:cs="宋体"/>
          <w:color w:val="auto"/>
          <w:sz w:val="21"/>
          <w:szCs w:val="21"/>
          <w:lang w:val="zh-CN"/>
        </w:rPr>
        <w:t xml:space="preserve">投标截止时间</w:t>
      </w:r>
      <w:r>
        <w:rPr>
          <w:rFonts w:hint="eastAsia" w:ascii="宋体" w:hAnsi="宋体" w:eastAsia="宋体" w:cs="宋体"/>
          <w:color w:val="auto"/>
          <w:sz w:val="21"/>
          <w:szCs w:val="21"/>
        </w:rPr>
        <w:t xml:space="preserve">前须同时按技术参数要求提供样品参加投标。</w:t>
      </w:r>
      <w:r/>
    </w:p>
    <w:p>
      <w:pPr>
        <w:pStyle w:val="737"/>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2、样品送达时间:样品须在开标当天</w:t>
      </w:r>
      <w:r>
        <w:rPr>
          <w:rFonts w:hint="eastAsia" w:ascii="宋体" w:hAnsi="宋体" w:eastAsia="宋体" w:cs="宋体"/>
          <w:color w:val="auto"/>
          <w:sz w:val="21"/>
          <w:szCs w:val="21"/>
          <w:lang w:val="zh-CN"/>
        </w:rPr>
        <w:t xml:space="preserve">投标截止时间</w:t>
      </w:r>
      <w:r>
        <w:rPr>
          <w:rFonts w:hint="eastAsia" w:ascii="宋体" w:hAnsi="宋体" w:eastAsia="宋体" w:cs="宋体"/>
          <w:color w:val="auto"/>
          <w:sz w:val="21"/>
          <w:szCs w:val="21"/>
        </w:rPr>
        <w:t xml:space="preserve">前送至扬州市邗江区翠岗路48号江苏苏维工程管理有限公司二楼样品室，逾期不予接收。</w:t>
      </w:r>
      <w:r>
        <w:rPr>
          <w:rFonts w:hint="eastAsia" w:ascii="宋体" w:hAnsi="宋体" w:eastAsia="宋体" w:cs="宋体"/>
          <w:color w:val="auto"/>
          <w:sz w:val="21"/>
          <w:szCs w:val="21"/>
          <w:lang w:val="zh-CN"/>
        </w:rPr>
        <w:t xml:space="preserve">由代理单位人员统一编号。</w:t>
      </w:r>
      <w:r/>
    </w:p>
    <w:p>
      <w:pPr>
        <w:pStyle w:val="737"/>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3、样品费用:样品的制作、运输、安装、退场等费用均由投标人承担。</w:t>
      </w:r>
      <w:r/>
    </w:p>
    <w:p>
      <w:pPr>
        <w:pStyle w:val="737"/>
        <w:ind w:firstLine="42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4、样品标识:所有样品都不应含有或隐去或遮挡投标人单位名称、品牌、商标等能标明具体投标人的标识。</w:t>
      </w:r>
      <w:r/>
    </w:p>
    <w:p>
      <w:pPr>
        <w:ind w:firstLine="42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样品退场:采购活动结束后，未中标人的样品，由投标人1个工作日内及时取回;中标人的样品，应按采购人要求送至指定位置，由采购人进行封存保管，并作为履约验收的参考。若投标人未及时取回，代理机构不负有保管责任。</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theme="minorEastAsia"/>
          <w:b/>
          <w:color w:val="auto"/>
          <w:sz w:val="21"/>
          <w:szCs w:val="21"/>
          <w:highlight w:val="none"/>
          <w:lang w:val="en-US" w:eastAsia="zh-CN"/>
        </w:rPr>
        <w:t xml:space="preserve">五</w:t>
      </w:r>
      <w:r>
        <w:rPr>
          <w:rFonts w:hint="eastAsia" w:ascii="Times New Roman" w:hAnsi="Times New Roman" w:eastAsia="宋体" w:cstheme="minorEastAsia"/>
          <w:b/>
          <w:color w:val="auto"/>
          <w:sz w:val="21"/>
          <w:szCs w:val="21"/>
          <w:highlight w:val="none"/>
          <w:lang w:eastAsia="zh-CN"/>
        </w:rPr>
        <w:t xml:space="preserve">、</w:t>
      </w:r>
      <w:r>
        <w:rPr>
          <w:rFonts w:hint="eastAsia" w:ascii="Times New Roman" w:hAnsi="Times New Roman" w:eastAsia="宋体" w:cs="宋体"/>
          <w:b/>
          <w:color w:val="auto"/>
          <w:szCs w:val="21"/>
          <w:highlight w:val="none"/>
        </w:rPr>
        <w:t xml:space="preserve">节能产品要求</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的产品，各投标人应当提供获得国家确定的认证机构出具的、有效期之内的节能产品认证证书的产品，上述品目清单可通过“中国政府采购网”（</w:t>
      </w:r>
      <w:r>
        <w:rPr>
          <w:rFonts w:hint="eastAsia" w:ascii="Times New Roman" w:hAnsi="Times New Roman" w:eastAsia="宋体" w:cs="宋体"/>
          <w:iCs/>
          <w:color w:val="auto"/>
          <w:szCs w:val="21"/>
          <w:highlight w:val="none"/>
          <w:lang w:val="en-US" w:eastAsia="zh-CN"/>
        </w:rPr>
        <w:t xml:space="preserve">http:</w:t>
      </w:r>
      <w:r>
        <w:rPr>
          <w:rFonts w:hint="eastAsia" w:ascii="Times New Roman" w:hAnsi="Times New Roman" w:eastAsia="宋体" w:cs="宋体"/>
          <w:iCs/>
          <w:color w:val="auto"/>
          <w:szCs w:val="21"/>
          <w:highlight w:val="none"/>
        </w:rPr>
        <w:t xml:space="preserve">//www.ccgp.gov.cn/zcfg/mof/201904/t20190403_11849836.htm）查询，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w:t>
      </w:r>
      <w:r>
        <w:rPr>
          <w:rFonts w:hint="eastAsia" w:ascii="Times New Roman" w:hAnsi="Times New Roman" w:eastAsia="宋体" w:cs="宋体"/>
          <w:i/>
          <w:iCs/>
          <w:color w:val="auto"/>
          <w:szCs w:val="21"/>
          <w:highlight w:val="none"/>
          <w:u w:val="single"/>
          <w:lang w:eastAsia="zh-CN"/>
        </w:rPr>
        <w:t xml:space="preserve">（</w:t>
      </w:r>
      <w:r>
        <w:rPr>
          <w:rFonts w:hint="eastAsia" w:ascii="Times New Roman" w:hAnsi="Times New Roman" w:eastAsia="宋体" w:cs="宋体"/>
          <w:i/>
          <w:iCs/>
          <w:color w:val="auto"/>
          <w:szCs w:val="21"/>
          <w:highlight w:val="none"/>
          <w:u w:val="single"/>
        </w:rPr>
        <w:t xml:space="preserve">原件，扫描上传，否则视为无效投标。（本项目涉及强制采购范围内产品有：</w:t>
      </w:r>
      <w:r>
        <w:rPr>
          <w:rFonts w:hint="eastAsia" w:ascii="Times New Roman" w:hAnsi="Times New Roman" w:eastAsia="宋体"/>
          <w:b/>
          <w:bCs/>
          <w:i/>
          <w:iCs/>
          <w:color w:val="auto"/>
          <w:szCs w:val="21"/>
          <w:highlight w:val="none"/>
          <w:u w:val="single"/>
          <w:lang w:val="en-US" w:eastAsia="zh-CN"/>
        </w:rPr>
        <w:t xml:space="preserve">无</w:t>
      </w:r>
      <w:r>
        <w:rPr>
          <w:rFonts w:hint="eastAsia" w:ascii="Times New Roman" w:hAnsi="Times New Roman" w:eastAsia="宋体" w:cs="宋体"/>
          <w:i/>
          <w:iCs/>
          <w:color w:val="auto"/>
          <w:szCs w:val="21"/>
          <w:highlight w:val="none"/>
          <w:u w:val="single"/>
        </w:rPr>
        <w:t xml:space="preserve">）</w:t>
      </w:r>
      <w:r/>
    </w:p>
    <w:p>
      <w:pPr>
        <w:ind w:firstLine="420"/>
        <w:jc w:val="left"/>
        <w:keepLines w:val="0"/>
        <w:keepNext w:val="0"/>
        <w:pageBreakBefore w:val="0"/>
        <w:spacing w:line="360" w:lineRule="auto"/>
        <w:widowControl w:val="off"/>
        <w:rPr>
          <w:rFonts w:hint="eastAsia" w:ascii="Times New Roman" w:hAnsi="Times New Roman" w:eastAsia="宋体" w:cs="宋体"/>
          <w:i w:val="0"/>
          <w:iCs w:val="0"/>
          <w:color w:val="auto"/>
          <w:szCs w:val="21"/>
          <w:highlight w:val="none"/>
          <w:u w:val="none"/>
        </w:rPr>
      </w:pPr>
      <w:r>
        <w:rPr>
          <w:rFonts w:hint="eastAsia" w:ascii="Times New Roman" w:hAnsi="Times New Roman" w:eastAsia="宋体" w:cs="宋体"/>
          <w:i w:val="0"/>
          <w:iCs w:val="0"/>
          <w:color w:val="auto"/>
          <w:szCs w:val="21"/>
          <w:highlight w:val="none"/>
          <w:u w:val="none"/>
        </w:rPr>
      </w:r>
      <w:r/>
    </w:p>
    <w:p>
      <w:pPr>
        <w:pStyle w:val="970"/>
        <w:jc w:val="center"/>
        <w:pageBreakBefore w:val="0"/>
        <w:spacing w:before="0" w:after="0" w:line="360" w:lineRule="auto"/>
        <w:rPr>
          <w:rFonts w:hint="eastAsia" w:ascii="Times New Roman" w:hAnsi="Times New Roman" w:eastAsia="宋体" w:cs="宋体"/>
          <w:i w:val="0"/>
          <w:iCs w:val="0"/>
          <w:color w:val="auto"/>
          <w:sz w:val="36"/>
          <w:highlight w:val="none"/>
          <w:u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i w:val="0"/>
          <w:iCs w:val="0"/>
          <w:color w:val="auto"/>
          <w:sz w:val="36"/>
          <w:highlight w:val="none"/>
          <w:u w:val="none"/>
        </w:rPr>
      </w:r>
      <w:r/>
    </w:p>
    <w:p>
      <w:pPr>
        <w:pStyle w:val="719"/>
        <w:pageBreakBefore w:val="0"/>
        <w:spacing w:line="360" w:lineRule="auto"/>
        <w:rPr>
          <w:rFonts w:ascii="Times New Roman" w:hAnsi="Times New Roman" w:eastAsia="宋体"/>
          <w:color w:val="auto"/>
          <w:highlight w:val="none"/>
        </w:rPr>
      </w:pPr>
      <w:r/>
      <w:bookmarkStart w:id="81" w:name="_Toc821"/>
      <w:r/>
      <w:bookmarkStart w:id="82" w:name="_Toc19571"/>
      <w:r/>
      <w:bookmarkStart w:id="83" w:name="_Toc9033"/>
      <w:r/>
      <w:bookmarkStart w:id="84" w:name="_Toc14859"/>
      <w:r/>
      <w:bookmarkStart w:id="85" w:name="_Toc10862"/>
      <w:r/>
      <w:bookmarkStart w:id="86" w:name="_Toc6620"/>
      <w:r>
        <w:rPr>
          <w:rFonts w:hint="eastAsia" w:ascii="Times New Roman" w:hAnsi="Times New Roman" w:eastAsia="宋体"/>
          <w:color w:val="auto"/>
          <w:highlight w:val="none"/>
        </w:rPr>
        <w:t xml:space="preserve">第五章 评标方法及评标标准</w:t>
      </w:r>
      <w:bookmarkEnd w:id="80"/>
      <w:r/>
      <w:bookmarkEnd w:id="81"/>
      <w:r/>
      <w:bookmarkEnd w:id="82"/>
      <w:r/>
      <w:bookmarkEnd w:id="83"/>
      <w:r/>
      <w:bookmarkEnd w:id="84"/>
      <w:r/>
      <w:bookmarkEnd w:id="85"/>
      <w:r/>
      <w:bookmarkEnd w:id="86"/>
      <w:r/>
      <w:r/>
    </w:p>
    <w:p>
      <w:pPr>
        <w:pStyle w:val="781"/>
        <w:ind w:firstLine="422"/>
        <w:keepLines w:val="0"/>
        <w:keepNext w:val="0"/>
        <w:pageBreakBefore w:val="0"/>
        <w:spacing w:before="0" w:after="0" w:line="360" w:lineRule="auto"/>
        <w:widowControl w:val="off"/>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一、评标方法</w:t>
      </w:r>
      <w:r/>
    </w:p>
    <w:p>
      <w:pPr>
        <w:pStyle w:val="781"/>
        <w:ind w:firstLine="420"/>
        <w:keepLines w:val="0"/>
        <w:keepNext w:val="0"/>
        <w:pageBreakBefore w:val="0"/>
        <w:spacing w:before="0" w:after="0" w:line="360" w:lineRule="auto"/>
        <w:widowControl w:val="off"/>
        <w:rPr>
          <w:rFonts w:hint="eastAsia" w:ascii="Times New Roman" w:hAnsi="Times New Roman" w:eastAsia="宋体" w:cs="宋体"/>
          <w:color w:val="auto"/>
          <w:sz w:val="21"/>
          <w:szCs w:val="21"/>
          <w:highlight w:val="none"/>
        </w:rPr>
      </w:pPr>
      <w:r/>
      <w:bookmarkStart w:id="87" w:name="_Toc449017024"/>
      <w:r/>
      <w:bookmarkStart w:id="88" w:name="_Toc449016388"/>
      <w:r>
        <w:rPr>
          <w:rFonts w:hint="eastAsia" w:ascii="Times New Roman" w:hAnsi="Times New Roman" w:eastAsia="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二、政府采购政策功能落实</w:t>
      </w:r>
      <w:bookmarkEnd w:id="87"/>
      <w:r/>
      <w:bookmarkEnd w:id="88"/>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81"/>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781"/>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781"/>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781"/>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78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81"/>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781"/>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781"/>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78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78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8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781"/>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78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781"/>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、采购本国产品的支持政策</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.1 本项目政府采购活动中既有本国产品又有非本国产品参与竞争的，依法对本国产品给予价格评审优惠，对本国产品的报价给予 20%的价格扣除，用扣除后的价格参与评审。</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.3 供应商需按照招标文件的要求提供《关于符合本国产品标准的声明函》（以下简称《声明函》），如不提供将不享受本国产品价格评审优惠。</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keepLines w:val="0"/>
        <w:keepNext w:val="0"/>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t xml:space="preserve">三、评标标准</w:t>
      </w:r>
      <w:r/>
    </w:p>
    <w:tbl>
      <w:tblPr>
        <w:tblStyle w:val="729"/>
        <w:tblW w:w="498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1"/>
        <w:gridCol w:w="1294"/>
        <w:gridCol w:w="6536"/>
      </w:tblGrid>
      <w:tr>
        <w:trPr>
          <w:jc w:val="center"/>
          <w:trHeight w:val="562"/>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0" w:lineRule="atLeast"/>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序号</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0" w:lineRule="atLeast"/>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评审项目</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jc w:val="center"/>
              <w:spacing w:line="0" w:lineRule="atLeast"/>
              <w:rPr>
                <w:rFonts w:hint="eastAsia" w:ascii="宋体" w:hAnsi="宋体" w:eastAsia="宋体" w:cs="宋体"/>
                <w:b/>
                <w:color w:val="auto"/>
                <w:sz w:val="21"/>
                <w:szCs w:val="21"/>
              </w:rPr>
            </w:pPr>
            <w:r>
              <w:rPr>
                <w:rFonts w:hint="eastAsia" w:ascii="宋体" w:hAnsi="宋体" w:eastAsia="宋体" w:cs="宋体"/>
                <w:b/>
                <w:color w:val="auto"/>
                <w:sz w:val="21"/>
                <w:szCs w:val="21"/>
                <w:lang w:bidi="ar"/>
              </w:rPr>
              <w:t xml:space="preserve">评分标准说明</w:t>
            </w:r>
            <w:r/>
          </w:p>
        </w:tc>
      </w:tr>
      <w:tr>
        <w:trPr>
          <w:jc w:val="center"/>
          <w:trHeight w:val="1091"/>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spacing w:line="0" w:lineRule="atLeas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1</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0" w:lineRule="atLeas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价格分</w:t>
            </w:r>
            <w:r/>
          </w:p>
          <w:p>
            <w:pPr>
              <w:jc w:val="center"/>
              <w:spacing w:line="0" w:lineRule="atLeas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（30分）</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采用低价优先法计算，即满足招标文件要求且投标价格最低的投标报价为评标基准价，其价格分为满分30分。</w:t>
            </w:r>
            <w:r/>
          </w:p>
          <w:p>
            <w:pPr>
              <w:ind w:left="0" w:right="0" w:firstLine="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其他投标人的价格分统一按照下列公式计算：</w:t>
            </w:r>
            <w:r/>
          </w:p>
          <w:p>
            <w:pPr>
              <w:pStyle w:val="1029"/>
              <w:spacing w:line="360" w:lineRule="auto"/>
              <w:rPr>
                <w:rFonts w:hint="eastAsia" w:ascii="宋体" w:hAnsi="宋体" w:eastAsia="宋体" w:cs="宋体"/>
                <w:color w:val="auto"/>
                <w:sz w:val="21"/>
                <w:szCs w:val="21"/>
              </w:rPr>
            </w:pPr>
            <w:r>
              <w:rPr>
                <w:rFonts w:ascii="Times New Roman" w:hAnsi="Times New Roman" w:eastAsia="宋体" w:cs="宋体"/>
                <w:color w:val="auto"/>
                <w:sz w:val="21"/>
                <w:szCs w:val="21"/>
                <w:highlight w:val="none"/>
              </w:rPr>
              <w:t xml:space="preserve">投标报价得分=（评标基准价/投标报价）×30（小数点保留两位）。</w:t>
            </w:r>
            <w:r/>
          </w:p>
        </w:tc>
      </w:tr>
      <w:tr>
        <w:trPr>
          <w:jc w:val="center"/>
          <w:trHeight w:val="90"/>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认证证书</w:t>
            </w:r>
            <w:r/>
          </w:p>
          <w:p>
            <w:pPr>
              <w:jc w:val="center"/>
              <w:widowControl/>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rPr>
                <w:rFonts w:hint="eastAsia" w:ascii="宋体" w:hAnsi="宋体" w:cs="宋体"/>
                <w:color w:val="auto"/>
                <w:sz w:val="21"/>
                <w:szCs w:val="21"/>
                <w:lang w:val="en-US" w:eastAsia="zh-CN" w:bidi="ar"/>
              </w:rPr>
              <w:t xml:space="preserve">4</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numPr>
                <w:ilvl w:val="0"/>
                <w:numId w:val="0"/>
              </w:numPr>
              <w:ind w:left="0" w:firstLine="210"/>
              <w:jc w:val="left"/>
              <w:spacing w:line="360" w:lineRule="auto"/>
              <w:widowControl/>
              <w:rPr>
                <w:rFonts w:hint="eastAsia" w:ascii="宋体" w:hAnsi="宋体" w:eastAsia="宋体" w:cs="宋体"/>
                <w:b/>
                <w:bCs/>
                <w:color w:val="auto"/>
                <w:sz w:val="21"/>
                <w:szCs w:val="21"/>
                <w:lang w:bidi="ar"/>
              </w:rPr>
            </w:pPr>
            <w:r>
              <w:rPr>
                <w:rFonts w:hint="eastAsia" w:ascii="宋体" w:hAnsi="宋体" w:eastAsia="宋体" w:cs="宋体"/>
                <w:b w:val="0"/>
                <w:bCs w:val="0"/>
                <w:color w:val="auto"/>
                <w:sz w:val="21"/>
                <w:szCs w:val="21"/>
                <w:lang w:val="en-US" w:eastAsia="zh-CN" w:bidi="ar"/>
              </w:rPr>
              <w:t xml:space="preserve">1、</w:t>
            </w:r>
            <w:r>
              <w:rPr>
                <w:rFonts w:hint="eastAsia" w:ascii="宋体" w:hAnsi="宋体" w:eastAsia="宋体" w:cs="宋体"/>
                <w:color w:val="auto"/>
                <w:sz w:val="21"/>
                <w:szCs w:val="21"/>
                <w:lang w:bidi="ar"/>
              </w:rPr>
              <w:t xml:space="preserve">投标人具有</w:t>
            </w:r>
            <w:r>
              <w:rPr>
                <w:rFonts w:hint="eastAsia" w:ascii="宋体" w:hAnsi="宋体" w:eastAsia="宋体" w:cs="宋体"/>
                <w:color w:val="auto"/>
                <w:sz w:val="21"/>
                <w:szCs w:val="21"/>
                <w:lang w:bidi="ar"/>
              </w:rPr>
              <w:t xml:space="preserve">有效的</w:t>
            </w:r>
            <w:r>
              <w:rPr>
                <w:rFonts w:hint="eastAsia" w:ascii="宋体" w:hAnsi="宋体" w:eastAsia="宋体" w:cs="宋体"/>
                <w:color w:val="auto"/>
                <w:sz w:val="21"/>
                <w:szCs w:val="21"/>
                <w:lang w:bidi="ar"/>
              </w:rPr>
              <w:t xml:space="preserve">质量管理体系认证证书</w:t>
            </w:r>
            <w:r>
              <w:rPr>
                <w:rFonts w:hint="eastAsia" w:ascii="宋体" w:hAnsi="宋体" w:eastAsia="宋体" w:cs="宋体"/>
                <w:color w:val="auto"/>
                <w:sz w:val="21"/>
                <w:szCs w:val="21"/>
                <w:lang w:bidi="ar"/>
              </w:rPr>
              <w:t xml:space="preserve">，得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w:t>
            </w:r>
            <w:r>
              <w:rPr>
                <w:rFonts w:hint="eastAsia" w:ascii="宋体" w:hAnsi="宋体" w:eastAsia="宋体" w:cs="宋体"/>
                <w:color w:val="auto"/>
                <w:sz w:val="21"/>
                <w:szCs w:val="21"/>
                <w:lang w:bidi="ar"/>
              </w:rPr>
              <w:t xml:space="preserve">，没有不得分。</w:t>
            </w:r>
            <w:r>
              <w:rPr>
                <w:rFonts w:hint="eastAsia" w:ascii="宋体" w:hAnsi="宋体" w:cs="宋体"/>
                <w:b/>
                <w:bCs/>
                <w:color w:val="auto"/>
                <w:sz w:val="21"/>
                <w:szCs w:val="21"/>
                <w:lang w:eastAsia="zh-CN" w:bidi="ar"/>
              </w:rPr>
              <w:t xml:space="preserve">（</w:t>
            </w:r>
            <w:r>
              <w:rPr>
                <w:rFonts w:hint="eastAsia" w:ascii="宋体" w:hAnsi="宋体" w:cs="宋体"/>
                <w:b/>
                <w:bCs/>
                <w:color w:val="auto"/>
                <w:sz w:val="21"/>
                <w:szCs w:val="21"/>
                <w:lang w:val="en-US" w:eastAsia="zh-CN" w:bidi="ar"/>
              </w:rPr>
              <w:t xml:space="preserve">提供证书原件，扫描上传</w:t>
            </w:r>
            <w:r>
              <w:rPr>
                <w:rFonts w:hint="eastAsia" w:ascii="宋体" w:hAnsi="宋体" w:cs="宋体"/>
                <w:b/>
                <w:bCs/>
                <w:color w:val="auto"/>
                <w:sz w:val="21"/>
                <w:szCs w:val="21"/>
                <w:lang w:eastAsia="zh-CN" w:bidi="ar"/>
              </w:rPr>
              <w:t xml:space="preserve">）</w:t>
            </w:r>
            <w:r/>
          </w:p>
          <w:p>
            <w:pPr>
              <w:numPr>
                <w:ilvl w:val="0"/>
                <w:numId w:val="0"/>
              </w:numPr>
              <w:ind w:left="0" w:firstLine="210"/>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2、</w:t>
            </w:r>
            <w:r>
              <w:rPr>
                <w:rFonts w:hint="eastAsia" w:ascii="宋体" w:hAnsi="宋体" w:eastAsia="宋体" w:cs="宋体"/>
                <w:color w:val="auto"/>
                <w:sz w:val="21"/>
                <w:szCs w:val="21"/>
                <w:lang w:bidi="ar"/>
              </w:rPr>
              <w:t xml:space="preserve">投标人具有</w:t>
            </w:r>
            <w:r>
              <w:rPr>
                <w:rFonts w:hint="eastAsia" w:ascii="宋体" w:hAnsi="宋体" w:eastAsia="宋体" w:cs="宋体"/>
                <w:color w:val="auto"/>
                <w:sz w:val="21"/>
                <w:szCs w:val="21"/>
                <w:lang w:bidi="ar"/>
              </w:rPr>
              <w:t xml:space="preserve">有效的</w:t>
            </w:r>
            <w:r>
              <w:rPr>
                <w:rFonts w:hint="eastAsia" w:ascii="宋体" w:hAnsi="宋体" w:eastAsia="宋体" w:cs="宋体"/>
                <w:color w:val="auto"/>
                <w:sz w:val="21"/>
                <w:szCs w:val="21"/>
                <w:lang w:bidi="ar"/>
              </w:rPr>
              <w:t xml:space="preserve">商品售后服务认证证书，</w:t>
            </w:r>
            <w:r>
              <w:rPr>
                <w:rFonts w:hint="eastAsia" w:ascii="宋体" w:hAnsi="宋体" w:eastAsia="宋体" w:cs="宋体"/>
                <w:color w:val="auto"/>
                <w:sz w:val="21"/>
                <w:szCs w:val="21"/>
                <w:lang w:bidi="ar"/>
              </w:rPr>
              <w:t xml:space="preserve">得</w:t>
            </w:r>
            <w:r>
              <w:rPr>
                <w:rFonts w:hint="eastAsia" w:ascii="宋体" w:hAnsi="宋体" w:cs="宋体"/>
                <w:color w:val="auto"/>
                <w:sz w:val="21"/>
                <w:szCs w:val="21"/>
                <w:lang w:val="en-US" w:eastAsia="zh-CN" w:bidi="ar"/>
              </w:rPr>
              <w:t xml:space="preserve">1</w:t>
            </w:r>
            <w:r>
              <w:rPr>
                <w:rFonts w:hint="eastAsia" w:ascii="宋体" w:hAnsi="宋体" w:eastAsia="宋体" w:cs="宋体"/>
                <w:color w:val="auto"/>
                <w:sz w:val="21"/>
                <w:szCs w:val="21"/>
                <w:lang w:bidi="ar"/>
              </w:rPr>
              <w:t xml:space="preserve">分，</w:t>
            </w:r>
            <w:r>
              <w:rPr>
                <w:rFonts w:hint="eastAsia" w:ascii="宋体" w:hAnsi="宋体" w:eastAsia="宋体" w:cs="宋体"/>
                <w:color w:val="auto"/>
                <w:sz w:val="21"/>
                <w:szCs w:val="21"/>
                <w:lang w:bidi="ar"/>
              </w:rPr>
              <w:t xml:space="preserve">没有不得分。</w:t>
            </w:r>
            <w:r>
              <w:rPr>
                <w:rFonts w:hint="eastAsia" w:ascii="宋体" w:hAnsi="宋体" w:cs="宋体"/>
                <w:b/>
                <w:bCs/>
                <w:color w:val="auto"/>
                <w:sz w:val="21"/>
                <w:szCs w:val="21"/>
                <w:lang w:eastAsia="zh-CN" w:bidi="ar"/>
              </w:rPr>
              <w:t xml:space="preserve">（</w:t>
            </w:r>
            <w:r>
              <w:rPr>
                <w:rFonts w:hint="eastAsia" w:ascii="宋体" w:hAnsi="宋体" w:cs="宋体"/>
                <w:b/>
                <w:bCs/>
                <w:color w:val="auto"/>
                <w:sz w:val="21"/>
                <w:szCs w:val="21"/>
                <w:lang w:val="en-US" w:eastAsia="zh-CN" w:bidi="ar"/>
              </w:rPr>
              <w:t xml:space="preserve">提供证书原件，扫描上传</w:t>
            </w:r>
            <w:r>
              <w:rPr>
                <w:rFonts w:hint="eastAsia" w:ascii="宋体" w:hAnsi="宋体" w:cs="宋体"/>
                <w:b/>
                <w:bCs/>
                <w:color w:val="auto"/>
                <w:sz w:val="21"/>
                <w:szCs w:val="21"/>
                <w:lang w:eastAsia="zh-CN" w:bidi="ar"/>
              </w:rPr>
              <w:t xml:space="preserve">）</w:t>
            </w:r>
            <w:r/>
          </w:p>
          <w:p>
            <w:pPr>
              <w:numPr>
                <w:ilvl w:val="0"/>
                <w:numId w:val="0"/>
              </w:numPr>
              <w:ind w:left="0" w:firstLine="210"/>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投标人拟投入本项目人员具备有效的特种作业操作证(类别含高处作业)，得2分；无相关操作证书的不得分</w:t>
            </w:r>
            <w:r>
              <w:rPr>
                <w:rFonts w:hint="eastAsia" w:ascii="宋体" w:hAnsi="宋体" w:eastAsia="宋体" w:cs="宋体"/>
                <w:b/>
                <w:bCs/>
                <w:color w:val="auto"/>
                <w:sz w:val="21"/>
                <w:szCs w:val="21"/>
                <w:lang w:bidi="ar"/>
              </w:rPr>
              <w:t xml:space="preserve">（提供</w:t>
            </w:r>
            <w:r>
              <w:rPr>
                <w:rFonts w:hint="eastAsia" w:ascii="宋体" w:hAnsi="宋体" w:cs="宋体"/>
                <w:b/>
                <w:bCs/>
                <w:color w:val="auto"/>
                <w:sz w:val="21"/>
                <w:szCs w:val="21"/>
                <w:lang w:val="en-US" w:eastAsia="zh-CN" w:bidi="ar"/>
              </w:rPr>
              <w:t xml:space="preserve">证书和</w:t>
            </w:r>
            <w:r>
              <w:rPr>
                <w:rFonts w:hint="eastAsia" w:ascii="宋体" w:hAnsi="宋体" w:eastAsia="宋体" w:cs="宋体"/>
                <w:b/>
                <w:bCs/>
                <w:color w:val="auto"/>
                <w:sz w:val="21"/>
                <w:szCs w:val="21"/>
                <w:lang w:bidi="ar"/>
              </w:rPr>
              <w:t xml:space="preserve">持证人近三月内任意一个月社保证明</w:t>
            </w:r>
            <w:r>
              <w:rPr>
                <w:rFonts w:hint="eastAsia" w:ascii="宋体" w:hAnsi="宋体" w:cs="宋体"/>
                <w:b/>
                <w:bCs/>
                <w:color w:val="auto"/>
                <w:sz w:val="21"/>
                <w:szCs w:val="21"/>
                <w:lang w:eastAsia="zh-CN" w:bidi="ar"/>
              </w:rPr>
              <w:t xml:space="preserve">，</w:t>
            </w:r>
            <w:r>
              <w:rPr>
                <w:rFonts w:hint="eastAsia" w:ascii="宋体" w:hAnsi="宋体" w:eastAsia="宋体" w:cs="宋体"/>
                <w:b/>
                <w:bCs/>
                <w:color w:val="auto"/>
                <w:sz w:val="21"/>
                <w:szCs w:val="21"/>
                <w:lang w:val="en-US" w:eastAsia="zh-CN" w:bidi="ar"/>
              </w:rPr>
              <w:t xml:space="preserve">原件扫描上传</w:t>
            </w:r>
            <w:r>
              <w:rPr>
                <w:rFonts w:hint="eastAsia" w:ascii="宋体" w:hAnsi="宋体" w:eastAsia="宋体" w:cs="宋体"/>
                <w:b/>
                <w:bCs/>
                <w:color w:val="auto"/>
                <w:sz w:val="21"/>
                <w:szCs w:val="21"/>
                <w:lang w:bidi="ar"/>
              </w:rPr>
              <w:t xml:space="preserve">）。</w:t>
            </w:r>
            <w:r/>
          </w:p>
        </w:tc>
      </w:tr>
      <w:tr>
        <w:trPr>
          <w:jc w:val="center"/>
          <w:trHeight w:val="1021"/>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3</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widowControl/>
              <w:rPr>
                <w:rFonts w:hint="eastAsia" w:ascii="宋体" w:hAnsi="宋体" w:eastAsia="宋体" w:cs="宋体"/>
                <w:bCs/>
                <w:color w:val="auto"/>
                <w:sz w:val="21"/>
                <w:szCs w:val="21"/>
                <w:lang w:bidi="ar"/>
              </w:rPr>
            </w:pPr>
            <w:r>
              <w:rPr>
                <w:rFonts w:hint="eastAsia" w:ascii="宋体" w:hAnsi="宋体" w:eastAsia="宋体" w:cs="宋体"/>
                <w:bCs/>
                <w:color w:val="auto"/>
                <w:sz w:val="21"/>
                <w:szCs w:val="21"/>
                <w:lang w:bidi="ar"/>
              </w:rPr>
              <w:t xml:space="preserve">样品</w:t>
            </w:r>
            <w:r/>
          </w:p>
          <w:p>
            <w:pPr>
              <w:jc w:val="center"/>
              <w:widowControl/>
              <w:rPr>
                <w:rFonts w:hint="eastAsia" w:ascii="宋体" w:hAnsi="宋体" w:eastAsia="宋体" w:cs="宋体"/>
                <w:bCs/>
                <w:color w:val="auto"/>
                <w:sz w:val="21"/>
                <w:szCs w:val="21"/>
                <w:lang w:bidi="ar"/>
              </w:rPr>
            </w:pPr>
            <w:r>
              <w:rPr>
                <w:rFonts w:hint="eastAsia" w:ascii="宋体" w:hAnsi="宋体" w:eastAsia="宋体" w:cs="宋体"/>
                <w:bCs/>
                <w:color w:val="auto"/>
                <w:sz w:val="21"/>
                <w:szCs w:val="21"/>
                <w:lang w:bidi="ar"/>
              </w:rPr>
              <w:t xml:space="preserve">（22分）</w:t>
            </w:r>
            <w:r/>
          </w:p>
        </w:tc>
        <w:tc>
          <w:tcPr>
            <w:tcBorders>
              <w:top w:val="single" w:color="auto" w:sz="4" w:space="0"/>
              <w:left w:val="single" w:color="auto" w:sz="4" w:space="0"/>
              <w:bottom w:val="single" w:color="auto" w:sz="4" w:space="0"/>
              <w:right w:val="single" w:color="auto" w:sz="4" w:space="0"/>
            </w:tcBorders>
            <w:tcW w:w="3850" w:type="pct"/>
            <w:vAlign w:val="top"/>
            <w:textDirection w:val="lrTb"/>
            <w:noWrap w:val="false"/>
          </w:tcPr>
          <w:p>
            <w:pPr>
              <w:ind w:firstLine="210"/>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评委根据投标人提供的样品打分（未提供样品的</w:t>
            </w:r>
            <w:r>
              <w:rPr>
                <w:rFonts w:hint="eastAsia" w:ascii="宋体" w:hAnsi="宋体" w:cs="宋体"/>
                <w:bCs/>
                <w:color w:val="auto"/>
                <w:sz w:val="21"/>
                <w:szCs w:val="21"/>
                <w:lang w:eastAsia="zh-CN"/>
              </w:rPr>
              <w:t xml:space="preserve">，</w:t>
            </w:r>
            <w:r>
              <w:rPr>
                <w:rFonts w:hint="eastAsia" w:ascii="宋体" w:hAnsi="宋体" w:cs="宋体"/>
                <w:bCs/>
                <w:color w:val="auto"/>
                <w:sz w:val="21"/>
                <w:szCs w:val="21"/>
                <w:lang w:val="en-US" w:eastAsia="zh-CN"/>
              </w:rPr>
              <w:t xml:space="preserve">对应项</w:t>
            </w:r>
            <w:r>
              <w:rPr>
                <w:rFonts w:hint="eastAsia" w:ascii="宋体" w:hAnsi="宋体" w:eastAsia="宋体" w:cs="宋体"/>
                <w:bCs/>
                <w:color w:val="auto"/>
                <w:sz w:val="21"/>
                <w:szCs w:val="21"/>
              </w:rPr>
              <w:t xml:space="preserve">不得分）</w:t>
            </w:r>
            <w:r>
              <w:rPr>
                <w:rFonts w:hint="eastAsia" w:ascii="宋体" w:hAnsi="宋体" w:eastAsia="宋体" w:cs="宋体"/>
                <w:bCs/>
                <w:color w:val="auto"/>
                <w:sz w:val="21"/>
                <w:szCs w:val="21"/>
              </w:rPr>
              <w:t xml:space="preserve">：</w:t>
            </w:r>
            <w:r/>
          </w:p>
          <w:p>
            <w:pPr>
              <w:numPr>
                <w:ilvl w:val="0"/>
                <w:numId w:val="0"/>
              </w:numPr>
              <w:ind w:left="0" w:firstLine="0"/>
              <w:jc w:val="left"/>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SA"/>
              </w:rPr>
              <w:t xml:space="preserve">1、</w:t>
            </w:r>
            <w:r>
              <w:rPr>
                <w:rFonts w:hint="eastAsia" w:ascii="宋体" w:hAnsi="宋体" w:eastAsia="宋体" w:cs="宋体"/>
                <w:b/>
                <w:bCs/>
                <w:color w:val="auto"/>
                <w:sz w:val="21"/>
                <w:szCs w:val="21"/>
              </w:rPr>
              <w:t xml:space="preserve">手动卷帘1套（自备展架挂样展示，现场可手动操作、尺寸不限）（3分）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精细、垂坠感和平整度好，面料纹理清晰、无瑕疵、无异味、色牢度高；卷管、底杆（含配重）材质符合要求；结构牢固，制头、制尾操作省力、拉动轻便、手感顺滑、任意位置启停定位准确；配套拉珠颗粒圆整、间距均匀、表面光滑、无毛刺的，得3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较精细，垂坠感和平整度较好，面料纹理较为清晰、无瑕疵、有轻微异味、色牢度较高；卷管、底杆（含配重）材质符合要求；结构牢固，制头、制尾操作较省力、手感较顺滑，任意位置启停定位较准确；配套拉珠表面较光滑、基本无毛刺的，得2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一般，垂坠感和平整度一般，面料纹理尚可、有轻微瑕疵、有明显异味、色牢度一般；卷管、底杆（含配重）材质基本符合要求；制头、制尾操作稍费力、任意位置启停定位有较大偏差；配套拉珠表面较光滑、有少量毛刺的，得1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较差，垂坠感和平整度较差，面料纹理粗糙、有明显瑕疵，有刺鼻异味、色牢度较差；卷管、底杆（含配重）材质不符合要求；制头、制尾操作费力、手感较差，无法任意位置启停或非常困难；配套拉珠有明显毛刺、间距不均匀的，不得分。</w:t>
            </w:r>
            <w:r/>
          </w:p>
          <w:p>
            <w:pPr>
              <w:numPr>
                <w:ilvl w:val="0"/>
                <w:numId w:val="0"/>
              </w:numPr>
              <w:ind w:left="0" w:firstLine="0"/>
              <w:jc w:val="left"/>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SA"/>
              </w:rPr>
              <w:t xml:space="preserve">2、</w:t>
            </w:r>
            <w:r>
              <w:rPr>
                <w:rFonts w:hint="eastAsia" w:ascii="宋体" w:hAnsi="宋体" w:eastAsia="宋体" w:cs="宋体"/>
                <w:b/>
                <w:bCs/>
                <w:color w:val="auto"/>
                <w:sz w:val="21"/>
                <w:szCs w:val="21"/>
              </w:rPr>
              <w:t xml:space="preserve">电动卷帘1套（自备展架挂样展示，现场通电后可操作；尺寸不限）（3分）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精细，垂坠感和平整度好，面料无瑕疵、无异味；卷管、导向底杆材质符合要求，配重均匀，升降导向稳定；制头、制尾电机驱动操作省力，运行轻便、结构牢固，电机运行噪音低、限位精准的，得3分； </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较精细，垂坠感和平整度较好，面料基本无瑕疵、有轻微异味；卷管、导向底杆材质符合要求，配重较均匀，升降导向较稳定；制头、制尾电机驱动操作较省力，运行较轻便、结构较牢固，电机运行噪音较低、限位较精准的，得2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一般，垂坠感和平整度一般，面料有轻微瑕疵、有明显异味；卷管、导向底杆材质符合要求；配重及升降导向稳定性一般；制头、制尾电机驱动操作稍费力、电机运行噪音较大、限位精准度较差的，得1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整体做工粗糙，垂坠感和平整度较差，面料有明显瑕疵，有刺鼻异味；卷管、底杆材质不符合要求；配重及升降导向稳定性差；制头、制尾电机驱动运行费力、电机运行噪音大、限位精准度差的，不得分。</w:t>
            </w:r>
            <w:r/>
          </w:p>
          <w:p>
            <w:pPr>
              <w:numPr>
                <w:ilvl w:val="0"/>
                <w:numId w:val="0"/>
              </w:numPr>
              <w:ind w:left="0" w:firstLine="0"/>
              <w:jc w:val="left"/>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SA"/>
              </w:rPr>
              <w:t xml:space="preserve">3、</w:t>
            </w:r>
            <w:r>
              <w:rPr>
                <w:rFonts w:hint="eastAsia" w:ascii="宋体" w:hAnsi="宋体" w:eastAsia="宋体" w:cs="宋体"/>
                <w:b/>
                <w:bCs/>
                <w:color w:val="auto"/>
                <w:sz w:val="21"/>
                <w:szCs w:val="21"/>
              </w:rPr>
              <w:t xml:space="preserve">手动及电动卷帘安装配件1套</w:t>
            </w: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标下划线内容为需提供样品，尺寸不限）</w:t>
            </w:r>
            <w:r>
              <w:rPr>
                <w:rFonts w:hint="eastAsia" w:ascii="宋体" w:hAnsi="宋体" w:eastAsia="宋体" w:cs="宋体"/>
                <w:b/>
                <w:bCs/>
                <w:color w:val="auto"/>
                <w:sz w:val="21"/>
                <w:szCs w:val="21"/>
              </w:rPr>
              <w:t xml:space="preserve">（8分）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u w:val="single"/>
              </w:rPr>
              <w:t xml:space="preserve">手动卷帘卷管</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u w:val="single"/>
              </w:rPr>
              <w:t xml:space="preserve">底杆</w:t>
            </w:r>
            <w:r>
              <w:rPr>
                <w:rFonts w:hint="eastAsia" w:ascii="宋体" w:hAnsi="宋体" w:eastAsia="宋体" w:cs="宋体"/>
                <w:color w:val="auto"/>
                <w:sz w:val="21"/>
                <w:szCs w:val="21"/>
              </w:rPr>
              <w:t xml:space="preserve">均符合铝合金6063-T5材质要求，表面阳极氧化或烤漆处理；</w:t>
            </w:r>
            <w:r>
              <w:rPr>
                <w:rFonts w:hint="eastAsia" w:ascii="宋体" w:hAnsi="宋体" w:eastAsia="宋体" w:cs="宋体"/>
                <w:color w:val="auto"/>
                <w:sz w:val="21"/>
                <w:szCs w:val="21"/>
                <w:u w:val="single"/>
              </w:rPr>
              <w:t xml:space="preserve">安装支架</w:t>
            </w:r>
            <w:r>
              <w:rPr>
                <w:rFonts w:hint="eastAsia" w:ascii="宋体" w:hAnsi="宋体" w:eastAsia="宋体" w:cs="宋体"/>
                <w:color w:val="auto"/>
                <w:sz w:val="21"/>
                <w:szCs w:val="21"/>
              </w:rPr>
              <w:t xml:space="preserve">为镀锌或冷轧钢板，表面防腐处理。其中：卷管外径≥38mm，壁厚≥1.2mm，内置加强筋≥4根（与管壁一体挤压成型）；底杆壁厚≥1.0mm，椭圆或方形形状；安装支架厚度≥1.5mm，头尾安装码具备微调水平功能，防止面料跑偏的，得3分；以上任意一项不达标的均不得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u w:val="single"/>
              </w:rPr>
              <w:t xml:space="preserve">电动卷帘卷管</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u w:val="single"/>
              </w:rPr>
              <w:t xml:space="preserve">底杆</w:t>
            </w:r>
            <w:r>
              <w:rPr>
                <w:rFonts w:hint="eastAsia" w:ascii="宋体" w:hAnsi="宋体" w:eastAsia="宋体" w:cs="宋体"/>
                <w:color w:val="auto"/>
                <w:sz w:val="21"/>
                <w:szCs w:val="21"/>
              </w:rPr>
              <w:t xml:space="preserve">均符合铝合金6063-T5材质要求，表面阳极氧化或烤漆处理；</w:t>
            </w:r>
            <w:r>
              <w:rPr>
                <w:rFonts w:hint="eastAsia" w:ascii="宋体" w:hAnsi="宋体" w:eastAsia="宋体" w:cs="宋体"/>
                <w:color w:val="auto"/>
                <w:sz w:val="21"/>
                <w:szCs w:val="21"/>
                <w:u w:val="single"/>
              </w:rPr>
              <w:t xml:space="preserve">钢板结构件</w:t>
            </w:r>
            <w:r>
              <w:rPr>
                <w:rFonts w:hint="eastAsia" w:ascii="宋体" w:hAnsi="宋体" w:eastAsia="宋体" w:cs="宋体"/>
                <w:color w:val="auto"/>
                <w:sz w:val="21"/>
                <w:szCs w:val="21"/>
              </w:rPr>
              <w:t xml:space="preserve">为Q235B碳素结构钢或Q355B低合金结构钢。其中：卷管外径≥85mm,壁厚≥2mm；底杆截面外观尺寸宽度≥35mm、高度≥17mm、厚度≥1.5mm，具备足够自重或内部采用高密度配重设计，确保面料垂坠感和平整度</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得</w:t>
            </w:r>
            <w:r>
              <w:rPr>
                <w:rFonts w:hint="eastAsia" w:ascii="宋体" w:hAnsi="宋体" w:eastAsia="宋体" w:cs="宋体"/>
                <w:color w:val="auto"/>
                <w:sz w:val="21"/>
                <w:szCs w:val="21"/>
              </w:rPr>
              <w:t xml:space="preserve">3分；以上任意一项不达标的均不得分。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u w:val="single"/>
              </w:rPr>
              <w:t xml:space="preserve">手动卷帘拉珠制头</w:t>
            </w:r>
            <w:r>
              <w:rPr>
                <w:rFonts w:hint="eastAsia" w:ascii="宋体" w:hAnsi="宋体" w:eastAsia="宋体" w:cs="宋体"/>
                <w:color w:val="auto"/>
                <w:sz w:val="21"/>
                <w:szCs w:val="21"/>
              </w:rPr>
              <w:t xml:space="preserve">为360度旋转万向制头，</w:t>
            </w:r>
            <w:r>
              <w:rPr>
                <w:rFonts w:hint="eastAsia" w:ascii="宋体" w:hAnsi="宋体" w:eastAsia="宋体" w:cs="宋体"/>
                <w:color w:val="auto"/>
                <w:sz w:val="21"/>
                <w:szCs w:val="21"/>
                <w:u w:val="single"/>
              </w:rPr>
              <w:t xml:space="preserve">拉珠/拉绳</w:t>
            </w:r>
            <w:r>
              <w:rPr>
                <w:rFonts w:hint="eastAsia" w:ascii="宋体" w:hAnsi="宋体" w:eastAsia="宋体" w:cs="宋体"/>
                <w:color w:val="auto"/>
                <w:sz w:val="21"/>
                <w:szCs w:val="21"/>
              </w:rPr>
              <w:t xml:space="preserve">为原生ABS/POM高强度工程塑料材质或不锈钢珠链；内置制动弹簧，得1分；以上任意一项不达标的均不得分。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rPr>
                <w:rFonts w:hint="eastAsia" w:ascii="宋体" w:hAnsi="宋体" w:eastAsia="宋体" w:cs="宋体"/>
                <w:color w:val="auto"/>
                <w:sz w:val="21"/>
                <w:szCs w:val="21"/>
                <w:u w:val="single"/>
              </w:rPr>
              <w:t xml:space="preserve">电动卷帘牵引绳</w:t>
            </w:r>
            <w:r>
              <w:rPr>
                <w:rFonts w:hint="eastAsia" w:ascii="宋体" w:hAnsi="宋体" w:eastAsia="宋体" w:cs="宋体"/>
                <w:color w:val="auto"/>
                <w:sz w:val="21"/>
                <w:szCs w:val="21"/>
              </w:rPr>
              <w:t xml:space="preserve">符合304不锈钢材质，采用多股绞合结构，直径≥2mm的，得1分；以上任意一项不达标的均不得分。</w:t>
            </w:r>
            <w:r/>
          </w:p>
          <w:p>
            <w:pPr>
              <w:numPr>
                <w:ilvl w:val="0"/>
                <w:numId w:val="0"/>
              </w:numPr>
              <w:ind w:left="0" w:firstLine="0"/>
              <w:jc w:val="left"/>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SA"/>
              </w:rPr>
              <w:t xml:space="preserve">4、</w:t>
            </w:r>
            <w:r>
              <w:rPr>
                <w:rFonts w:hint="eastAsia" w:ascii="宋体" w:hAnsi="宋体" w:cs="宋体"/>
                <w:b/>
                <w:bCs/>
                <w:color w:val="auto"/>
                <w:sz w:val="21"/>
                <w:szCs w:val="21"/>
                <w:lang w:eastAsia="zh-CN"/>
              </w:rPr>
              <w:t xml:space="preserve">布帘</w:t>
            </w:r>
            <w:r>
              <w:rPr>
                <w:rFonts w:hint="eastAsia" w:ascii="宋体" w:hAnsi="宋体" w:eastAsia="宋体" w:cs="宋体"/>
                <w:b/>
                <w:bCs/>
                <w:color w:val="auto"/>
                <w:sz w:val="21"/>
                <w:szCs w:val="21"/>
              </w:rPr>
              <w:t xml:space="preserve">1樘</w:t>
            </w:r>
            <w:r>
              <w:rPr>
                <w:rFonts w:hint="eastAsia" w:ascii="宋体" w:hAnsi="宋体" w:eastAsia="宋体" w:cs="宋体"/>
                <w:b/>
                <w:bCs/>
                <w:color w:val="auto"/>
                <w:sz w:val="21"/>
                <w:szCs w:val="21"/>
              </w:rPr>
              <w:t xml:space="preserve">，尺寸不限 （3分）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整体做工精细，面料纹理清晰完整，无破损、污渍、瑕疵，无异味；面料垂感好，遮光性能优；裁剪工整，锁边细密均匀，褶位规整，缝制线路平直，针距均匀的，得3分；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整体做工较好，面料纹理较为清晰，有轻微破损、污渍、瑕疵，有轻微异味；面料垂感较好，遮光性能较好；裁剪较工整，锁边较好，缝制较平顺的，得2分；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整体做工一般，面料纹理尚可，存在细微破损、污渍、瑕疵，有明显异味；面料垂感一般，遮光性能一般；裁剪基本工整，锁边一般，缝制平顺度一般的，得1分；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整体做工较差，面料存在明显破损、污渍、瑕疵，有刺鼻异味；面料垂感差，遮光效果差，裁剪、锁边、缝制工艺明显较差的，不得分。</w:t>
            </w:r>
            <w:r/>
          </w:p>
          <w:p>
            <w:pPr>
              <w:numPr>
                <w:ilvl w:val="0"/>
                <w:numId w:val="0"/>
              </w:numPr>
              <w:ind w:left="0" w:firstLine="0"/>
              <w:jc w:val="left"/>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SA"/>
              </w:rPr>
              <w:t xml:space="preserve">5、</w:t>
            </w:r>
            <w:r>
              <w:rPr>
                <w:rFonts w:hint="eastAsia" w:ascii="宋体" w:hAnsi="宋体" w:eastAsia="宋体" w:cs="宋体"/>
                <w:b/>
                <w:bCs/>
                <w:color w:val="auto"/>
                <w:sz w:val="21"/>
                <w:szCs w:val="21"/>
              </w:rPr>
              <w:t xml:space="preserve">手动轨道1根（含滑轮、安装码、调节钩），尺寸不限 （2分）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轨道表面光滑，壁厚满足招标文件要求，材质优异；配套滑轮、安装码、调节钩配置齐全，质量优，装配可靠，得2分；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轨道表面较为光滑，壁厚满足招标文件要求，材质一般；配套滑轮、安装码、调节钩齐全，装配尚可，得1分；</w:t>
            </w:r>
            <w:r/>
          </w:p>
          <w:p>
            <w:pPr>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轨道表面粗糙、壁厚不满足招标文件要求，材质较差；缺少滑轮、安装码、调节钩等配套配件，不得分。</w:t>
            </w:r>
            <w:r/>
          </w:p>
          <w:p>
            <w:pPr>
              <w:numPr>
                <w:ilvl w:val="0"/>
                <w:numId w:val="0"/>
              </w:numPr>
              <w:ind w:left="0" w:firstLine="0"/>
              <w:jc w:val="left"/>
              <w:spacing w:line="360"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bidi="ar-SA"/>
              </w:rPr>
              <w:t xml:space="preserve">6、</w:t>
            </w:r>
            <w:r>
              <w:rPr>
                <w:rFonts w:hint="eastAsia" w:ascii="宋体" w:hAnsi="宋体" w:eastAsia="宋体" w:cs="宋体"/>
                <w:b/>
                <w:bCs/>
                <w:color w:val="auto"/>
                <w:sz w:val="21"/>
                <w:szCs w:val="21"/>
              </w:rPr>
              <w:t xml:space="preserve">上下推拉窗1扇， 尺寸≥400*700mm（投标人提供目数尺或目数镜，以及304不锈钢测验药水供现场检验），（3分）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整体做工精细，</w:t>
            </w:r>
            <w:r>
              <w:rPr>
                <w:rFonts w:hint="eastAsia" w:ascii="宋体" w:hAnsi="宋体" w:eastAsia="宋体" w:cs="宋体"/>
                <w:color w:val="auto"/>
                <w:sz w:val="21"/>
                <w:szCs w:val="21"/>
              </w:rPr>
              <w:t xml:space="preserve">边框型材采用6063-T5铝合金材质，表面喷粉或电泳处理</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rPr>
              <w:t xml:space="preserve">纱网采用优质304不锈钢丝，规格16目，平纹编织、方孔结构，网孔排布均匀、无稀密档，涂层均匀细腻、无颗粒感，表面光滑无毛刺、平整无折痕，无断丝、跳丝的，得3分；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整体做工较好，</w:t>
            </w:r>
            <w:r>
              <w:rPr>
                <w:rFonts w:hint="eastAsia" w:ascii="宋体" w:hAnsi="宋体" w:eastAsia="宋体" w:cs="宋体"/>
                <w:color w:val="auto"/>
                <w:sz w:val="21"/>
                <w:szCs w:val="21"/>
              </w:rPr>
              <w:t xml:space="preserve">边框型材采用6063-T5铝合金材质，表面喷粉或电泳处理，</w:t>
            </w:r>
            <w:r>
              <w:rPr>
                <w:rFonts w:hint="eastAsia" w:ascii="宋体" w:hAnsi="宋体" w:eastAsia="宋体" w:cs="宋体"/>
                <w:color w:val="auto"/>
                <w:sz w:val="21"/>
                <w:szCs w:val="21"/>
              </w:rPr>
              <w:t xml:space="preserve">纱网采用优质304不锈钢丝，规格16目（±1目），平纹编织、方孔结构，网孔排布较均匀、基本无稀密档，涂层较均匀细腻，基本无颗粒感，表面较光滑基本无毛刺、无折痕，无断丝、跳丝、明显锈蚀斑点及油污；配套型材推拉较顺滑、基本无掉漆的，得2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整体做工一般，</w:t>
            </w:r>
            <w:r>
              <w:rPr>
                <w:rFonts w:hint="eastAsia" w:ascii="宋体" w:hAnsi="宋体" w:eastAsia="宋体" w:cs="宋体"/>
                <w:color w:val="auto"/>
                <w:sz w:val="21"/>
                <w:szCs w:val="21"/>
              </w:rPr>
              <w:t xml:space="preserve">边框型材采用6063-T5铝合金材质，表面喷粉或电泳处理，</w:t>
            </w:r>
            <w:r>
              <w:rPr>
                <w:rFonts w:hint="eastAsia" w:ascii="宋体" w:hAnsi="宋体" w:eastAsia="宋体" w:cs="宋体"/>
                <w:color w:val="auto"/>
                <w:sz w:val="21"/>
                <w:szCs w:val="21"/>
              </w:rPr>
              <w:t xml:space="preserve">纱网采用304不锈钢丝，规格16目（±1目），采用平纹编织、方孔结构，网孔排布基本均匀、有少量稀密档，涂层基本均匀、有轻微颗粒感，表面存在少量毛刺、有折痕，存在少量断丝、跳丝、锈蚀斑点及油污；配套型材推拉不够顺滑、有少量掉漆的，得1分；</w:t>
            </w:r>
            <w:r/>
          </w:p>
          <w:p>
            <w:pPr>
              <w:ind w:firstLine="210"/>
              <w:jc w:val="left"/>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整体做工较差，</w:t>
            </w:r>
            <w:r>
              <w:rPr>
                <w:rFonts w:hint="eastAsia" w:ascii="宋体" w:hAnsi="宋体" w:eastAsia="宋体" w:cs="宋体"/>
                <w:color w:val="auto"/>
                <w:sz w:val="21"/>
                <w:szCs w:val="21"/>
              </w:rPr>
              <w:t xml:space="preserve">边框型材</w:t>
            </w:r>
            <w:r>
              <w:rPr>
                <w:rFonts w:hint="eastAsia" w:ascii="宋体" w:hAnsi="宋体" w:eastAsia="宋体" w:cs="宋体"/>
                <w:color w:val="auto"/>
                <w:sz w:val="21"/>
                <w:szCs w:val="21"/>
                <w:lang w:val="en-US" w:eastAsia="zh-CN"/>
              </w:rPr>
              <w:t xml:space="preserve">未</w:t>
            </w:r>
            <w:r>
              <w:rPr>
                <w:rFonts w:hint="eastAsia" w:ascii="宋体" w:hAnsi="宋体" w:eastAsia="宋体" w:cs="宋体"/>
                <w:color w:val="auto"/>
                <w:sz w:val="21"/>
                <w:szCs w:val="21"/>
              </w:rPr>
              <w:t xml:space="preserve">采用6063-T5铝合金材质</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以及</w:t>
            </w:r>
            <w:r>
              <w:rPr>
                <w:rFonts w:hint="eastAsia" w:ascii="宋体" w:hAnsi="宋体" w:eastAsia="宋体" w:cs="宋体"/>
                <w:color w:val="auto"/>
                <w:sz w:val="21"/>
                <w:szCs w:val="21"/>
              </w:rPr>
              <w:t xml:space="preserve">表面</w:t>
            </w:r>
            <w:r>
              <w:rPr>
                <w:rFonts w:hint="eastAsia" w:ascii="宋体" w:hAnsi="宋体" w:eastAsia="宋体" w:cs="宋体"/>
                <w:color w:val="auto"/>
                <w:sz w:val="21"/>
                <w:szCs w:val="21"/>
                <w:lang w:val="en-US" w:eastAsia="zh-CN"/>
              </w:rPr>
              <w:t xml:space="preserve">未</w:t>
            </w:r>
            <w:r>
              <w:rPr>
                <w:rFonts w:hint="eastAsia" w:ascii="宋体" w:hAnsi="宋体" w:eastAsia="宋体" w:cs="宋体"/>
                <w:color w:val="auto"/>
                <w:sz w:val="21"/>
                <w:szCs w:val="21"/>
              </w:rPr>
              <w:t xml:space="preserve">喷粉或电泳处理，</w:t>
            </w:r>
            <w:r>
              <w:rPr>
                <w:rFonts w:hint="eastAsia" w:ascii="宋体" w:hAnsi="宋体" w:eastAsia="宋体" w:cs="宋体"/>
                <w:color w:val="auto"/>
                <w:sz w:val="21"/>
                <w:szCs w:val="21"/>
              </w:rPr>
              <w:t xml:space="preserve">纱网未采用304不锈钢丝，规格16目（±＞1目），未采用平纹编织、方孔结构，网孔排布不均匀、有明显稀密档，涂层粗糙不均匀、有明显颗粒感，表面存在明显毛刺和折痕，有明显断丝、跳丝、锈蚀斑点及油污；配套型材推拉不顺滑、有明显掉漆的，不得分；</w:t>
            </w:r>
            <w:r/>
          </w:p>
        </w:tc>
      </w:tr>
      <w:tr>
        <w:trPr>
          <w:jc w:val="center"/>
          <w:trHeight w:val="550"/>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所投货物材质、技术参数符合性比较</w:t>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ind w:left="0" w:right="0" w:firstLine="0"/>
              <w:jc w:val="both"/>
              <w:pageBreakBefore w:val="0"/>
              <w:spacing w:line="360" w:lineRule="auto"/>
              <w:rPr>
                <w:rFonts w:hint="eastAsia" w:ascii="Times New Roman" w:hAnsi="Times New Roman" w:eastAsia="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评委根据投标文件中</w:t>
            </w:r>
            <w:r>
              <w:rPr>
                <w:rFonts w:hint="eastAsia" w:ascii="Times New Roman" w:hAnsi="Times New Roman" w:cs="宋体"/>
                <w:color w:val="auto"/>
                <w:sz w:val="21"/>
                <w:szCs w:val="21"/>
                <w:highlight w:val="none"/>
                <w:lang w:eastAsia="zh-CN"/>
              </w:rPr>
              <w:t xml:space="preserve">的</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rPr>
              <w:t xml:space="preserve">技术参数响应及偏离表</w:t>
            </w:r>
            <w:r>
              <w:rPr>
                <w:rFonts w:ascii="Times New Roman" w:hAnsi="Times New Roman" w:eastAsia="宋体" w:cs="宋体"/>
                <w:color w:val="auto"/>
                <w:sz w:val="21"/>
                <w:szCs w:val="21"/>
                <w:highlight w:val="none"/>
              </w:rPr>
              <w:t xml:space="preserve">》，结合投标文件提供的佐证材料等进行评审：完全响应</w:t>
            </w:r>
            <w:r>
              <w:rPr>
                <w:rFonts w:hint="eastAsia" w:ascii="Times New Roman" w:hAnsi="Times New Roman" w:cs="宋体"/>
                <w:color w:val="auto"/>
                <w:sz w:val="21"/>
                <w:szCs w:val="21"/>
                <w:highlight w:val="none"/>
                <w:lang w:val="en-US" w:eastAsia="zh-CN"/>
              </w:rPr>
              <w:t xml:space="preserve">采购文件第四章项目需求内容</w:t>
            </w:r>
            <w:r>
              <w:rPr>
                <w:rFonts w:ascii="Times New Roman" w:hAnsi="Times New Roman" w:eastAsia="宋体" w:cs="宋体"/>
                <w:color w:val="auto"/>
                <w:sz w:val="21"/>
                <w:szCs w:val="21"/>
                <w:highlight w:val="none"/>
              </w:rPr>
              <w:t xml:space="preserve">，得</w:t>
            </w:r>
            <w:r>
              <w:rPr>
                <w:rFonts w:hint="default" w:ascii="Times New Roman" w:hAnsi="Times New Roman" w:cs="宋体"/>
                <w:color w:val="auto"/>
                <w:sz w:val="21"/>
                <w:szCs w:val="21"/>
                <w:highlight w:val="none"/>
                <w:lang w:val="en-US" w:eastAsia="zh-CN"/>
              </w:rPr>
              <w:t xml:space="preserve">2</w:t>
            </w:r>
            <w:r>
              <w:rPr>
                <w:rFonts w:hint="eastAsia" w:ascii="Times New Roman" w:hAnsi="Times New Roman" w:cs="宋体"/>
                <w:color w:val="auto"/>
                <w:sz w:val="21"/>
                <w:szCs w:val="21"/>
                <w:highlight w:val="none"/>
                <w:lang w:val="en-US" w:eastAsia="zh-CN"/>
              </w:rPr>
              <w:t xml:space="preserve">4</w:t>
            </w:r>
            <w:r>
              <w:rPr>
                <w:rFonts w:ascii="Times New Roman" w:hAnsi="Times New Roman" w:eastAsia="宋体" w:cs="宋体"/>
                <w:color w:val="auto"/>
                <w:sz w:val="21"/>
                <w:szCs w:val="21"/>
                <w:highlight w:val="none"/>
              </w:rPr>
              <w:t xml:space="preserve">分；加注“▲”符号的重要指标有一项负偏离或不满足扣</w:t>
            </w:r>
            <w:r>
              <w:rPr>
                <w:rFonts w:hint="default" w:ascii="Times New Roman" w:hAnsi="Times New Roman" w:cs="宋体"/>
                <w:color w:val="auto"/>
                <w:sz w:val="21"/>
                <w:szCs w:val="21"/>
                <w:highlight w:val="none"/>
                <w:lang w:val="en-US"/>
              </w:rPr>
              <w:t xml:space="preserve">2</w:t>
            </w:r>
            <w:r>
              <w:rPr>
                <w:rFonts w:ascii="Times New Roman" w:hAnsi="Times New Roman" w:eastAsia="宋体" w:cs="宋体"/>
                <w:color w:val="auto"/>
                <w:sz w:val="21"/>
                <w:szCs w:val="21"/>
                <w:highlight w:val="none"/>
              </w:rPr>
              <w:t xml:space="preserve">分</w:t>
            </w:r>
            <w:r>
              <w:rPr>
                <w:rFonts w:hint="eastAsia" w:ascii="Times New Roman" w:hAnsi="Times New Roman"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标注斜体且有下划线部分为实质性要求</w:t>
            </w:r>
            <w:r>
              <w:rPr>
                <w:rFonts w:ascii="Times New Roman" w:hAnsi="Times New Roman" w:eastAsia="宋体" w:cs="宋体"/>
                <w:color w:val="auto"/>
                <w:sz w:val="21"/>
                <w:szCs w:val="21"/>
                <w:highlight w:val="none"/>
              </w:rPr>
              <w:t xml:space="preserve">指标不允许负偏离，否则投标无效</w:t>
            </w:r>
            <w:r>
              <w:rPr>
                <w:rFonts w:hint="eastAsia" w:ascii="Times New Roman" w:hAnsi="Times New Roman" w:cs="宋体"/>
                <w:color w:val="auto"/>
                <w:sz w:val="21"/>
                <w:szCs w:val="21"/>
                <w:highlight w:val="none"/>
                <w:lang w:eastAsia="zh-CN"/>
              </w:rPr>
              <w:t xml:space="preserve">。</w:t>
            </w:r>
            <w:r/>
          </w:p>
          <w:p>
            <w:pPr>
              <w:pStyle w:val="1029"/>
              <w:ind w:firstLine="211"/>
              <w:spacing w:line="360" w:lineRule="auto"/>
              <w:rPr>
                <w:rFonts w:hint="eastAsia" w:ascii="Times New Roman" w:hAnsi="Times New Roman" w:eastAsia="宋体" w:cs="宋体"/>
                <w:b/>
                <w:color w:val="auto"/>
                <w:sz w:val="21"/>
                <w:szCs w:val="21"/>
                <w:highlight w:val="none"/>
                <w:lang w:val="en-US" w:eastAsia="zh-CN"/>
              </w:rPr>
            </w:pPr>
            <w:r>
              <w:rPr>
                <w:rFonts w:ascii="Times New Roman" w:hAnsi="Times New Roman" w:eastAsia="宋体" w:cs="宋体"/>
                <w:b/>
                <w:color w:val="auto"/>
                <w:sz w:val="21"/>
                <w:szCs w:val="21"/>
                <w:highlight w:val="none"/>
              </w:rPr>
              <w:t xml:space="preserve">注：</w:t>
            </w:r>
            <w:r>
              <w:rPr>
                <w:rFonts w:hint="default" w:ascii="Times New Roman" w:hAnsi="Times New Roman" w:eastAsia="宋体" w:cs="宋体"/>
                <w:b/>
                <w:color w:val="auto"/>
                <w:sz w:val="21"/>
                <w:szCs w:val="21"/>
                <w:highlight w:val="none"/>
                <w:lang w:val="en-US"/>
              </w:rPr>
              <w:t xml:space="preserve">1</w:t>
            </w:r>
            <w:r>
              <w:rPr>
                <w:rFonts w:hint="eastAsia" w:ascii="Times New Roman" w:hAnsi="Times New Roman" w:eastAsia="宋体" w:cs="宋体"/>
                <w:b/>
                <w:color w:val="auto"/>
                <w:sz w:val="21"/>
                <w:szCs w:val="21"/>
                <w:highlight w:val="none"/>
                <w:lang w:val="en-US" w:eastAsia="zh-CN"/>
              </w:rPr>
              <w:t xml:space="preserve">、</w:t>
            </w:r>
            <w:r>
              <w:rPr>
                <w:rFonts w:hint="eastAsia" w:ascii="Times New Roman" w:hAnsi="Times New Roman" w:eastAsia="宋体" w:cs="宋体"/>
                <w:b/>
                <w:color w:val="auto"/>
                <w:sz w:val="21"/>
                <w:szCs w:val="21"/>
                <w:highlight w:val="none"/>
                <w:lang w:val="en-US"/>
              </w:rPr>
              <w:t xml:space="preserve">标注斜体且有下划线部分</w:t>
            </w:r>
            <w:r>
              <w:rPr>
                <w:rFonts w:hint="default" w:ascii="Times New Roman" w:hAnsi="Times New Roman" w:eastAsia="宋体" w:cs="宋体"/>
                <w:b/>
                <w:color w:val="auto"/>
                <w:sz w:val="21"/>
                <w:szCs w:val="21"/>
                <w:highlight w:val="none"/>
                <w:lang w:val="en-US"/>
              </w:rPr>
              <w:t xml:space="preserve">或▲号”的技术参数，须提供相关证明材料，</w:t>
            </w:r>
            <w:r>
              <w:rPr>
                <w:rFonts w:hint="eastAsia" w:ascii="Times New Roman" w:hAnsi="Times New Roman" w:eastAsia="宋体" w:cs="宋体"/>
                <w:b/>
                <w:color w:val="auto"/>
                <w:sz w:val="21"/>
                <w:szCs w:val="21"/>
                <w:highlight w:val="none"/>
                <w:lang w:val="en-US"/>
              </w:rPr>
              <w:t xml:space="preserve">未</w:t>
            </w:r>
            <w:r>
              <w:rPr>
                <w:rFonts w:hint="eastAsia" w:ascii="Times New Roman" w:hAnsi="Times New Roman" w:eastAsia="宋体" w:cs="宋体"/>
                <w:b/>
                <w:color w:val="auto"/>
                <w:sz w:val="21"/>
                <w:szCs w:val="21"/>
                <w:highlight w:val="none"/>
                <w:lang w:val="en-US" w:eastAsia="zh-CN"/>
              </w:rPr>
              <w:t xml:space="preserve">按照招标文件要求</w:t>
            </w:r>
            <w:r>
              <w:rPr>
                <w:rFonts w:hint="eastAsia" w:ascii="Times New Roman" w:hAnsi="Times New Roman" w:eastAsia="宋体" w:cs="宋体"/>
                <w:b/>
                <w:color w:val="auto"/>
                <w:sz w:val="21"/>
                <w:szCs w:val="21"/>
                <w:highlight w:val="none"/>
                <w:lang w:val="en-US"/>
              </w:rPr>
              <w:t xml:space="preserve">提供相关证明材料视为负偏离</w:t>
            </w:r>
            <w:r>
              <w:rPr>
                <w:rFonts w:hint="eastAsia" w:ascii="Times New Roman" w:hAnsi="Times New Roman" w:eastAsia="宋体" w:cs="宋体"/>
                <w:b/>
                <w:color w:val="auto"/>
                <w:sz w:val="21"/>
                <w:szCs w:val="21"/>
                <w:highlight w:val="none"/>
                <w:lang w:val="en-US" w:eastAsia="zh-CN"/>
              </w:rPr>
              <w:t xml:space="preserve">。</w:t>
            </w:r>
            <w:r/>
          </w:p>
          <w:p>
            <w:pPr>
              <w:pStyle w:val="1029"/>
              <w:ind w:firstLine="211"/>
              <w:spacing w:line="360" w:lineRule="auto"/>
              <w:rPr>
                <w:rFonts w:hint="eastAsia" w:ascii="宋体" w:hAnsi="宋体" w:eastAsia="宋体" w:cs="宋体"/>
                <w:color w:val="auto"/>
                <w:sz w:val="21"/>
                <w:szCs w:val="21"/>
              </w:rPr>
            </w:pPr>
            <w:r>
              <w:rPr>
                <w:rFonts w:hint="eastAsia" w:ascii="Times New Roman" w:hAnsi="Times New Roman" w:eastAsia="宋体" w:cs="宋体"/>
                <w:b/>
                <w:color w:val="auto"/>
                <w:sz w:val="21"/>
                <w:szCs w:val="21"/>
                <w:highlight w:val="none"/>
                <w:lang w:val="en-US" w:eastAsia="zh-CN"/>
              </w:rPr>
              <w:t xml:space="preserve">2、</w:t>
            </w:r>
            <w:r>
              <w:rPr>
                <w:rFonts w:hint="eastAsia" w:ascii="Times New Roman" w:hAnsi="Times New Roman" w:eastAsia="宋体" w:cs="宋体"/>
                <w:b/>
                <w:color w:val="auto"/>
                <w:sz w:val="21"/>
                <w:szCs w:val="21"/>
                <w:highlight w:val="none"/>
                <w:lang w:val="en-US"/>
              </w:rPr>
              <w:t xml:space="preserve">若发现有提供虚假的证明材料或虚假应答技术参数响应及偏离表的，视为无效投标，上报采购监管部门并追究相关责任。</w:t>
            </w:r>
            <w:r/>
          </w:p>
        </w:tc>
      </w:tr>
      <w:tr>
        <w:trPr>
          <w:jc w:val="center"/>
          <w:trHeight w:val="1135"/>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right="-120"/>
              <w:jc w:val="center"/>
              <w:spacing w:line="0" w:lineRule="atLeast"/>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 </w:t>
            </w:r>
            <w:r>
              <w:rPr>
                <w:rFonts w:hint="eastAsia" w:ascii="宋体" w:hAnsi="宋体" w:eastAsia="宋体" w:cs="宋体"/>
                <w:color w:val="auto"/>
                <w:sz w:val="21"/>
                <w:szCs w:val="21"/>
              </w:rPr>
              <w:t xml:space="preserve">5</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ind w:right="-120"/>
              <w:jc w:val="center"/>
              <w:spacing w:line="0" w:lineRule="atLeas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业绩</w:t>
            </w:r>
            <w:r/>
          </w:p>
          <w:p>
            <w:pPr>
              <w:ind w:right="-120"/>
              <w:jc w:val="center"/>
              <w:spacing w:line="0" w:lineRule="atLeast"/>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rPr>
                <w:rFonts w:hint="eastAsia" w:ascii="宋体" w:hAnsi="宋体" w:cs="宋体"/>
                <w:color w:val="auto"/>
                <w:sz w:val="21"/>
                <w:szCs w:val="21"/>
                <w:lang w:val="en-US" w:eastAsia="zh-CN" w:bidi="ar"/>
              </w:rPr>
              <w:t xml:space="preserve">3</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ind w:firstLine="210"/>
              <w:jc w:val="left"/>
              <w:spacing w:line="360" w:lineRule="auto"/>
              <w:widowControl/>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投标人提供自2023年1月1日(含1日)以来类似业绩</w:t>
            </w:r>
            <w:r>
              <w:rPr>
                <w:rFonts w:hint="eastAsia" w:ascii="宋体" w:hAnsi="宋体" w:eastAsia="宋体" w:cs="宋体"/>
                <w:color w:val="auto"/>
                <w:sz w:val="21"/>
                <w:szCs w:val="21"/>
                <w:highlight w:val="none"/>
                <w:lang w:bidi="ar"/>
              </w:rPr>
              <w:t xml:space="preserve">,每有1个得</w:t>
            </w:r>
            <w:r>
              <w:rPr>
                <w:rFonts w:hint="eastAsia" w:ascii="宋体" w:hAnsi="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分,最多得</w:t>
            </w:r>
            <w:r>
              <w:rPr>
                <w:rFonts w:hint="eastAsia" w:ascii="宋体" w:hAnsi="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分</w:t>
            </w:r>
            <w:r>
              <w:rPr>
                <w:rFonts w:hint="eastAsia" w:ascii="宋体" w:hAnsi="宋体" w:eastAsia="宋体" w:cs="宋体"/>
                <w:color w:val="auto"/>
                <w:sz w:val="21"/>
                <w:szCs w:val="21"/>
                <w:highlight w:val="none"/>
                <w:lang w:bidi="ar"/>
              </w:rPr>
              <w:t xml:space="preserve">。</w:t>
            </w:r>
            <w:r>
              <w:rPr>
                <w:rFonts w:hint="eastAsia" w:ascii="宋体" w:hAnsi="宋体" w:eastAsia="宋体" w:cs="宋体"/>
                <w:color w:val="auto"/>
                <w:sz w:val="21"/>
                <w:szCs w:val="21"/>
                <w:lang w:bidi="ar"/>
              </w:rPr>
              <w:t xml:space="preserve">（</w:t>
            </w:r>
            <w:r>
              <w:rPr>
                <w:rFonts w:hint="eastAsia" w:ascii="宋体" w:hAnsi="宋体" w:eastAsia="宋体" w:cs="宋体"/>
                <w:b/>
                <w:bCs/>
                <w:color w:val="auto"/>
                <w:sz w:val="21"/>
                <w:szCs w:val="21"/>
                <w:lang w:bidi="ar"/>
              </w:rPr>
              <w:t xml:space="preserve">注：</w:t>
            </w:r>
            <w:r>
              <w:rPr>
                <w:rFonts w:hint="eastAsia" w:ascii="宋体" w:hAnsi="宋体" w:eastAsia="宋体" w:cs="宋体"/>
                <w:b/>
                <w:bCs/>
                <w:color w:val="auto"/>
                <w:sz w:val="21"/>
                <w:szCs w:val="21"/>
              </w:rPr>
              <w:t xml:space="preserve">提供</w:t>
            </w:r>
            <w:r>
              <w:rPr>
                <w:rFonts w:hint="eastAsia" w:ascii="宋体" w:hAnsi="宋体" w:eastAsia="宋体" w:cs="宋体"/>
                <w:b/>
                <w:bCs/>
                <w:color w:val="auto"/>
                <w:sz w:val="21"/>
                <w:szCs w:val="21"/>
              </w:rPr>
              <w:t xml:space="preserve">合同</w:t>
            </w:r>
            <w:r>
              <w:rPr>
                <w:rFonts w:hint="eastAsia" w:ascii="宋体" w:hAnsi="宋体" w:eastAsia="宋体" w:cs="宋体"/>
                <w:b/>
                <w:bCs/>
                <w:color w:val="auto"/>
                <w:sz w:val="21"/>
                <w:szCs w:val="21"/>
                <w:lang w:val="en-US" w:eastAsia="zh-CN"/>
              </w:rPr>
              <w:t xml:space="preserve">及</w:t>
            </w:r>
            <w:r>
              <w:rPr>
                <w:rFonts w:hint="eastAsia" w:ascii="宋体" w:hAnsi="宋体" w:eastAsia="宋体" w:cs="宋体"/>
                <w:b/>
                <w:bCs/>
                <w:color w:val="auto"/>
                <w:sz w:val="21"/>
                <w:szCs w:val="21"/>
              </w:rPr>
              <w:t xml:space="preserve">合同执行期间任意一份发票</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原件扫描上传</w:t>
            </w:r>
            <w:r>
              <w:rPr>
                <w:rFonts w:hint="eastAsia" w:ascii="宋体" w:hAnsi="宋体" w:eastAsia="宋体" w:cs="宋体"/>
                <w:b/>
                <w:bCs/>
                <w:color w:val="auto"/>
                <w:sz w:val="21"/>
                <w:szCs w:val="21"/>
                <w:lang w:bidi="ar"/>
              </w:rPr>
              <w:t xml:space="preserve">）</w:t>
            </w:r>
            <w:r/>
          </w:p>
        </w:tc>
      </w:tr>
      <w:tr>
        <w:trPr>
          <w:jc w:val="center"/>
          <w:trHeight w:val="90"/>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right="-120"/>
              <w:jc w:val="center"/>
              <w:spacing w:line="0" w:lineRule="atLeas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6</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ind w:right="-120"/>
              <w:jc w:val="center"/>
              <w:spacing w:line="0" w:lineRule="atLeas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项目实施方案</w:t>
            </w:r>
            <w:r/>
          </w:p>
          <w:p>
            <w:pPr>
              <w:ind w:right="-120"/>
              <w:jc w:val="center"/>
              <w:spacing w:line="0" w:lineRule="atLeas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w:t>
            </w:r>
            <w:r>
              <w:rPr>
                <w:rFonts w:hint="eastAsia" w:ascii="宋体" w:hAnsi="宋体" w:cs="宋体"/>
                <w:color w:val="auto"/>
                <w:sz w:val="21"/>
                <w:szCs w:val="21"/>
                <w:lang w:val="en-US" w:eastAsia="zh-CN" w:bidi="ar"/>
              </w:rPr>
              <w:t xml:space="preserve">5</w:t>
            </w:r>
            <w:r>
              <w:rPr>
                <w:rFonts w:hint="eastAsia" w:ascii="宋体" w:hAnsi="宋体" w:eastAsia="宋体" w:cs="宋体"/>
                <w:color w:val="auto"/>
                <w:sz w:val="21"/>
                <w:szCs w:val="21"/>
                <w:lang w:bidi="ar"/>
              </w:rPr>
              <w:t xml:space="preserve">分）</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投标人根据本项目实际情况，制定本项目实施方案。</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实施方案完整规范，针对性强，紧贴采购需求实际的，得</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rPr>
              <w:t xml:space="preserve">分；</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实施方案基本完整，有一定针对性，基本符合采购需求实际的，得</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分；</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实施方案不完整，缺乏针对性的，得</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分；</w:t>
            </w:r>
            <w:r/>
          </w:p>
          <w:p>
            <w:pPr>
              <w:ind w:firstLine="210"/>
              <w:spacing w:line="360" w:lineRule="auto"/>
              <w:tabs>
                <w:tab w:val="left" w:pos="96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实施方案脱离采购需求实际或者未提供方案的，不得分。</w:t>
            </w:r>
            <w:r/>
          </w:p>
        </w:tc>
      </w:tr>
      <w:tr>
        <w:trPr>
          <w:jc w:val="center"/>
          <w:trHeight w:val="534"/>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right="-120"/>
              <w:jc w:val="center"/>
              <w:spacing w:line="0" w:lineRule="atLeas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7</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质量控制方案</w:t>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（5分）</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投标人根据本项目特点，制定本项目质量控制方案。</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质量保证方案内容完整规范，针对性强，紧贴采购需求实际的，得5分；</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质量保证方案内容基本完整，有一定针对性，基本符合采购需求实际的，得3分；</w:t>
            </w:r>
            <w:r/>
          </w:p>
          <w:p>
            <w:pPr>
              <w:ind w:firstLine="21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质量保证方案内容不完整，缺乏针对性的，得1分；</w:t>
            </w:r>
            <w:r/>
          </w:p>
          <w:p>
            <w:pPr>
              <w:ind w:firstLine="210"/>
              <w:jc w:val="left"/>
              <w:spacing w:line="360" w:lineRule="auto"/>
              <w:rPr>
                <w:rFonts w:hint="eastAsia" w:ascii="宋体" w:hAnsi="宋体" w:eastAsia="宋体" w:cs="宋体"/>
                <w:bCs/>
                <w:color w:val="auto"/>
                <w:sz w:val="21"/>
                <w:szCs w:val="21"/>
              </w:rPr>
            </w:pPr>
            <w:r>
              <w:rPr>
                <w:rFonts w:hint="eastAsia" w:ascii="宋体" w:hAnsi="宋体" w:eastAsia="宋体" w:cs="宋体"/>
                <w:color w:val="auto"/>
                <w:sz w:val="21"/>
                <w:szCs w:val="21"/>
              </w:rPr>
              <w:t xml:space="preserve">质量保证方案脱离采购需求实际或者未提供方案的，不得分。</w:t>
            </w:r>
            <w:r/>
          </w:p>
        </w:tc>
      </w:tr>
      <w:tr>
        <w:trPr>
          <w:jc w:val="center"/>
          <w:trHeight w:val="90"/>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right="-120"/>
              <w:jc w:val="center"/>
              <w:spacing w:line="0" w:lineRule="atLeas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8</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售后服务方案</w:t>
            </w:r>
            <w:r/>
          </w:p>
          <w:p>
            <w:pPr>
              <w:jc w:val="center"/>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rPr>
              <w:t xml:space="preserve">（5分）</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投标人根据本项目特点，制定本项目售后服务方案。</w:t>
            </w:r>
            <w:r/>
          </w:p>
          <w:p>
            <w:pPr>
              <w:ind w:firstLine="210"/>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售后服务方案内容完整深刻，针对性强，紧贴采购需求实际的，得5分；</w:t>
            </w:r>
            <w:r/>
          </w:p>
          <w:p>
            <w:pPr>
              <w:ind w:firstLine="210"/>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售后服务方案内容基本完整，有一定针对性，基本符合采购需求实际的，得3分；</w:t>
            </w:r>
            <w:r/>
          </w:p>
          <w:p>
            <w:pPr>
              <w:ind w:firstLine="210"/>
              <w:jc w:val="left"/>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售后服务方案内容不完整，缺乏针对性的，得1分；</w:t>
            </w:r>
            <w:r/>
          </w:p>
          <w:p>
            <w:pPr>
              <w:ind w:firstLine="210"/>
              <w:jc w:val="left"/>
              <w:spacing w:line="360" w:lineRule="auto"/>
              <w:rPr>
                <w:rFonts w:hint="eastAsia" w:ascii="宋体" w:hAnsi="宋体" w:eastAsia="宋体" w:cs="宋体"/>
                <w:color w:val="auto"/>
                <w:sz w:val="21"/>
                <w:szCs w:val="21"/>
                <w:lang w:bidi="ar"/>
              </w:rPr>
            </w:pPr>
            <w:r>
              <w:rPr>
                <w:rFonts w:hint="eastAsia" w:ascii="宋体" w:hAnsi="宋体" w:eastAsia="宋体" w:cs="宋体"/>
                <w:bCs/>
                <w:color w:val="auto"/>
                <w:sz w:val="21"/>
                <w:szCs w:val="21"/>
              </w:rPr>
              <w:t xml:space="preserve">售后服务方案内容脱离采购需求实际或者未提供方案的，不得分。</w:t>
            </w:r>
            <w:r/>
          </w:p>
        </w:tc>
      </w:tr>
      <w:tr>
        <w:trPr>
          <w:jc w:val="center"/>
          <w:trHeight w:val="1670"/>
        </w:trPr>
        <w:tc>
          <w:tcPr>
            <w:tcBorders>
              <w:top w:val="single" w:color="auto" w:sz="4" w:space="0"/>
              <w:left w:val="single" w:color="auto" w:sz="4" w:space="0"/>
              <w:bottom w:val="single" w:color="auto" w:sz="4" w:space="0"/>
              <w:right w:val="single" w:color="auto" w:sz="4" w:space="0"/>
            </w:tcBorders>
            <w:tcW w:w="389" w:type="pct"/>
            <w:vAlign w:val="center"/>
            <w:textDirection w:val="lrTb"/>
            <w:noWrap w:val="false"/>
          </w:tcPr>
          <w:p>
            <w:pPr>
              <w:ind w:right="-120"/>
              <w:jc w:val="center"/>
              <w:spacing w:line="0" w:lineRule="atLeast"/>
              <w:rPr>
                <w:rFonts w:hint="eastAsia" w:ascii="宋体" w:hAnsi="宋体" w:eastAsia="宋体" w:cs="宋体"/>
                <w:color w:val="auto"/>
                <w:sz w:val="21"/>
                <w:szCs w:val="21"/>
                <w:lang w:bidi="ar"/>
              </w:rPr>
            </w:pPr>
            <w:r>
              <w:rPr>
                <w:rFonts w:hint="eastAsia" w:ascii="宋体" w:hAnsi="宋体" w:eastAsia="宋体" w:cs="宋体"/>
                <w:color w:val="auto"/>
                <w:sz w:val="21"/>
                <w:szCs w:val="21"/>
                <w:lang w:bidi="ar"/>
              </w:rPr>
              <w:t xml:space="preserve">9</w:t>
            </w:r>
            <w:r/>
          </w:p>
        </w:tc>
        <w:tc>
          <w:tcPr>
            <w:tcBorders>
              <w:top w:val="single" w:color="auto" w:sz="4" w:space="0"/>
              <w:left w:val="single" w:color="auto" w:sz="4" w:space="0"/>
              <w:bottom w:val="single" w:color="auto" w:sz="4" w:space="0"/>
              <w:right w:val="single" w:color="auto" w:sz="4" w:space="0"/>
            </w:tcBorders>
            <w:tcW w:w="762" w:type="pct"/>
            <w:vAlign w:val="center"/>
            <w:textDirection w:val="lrTb"/>
            <w:noWrap w:val="false"/>
          </w:tcPr>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延长质保</w:t>
            </w:r>
            <w:r/>
          </w:p>
          <w:p>
            <w:pPr>
              <w:jc w:val="center"/>
              <w:spacing w:line="360" w:lineRule="auto"/>
              <w:rPr>
                <w:rFonts w:hint="eastAsia" w:ascii="宋体" w:hAnsi="宋体" w:eastAsia="宋体" w:cs="宋体"/>
                <w:color w:val="auto"/>
                <w:sz w:val="21"/>
                <w:szCs w:val="21"/>
                <w:lang w:bidi="ar"/>
              </w:rPr>
            </w:pPr>
            <w:r>
              <w:rPr>
                <w:rFonts w:hint="eastAsia" w:ascii="宋体" w:hAnsi="宋体" w:eastAsia="宋体" w:cs="宋体"/>
                <w:color w:val="auto"/>
                <w:sz w:val="21"/>
                <w:szCs w:val="21"/>
              </w:rPr>
              <w:t xml:space="preserve">（2分）</w:t>
            </w:r>
            <w:r/>
          </w:p>
        </w:tc>
        <w:tc>
          <w:tcPr>
            <w:tcBorders>
              <w:top w:val="single" w:color="auto" w:sz="4" w:space="0"/>
              <w:left w:val="single" w:color="auto" w:sz="4" w:space="0"/>
              <w:bottom w:val="single" w:color="auto" w:sz="4" w:space="0"/>
              <w:right w:val="single" w:color="auto" w:sz="4" w:space="0"/>
            </w:tcBorders>
            <w:tcW w:w="3850" w:type="pct"/>
            <w:vAlign w:val="center"/>
            <w:textDirection w:val="lrTb"/>
            <w:noWrap w:val="false"/>
          </w:tcPr>
          <w:p>
            <w:pPr>
              <w:ind w:firstLine="21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投标人承诺3年免费质保，在此基础上每增加一年质保期得1分，最多得2分。</w:t>
            </w:r>
            <w:r>
              <w:rPr>
                <w:rFonts w:hint="eastAsia" w:ascii="宋体" w:hAnsi="宋体" w:eastAsia="宋体" w:cs="宋体"/>
                <w:b/>
                <w:bCs/>
                <w:color w:val="auto"/>
                <w:sz w:val="21"/>
                <w:szCs w:val="21"/>
              </w:rPr>
              <w:t xml:space="preserve">（提供承诺函</w:t>
            </w:r>
            <w:r>
              <w:rPr>
                <w:rFonts w:hint="eastAsia" w:ascii="宋体" w:hAnsi="宋体" w:cs="宋体"/>
                <w:b/>
                <w:bCs/>
                <w:color w:val="auto"/>
                <w:sz w:val="21"/>
                <w:szCs w:val="21"/>
                <w:lang w:eastAsia="zh-CN"/>
              </w:rPr>
              <w:t xml:space="preserve">，</w:t>
            </w:r>
            <w:r>
              <w:rPr>
                <w:rFonts w:hint="eastAsia" w:ascii="宋体" w:hAnsi="宋体" w:eastAsia="宋体" w:cs="宋体"/>
                <w:b/>
                <w:bCs/>
                <w:color w:val="auto"/>
                <w:sz w:val="21"/>
                <w:szCs w:val="21"/>
                <w:lang w:val="en-US" w:eastAsia="zh-CN"/>
              </w:rPr>
              <w:t xml:space="preserve">原件扫描上传</w:t>
            </w:r>
            <w:r>
              <w:rPr>
                <w:rFonts w:hint="eastAsia" w:ascii="宋体" w:hAnsi="宋体" w:eastAsia="宋体" w:cs="宋体"/>
                <w:b/>
                <w:bCs/>
                <w:color w:val="auto"/>
                <w:sz w:val="21"/>
                <w:szCs w:val="21"/>
              </w:rPr>
              <w:t xml:space="preserve">）</w:t>
            </w:r>
            <w:r/>
          </w:p>
        </w:tc>
      </w:tr>
    </w:tbl>
    <w:p>
      <w:pPr>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pStyle w:val="730"/>
        <w:rPr>
          <w:rFonts w:hint="eastAsia"/>
          <w:color w:val="auto"/>
        </w:rPr>
      </w:pPr>
      <w:r>
        <w:rPr>
          <w:rFonts w:hint="eastAsia"/>
          <w:color w:val="auto"/>
        </w:rPr>
      </w:r>
      <w:r/>
    </w:p>
    <w:p>
      <w:pPr>
        <w:ind w:firstLine="422"/>
        <w:keepLines w:val="0"/>
        <w:keepNext w:val="0"/>
        <w:pageBreakBefore w:val="0"/>
        <w:spacing w:line="360" w:lineRule="auto"/>
        <w:widowControl w:val="off"/>
        <w:rPr>
          <w:rFonts w:hint="eastAsia" w:ascii="Times New Roman" w:hAnsi="Times New Roman" w:eastAsia="宋体" w:cs="宋体"/>
          <w:b/>
          <w:bCs/>
          <w:color w:val="auto"/>
          <w:sz w:val="21"/>
          <w:szCs w:val="21"/>
          <w:highlight w:val="none"/>
          <w:lang w:val="en-US" w:eastAsia="zh-CN"/>
        </w:rPr>
      </w:pPr>
      <w:r>
        <w:rPr>
          <w:rFonts w:hint="eastAsia" w:ascii="Times New Roman" w:hAnsi="Times New Roman" w:eastAsia="宋体" w:cs="宋体"/>
          <w:b/>
          <w:bCs/>
          <w:color w:val="auto"/>
          <w:sz w:val="21"/>
          <w:szCs w:val="21"/>
          <w:highlight w:val="none"/>
          <w:lang w:val="en-US" w:eastAsia="zh-CN"/>
        </w:rPr>
      </w:r>
      <w:r/>
    </w:p>
    <w:p>
      <w:pPr>
        <w:ind w:firstLine="422"/>
        <w:keepLines w:val="0"/>
        <w:keepNext w:val="0"/>
        <w:pageBreakBefore w:val="0"/>
        <w:spacing w:line="360" w:lineRule="auto"/>
        <w:widowControl w:val="off"/>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sz w:val="21"/>
          <w:szCs w:val="21"/>
          <w:highlight w:val="none"/>
          <w:lang w:val="en-US" w:eastAsia="zh-CN"/>
        </w:rPr>
        <w:t xml:space="preserve">四、</w:t>
      </w:r>
      <w:r>
        <w:rPr>
          <w:rFonts w:hint="eastAsia" w:ascii="Times New Roman" w:hAnsi="Times New Roman" w:eastAsia="宋体" w:cs="宋体"/>
          <w:b/>
          <w:bCs/>
          <w:color w:val="auto"/>
          <w:highlight w:val="none"/>
        </w:rPr>
        <w:t xml:space="preserve">本次采购执行财政部发布《关于推动解决政府采购异常低价问题的通知》财库〔2026〕2号）的文件要求。</w:t>
      </w:r>
      <w:r/>
    </w:p>
    <w:p>
      <w:pPr>
        <w:ind w:firstLine="422"/>
        <w:keepLines w:val="0"/>
        <w:keepNext w:val="0"/>
        <w:pageBreakBefore w:val="0"/>
        <w:spacing w:line="360" w:lineRule="auto"/>
        <w:widowControl w:val="off"/>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（一）政府采购评审中出现下列情形之一的，评审委员会应当启动异常低价投标（响应）审查程序：</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1.投标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响应)报价〈全部通过符合性审查供应商投标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响应)报价平均值</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2.投标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响应)报价50%的，即投标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响应)报价〈通过符合性审查的次低报价供应商投标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w:t>
      </w:r>
      <w:r>
        <w:rPr>
          <w:rFonts w:hint="eastAsia" w:ascii="Times New Roman" w:hAnsi="Times New Roman" w:eastAsia="宋体"/>
          <w:b/>
          <w:bCs/>
          <w:color w:val="auto"/>
          <w:sz w:val="21"/>
          <w:szCs w:val="21"/>
          <w:highlight w:val="none"/>
          <w:lang w:val="en-US" w:eastAsia="zh-CN"/>
        </w:rPr>
        <w:t xml:space="preserve">×</w:t>
      </w:r>
      <w:r>
        <w:rPr>
          <w:rFonts w:hint="eastAsia" w:ascii="Times New Roman" w:hAnsi="Times New Roman" w:eastAsia="宋体" w:cs="宋体"/>
          <w:b w:val="0"/>
          <w:bCs w:val="0"/>
          <w:color w:val="auto"/>
          <w:szCs w:val="21"/>
          <w:highlight w:val="none"/>
        </w:rPr>
        <w:t xml:space="preserve">50%；</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3.投标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响应)报价低于采购项目最高限价45%的，即投标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响应)报价&lt;采购项目最高限价X45%；</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4.评审委员会基于专业判断，认为供应商报价过低，有可能影响产品质量或者不能诚信履约的其他情形。</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二</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评审委员会启动异常低价投标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响应)审查后，属于前述第1项至第4项情形的，应当要求相关供应商在评审现场合理的时间内对投标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价格作出解释，提供项目具体成本测算等与报价合理性相关的书面说明及必要的证明材料，包括但不限于原材料成本、人工成本、制造费用等，给予相关供应商的合理时间不少于30分钟。其中，属于第3项情形，供应商已随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响应)文件一并提交相关书面说明及必要的证明材料的，在评审现场可不再重复提交。</w:t>
      </w:r>
      <w:r/>
    </w:p>
    <w:p>
      <w:pPr>
        <w:ind w:firstLine="422"/>
        <w:pageBreakBefore w:val="0"/>
        <w:spacing w:line="360" w:lineRule="auto"/>
        <w:rPr>
          <w:rFonts w:hint="eastAsia"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lang w:val="en-US" w:eastAsia="zh-CN"/>
        </w:rPr>
        <w:t xml:space="preserve">三</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评审委员会依据专业经验，参考同类项目中标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成交)价格、类似产品市场价格水平、行业人工费用标准、国家有关部门指导行业协会发布的行业平均成本等情况，对报价合理性进行判断。投标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响应)供应商不能提供书面说明、证明材料，或者提供的书面说明、证明材料不能证明其报价合理性的，评审委员会应当将其作为无效投标</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响应)处理。</w:t>
      </w:r>
      <w:r/>
    </w:p>
    <w:p>
      <w:pP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br w:type="page" w:clear="all"/>
      </w:r>
      <w:r/>
    </w:p>
    <w:p>
      <w:pPr>
        <w:pStyle w:val="719"/>
        <w:pageBreakBefore w:val="0"/>
        <w:spacing w:line="360" w:lineRule="auto"/>
        <w:rPr>
          <w:rFonts w:ascii="Times New Roman" w:hAnsi="Times New Roman" w:eastAsia="宋体"/>
          <w:color w:val="auto"/>
          <w:highlight w:val="none"/>
        </w:rPr>
      </w:pPr>
      <w:r/>
      <w:bookmarkStart w:id="89" w:name="_Toc3287"/>
      <w:r/>
      <w:bookmarkStart w:id="90" w:name="_Toc27845"/>
      <w:r/>
      <w:bookmarkStart w:id="91" w:name="_Toc8012"/>
      <w:r/>
      <w:bookmarkStart w:id="92" w:name="_Toc1523"/>
      <w:r/>
      <w:bookmarkStart w:id="93" w:name="_Toc24650"/>
      <w:r/>
      <w:bookmarkStart w:id="94" w:name="_Toc20299"/>
      <w:r>
        <w:rPr>
          <w:rFonts w:hint="eastAsia" w:ascii="Times New Roman" w:hAnsi="Times New Roman" w:eastAsia="宋体"/>
          <w:color w:val="auto"/>
          <w:highlight w:val="none"/>
        </w:rPr>
        <w:t xml:space="preserve">第六章 投标文件格式</w:t>
      </w:r>
      <w:bookmarkEnd w:id="89"/>
      <w:r/>
      <w:bookmarkEnd w:id="90"/>
      <w:r/>
      <w:bookmarkEnd w:id="91"/>
      <w:r/>
      <w:bookmarkEnd w:id="92"/>
      <w:r/>
      <w:bookmarkEnd w:id="93"/>
      <w:r/>
      <w:bookmarkEnd w:id="94"/>
      <w:r>
        <w:rPr>
          <w:rFonts w:hint="eastAsia" w:ascii="Times New Roman" w:hAnsi="Times New Roman" w:eastAsia="宋体"/>
          <w:color w:val="auto"/>
          <w:highlight w:val="none"/>
        </w:rPr>
        <w:t xml:space="preserve"> </w:t>
      </w:r>
      <w:r/>
    </w:p>
    <w:p>
      <w:pPr>
        <w:pageBreakBefore w:val="0"/>
        <w:spacing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Style w:val="738"/>
        <w:pageBreakBefore w:val="0"/>
        <w:spacing w:after="0" w:line="360" w:lineRule="auto"/>
        <w:rPr>
          <w:rFonts w:hint="eastAsia" w:ascii="Times New Roman" w:hAnsi="Times New Roman" w:eastAsia="宋体" w:cs="宋体"/>
          <w:bCs/>
          <w:color w:val="auto"/>
          <w:sz w:val="44"/>
          <w:highlight w:val="none"/>
        </w:rPr>
      </w:pPr>
      <w:r>
        <w:rPr>
          <w:rFonts w:hint="eastAsia" w:ascii="Times New Roman" w:hAnsi="Times New Roman" w:eastAsia="宋体" w:cs="宋体"/>
          <w:bCs/>
          <w:color w:val="auto"/>
          <w:sz w:val="44"/>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t xml:space="preserve">投  标  文  件</w:t>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项 目 名 称：</w:t>
      </w:r>
      <w:r/>
    </w:p>
    <w:p>
      <w:pPr>
        <w:ind w:firstLine="1084"/>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招 标 编 号：</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投标人名称 ：</w:t>
      </w:r>
      <w:r/>
    </w:p>
    <w:p>
      <w:pPr>
        <w:pageBreakBefore w:val="0"/>
        <w:spacing w:line="360" w:lineRule="auto"/>
        <w:rPr>
          <w:rFonts w:hint="eastAsia" w:ascii="Times New Roman" w:hAnsi="Times New Roman" w:eastAsia="宋体" w:cs="宋体"/>
          <w:b/>
          <w:color w:val="auto"/>
          <w:sz w:val="36"/>
          <w:highlight w:val="none"/>
          <w:u w:val="single"/>
        </w:rPr>
      </w:pPr>
      <w:r>
        <w:rPr>
          <w:rFonts w:hint="eastAsia" w:ascii="Times New Roman" w:hAnsi="Times New Roman" w:eastAsia="宋体" w:cs="宋体"/>
          <w:b/>
          <w:color w:val="auto"/>
          <w:sz w:val="36"/>
          <w:highlight w:val="none"/>
        </w:rPr>
        <w:t xml:space="preserve">      日      期 ：</w:t>
      </w:r>
      <w:r/>
    </w:p>
    <w:p>
      <w:pPr>
        <w:ind w:firstLine="1084"/>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t xml:space="preserve">投  标  人：（电子签章）</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t xml:space="preserve">投标主要文件目录</w:t>
      </w:r>
      <w:r/>
    </w:p>
    <w:p>
      <w:pPr>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一、资格审查响应对照表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二、符合性审查响应对照表</w:t>
      </w:r>
      <w:r/>
    </w:p>
    <w:p>
      <w:pPr>
        <w:ind w:left="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三、非实质性响应对照表</w:t>
      </w:r>
      <w:r/>
    </w:p>
    <w:p>
      <w:pPr>
        <w:ind w:firstLine="480"/>
        <w:pageBreakBefore w:val="0"/>
        <w:spacing w:line="360" w:lineRule="auto"/>
        <w:rPr>
          <w:rFonts w:hint="eastAsia" w:ascii="Times New Roman" w:hAnsi="Times New Roman" w:eastAsia="宋体" w:cs="宋体"/>
          <w:b/>
          <w:bCs/>
          <w:color w:val="auto"/>
          <w:sz w:val="24"/>
          <w:highlight w:val="none"/>
        </w:rPr>
      </w:pPr>
      <w:r>
        <w:rPr>
          <w:rFonts w:hint="eastAsia" w:ascii="Times New Roman" w:hAnsi="Times New Roman" w:eastAsia="宋体" w:cs="宋体"/>
          <w:color w:val="auto"/>
          <w:sz w:val="24"/>
          <w:highlight w:val="none"/>
        </w:rPr>
        <w:t xml:space="preserve">四</w:t>
      </w:r>
      <w:r>
        <w:rPr>
          <w:rFonts w:hint="eastAsia" w:ascii="Times New Roman" w:hAnsi="Times New Roman" w:eastAsia="宋体" w:cs="宋体"/>
          <w:b/>
          <w:bCs/>
          <w:color w:val="auto"/>
          <w:sz w:val="24"/>
          <w:highlight w:val="none"/>
        </w:rPr>
        <w:t xml:space="preserve">、</w:t>
      </w:r>
      <w:r>
        <w:rPr>
          <w:rFonts w:hint="eastAsia" w:ascii="Times New Roman" w:hAnsi="Times New Roman" w:eastAsia="宋体" w:cs="宋体"/>
          <w:i/>
          <w:color w:val="auto"/>
          <w:sz w:val="24"/>
          <w:highlight w:val="none"/>
          <w:u w:val="single"/>
        </w:rPr>
        <w:t xml:space="preserve">开标一览表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五、投标配置与分项报价表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六</w:t>
      </w:r>
      <w:r>
        <w:rPr>
          <w:rFonts w:hint="eastAsia" w:ascii="Times New Roman" w:hAnsi="Times New Roman" w:eastAsia="宋体" w:cs="宋体"/>
          <w:color w:val="auto"/>
          <w:sz w:val="24"/>
          <w:szCs w:val="24"/>
          <w:highlight w:val="none"/>
        </w:rPr>
        <w:t xml:space="preserve">、技术参数响应及偏离表</w:t>
      </w:r>
      <w:r/>
    </w:p>
    <w:p>
      <w:pPr>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t xml:space="preserve">七、商务条款响应及偏离表</w:t>
      </w:r>
      <w:r/>
    </w:p>
    <w:p>
      <w:pPr>
        <w:ind w:firstLine="480"/>
        <w:pageBreakBefore w:val="0"/>
        <w:spacing w:line="360" w:lineRule="auto"/>
        <w:rPr>
          <w:rFonts w:hint="eastAsia" w:ascii="Times New Roman" w:hAnsi="Times New Roman" w:eastAsia="宋体" w:cs="宋体"/>
          <w:color w:val="auto"/>
          <w:sz w:val="36"/>
          <w:szCs w:val="36"/>
          <w:highlight w:val="none"/>
        </w:rPr>
      </w:pPr>
      <w:r>
        <w:rPr>
          <w:rFonts w:hint="eastAsia" w:ascii="Times New Roman" w:hAnsi="Times New Roman" w:eastAsia="宋体" w:cs="宋体"/>
          <w:color w:val="auto"/>
          <w:sz w:val="24"/>
          <w:highlight w:val="none"/>
        </w:rPr>
        <w:t xml:space="preserve">八、其他 （投标人认为有必要提供的声明和文件，如有自拟并自行添加）</w:t>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jc w:val="center"/>
        <w:pageBreakBefore w:val="0"/>
        <w:spacing w:line="360" w:lineRule="auto"/>
        <w:rPr>
          <w:rFonts w:hint="eastAsia" w:ascii="Times New Roman" w:hAnsi="Times New Roman" w:eastAsia="宋体" w:cs="宋体"/>
          <w:b/>
          <w:color w:val="auto"/>
          <w:sz w:val="72"/>
          <w:highlight w:val="none"/>
        </w:rPr>
      </w:pPr>
      <w:r>
        <w:rPr>
          <w:rFonts w:hint="eastAsia" w:ascii="Times New Roman" w:hAnsi="Times New Roman" w:eastAsia="宋体" w:cs="宋体"/>
          <w:b/>
          <w:color w:val="auto"/>
          <w:sz w:val="72"/>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2"/>
          <w:szCs w:val="32"/>
          <w:highlight w:val="none"/>
        </w:rPr>
      </w:pPr>
      <w:r>
        <w:rPr>
          <w:rFonts w:hint="eastAsia" w:ascii="Times New Roman" w:hAnsi="Times New Roman" w:eastAsia="宋体" w:cs="宋体"/>
          <w:b/>
          <w:color w:val="auto"/>
          <w:sz w:val="32"/>
          <w:szCs w:val="32"/>
          <w:highlight w:val="none"/>
        </w:rPr>
      </w:r>
      <w:r/>
    </w:p>
    <w:p>
      <w:pPr>
        <w:pStyle w:val="720"/>
        <w:jc w:val="center"/>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s="宋体"/>
          <w:color w:val="auto"/>
          <w:sz w:val="32"/>
          <w:szCs w:val="32"/>
          <w:highlight w:val="none"/>
        </w:rPr>
        <w:br w:type="page" w:clear="all"/>
      </w:r>
      <w:bookmarkStart w:id="95" w:name="_Toc26156"/>
      <w:r/>
      <w:bookmarkStart w:id="96" w:name="_Toc20369"/>
      <w:r/>
      <w:bookmarkStart w:id="97" w:name="_Toc1107"/>
      <w:r/>
      <w:bookmarkStart w:id="98" w:name="_Toc5792"/>
      <w:r/>
      <w:bookmarkStart w:id="99" w:name="_Toc7268"/>
      <w:r>
        <w:rPr>
          <w:rFonts w:hint="eastAsia" w:ascii="Times New Roman" w:hAnsi="Times New Roman" w:eastAsia="宋体" w:cs="宋体"/>
          <w:b/>
          <w:bCs/>
          <w:color w:val="auto"/>
          <w:sz w:val="32"/>
          <w:highlight w:val="none"/>
        </w:rPr>
        <w:t xml:space="preserve">一、</w:t>
      </w:r>
      <w:bookmarkEnd w:id="95"/>
      <w:r/>
      <w:bookmarkEnd w:id="96"/>
      <w:r/>
      <w:bookmarkEnd w:id="97"/>
      <w:r/>
      <w:bookmarkEnd w:id="98"/>
      <w:r/>
      <w:bookmarkEnd w:id="99"/>
      <w:r>
        <w:rPr>
          <w:rFonts w:hint="eastAsia" w:ascii="Times New Roman" w:hAnsi="Times New Roman" w:eastAsia="宋体"/>
          <w:b/>
          <w:bCs/>
          <w:color w:val="auto"/>
          <w:sz w:val="32"/>
          <w:highlight w:val="none"/>
        </w:rPr>
        <w:t xml:space="preserve">资格审查响应对照表</w:t>
      </w:r>
      <w:r/>
    </w:p>
    <w:tbl>
      <w:tblPr>
        <w:tblStyle w:val="729"/>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854"/>
        <w:gridCol w:w="1751"/>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854"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1751"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w:t>
            </w: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身份证为正、反面）</w:t>
            </w:r>
            <w:r/>
          </w:p>
        </w:tc>
        <w:tc>
          <w:tcPr>
            <w:tcW w:w="17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2</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lang w:eastAsia="zh-CN"/>
              </w:rPr>
              <w:t xml:space="preserve">上一年度</w:t>
            </w:r>
            <w:r>
              <w:rPr>
                <w:rFonts w:hint="eastAsia" w:ascii="Times New Roman" w:hAnsi="Times New Roman" w:eastAsia="宋体" w:cs="宋体"/>
                <w:color w:val="auto"/>
                <w:szCs w:val="21"/>
                <w:highlight w:val="none"/>
              </w:rPr>
              <w:t xml:space="preserve">的财务报告情况（成立不满一年无需提供）</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3</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依法缴纳税收和社会保障资金的相关材料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具备履行合同所必需的设备和专业技术能力的证明材料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参加本次政府采购活动前3年内在经营活动中没有重大违法记录的书面声明</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6</w:t>
            </w:r>
            <w:r/>
          </w:p>
        </w:tc>
        <w:tc>
          <w:tcPr>
            <w:shd w:val="clear" w:color="auto" w:fill="auto"/>
            <w:tcW w:w="5854" w:type="dxa"/>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lang w:val="en-US" w:eastAsia="zh-CN"/>
              </w:rPr>
              <w:t xml:space="preserve">7</w:t>
            </w:r>
            <w:r/>
          </w:p>
        </w:tc>
        <w:tc>
          <w:tcPr>
            <w:shd w:val="clear" w:color="auto" w:fill="auto"/>
            <w:tcW w:w="5854"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www.creditchina.gov.cn）、“中国政府采购网”</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www.ccgp.gov.cn</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列入失信被执行人、重大税收违法案件当事人名单、政府采购严重违法失信行为记录名单及其他不符合《中华人民共和国政府采购法》第二十二条规定条件的信用记录。</w:t>
            </w:r>
            <w:r>
              <w:rPr>
                <w:rFonts w:hint="eastAsia" w:ascii="Times New Roman" w:hAnsi="Times New Roman" w:eastAsia="宋体"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投标文件中无需提供证明材料）</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9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default" w:ascii="Times New Roman" w:hAnsi="Times New Roman"/>
                <w:color w:val="auto"/>
                <w:szCs w:val="21"/>
                <w:highlight w:val="none"/>
                <w:lang w:val="en-US" w:eastAsia="zh-CN"/>
              </w:rPr>
              <w:t xml:space="preserve">8</w:t>
            </w:r>
            <w:r/>
          </w:p>
        </w:tc>
        <w:tc>
          <w:tcPr>
            <w:tcW w:w="5854" w:type="dxa"/>
            <w:vAlign w:val="center"/>
            <w:textDirection w:val="lrTb"/>
            <w:noWrap w:val="false"/>
          </w:tcPr>
          <w:p>
            <w:pP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default" w:ascii="Times New Roman" w:hAnsi="Times New Roman"/>
                <w:color w:val="auto"/>
                <w:szCs w:val="21"/>
                <w:highlight w:val="none"/>
                <w:lang w:val="en-US" w:eastAsia="zh-CN"/>
              </w:rPr>
              <w:t xml:space="preserve">9</w:t>
            </w:r>
            <w:r/>
          </w:p>
        </w:tc>
        <w:tc>
          <w:tcPr>
            <w:tcW w:w="5854" w:type="dxa"/>
            <w:vAlign w:val="center"/>
            <w:textDirection w:val="lrTb"/>
            <w:noWrap w:val="false"/>
          </w:tcPr>
          <w:p>
            <w:pPr>
              <w:jc w:val="left"/>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cs="宋体"/>
                <w:color w:val="auto"/>
                <w:szCs w:val="21"/>
                <w:highlight w:val="none"/>
                <w:lang w:val="en-US" w:eastAsia="zh-CN"/>
              </w:rPr>
              <w:t xml:space="preserve">无</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default" w:ascii="Times New Roman" w:hAnsi="Times New Roman"/>
                <w:color w:val="auto"/>
                <w:szCs w:val="21"/>
                <w:highlight w:val="none"/>
                <w:lang w:val="en-US" w:eastAsia="zh-CN"/>
              </w:rPr>
              <w:t xml:space="preserve">10</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color w:val="auto"/>
                <w:szCs w:val="21"/>
                <w:highlight w:val="none"/>
                <w:lang w:val="en-US" w:eastAsia="zh-CN"/>
              </w:rPr>
              <w:t xml:space="preserve">1</w:t>
            </w:r>
            <w:r>
              <w:rPr>
                <w:rFonts w:hint="default" w:ascii="Times New Roman" w:hAnsi="Times New Roman"/>
                <w:color w:val="auto"/>
                <w:szCs w:val="21"/>
                <w:highlight w:val="none"/>
                <w:lang w:val="en-US" w:eastAsia="zh-CN"/>
              </w:rPr>
              <w:t xml:space="preserve">1</w:t>
            </w:r>
            <w:r/>
          </w:p>
        </w:tc>
        <w:tc>
          <w:tcPr>
            <w:tcW w:w="5854"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17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left="0" w:firstLine="420"/>
        <w:keepLines w:val="0"/>
        <w:keepNext w:val="0"/>
        <w:pageBreakBefore w:val="0"/>
        <w:spacing w:line="360" w:lineRule="auto"/>
        <w:widowControl w:val="off"/>
        <w:rPr>
          <w:rFonts w:hint="eastAsia" w:ascii="Times New Roman" w:hAnsi="Times New Roman" w:eastAsia="宋体"/>
          <w:color w:val="auto"/>
          <w:sz w:val="21"/>
          <w:szCs w:val="21"/>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olor w:val="auto"/>
          <w:sz w:val="21"/>
          <w:szCs w:val="21"/>
          <w:highlight w:val="none"/>
        </w:rPr>
      </w:r>
      <w:r/>
    </w:p>
    <w:p>
      <w:pPr>
        <w:ind w:firstLine="147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具备履行合同所必需的设备和专业技术能力的书面声明</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主要设备有</w:t>
      </w:r>
      <w:r>
        <w:rPr>
          <w:rFonts w:hint="eastAsia" w:ascii="Times New Roman" w:hAnsi="Times New Roman" w:eastAsia="宋体" w:cs="宋体"/>
          <w:bCs/>
          <w:color w:val="auto"/>
          <w:szCs w:val="21"/>
          <w:highlight w:val="none"/>
          <w:lang w:eastAsia="zh-CN"/>
        </w:rPr>
        <w:t xml:space="preserve">：</w:t>
      </w:r>
      <w:r/>
    </w:p>
    <w:p>
      <w:pPr>
        <w:ind w:firstLine="492"/>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主要专业技术能力有</w:t>
      </w:r>
      <w:r>
        <w:rPr>
          <w:rFonts w:hint="eastAsia" w:ascii="Times New Roman" w:hAnsi="Times New Roman" w:eastAsia="宋体" w:cs="宋体"/>
          <w:bCs/>
          <w:color w:val="auto"/>
          <w:szCs w:val="21"/>
          <w:highlight w:val="none"/>
          <w:lang w:eastAsia="zh-CN"/>
        </w:rPr>
        <w:t xml:space="preserve">：</w:t>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contextualSpacing/>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br w:type="page" w:clear="all"/>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参加本次政府采购活动前 3 年内在经营活动中没有重大违法记录的书面声明</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声  明</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供应商名称（公章）：</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法定代表人签章：</w:t>
      </w:r>
      <w:r>
        <w:rPr>
          <w:rFonts w:hint="eastAsia" w:ascii="Times New Roman" w:hAnsi="Times New Roman" w:eastAsia="宋体" w:cs="宋体"/>
          <w:bCs/>
          <w:color w:val="auto"/>
          <w:highlight w:val="none"/>
          <w:u w:val="single"/>
        </w:rPr>
        <w:t xml:space="preserve">_______________________</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                               日期：  年  月  日</w:t>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color w:val="auto"/>
          <w:szCs w:val="21"/>
          <w:highlight w:val="none"/>
        </w:rPr>
        <w:t xml:space="preserve">供应商信用承诺书</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承诺主体名称：</w:t>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统一社会信用代码：</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二、严格按照国家</w:t>
      </w:r>
      <w:r>
        <w:rPr>
          <w:rFonts w:hint="eastAsia" w:ascii="Times New Roman" w:hAnsi="Times New Roman" w:eastAsia="宋体" w:cs="宋体"/>
          <w:color w:val="auto"/>
          <w:szCs w:val="21"/>
          <w:highlight w:val="none"/>
          <w:lang w:eastAsia="zh-CN"/>
        </w:rPr>
        <w:t xml:space="preserve">法律法规</w:t>
      </w:r>
      <w:r>
        <w:rPr>
          <w:rFonts w:hint="eastAsia" w:ascii="Times New Roman" w:hAnsi="Times New Roman" w:eastAsia="宋体" w:cs="宋体"/>
          <w:color w:val="auto"/>
          <w:szCs w:val="21"/>
          <w:highlight w:val="none"/>
        </w:rPr>
        <w:t xml:space="preserve">和规章开展采购活动，全面履行应尽的责任和义务，全面做到履约守信，具备《中华人民共和国政府采购法》第二十二条第一款规定的条件；</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四、自觉接受行政管理部门、行业组织、社会公众、新闻舆论的监督；</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七、严格遵守信用信息公示相关规定，向社会公示信用信息；</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十、本承诺书自签订之日起生效。</w:t>
      </w:r>
      <w:r/>
    </w:p>
    <w:p>
      <w:pPr>
        <w:ind w:firstLine="42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（注：法定代表人或负责人、主体名称发生变更的应当重新作出承诺。）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承诺单位（签章）：           </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法定代表人（负责人）：</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年    月    日</w:t>
      </w:r>
      <w:r/>
    </w:p>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br w:type="page" w:clear="all"/>
      </w:r>
      <w:r>
        <w:rPr>
          <w:rFonts w:hint="eastAsia" w:ascii="Times New Roman" w:hAnsi="Times New Roman" w:eastAsia="宋体" w:cs="宋体"/>
          <w:b/>
          <w:bCs/>
          <w:color w:val="auto"/>
          <w:highlight w:val="none"/>
        </w:rPr>
        <w:t xml:space="preserve">投标函格式</w:t>
      </w:r>
      <w:r/>
    </w:p>
    <w:p>
      <w:pPr>
        <w:pStyle w:val="78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致：</w:t>
      </w:r>
      <w:r>
        <w:rPr>
          <w:rFonts w:hint="eastAsia" w:ascii="Times New Roman" w:hAnsi="Times New Roman" w:eastAsia="宋体" w:cs="宋体"/>
          <w:color w:val="auto"/>
          <w:sz w:val="21"/>
          <w:highlight w:val="none"/>
        </w:rPr>
        <w:t xml:space="preserve">江苏苏维工程管理有限公司</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据此函，__________签字人（姓名）兹宣布同意如下：</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1.按照招标文件规定的各项要求，向买方提供所需货物与服务。</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2.我们完全理解贵方不一定将合同授予最低报价的投标人。</w:t>
      </w:r>
      <w:r/>
    </w:p>
    <w:p>
      <w:pPr>
        <w:pStyle w:val="781"/>
        <w:ind w:firstLine="42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3.我们已详细审核全部招标文件及其有效补充文件，我们知道必须放弃提出含糊不清或误解问题的权利。</w:t>
      </w:r>
      <w:r/>
    </w:p>
    <w:p>
      <w:pPr>
        <w:pStyle w:val="781"/>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4.我们同意从规定的开标日期起遵循本投标文件，并在规定的投标有效期期满之前均具有约束力。</w:t>
      </w:r>
      <w:r/>
    </w:p>
    <w:p>
      <w:pPr>
        <w:pStyle w:val="781"/>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781"/>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6.一旦我方中标，我方将根据招标文件的规定，严格履行合同的责任和义务，并保证在招标文件规定的时</w:t>
      </w:r>
      <w:r>
        <w:rPr>
          <w:rFonts w:hint="eastAsia" w:ascii="Times New Roman" w:hAnsi="Times New Roman" w:eastAsia="宋体" w:cs="宋体"/>
          <w:color w:val="auto"/>
          <w:sz w:val="21"/>
          <w:szCs w:val="21"/>
          <w:highlight w:val="none"/>
          <w:lang w:eastAsia="zh-CN"/>
        </w:rPr>
        <w:t xml:space="preserve">间内</w:t>
      </w:r>
      <w:r>
        <w:rPr>
          <w:rFonts w:hint="eastAsia" w:ascii="Times New Roman" w:hAnsi="Times New Roman" w:eastAsia="宋体" w:cs="宋体"/>
          <w:color w:val="auto"/>
          <w:sz w:val="21"/>
          <w:szCs w:val="21"/>
          <w:highlight w:val="none"/>
        </w:rPr>
        <w:t xml:space="preserve">完成项目，交付买方验收、使用。</w:t>
      </w:r>
      <w:r/>
    </w:p>
    <w:p>
      <w:pPr>
        <w:pStyle w:val="781"/>
        <w:ind w:left="425" w:firstLine="105"/>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7.与本投标有关的正式通讯地址为：</w:t>
      </w:r>
      <w:r/>
    </w:p>
    <w:p>
      <w:pPr>
        <w:pStyle w:val="78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地 址：</w:t>
      </w:r>
      <w:r/>
    </w:p>
    <w:p>
      <w:pPr>
        <w:pStyle w:val="78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邮 编：</w:t>
      </w:r>
      <w:r/>
    </w:p>
    <w:p>
      <w:pPr>
        <w:pStyle w:val="78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电 话： </w:t>
      </w:r>
      <w:r/>
    </w:p>
    <w:p>
      <w:pPr>
        <w:pStyle w:val="78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传 真： </w:t>
      </w:r>
      <w:r/>
    </w:p>
    <w:p>
      <w:pPr>
        <w:pStyle w:val="78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投标人开户行：</w:t>
      </w:r>
      <w:r/>
    </w:p>
    <w:p>
      <w:pPr>
        <w:pStyle w:val="78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账 户： </w:t>
      </w:r>
      <w:r/>
    </w:p>
    <w:p>
      <w:pPr>
        <w:pStyle w:val="78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行 号：</w:t>
      </w:r>
      <w:r/>
    </w:p>
    <w:p>
      <w:pPr>
        <w:pStyle w:val="781"/>
        <w:ind w:firstLine="478"/>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 期：________年____月____日</w:t>
      </w:r>
      <w:r/>
    </w:p>
    <w:p>
      <w:pPr>
        <w:contextualSpacing/>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 w:val="32"/>
          <w:szCs w:val="32"/>
          <w:highlight w:val="none"/>
        </w:rPr>
        <w:br w:type="page" w:clear="all"/>
      </w:r>
      <w:r>
        <w:rPr>
          <w:rFonts w:hint="eastAsia" w:ascii="Times New Roman" w:hAnsi="Times New Roman" w:eastAsia="宋体" w:cs="宋体"/>
          <w:b/>
          <w:color w:val="auto"/>
          <w:szCs w:val="21"/>
          <w:highlight w:val="none"/>
        </w:rPr>
        <w:t xml:space="preserve">法人授权书</w:t>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本授权书于______年____月____日起生效，特此声明。</w:t>
      </w:r>
      <w:r/>
    </w:p>
    <w:p>
      <w:pPr>
        <w:pStyle w:val="998"/>
        <w:ind w:firstLine="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被授权人姓名： </w:t>
      </w:r>
      <w:r/>
    </w:p>
    <w:p>
      <w:pPr>
        <w:pStyle w:val="998"/>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联系电话（手机）：</w:t>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单位名称： </w:t>
      </w:r>
      <w:r/>
    </w:p>
    <w:p>
      <w:pPr>
        <w:pStyle w:val="998"/>
        <w:ind w:firstLine="420"/>
        <w:pageBreakBefore w:val="0"/>
        <w:spacing w:line="360" w:lineRule="auto"/>
        <w:rPr>
          <w:rFonts w:hint="eastAsia" w:ascii="Times New Roman" w:hAnsi="Times New Roman" w:eastAsia="宋体" w:cs="宋体"/>
          <w:color w:val="auto"/>
          <w:sz w:val="21"/>
          <w:szCs w:val="21"/>
          <w:highlight w:val="none"/>
          <w:u w:val="single"/>
        </w:rPr>
      </w:pPr>
      <w:r>
        <w:rPr>
          <w:rFonts w:hint="eastAsia" w:ascii="Times New Roman" w:hAnsi="Times New Roman" w:eastAsia="宋体" w:cs="宋体"/>
          <w:color w:val="auto"/>
          <w:sz w:val="21"/>
          <w:szCs w:val="21"/>
          <w:highlight w:val="none"/>
        </w:rPr>
        <w:t xml:space="preserve">单位地址：</w:t>
      </w:r>
      <w:r/>
    </w:p>
    <w:p>
      <w:pPr>
        <w:pStyle w:val="998"/>
        <w:ind w:firstLine="42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日期：</w:t>
      </w:r>
      <w:r/>
    </w:p>
    <w:p>
      <w:pPr>
        <w:pageBreakBefore w:val="0"/>
        <w:spacing w:line="360" w:lineRule="auto"/>
        <w:rPr>
          <w:rFonts w:hint="eastAsia" w:ascii="Times New Roman" w:hAnsi="Times New Roman" w:eastAsia="宋体" w:cs="宋体"/>
          <w:bCs/>
          <w:color w:val="auto"/>
          <w:highlight w:val="none"/>
        </w:rPr>
      </w:pPr>
      <w:r>
        <w:rPr>
          <w:rFonts w:hint="eastAsia" w:ascii="Times New Roman" w:hAnsi="Times New Roman" w:eastAsia="宋体" w:cs="宋体"/>
          <w:bCs/>
          <w:color w:val="auto"/>
          <w:highlight w:val="none"/>
        </w:rPr>
      </w:r>
      <w:r/>
    </w:p>
    <w:p>
      <w:pPr>
        <w:pageBreakBefore w:val="0"/>
        <w:spacing w:line="360" w:lineRule="auto"/>
        <w:rPr>
          <w:rFonts w:hint="eastAsia" w:ascii="Times New Roman" w:hAnsi="Times New Roman" w:eastAsia="宋体" w:cs="宋体"/>
          <w:bCs/>
          <w:color w:val="auto"/>
          <w:sz w:val="24"/>
          <w:highlight w:val="none"/>
        </w:rPr>
      </w:pPr>
      <w:r>
        <w:rPr>
          <w:rFonts w:hint="eastAsia" w:ascii="Times New Roman" w:hAnsi="Times New Roman" w:eastAsia="宋体" w:cs="宋体"/>
          <w:bCs/>
          <w:color w:val="auto"/>
          <w:sz w:val="24"/>
          <w:highlight w:val="non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法定代表人身份证复印件</w:t>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被授权人身份证复印件</w:t>
      </w:r>
      <w:r/>
    </w:p>
    <w:p>
      <w:pPr>
        <w:jc w:val="center"/>
        <w:pageBreakBefore w:val="0"/>
        <w:spacing w:line="360" w:lineRule="auto"/>
        <w:rPr>
          <w:rFonts w:hint="eastAsia" w:ascii="Times New Roman" w:hAnsi="Times New Roman" w:eastAsia="宋体" w:cs="宋体"/>
          <w:b/>
          <w:bCs/>
          <w:i/>
          <w:iCs/>
          <w:color w:val="auto"/>
          <w:highlight w:val="none"/>
          <w:u w:val="single"/>
        </w:rPr>
      </w:pPr>
      <w:r>
        <w:rPr>
          <w:rFonts w:hint="eastAsia" w:ascii="Times New Roman" w:hAnsi="Times New Roman" w:eastAsia="宋体" w:cs="宋体"/>
          <w:b/>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r>
      <w:r/>
    </w:p>
    <w:p>
      <w:pPr>
        <w:ind w:firstLine="420"/>
        <w:pageBreakBefore w:val="0"/>
        <w:spacing w:line="360" w:lineRule="auto"/>
        <w:rPr>
          <w:rFonts w:hint="eastAsia" w:ascii="Times New Roman" w:hAnsi="Times New Roman" w:eastAsia="宋体" w:cs="宋体"/>
          <w:bCs/>
          <w:i/>
          <w:iCs/>
          <w:color w:val="auto"/>
          <w:highlight w:val="none"/>
          <w:u w:val="single"/>
        </w:rPr>
      </w:pPr>
      <w:r>
        <w:rPr>
          <w:rFonts w:hint="eastAsia" w:ascii="Times New Roman" w:hAnsi="Times New Roman" w:eastAsia="宋体" w:cs="宋体"/>
          <w:bCs/>
          <w:i/>
          <w:iCs/>
          <w:color w:val="auto"/>
          <w:highlight w:val="none"/>
          <w:u w:val="single"/>
        </w:rPr>
        <w:t xml:space="preserve">被授权人提供提交</w:t>
      </w:r>
      <w:r>
        <w:rPr>
          <w:rFonts w:hint="eastAsia" w:ascii="Times New Roman" w:hAnsi="Times New Roman" w:cs="宋体"/>
          <w:bCs/>
          <w:i/>
          <w:iCs/>
          <w:color w:val="auto"/>
          <w:highlight w:val="none"/>
          <w:u w:val="single"/>
          <w:lang w:val="en-US" w:eastAsia="zh-CN"/>
        </w:rPr>
        <w:t xml:space="preserve">投标</w:t>
      </w:r>
      <w:r>
        <w:rPr>
          <w:rFonts w:hint="eastAsia" w:ascii="Times New Roman" w:hAnsi="Times New Roman" w:eastAsia="宋体" w:cs="宋体"/>
          <w:bCs/>
          <w:i/>
          <w:iCs/>
          <w:color w:val="auto"/>
          <w:highlight w:val="none"/>
          <w:u w:val="single"/>
        </w:rPr>
        <w:t xml:space="preserve">文件截止时间前一年内至少一个月依法缴纳社会保障资金的证明材料</w:t>
      </w:r>
      <w:r/>
    </w:p>
    <w:p>
      <w:pPr>
        <w:jc w:val="center"/>
        <w:pageBreakBefore w:val="0"/>
        <w:spacing w:line="360" w:lineRule="auto"/>
        <w:rPr>
          <w:rFonts w:hint="eastAsia" w:ascii="Times New Roman" w:hAnsi="Times New Roman" w:eastAsia="宋体" w:cs="宋体"/>
          <w:b/>
          <w:bCs/>
          <w:i/>
          <w:iCs/>
          <w:color w:val="auto"/>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
          <w:bCs/>
          <w:i/>
          <w:iCs/>
          <w:color w:val="auto"/>
          <w:highlight w:val="none"/>
          <w:u w:val="single"/>
        </w:rPr>
      </w:r>
      <w:r/>
    </w:p>
    <w:p>
      <w:pPr>
        <w:jc w:val="center"/>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中小企业声明函（货物）</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本公司（联合体）郑重声明，根据《政府采购促进中小企业发展管理办法》（财库﹝2020﹞46 号）的规定，本公司（联合体）参加</w:t>
      </w:r>
      <w:r>
        <w:rPr>
          <w:rFonts w:hint="eastAsia" w:ascii="Times New Roman" w:hAnsi="Times New Roman" w:eastAsia="宋体" w:cs="宋体"/>
          <w:color w:val="auto"/>
          <w:szCs w:val="21"/>
          <w:highlight w:val="none"/>
          <w:u w:val="single"/>
        </w:rPr>
        <w:t xml:space="preserve">（单位名称）</w:t>
      </w:r>
      <w:r>
        <w:rPr>
          <w:rFonts w:hint="eastAsia" w:ascii="Times New Roman" w:hAnsi="Times New Roman" w:eastAsia="宋体" w:cs="宋体"/>
          <w:color w:val="auto"/>
          <w:szCs w:val="21"/>
          <w:highlight w:val="none"/>
        </w:rPr>
        <w:t xml:space="preserve">的</w:t>
      </w:r>
      <w:r>
        <w:rPr>
          <w:rFonts w:hint="eastAsia" w:ascii="Times New Roman" w:hAnsi="Times New Roman" w:eastAsia="宋体" w:cs="宋体"/>
          <w:color w:val="auto"/>
          <w:szCs w:val="21"/>
          <w:highlight w:val="none"/>
          <w:u w:val="single"/>
        </w:rPr>
        <w:t xml:space="preserve">（项目名称）</w:t>
      </w:r>
      <w:r>
        <w:rPr>
          <w:rFonts w:hint="eastAsia" w:ascii="Times New Roman" w:hAnsi="Times New Roman" w:eastAsia="宋体" w:cs="宋体"/>
          <w:color w:val="auto"/>
          <w:szCs w:val="21"/>
          <w:highlight w:val="none"/>
        </w:rPr>
        <w:t xml:space="preserve">采购活动，提供的货物全部由符合政策要求的中小企业制造。相关企业（含联合体中的中小企业、签订分包意向协议的中小企业）的具体情况如下：</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\l "br1" \o "#br1" </w:instrText>
      </w:r>
      <w:r>
        <w:rPr>
          <w:rFonts w:ascii="Times New Roman" w:hAnsi="Times New Roman" w:eastAsia="宋体"/>
          <w:color w:val="auto"/>
          <w:highlight w:val="none"/>
        </w:rPr>
        <w:fldChar w:fldCharType="separate"/>
      </w:r>
      <w:r>
        <w:rPr>
          <w:rFonts w:hint="eastAsia" w:ascii="Times New Roman" w:hAnsi="Times New Roman" w:eastAsia="宋体" w:cs="宋体"/>
          <w:color w:val="auto"/>
          <w:spacing w:val="-1"/>
          <w:szCs w:val="21"/>
          <w:highlight w:val="none"/>
          <w:vertAlign w:val="superscript"/>
        </w:rPr>
        <w:t xml:space="preserve">1</w:t>
      </w:r>
      <w:r>
        <w:rPr>
          <w:rFonts w:hint="eastAsia" w:ascii="Times New Roman" w:hAnsi="Times New Roman" w:eastAsia="宋体" w:cs="宋体"/>
          <w:color w:val="auto"/>
          <w:spacing w:val="-1"/>
          <w:szCs w:val="21"/>
          <w:highlight w:val="none"/>
          <w:vertAlign w:val="superscript"/>
        </w:rPr>
        <w:fldChar w:fldCharType="end"/>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u w:val="single"/>
        </w:rPr>
      </w:pPr>
      <w:r>
        <w:rPr>
          <w:rFonts w:hint="eastAsia" w:ascii="Times New Roman" w:hAnsi="Times New Roman" w:eastAsia="宋体" w:cs="宋体"/>
          <w:color w:val="auto"/>
          <w:szCs w:val="21"/>
          <w:highlight w:val="none"/>
        </w:rPr>
        <w:t xml:space="preserve">2. </w:t>
      </w:r>
      <w:r>
        <w:rPr>
          <w:rFonts w:hint="eastAsia" w:ascii="Times New Roman" w:hAnsi="Times New Roman" w:eastAsia="宋体" w:cs="宋体"/>
          <w:color w:val="auto"/>
          <w:szCs w:val="21"/>
          <w:highlight w:val="none"/>
          <w:u w:val="single"/>
        </w:rPr>
        <w:t xml:space="preserve">（标的名称） </w:t>
      </w:r>
      <w:r>
        <w:rPr>
          <w:rFonts w:hint="eastAsia" w:ascii="Times New Roman" w:hAnsi="Times New Roman" w:eastAsia="宋体" w:cs="宋体"/>
          <w:color w:val="auto"/>
          <w:szCs w:val="21"/>
          <w:highlight w:val="none"/>
        </w:rPr>
        <w:t xml:space="preserve">，属于</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b/>
          <w:bCs/>
          <w:color w:val="auto"/>
          <w:szCs w:val="21"/>
          <w:highlight w:val="none"/>
          <w:u w:val="single"/>
          <w:lang w:val="en-US" w:eastAsia="zh-CN"/>
        </w:rPr>
        <w:t xml:space="preserve">工业</w:t>
      </w:r>
      <w:r>
        <w:rPr>
          <w:rFonts w:hint="eastAsia" w:ascii="Times New Roman" w:hAnsi="Times New Roman" w:eastAsia="宋体" w:cs="宋体"/>
          <w:b/>
          <w:bCs/>
          <w:color w:val="auto"/>
          <w:szCs w:val="21"/>
          <w:highlight w:val="none"/>
          <w:u w:val="single"/>
        </w:rPr>
        <w:t xml:space="preserve">）</w:t>
      </w:r>
      <w:r>
        <w:rPr>
          <w:rFonts w:hint="eastAsia" w:ascii="Times New Roman" w:hAnsi="Times New Roman" w:eastAsia="宋体" w:cs="宋体"/>
          <w:color w:val="auto"/>
          <w:szCs w:val="21"/>
          <w:highlight w:val="none"/>
          <w:u w:val="single"/>
        </w:rPr>
        <w:t xml:space="preserve">行业（不得对行业类别修改）；</w:t>
      </w:r>
      <w:r>
        <w:rPr>
          <w:rFonts w:hint="eastAsia" w:ascii="Times New Roman" w:hAnsi="Times New Roman" w:eastAsia="宋体" w:cs="宋体"/>
          <w:color w:val="auto"/>
          <w:szCs w:val="21"/>
          <w:highlight w:val="none"/>
        </w:rPr>
        <w:t xml:space="preserve">制造商为</w:t>
      </w:r>
      <w:r>
        <w:rPr>
          <w:rFonts w:hint="eastAsia" w:ascii="Times New Roman" w:hAnsi="Times New Roman" w:eastAsia="宋体" w:cs="宋体"/>
          <w:color w:val="auto"/>
          <w:szCs w:val="21"/>
          <w:highlight w:val="none"/>
          <w:u w:val="single"/>
        </w:rPr>
        <w:t xml:space="preserve">（企业名称）</w:t>
      </w:r>
      <w:r>
        <w:rPr>
          <w:rFonts w:hint="eastAsia" w:ascii="Times New Roman" w:hAnsi="Times New Roman" w:eastAsia="宋体" w:cs="宋体"/>
          <w:color w:val="auto"/>
          <w:szCs w:val="21"/>
          <w:highlight w:val="none"/>
        </w:rPr>
        <w:t xml:space="preserve">，从业人员</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人，营业收入为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万元，资产总额为</w:t>
      </w:r>
      <w:r>
        <w:rPr>
          <w:rFonts w:hint="eastAsia" w:ascii="Times New Roman" w:hAnsi="Times New Roman" w:eastAsia="宋体" w:cs="宋体"/>
          <w:color w:val="auto"/>
          <w:szCs w:val="21"/>
          <w:highlight w:val="none"/>
          <w:u w:val="single"/>
        </w:rPr>
        <w:t xml:space="preserve">        </w:t>
      </w:r>
      <w:r>
        <w:rPr>
          <w:rFonts w:hint="eastAsia" w:ascii="Times New Roman" w:hAnsi="Times New Roman" w:eastAsia="宋体" w:cs="宋体"/>
          <w:color w:val="auto"/>
          <w:szCs w:val="21"/>
          <w:highlight w:val="none"/>
        </w:rPr>
        <w:t xml:space="preserve">万元，属于</w:t>
      </w:r>
      <w:r>
        <w:rPr>
          <w:rFonts w:hint="eastAsia" w:ascii="Times New Roman" w:hAnsi="Times New Roman" w:eastAsia="宋体" w:cs="宋体"/>
          <w:color w:val="auto"/>
          <w:szCs w:val="21"/>
          <w:highlight w:val="none"/>
          <w:u w:val="single"/>
        </w:rPr>
        <w:t xml:space="preserve">（□中型企业 □小型企业 □微型企业）；</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以上企业，不属于大企业的分支机构，不存在控股股东为大企业的情形，也不存在与大企业的负责人为同一人的情形。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本企业对上述声明内容的真实性负责。如有虚假，将依法承担相应责任。</w:t>
      </w:r>
      <w:r/>
    </w:p>
    <w:p>
      <w:pPr>
        <w:ind w:firstLine="420"/>
        <w:jc w:val="left"/>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注： 1、从业人员（不仅指在职职工）、营业收入、资产总额填报上一年度数据，无上一年度数据的新成立企业可不填报。</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rPr>
          <w:rFonts w:hint="eastAsia" w:ascii="Times New Roman" w:hAnsi="Times New Roman" w:eastAsia="宋体" w:cs="宋体"/>
          <w:color w:val="auto"/>
          <w:highlight w:val="none"/>
        </w:rPr>
        <w:t xml:space="preserve">《中小企业声明函》不符合要求或未提供的，作如下处理：①如本项目专门面向中小企业采购，则投标</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s="宋体"/>
          <w:color w:val="auto"/>
          <w:highlight w:val="none"/>
        </w:rPr>
        <w:t xml:space="preserve">响应）文件无效；②如本项目不专门面向中小企业采购，则价格将不做相应扣除。</w:t>
      </w:r>
      <w:r/>
    </w:p>
    <w:p>
      <w:pP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    3、企业声明函请完整填写，中标后将公示。</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pageBreakBefore w:val="0"/>
        <w:spacing w:line="360" w:lineRule="auto"/>
        <w:rPr>
          <w:rFonts w:ascii="Times New Roman" w:hAnsi="Times New Roman" w:eastAsia="宋体" w:cs="宋体"/>
          <w:b w:val="0"/>
          <w:bCs w:val="0"/>
          <w:color w:val="auto"/>
          <w:szCs w:val="21"/>
          <w:highlight w:val="none"/>
        </w:rPr>
      </w:pPr>
      <w:r>
        <w:rPr>
          <w:rFonts w:hint="eastAsia" w:ascii="Times New Roman" w:hAnsi="Times New Roman" w:eastAsia="宋体" w:cs="宋体"/>
          <w:b w:val="0"/>
          <w:bCs w:val="0"/>
          <w:color w:val="auto"/>
          <w:szCs w:val="21"/>
          <w:highlight w:val="none"/>
        </w:rPr>
        <w:t xml:space="preserve">5、声明函应涵盖本项目</w:t>
      </w:r>
      <w:r>
        <w:rPr>
          <w:rFonts w:hint="eastAsia" w:ascii="Times New Roman" w:hAnsi="Times New Roman" w:eastAsia="宋体" w:cs="宋体"/>
          <w:b w:val="0"/>
          <w:bCs w:val="0"/>
          <w:color w:val="auto"/>
          <w:szCs w:val="21"/>
          <w:highlight w:val="none"/>
          <w:lang w:eastAsia="zh-CN"/>
        </w:rPr>
        <w:t xml:space="preserve">（</w:t>
      </w:r>
      <w:r>
        <w:rPr>
          <w:rFonts w:hint="eastAsia" w:ascii="Times New Roman" w:hAnsi="Times New Roman" w:eastAsia="宋体" w:cs="宋体"/>
          <w:b w:val="0"/>
          <w:bCs w:val="0"/>
          <w:color w:val="auto"/>
          <w:szCs w:val="21"/>
          <w:highlight w:val="none"/>
        </w:rPr>
        <w:t xml:space="preserve">分包)所有货物，否则价格不作扣除。</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6、中小企业不得属于大企业的分支机构，不得存在控股股东为大企业的情形，不得存在与大企业的负责人为同一人的情形。</w:t>
      </w:r>
      <w:r/>
    </w:p>
    <w:p>
      <w:pPr>
        <w:ind w:firstLine="420"/>
        <w:jc w:val="left"/>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7、</w:t>
      </w:r>
      <w:r>
        <w:rPr>
          <w:rFonts w:hint="eastAsia" w:ascii="Times New Roman" w:hAnsi="Times New Roman" w:eastAsia="宋体" w:cs="宋体"/>
          <w:bCs/>
          <w:color w:val="auto"/>
          <w:szCs w:val="21"/>
          <w:highlight w:val="none"/>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企业名称（盖章）：</w:t>
      </w:r>
      <w:r/>
    </w:p>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                             日 期：</w:t>
      </w:r>
      <w:r/>
    </w:p>
    <w:p>
      <w:pPr>
        <w:pStyle w:val="990"/>
        <w:ind w:firstLine="420"/>
        <w:pageBreakBefore w:val="0"/>
        <w:spacing w:line="360" w:lineRule="auto"/>
        <w:widowControl/>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w:t>
      </w:r>
      <w:r>
        <w:rPr>
          <w:rStyle w:val="994"/>
          <w:rFonts w:hint="eastAsia" w:ascii="Times New Roman" w:hAnsi="Times New Roman" w:eastAsia="宋体" w:cs="宋体"/>
          <w:color w:val="auto"/>
          <w:sz w:val="21"/>
          <w:szCs w:val="21"/>
          <w:highlight w:val="none"/>
        </w:rPr>
        <w:t xml:space="preserve">中小微企业划型标准如下：</w:t>
      </w:r>
      <w:r/>
    </w:p>
    <w:tbl>
      <w:tblPr>
        <w:tblStyle w:val="729"/>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90"/>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50≤Y&lt;500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2000≤Y&lt;40000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300≤Y&lt;2000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6000≤Y&lt;80000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300≤Y&lt;6000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Y&lt;300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5000≤Z&lt;80000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300≤Z&lt;5000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Z&lt;300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20≤X&lt;200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5≤X&lt;20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X&lt;5</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5000≤Y&lt;40000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50≤X&lt;300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10≤X&lt;50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500≤Y&lt;20000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100≤Y&lt;500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3000≤Y&lt;30000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200≤Y&lt;3000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100≤X&lt;200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20≤X&lt;100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1000≤Y&lt;30000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20≤X&lt;300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X&lt;20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2000≤Y&lt;30000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90"/>
              <w:ind w:firstLine="42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2000≤Y&lt;10000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100≤Y&lt;2000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100≤X&lt;2000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1000≤Y&lt;100000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100≤Y&lt;1000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1000≤Y&lt;10000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50≤Y&lt;1000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1000≤Y&lt;200000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100≤X&lt;1000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5000≤Z&lt;10000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2000≤Y&lt;5000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300≤X&lt;1000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1000≤Y&lt;5000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500≤Y&lt;1000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r>
        <w:trPr>
          <w:tblCellSpacing w:w="15" w:type="dxa"/>
          <w:trHeight w:val="225"/>
        </w:trPr>
        <w:tc>
          <w:tcPr>
            <w:tcW w:w="1401" w:type="dxa"/>
            <w:vAlign w:val="center"/>
            <w:vMerge w:val="continue"/>
            <w:textDirection w:val="lrTb"/>
            <w:noWrap w:val="false"/>
          </w:tcPr>
          <w:p>
            <w:pPr>
              <w:jc w:val="center"/>
              <w:pageBreakBefore w:val="0"/>
              <w:spacing w:line="360" w:lineRule="auto"/>
              <w:widowControl/>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8000≤Z&lt;120000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100≤Z&lt;8000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Y&lt;100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100≤X&lt;300</w:t>
            </w:r>
            <w:r/>
          </w:p>
        </w:tc>
        <w:tc>
          <w:tcPr>
            <w:tcMar>
              <w:left w:w="105" w:type="dxa"/>
              <w:top w:w="0" w:type="dxa"/>
              <w:right w:w="105" w:type="dxa"/>
              <w:bottom w:w="0" w:type="dxa"/>
            </w:tcMar>
            <w:tcW w:w="1679"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10≤X&lt;100</w:t>
            </w:r>
            <w:r/>
          </w:p>
        </w:tc>
        <w:tc>
          <w:tcPr>
            <w:tcMar>
              <w:left w:w="105" w:type="dxa"/>
              <w:top w:w="0" w:type="dxa"/>
              <w:right w:w="105" w:type="dxa"/>
              <w:bottom w:w="0" w:type="dxa"/>
            </w:tcMar>
            <w:tcW w:w="1455" w:type="dxa"/>
            <w:vAlign w:val="center"/>
            <w:textDirection w:val="lrTb"/>
            <w:noWrap w:val="false"/>
          </w:tcPr>
          <w:p>
            <w:pPr>
              <w:pStyle w:val="990"/>
              <w:jc w:val="center"/>
              <w:pageBreakBefore w:val="0"/>
              <w:spacing w:line="360" w:lineRule="auto"/>
              <w:widowControl/>
              <w:rPr>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X&lt;10</w:t>
            </w:r>
            <w:r/>
          </w:p>
        </w:tc>
      </w:tr>
    </w:tbl>
    <w:p>
      <w:pPr>
        <w:pStyle w:val="990"/>
        <w:ind w:firstLine="810"/>
        <w:pageBreakBefore w:val="0"/>
        <w:spacing w:line="360" w:lineRule="auto"/>
        <w:widowControl/>
        <w:rPr>
          <w:rStyle w:val="994"/>
          <w:rFonts w:hint="eastAsia" w:ascii="Times New Roman" w:hAnsi="Times New Roman" w:eastAsia="宋体" w:cs="宋体"/>
          <w:color w:val="auto"/>
          <w:sz w:val="21"/>
          <w:szCs w:val="21"/>
          <w:highlight w:val="none"/>
        </w:rPr>
      </w:pPr>
      <w:r>
        <w:rPr>
          <w:rStyle w:val="994"/>
          <w:rFonts w:hint="eastAsia" w:ascii="Times New Roman" w:hAnsi="Times New Roman"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20"/>
        <w:pageBreakBefore w:val="0"/>
        <w:spacing w:line="360" w:lineRule="auto"/>
        <w:rPr>
          <w:rFonts w:hint="eastAsia" w:ascii="Times New Roman" w:hAnsi="Times New Roman" w:eastAsia="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Times New Roman" w:hAnsi="Times New Roman" w:eastAsia="宋体" w:cs="宋体"/>
          <w:bCs/>
          <w:color w:val="auto"/>
          <w:highlight w:val="none"/>
        </w:rPr>
      </w:r>
      <w:r/>
    </w:p>
    <w:p>
      <w:pPr>
        <w:pStyle w:val="971"/>
        <w:pageBreakBefore w:val="0"/>
        <w:spacing w:before="0" w:after="0" w:line="360" w:lineRule="auto"/>
        <w:rPr>
          <w:rFonts w:hint="eastAsia" w:ascii="Times New Roman" w:hAnsi="Times New Roman" w:eastAsia="宋体" w:cs="宋体"/>
          <w:color w:val="auto"/>
          <w:sz w:val="32"/>
          <w:highlight w:val="none"/>
        </w:rPr>
      </w:pPr>
      <w:r/>
      <w:bookmarkStart w:id="100" w:name="_Toc16911"/>
      <w:r/>
      <w:bookmarkStart w:id="101" w:name="_Toc14959"/>
      <w:r/>
      <w:bookmarkStart w:id="102" w:name="_Toc9345"/>
      <w:r/>
      <w:bookmarkStart w:id="103" w:name="_Toc20616"/>
      <w:r/>
      <w:bookmarkStart w:id="104" w:name="_Toc3074"/>
      <w:r>
        <w:rPr>
          <w:rFonts w:hint="eastAsia" w:ascii="Times New Roman" w:hAnsi="Times New Roman" w:eastAsia="宋体" w:cs="宋体"/>
          <w:color w:val="auto"/>
          <w:sz w:val="32"/>
          <w:highlight w:val="none"/>
        </w:rPr>
        <w:t xml:space="preserve">二、符合性审查响应对照表</w:t>
      </w:r>
      <w:bookmarkEnd w:id="100"/>
      <w:r/>
      <w:bookmarkEnd w:id="101"/>
      <w:r/>
      <w:bookmarkEnd w:id="102"/>
      <w:r/>
      <w:bookmarkEnd w:id="103"/>
      <w:r/>
      <w:bookmarkEnd w:id="104"/>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Cs/>
                <w:color w:val="auto"/>
                <w:szCs w:val="21"/>
                <w:highlight w:val="none"/>
              </w:rPr>
            </w:pPr>
            <w:r>
              <w:rPr>
                <w:rFonts w:hint="eastAsia" w:ascii="Times New Roman" w:hAnsi="Times New Roman" w:eastAsia="宋体" w:cs="宋体"/>
                <w:bCs/>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bCs/>
                <w:iCs/>
                <w:color w:val="auto"/>
                <w:szCs w:val="21"/>
                <w:highlight w:val="none"/>
              </w:rPr>
            </w:pPr>
            <w:r>
              <w:rPr>
                <w:rFonts w:hint="eastAsia" w:ascii="Times New Roman" w:hAnsi="Times New Roman" w:eastAsia="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417"/>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4</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lang w:val="en-US" w:eastAsia="zh-CN"/>
              </w:rPr>
            </w:pPr>
            <w:r>
              <w:rPr>
                <w:rFonts w:hint="eastAsia" w:ascii="Times New Roman" w:hAnsi="Times New Roman" w:eastAsia="宋体" w:cs="宋体"/>
                <w:iCs/>
                <w:color w:val="auto"/>
                <w:szCs w:val="21"/>
                <w:highlight w:val="none"/>
                <w:lang w:val="en-US" w:eastAsia="zh-CN"/>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5</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Style w:val="971"/>
        <w:pageBreakBefore w:val="0"/>
        <w:spacing w:before="0" w:after="0" w:line="360" w:lineRule="auto"/>
        <w:rPr>
          <w:rFonts w:hint="eastAsia" w:ascii="Times New Roman" w:hAnsi="Times New Roman" w:eastAsia="宋体" w:cs="宋体"/>
          <w:color w:val="auto"/>
          <w:sz w:val="32"/>
          <w:highlight w:val="none"/>
        </w:rPr>
      </w:pPr>
      <w:r/>
      <w:bookmarkStart w:id="105" w:name="_Toc14100"/>
      <w:r/>
      <w:bookmarkStart w:id="106" w:name="_Toc6752"/>
      <w:r/>
      <w:bookmarkStart w:id="107" w:name="_Toc23420"/>
      <w:r/>
      <w:bookmarkStart w:id="108" w:name="_Toc29406"/>
      <w:r/>
      <w:bookmarkStart w:id="109" w:name="_Toc23068"/>
      <w:r>
        <w:rPr>
          <w:rFonts w:hint="eastAsia" w:ascii="Times New Roman" w:hAnsi="Times New Roman" w:eastAsia="宋体" w:cs="宋体"/>
          <w:color w:val="auto"/>
          <w:sz w:val="32"/>
          <w:highlight w:val="none"/>
        </w:rPr>
        <w:t xml:space="preserve">三、非实质性响应对照表</w:t>
      </w:r>
      <w:bookmarkEnd w:id="105"/>
      <w:r/>
      <w:bookmarkEnd w:id="106"/>
      <w:r/>
      <w:bookmarkEnd w:id="107"/>
      <w:r/>
      <w:bookmarkEnd w:id="108"/>
      <w:r/>
      <w:bookmarkEnd w:id="109"/>
      <w:r/>
      <w:r/>
    </w:p>
    <w:tbl>
      <w:tblPr>
        <w:tblStyle w:val="729"/>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2999"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924"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720"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color w:val="auto"/>
                <w:szCs w:val="21"/>
                <w:highlight w:val="none"/>
              </w:rPr>
              <w:t xml:space="preserve">1</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Cs w:val="21"/>
                <w:highlight w:val="none"/>
              </w:rPr>
              <w:t xml:space="preserve">《残疾人福利性单位声明函》</w:t>
            </w:r>
            <w:r/>
          </w:p>
        </w:tc>
        <w:tc>
          <w:tcPr>
            <w:tcW w:w="924"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tc>
      </w:tr>
      <w:tr>
        <w:trPr>
          <w:trHeight w:val="585"/>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2</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rPr>
              <w:t xml:space="preserve">关于符合本国产品标准的声明函</w:t>
            </w:r>
            <w:r>
              <w:rPr>
                <w:rFonts w:hint="eastAsia" w:ascii="Times New Roman" w:hAnsi="Times New Roman" w:eastAsia="宋体" w:cs="宋体"/>
                <w:color w:val="auto"/>
                <w:sz w:val="21"/>
                <w:szCs w:val="21"/>
                <w:highlight w:val="none"/>
                <w:lang w:eastAsia="zh-CN"/>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3</w:t>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w:t>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80"/>
        </w:trPr>
        <w:tc>
          <w:tcPr>
            <w:tcW w:w="355"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szCs w:val="21"/>
                <w:highlight w:val="none"/>
                <w:lang w:eastAsia="zh-CN"/>
              </w:rPr>
            </w:r>
            <w:r/>
          </w:p>
        </w:tc>
        <w:tc>
          <w:tcPr>
            <w:tcW w:w="2999" w:type="pct"/>
            <w:vAlign w:val="center"/>
            <w:textDirection w:val="lrTb"/>
            <w:noWrap w:val="false"/>
          </w:tcPr>
          <w:p>
            <w:pPr>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r>
            <w:r/>
          </w:p>
        </w:tc>
        <w:tc>
          <w:tcPr>
            <w:tcW w:w="924"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720" w:type="pct"/>
            <w:vAlign w:val="center"/>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contextualSpacing/>
        <w:jc w:val="center"/>
        <w:pageBreakBefore w:val="0"/>
        <w:spacing w:line="360" w:lineRule="auto"/>
        <w:rPr>
          <w:rFonts w:hint="eastAsia" w:ascii="Times New Roman" w:hAnsi="Times New Roman" w:eastAsia="宋体" w:cs="宋体"/>
          <w:b/>
          <w:bCs/>
          <w:color w:val="auto"/>
          <w:sz w:val="32"/>
          <w:szCs w:val="32"/>
          <w:highlight w:val="none"/>
        </w:rPr>
      </w:pPr>
      <w:r>
        <w:rPr>
          <w:rFonts w:hint="eastAsia" w:ascii="Times New Roman" w:hAnsi="Times New Roman" w:eastAsia="宋体" w:cs="宋体"/>
          <w:b/>
          <w:bCs/>
          <w:color w:val="auto"/>
          <w:sz w:val="32"/>
          <w:szCs w:val="32"/>
          <w:highlight w:val="none"/>
        </w:rPr>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ind w:firstLine="2726"/>
        <w:pageBreakBefore w:val="0"/>
        <w:spacing w:line="360" w:lineRule="auto"/>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残疾人福利性单位声明函</w:t>
      </w:r>
      <w:r/>
    </w:p>
    <w:p>
      <w:pPr>
        <w:ind w:firstLine="624"/>
        <w:pageBreakBefore w:val="0"/>
        <w:spacing w:line="360" w:lineRule="auto"/>
        <w:rPr>
          <w:rFonts w:hint="eastAsia" w:ascii="Times New Roman" w:hAnsi="Times New Roman" w:eastAsia="宋体" w:cs="宋体"/>
          <w:color w:val="auto"/>
          <w:spacing w:val="6"/>
          <w:sz w:val="30"/>
          <w:szCs w:val="30"/>
          <w:highlight w:val="none"/>
        </w:rPr>
      </w:pPr>
      <w:r>
        <w:rPr>
          <w:rFonts w:hint="eastAsia" w:ascii="Times New Roman" w:hAnsi="Times New Roman" w:eastAsia="宋体" w:cs="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w:t>
      </w:r>
      <w:r>
        <w:rPr>
          <w:rFonts w:hint="eastAsia" w:ascii="Times New Roman" w:hAnsi="Times New Roman" w:eastAsia="宋体"/>
          <w:color w:val="auto"/>
          <w:szCs w:val="21"/>
          <w:highlight w:val="none"/>
          <w:lang w:val="en-US" w:eastAsia="zh-CN"/>
        </w:rPr>
        <w:t xml:space="preserve">货物</w:t>
      </w:r>
      <w:r>
        <w:rPr>
          <w:rFonts w:hint="eastAsia" w:ascii="Times New Roman" w:hAnsi="Times New Roman" w:eastAsia="宋体"/>
          <w:color w:val="auto"/>
          <w:szCs w:val="21"/>
          <w:highlight w:val="none"/>
        </w:rPr>
        <w:t xml:space="preserve">，或者提供其他残疾人福利性单位制造的产品或服务（不包括使用非残疾人福利性单位注册商标的产品或服务）。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rPr>
          <w:rFonts w:ascii="Times New Roman" w:hAnsi="Times New Roman" w:eastAsia="宋体"/>
          <w:color w:val="auto"/>
          <w:sz w:val="21"/>
          <w:szCs w:val="21"/>
          <w:highlight w:val="none"/>
        </w:rPr>
        <w:t xml:space="preserve">.</w:t>
      </w:r>
      <w:r>
        <w:rPr>
          <w:rFonts w:hint="eastAsia" w:ascii="Times New Roman" w:hAnsi="Times New Roman" w:eastAsia="宋体"/>
          <w:color w:val="auto"/>
          <w:sz w:val="21"/>
          <w:szCs w:val="21"/>
          <w:highlight w:val="none"/>
        </w:rPr>
        <w:t xml:space="preserve">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，供应商为残疾人福利性单位并提供本单位制造的货物，或者提供其他残疾人福利性单位制造的货物，必须提供此</w:t>
      </w:r>
      <w:r>
        <w:rPr>
          <w:rFonts w:ascii="Times New Roman" w:hAnsi="Times New Roman" w:eastAsia="宋体"/>
          <w:color w:val="auto"/>
          <w:sz w:val="21"/>
          <w:szCs w:val="21"/>
          <w:highlight w:val="none"/>
        </w:rPr>
        <w:t xml:space="preserve">声明函</w:t>
      </w:r>
      <w:r>
        <w:rPr>
          <w:rFonts w:hint="eastAsia" w:ascii="Times New Roman" w:hAnsi="Times New Roman" w:eastAsia="宋体"/>
          <w:color w:val="auto"/>
          <w:sz w:val="21"/>
          <w:szCs w:val="21"/>
          <w:highlight w:val="none"/>
        </w:rPr>
        <w:t xml:space="preserve">，</w:t>
      </w:r>
      <w:r>
        <w:rPr>
          <w:rFonts w:ascii="Times New Roman" w:hAnsi="Times New Roman" w:eastAsia="宋体"/>
          <w:color w:val="auto"/>
          <w:sz w:val="21"/>
          <w:szCs w:val="21"/>
          <w:highlight w:val="none"/>
        </w:rPr>
        <w:t xml:space="preserve">否则将</w:t>
      </w:r>
      <w:r>
        <w:rPr>
          <w:rFonts w:hint="eastAsia" w:ascii="Times New Roman" w:hAnsi="Times New Roman" w:eastAsia="宋体"/>
          <w:color w:val="auto"/>
          <w:sz w:val="21"/>
          <w:szCs w:val="21"/>
          <w:highlight w:val="none"/>
        </w:rPr>
        <w:t xml:space="preserve">不能</w:t>
      </w:r>
      <w:r>
        <w:rPr>
          <w:rFonts w:ascii="Times New Roman" w:hAnsi="Times New Roman" w:eastAsia="宋体"/>
          <w:color w:val="auto"/>
          <w:sz w:val="21"/>
          <w:szCs w:val="21"/>
          <w:highlight w:val="none"/>
        </w:rPr>
        <w:t xml:space="preserve">通过资格审查</w:t>
      </w:r>
      <w:r>
        <w:rPr>
          <w:rFonts w:hint="eastAsia" w:ascii="Times New Roman" w:hAnsi="Times New Roman" w:eastAsia="宋体"/>
          <w:color w:val="auto"/>
          <w:sz w:val="21"/>
          <w:szCs w:val="21"/>
          <w:highlight w:val="none"/>
        </w:rPr>
        <w:t xml:space="preserve">。</w:t>
      </w:r>
      <w:r/>
    </w:p>
    <w:p>
      <w:pPr>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 非专门面向中小微型企业采购的</w:t>
      </w:r>
      <w:r>
        <w:rPr>
          <w:rFonts w:ascii="Times New Roman" w:hAnsi="Times New Roman" w:eastAsia="宋体"/>
          <w:color w:val="auto"/>
          <w:sz w:val="21"/>
          <w:szCs w:val="21"/>
          <w:highlight w:val="none"/>
        </w:rPr>
        <w:t xml:space="preserve">项目</w:t>
      </w:r>
      <w:r>
        <w:rPr>
          <w:rFonts w:hint="eastAsia" w:ascii="Times New Roman" w:hAnsi="Times New Roman" w:eastAsia="宋体"/>
          <w:color w:val="auto"/>
          <w:sz w:val="21"/>
          <w:szCs w:val="21"/>
          <w:highlight w:val="none"/>
        </w:rPr>
        <w:t xml:space="preserve">，供应商如不提供此声明函，价格将不做相应扣除。</w:t>
      </w:r>
      <w:r/>
    </w:p>
    <w:p>
      <w:pPr>
        <w:ind w:firstLine="42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w:t>
      </w:r>
      <w:r>
        <w:rPr>
          <w:rFonts w:hint="eastAsia" w:ascii="Times New Roman" w:hAnsi="Times New Roman" w:eastAsia="宋体"/>
          <w:color w:val="auto"/>
          <w:sz w:val="21"/>
          <w:szCs w:val="21"/>
          <w:highlight w:val="none"/>
        </w:rPr>
        <w:t xml:space="preserve">.中标/成交供应商为残疾人福利性单位的，此声明函将随中标/成交结果同时公告，接受社会监督。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 w:val="21"/>
          <w:szCs w:val="21"/>
          <w:highlight w:val="none"/>
        </w:rPr>
      </w:pPr>
      <w:r>
        <w:rPr>
          <w:rFonts w:ascii="Times New Roman" w:hAnsi="Times New Roman" w:eastAsia="宋体"/>
          <w:color w:val="auto"/>
          <w:spacing w:val="6"/>
          <w:sz w:val="21"/>
          <w:szCs w:val="21"/>
          <w:highlight w:val="none"/>
        </w:rPr>
      </w:r>
      <w:r/>
    </w:p>
    <w:p>
      <w:pPr>
        <w:ind w:right="1559" w:firstLine="444"/>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pacing w:val="6"/>
          <w:sz w:val="21"/>
          <w:szCs w:val="21"/>
          <w:highlight w:val="none"/>
        </w:rPr>
        <w:t xml:space="preserve">             </w:t>
      </w:r>
      <w:r>
        <w:rPr>
          <w:rFonts w:hint="eastAsia" w:ascii="Times New Roman" w:hAnsi="Times New Roman" w:eastAsia="宋体"/>
          <w:color w:val="auto"/>
          <w:sz w:val="21"/>
          <w:szCs w:val="21"/>
          <w:highlight w:val="none"/>
        </w:rPr>
        <w:t xml:space="preserve">    供应商全称（加盖CA电子</w:t>
      </w:r>
      <w:r>
        <w:rPr>
          <w:rFonts w:hint="eastAsia" w:ascii="Times New Roman" w:hAnsi="Times New Roman" w:eastAsia="宋体"/>
          <w:color w:val="auto"/>
          <w:sz w:val="21"/>
          <w:szCs w:val="21"/>
          <w:highlight w:val="none"/>
          <w:lang w:val="en-US" w:eastAsia="zh-CN"/>
        </w:rPr>
        <w:t xml:space="preserve">公章</w:t>
      </w:r>
      <w:r>
        <w:rPr>
          <w:rFonts w:hint="eastAsia" w:ascii="Times New Roman" w:hAnsi="Times New Roman" w:eastAsia="宋体"/>
          <w:color w:val="auto"/>
          <w:sz w:val="21"/>
          <w:szCs w:val="21"/>
          <w:highlight w:val="none"/>
        </w:rPr>
        <w:t xml:space="preserve">）：</w:t>
      </w:r>
      <w:r/>
    </w:p>
    <w:p>
      <w:pPr>
        <w:ind w:right="1559" w:firstLine="420"/>
        <w:jc w:val="center"/>
        <w:pageBreakBefore w:val="0"/>
        <w:spacing w:line="360" w:lineRule="auto"/>
        <w:tabs>
          <w:tab w:val="left" w:pos="4860" w:leader="none"/>
        </w:tabs>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   日  期：</w:t>
      </w:r>
      <w:r/>
    </w:p>
    <w:p>
      <w:pPr>
        <w:pageBreakBefore w:val="0"/>
        <w:spacing w:line="360" w:lineRule="auto"/>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br w:type="page" w:clear="all"/>
      </w:r>
      <w:r/>
    </w:p>
    <w:p>
      <w:pPr>
        <w:jc w:val="cente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b/>
          <w:color w:val="auto"/>
          <w:sz w:val="24"/>
          <w:szCs w:val="24"/>
          <w:highlight w:val="none"/>
        </w:rPr>
        <w:t xml:space="preserve">关于符合本国产品标准的声明函（采购包号：**）</w:t>
      </w:r>
      <w:r/>
    </w:p>
    <w:p>
      <w:pPr>
        <w:pStyle w:val="757"/>
        <w:ind w:firstLine="420"/>
        <w:pageBreakBefore w:val="0"/>
        <w:spacing w:beforeAutospacing="0" w:afterAutospacing="0"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75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15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2336;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131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13"/>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0288;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1.</w:t>
      </w:r>
      <w:r>
        <w:rPr>
          <w:rStyle w:val="764"/>
          <w:rFonts w:hint="eastAsia" w:ascii="Times New Roman" w:hAnsi="Times New Roman" w:eastAsia="宋体" w:cs="方正魏碑_GBK"/>
          <w:i w:val="0"/>
          <w:color w:val="auto"/>
          <w:highlight w:val="none"/>
          <w:u w:val="single"/>
          <w:shd w:val="clear" w:color="auto" w:fill="ffffff"/>
        </w:rPr>
        <w:t xml:space="preserve">（产品名称1）</w:t>
      </w:r>
      <w:r>
        <w:rPr>
          <w:rStyle w:val="764"/>
          <w:rFonts w:hint="eastAsia" w:ascii="Times New Roman" w:hAnsi="Times New Roman" w:eastAsia="宋体" w:cs="方正魏碑_GBK"/>
          <w:i w:val="0"/>
          <w:color w:val="auto"/>
          <w:highlight w:val="none"/>
          <w:shd w:val="clear" w:color="auto" w:fill="ffffff"/>
          <w:vertAlign w:val="superscript"/>
        </w:rPr>
        <w:t xml:space="preserve">1</w:t>
      </w:r>
      <w:r>
        <w:rPr>
          <w:rFonts w:hint="eastAsia" w:ascii="Times New Roman" w:hAnsi="Times New Roman" w:eastAsia="宋体" w:cs="方正魏碑_GBK"/>
          <w:color w:val="auto"/>
          <w:highlight w:val="none"/>
          <w:shd w:val="clear" w:color="auto" w:fill="ffffff"/>
        </w:rPr>
        <w:t xml:space="preserve">，生产厂为</w:t>
      </w:r>
      <w:r>
        <w:rPr>
          <w:rStyle w:val="764"/>
          <w:rFonts w:hint="eastAsia" w:ascii="Times New Roman" w:hAnsi="Times New Roman" w:eastAsia="宋体" w:cs="方正魏碑_GBK"/>
          <w:i w:val="0"/>
          <w:color w:val="auto"/>
          <w:highlight w:val="none"/>
          <w:u w:val="single"/>
          <w:shd w:val="clear" w:color="auto" w:fill="ffffff"/>
        </w:rPr>
        <w:t xml:space="preserve">（厂名）</w:t>
      </w:r>
      <w:r>
        <w:rPr>
          <w:rStyle w:val="764"/>
          <w:rFonts w:hint="eastAsia" w:ascii="Times New Roman" w:hAnsi="Times New Roman" w:eastAsia="宋体" w:cs="方正魏碑_GBK"/>
          <w:i w:val="0"/>
          <w:color w:val="auto"/>
          <w:highlight w:val="none"/>
          <w:shd w:val="clear" w:color="auto" w:fill="ffffff"/>
          <w:vertAlign w:val="superscript"/>
        </w:rPr>
        <w:t xml:space="preserve">2</w:t>
      </w:r>
      <w:r>
        <w:rPr>
          <w:rFonts w:hint="eastAsia" w:ascii="Times New Roman" w:hAnsi="Times New Roman" w:eastAsia="宋体" w:cs="方正魏碑_GBK"/>
          <w:color w:val="auto"/>
          <w:highlight w:val="none"/>
          <w:shd w:val="clear" w:color="auto" w:fill="ffffff"/>
        </w:rPr>
        <w:t xml:space="preserve">，厂址为</w:t>
      </w:r>
      <w:r>
        <w:rPr>
          <w:rStyle w:val="764"/>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Fonts w:hint="eastAsia" w:ascii="Times New Roman" w:hAnsi="Times New Roman" w:eastAsia="宋体" w:cs="方正魏碑_GBK"/>
          <w:color w:val="auto"/>
          <w:highlight w:val="none"/>
          <w:u w:val="single"/>
          <w:shd w:val="clear" w:color="auto" w:fill="ffffff"/>
        </w:rPr>
        <w:t xml:space="preserve"> </w:t>
      </w:r>
      <w:r>
        <w:rPr>
          <w:rStyle w:val="764"/>
          <w:rFonts w:hint="eastAsia" w:ascii="Times New Roman" w:hAnsi="Times New Roman" w:eastAsia="宋体" w:cs="方正魏碑_GBK"/>
          <w:i w:val="0"/>
          <w:color w:val="auto"/>
          <w:highlight w:val="none"/>
          <w:u w:val="single"/>
          <w:shd w:val="clear" w:color="auto" w:fill="ffffff"/>
        </w:rPr>
        <w:t xml:space="preserve">（产品名称1） </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64"/>
          <w:rFonts w:hint="eastAsia" w:ascii="Times New Roman" w:hAnsi="Times New Roman" w:eastAsia="宋体" w:cs="方正魏碑_GBK"/>
          <w:i w:val="0"/>
          <w:color w:val="auto"/>
          <w:highlight w:val="none"/>
          <w:u w:val="single"/>
          <w:shd w:val="clear" w:color="auto" w:fill="ffffff"/>
        </w:rPr>
        <w:t xml:space="preserve">（规定</w:t>
      </w:r>
      <w:r>
        <w:rPr>
          <w:rStyle w:val="764"/>
          <w:rFonts w:ascii="Times New Roman" w:hAnsi="Times New Roman" w:eastAsia="宋体" w:cs="方正魏碑_GBK"/>
          <w:i w:val="0"/>
          <w:color w:val="auto"/>
          <w:highlight w:val="none"/>
          <w:u w:val="single"/>
          <w:shd w:val="clear" w:color="auto" w:fill="ffffff"/>
        </w:rPr>
        <w:t xml:space="preserve">比例</w:t>
      </w:r>
      <w:r>
        <w:rPr>
          <w:rStyle w:val="764"/>
          <w:rFonts w:hint="eastAsia" w:ascii="Times New Roman" w:hAnsi="Times New Roman" w:eastAsia="宋体" w:cs="方正魏碑_GBK"/>
          <w:i w:val="0"/>
          <w:color w:val="auto"/>
          <w:highlight w:val="none"/>
          <w:u w:val="single"/>
          <w:shd w:val="clear" w:color="auto" w:fill="ffffff"/>
        </w:rPr>
        <w:t xml:space="preserve">）</w:t>
      </w:r>
      <w:r>
        <w:rPr>
          <w:rStyle w:val="764"/>
          <w:rFonts w:hint="eastAsia" w:ascii="Times New Roman" w:hAnsi="Times New Roman" w:eastAsia="宋体" w:cs="方正魏碑_GBK"/>
          <w:i w:val="0"/>
          <w:color w:val="auto"/>
          <w:highlight w:val="none"/>
          <w:shd w:val="clear" w:color="auto" w:fill="ffffff"/>
          <w:vertAlign w:val="superscript"/>
        </w:rPr>
        <w:t xml:space="preserve">3</w:t>
      </w:r>
      <w:r>
        <w:rPr>
          <w:rFonts w:hint="eastAsia" w:ascii="Times New Roman" w:hAnsi="Times New Roman" w:eastAsia="宋体" w:cs="方正魏碑_GBK"/>
          <w:color w:val="auto"/>
          <w:highlight w:val="none"/>
          <w:shd w:val="clear" w:color="auto" w:fill="ffffff"/>
        </w:rPr>
        <w:t xml:space="preserve">。</w:t>
      </w:r>
      <w:r>
        <w:rPr>
          <w:rStyle w:val="764"/>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4"/>
          <w:rFonts w:hint="eastAsia" w:ascii="Times New Roman" w:hAnsi="Times New Roman" w:eastAsia="宋体" w:cs="方正魏碑_GBK"/>
          <w:i w:val="0"/>
          <w:color w:val="auto"/>
          <w:highlight w:val="none"/>
          <w:u w:val="single"/>
          <w:shd w:val="clear" w:color="auto" w:fill="ffffff"/>
        </w:rPr>
        <w:t xml:space="preserve">（关键</w:t>
      </w:r>
      <w:r>
        <w:rPr>
          <w:rStyle w:val="764"/>
          <w:rFonts w:ascii="Times New Roman" w:hAnsi="Times New Roman" w:eastAsia="宋体" w:cs="方正魏碑_GBK"/>
          <w:i w:val="0"/>
          <w:color w:val="auto"/>
          <w:highlight w:val="none"/>
          <w:u w:val="single"/>
          <w:shd w:val="clear" w:color="auto" w:fill="ffffff"/>
        </w:rPr>
        <w:t xml:space="preserve">组件</w:t>
      </w:r>
      <w:r>
        <w:rPr>
          <w:rStyle w:val="764"/>
          <w:rFonts w:hint="eastAsia" w:ascii="Times New Roman" w:hAnsi="Times New Roman" w:eastAsia="宋体" w:cs="方正魏碑_GBK"/>
          <w:i w:val="0"/>
          <w:color w:val="auto"/>
          <w:highlight w:val="none"/>
          <w:u w:val="single"/>
          <w:shd w:val="clear" w:color="auto" w:fill="ffffff"/>
        </w:rPr>
        <w:t xml:space="preserve">）</w:t>
      </w:r>
      <w:r>
        <w:rPr>
          <w:rStyle w:val="764"/>
          <w:rFonts w:hint="eastAsia" w:ascii="Times New Roman" w:hAnsi="Times New Roman" w:eastAsia="宋体" w:cs="方正魏碑_GBK"/>
          <w:i w:val="0"/>
          <w:color w:val="auto"/>
          <w:highlight w:val="none"/>
          <w:shd w:val="clear" w:color="auto" w:fill="ffffff"/>
          <w:vertAlign w:val="superscript"/>
        </w:rPr>
        <w:t xml:space="preserve">4</w:t>
      </w:r>
      <w:r>
        <w:rPr>
          <w:rFonts w:hint="eastAsia" w:ascii="Times New Roman" w:hAnsi="Times New Roman" w:eastAsia="宋体" w:cs="方正魏碑_GBK"/>
          <w:color w:val="auto"/>
          <w:highlight w:val="none"/>
          <w:shd w:val="clear" w:color="auto" w:fill="ffffff"/>
        </w:rPr>
        <w:t xml:space="preserve">在中国境内生产。</w:t>
      </w:r>
      <w:r>
        <w:rPr>
          <w:rStyle w:val="764"/>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4"/>
          <w:rFonts w:hint="eastAsia" w:ascii="Times New Roman" w:hAnsi="Times New Roman" w:eastAsia="宋体" w:cs="方正魏碑_GBK"/>
          <w:i w:val="0"/>
          <w:color w:val="auto"/>
          <w:highlight w:val="none"/>
          <w:u w:val="single"/>
          <w:shd w:val="clear" w:color="auto" w:fill="ffffff"/>
        </w:rPr>
        <w:t xml:space="preserve">（关键工序）</w:t>
      </w:r>
      <w:r>
        <w:rPr>
          <w:rStyle w:val="764"/>
          <w:rFonts w:hint="eastAsia" w:ascii="Times New Roman" w:hAnsi="Times New Roman" w:eastAsia="宋体" w:cs="方正魏碑_GBK"/>
          <w:i w:val="0"/>
          <w:color w:val="auto"/>
          <w:highlight w:val="none"/>
          <w:shd w:val="clear" w:color="auto" w:fill="ffffff"/>
          <w:vertAlign w:val="superscript"/>
        </w:rPr>
        <w:t xml:space="preserve">5</w:t>
      </w:r>
      <w:r>
        <w:rPr>
          <w:rFonts w:hint="eastAsia" w:ascii="Times New Roman" w:hAnsi="Times New Roman" w:eastAsia="宋体" w:cs="方正魏碑_GBK"/>
          <w:color w:val="auto"/>
          <w:highlight w:val="none"/>
          <w:shd w:val="clear" w:color="auto" w:fill="ffffff"/>
        </w:rPr>
        <w:t xml:space="preserve">在中国境内完成。</w:t>
      </w:r>
      <w:r/>
    </w:p>
    <w:p>
      <w:pPr>
        <w:pStyle w:val="75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4624;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564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18"/>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2576;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5408;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6432;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4384;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3"/>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3360;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方正魏碑_GBK"/>
          <w:color w:val="auto"/>
          <w:highlight w:val="none"/>
          <w:shd w:val="clear" w:color="auto" w:fill="ffffff"/>
        </w:rPr>
        <w:t xml:space="preserve">2.</w:t>
      </w:r>
      <w:r>
        <w:rPr>
          <w:rStyle w:val="764"/>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，生产厂为</w:t>
      </w:r>
      <w:r>
        <w:rPr>
          <w:rStyle w:val="764"/>
          <w:rFonts w:hint="eastAsia" w:ascii="Times New Roman" w:hAnsi="Times New Roman" w:eastAsia="宋体" w:cs="方正魏碑_GBK"/>
          <w:i w:val="0"/>
          <w:color w:val="auto"/>
          <w:highlight w:val="none"/>
          <w:u w:val="single"/>
          <w:shd w:val="clear" w:color="auto" w:fill="ffffff"/>
        </w:rPr>
        <w:t xml:space="preserve">（厂名）</w:t>
      </w:r>
      <w:r>
        <w:rPr>
          <w:rFonts w:hint="eastAsia" w:ascii="Times New Roman" w:hAnsi="Times New Roman" w:eastAsia="宋体" w:cs="方正魏碑_GBK"/>
          <w:color w:val="auto"/>
          <w:highlight w:val="none"/>
          <w:shd w:val="clear" w:color="auto" w:fill="ffffff"/>
        </w:rPr>
        <w:t xml:space="preserve">，厂址为</w:t>
      </w:r>
      <w:r>
        <w:rPr>
          <w:rStyle w:val="764"/>
          <w:rFonts w:hint="eastAsia" w:ascii="Times New Roman" w:hAnsi="Times New Roman" w:eastAsia="宋体" w:cs="方正魏碑_GBK"/>
          <w:i w:val="0"/>
          <w:color w:val="auto"/>
          <w:highlight w:val="none"/>
          <w:u w:val="single"/>
          <w:shd w:val="clear" w:color="auto" w:fill="ffffff"/>
        </w:rPr>
        <w:t xml:space="preserve">（生产厂址）</w:t>
      </w:r>
      <w:r>
        <w:rPr>
          <w:rFonts w:hint="eastAsia" w:ascii="Times New Roman" w:hAnsi="Times New Roman" w:eastAsia="宋体" w:cs="方正魏碑_GBK"/>
          <w:color w:val="auto"/>
          <w:highlight w:val="none"/>
          <w:shd w:val="clear" w:color="auto" w:fill="ffffff"/>
        </w:rPr>
        <w:t xml:space="preserve">。</w:t>
      </w:r>
      <w:r>
        <w:rPr>
          <w:rStyle w:val="764"/>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的中国境内生产的组件成本占比≥</w:t>
      </w:r>
      <w:r>
        <w:rPr>
          <w:rStyle w:val="764"/>
          <w:rFonts w:hint="eastAsia" w:ascii="Times New Roman" w:hAnsi="Times New Roman" w:eastAsia="宋体" w:cs="方正魏碑_GBK"/>
          <w:i w:val="0"/>
          <w:color w:val="auto"/>
          <w:highlight w:val="none"/>
          <w:u w:val="single"/>
          <w:shd w:val="clear" w:color="auto" w:fill="ffffff"/>
        </w:rPr>
        <w:t xml:space="preserve">（规定</w:t>
      </w:r>
      <w:r>
        <w:rPr>
          <w:rStyle w:val="764"/>
          <w:rFonts w:ascii="Times New Roman" w:hAnsi="Times New Roman" w:eastAsia="宋体" w:cs="方正魏碑_GBK"/>
          <w:i w:val="0"/>
          <w:color w:val="auto"/>
          <w:highlight w:val="none"/>
          <w:u w:val="single"/>
          <w:shd w:val="clear" w:color="auto" w:fill="ffffff"/>
        </w:rPr>
        <w:t xml:space="preserve">比例</w:t>
      </w:r>
      <w:r>
        <w:rPr>
          <w:rStyle w:val="764"/>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w:t>
      </w:r>
      <w:r>
        <w:rPr>
          <w:rStyle w:val="764"/>
          <w:rFonts w:hint="eastAsia" w:ascii="Times New Roman" w:hAnsi="Times New Roman" w:eastAsia="宋体" w:cs="方正魏碑_GBK"/>
          <w:i w:val="0"/>
          <w:color w:val="auto"/>
          <w:highlight w:val="none"/>
          <w:u w:val="single"/>
          <w:shd w:val="clear" w:color="auto" w:fill="ffffff"/>
        </w:rPr>
        <w:t xml:space="preserve">（产品名称2）</w:t>
      </w:r>
      <w:r>
        <w:rPr>
          <w:rFonts w:hint="eastAsia" w:ascii="Times New Roman" w:hAnsi="Times New Roman" w:eastAsia="宋体" w:cs="方正魏碑_GBK"/>
          <w:color w:val="auto"/>
          <w:highlight w:val="none"/>
          <w:shd w:val="clear" w:color="auto" w:fill="ffffff"/>
        </w:rPr>
        <w:t xml:space="preserve">的</w:t>
      </w:r>
      <w:r>
        <w:rPr>
          <w:rStyle w:val="764"/>
          <w:rFonts w:hint="eastAsia" w:ascii="Times New Roman" w:hAnsi="Times New Roman" w:eastAsia="宋体" w:cs="方正魏碑_GBK"/>
          <w:i w:val="0"/>
          <w:color w:val="auto"/>
          <w:highlight w:val="none"/>
          <w:u w:val="single"/>
          <w:shd w:val="clear" w:color="auto" w:fill="ffffff"/>
        </w:rPr>
        <w:t xml:space="preserve">（关键</w:t>
      </w:r>
      <w:r>
        <w:rPr>
          <w:rStyle w:val="764"/>
          <w:rFonts w:ascii="Times New Roman" w:hAnsi="Times New Roman" w:eastAsia="宋体" w:cs="方正魏碑_GBK"/>
          <w:i w:val="0"/>
          <w:color w:val="auto"/>
          <w:highlight w:val="none"/>
          <w:u w:val="single"/>
          <w:shd w:val="clear" w:color="auto" w:fill="ffffff"/>
        </w:rPr>
        <w:t xml:space="preserve">组件</w:t>
      </w:r>
      <w:r>
        <w:rPr>
          <w:rStyle w:val="764"/>
          <w:rFonts w:hint="eastAsia" w:ascii="Times New Roman" w:hAnsi="Times New Roman" w:eastAsia="宋体" w:cs="方正魏碑_GBK"/>
          <w:i w:val="0"/>
          <w:color w:val="auto"/>
          <w:highlight w:val="none"/>
          <w:u w:val="single"/>
          <w:shd w:val="clear" w:color="auto" w:fill="ffffff"/>
        </w:rPr>
        <w:t xml:space="preserve">）</w:t>
      </w:r>
      <w:r>
        <w:rPr>
          <w:rFonts w:hint="eastAsia" w:ascii="Times New Roman" w:hAnsi="Times New Roman" w:eastAsia="宋体" w:cs="方正魏碑_GBK"/>
          <w:color w:val="auto"/>
          <w:highlight w:val="none"/>
          <w:shd w:val="clear" w:color="auto" w:fill="ffffff"/>
        </w:rPr>
        <w:t xml:space="preserve">在中国境内生产。</w:t>
      </w:r>
      <w:r>
        <w:rPr>
          <w:rStyle w:val="764"/>
          <w:rFonts w:hint="eastAsia" w:ascii="Times New Roman" w:hAnsi="Times New Roman" w:eastAsia="宋体" w:cs="方正魏碑_GBK"/>
          <w:i w:val="0"/>
          <w:color w:val="auto"/>
          <w:highlight w:val="none"/>
          <w:u w:val="single"/>
          <w:shd w:val="clear" w:color="auto" w:fill="ffffff"/>
        </w:rPr>
        <w:t xml:space="preserve">（产品名称1）</w:t>
      </w:r>
      <w:r>
        <w:rPr>
          <w:rFonts w:hint="eastAsia" w:ascii="Times New Roman" w:hAnsi="Times New Roman" w:eastAsia="宋体" w:cs="方正魏碑_GBK"/>
          <w:color w:val="auto"/>
          <w:highlight w:val="none"/>
          <w:shd w:val="clear" w:color="auto" w:fill="ffffff"/>
        </w:rPr>
        <w:t xml:space="preserve">的</w:t>
      </w:r>
      <w:r>
        <w:rPr>
          <w:rStyle w:val="764"/>
          <w:rFonts w:hint="eastAsia" w:ascii="Times New Roman" w:hAnsi="Times New Roman" w:eastAsia="宋体" w:cs="方正魏碑_GBK"/>
          <w:i w:val="0"/>
          <w:color w:val="auto"/>
          <w:highlight w:val="none"/>
          <w:u w:val="single"/>
          <w:shd w:val="clear" w:color="auto" w:fill="ffffff"/>
        </w:rPr>
        <w:t xml:space="preserve">（关键工序）</w:t>
      </w:r>
      <w:r>
        <w:rPr>
          <w:rFonts w:hint="eastAsia" w:ascii="Times New Roman" w:hAnsi="Times New Roman" w:eastAsia="宋体" w:cs="方正魏碑_GBK"/>
          <w:color w:val="auto"/>
          <w:highlight w:val="none"/>
          <w:shd w:val="clear" w:color="auto" w:fill="ffffff"/>
        </w:rPr>
        <w:t xml:space="preserve">在中国境内完成。</w:t>
      </w:r>
      <w:r/>
    </w:p>
    <w:p>
      <w:pPr>
        <w:pStyle w:val="75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w:t>
      </w:r>
      <w:r/>
    </w:p>
    <w:p>
      <w:pPr>
        <w:pStyle w:val="757"/>
        <w:ind w:firstLine="4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本公司（单位）对上述声明内容的真实性负责。如有虚假，愿承担相应法律责任。</w:t>
      </w:r>
      <w:r/>
    </w:p>
    <w:p>
      <w:pPr>
        <w:pStyle w:val="757"/>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rPr>
      </w:r>
      <w:r/>
    </w:p>
    <w:p>
      <w:pPr>
        <w:pStyle w:val="757"/>
        <w:ind w:right="480" w:firstLine="3720"/>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公司（单位）名称（盖章）：　        </w:t>
      </w:r>
      <w:r/>
    </w:p>
    <w:p>
      <w:pPr>
        <w:pStyle w:val="757"/>
        <w:jc w:val="center"/>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                    </w:t>
      </w:r>
      <w:r>
        <w:rPr>
          <w:rFonts w:ascii="Times New Roman" w:hAnsi="Times New Roman" w:eastAsia="宋体" w:cs="方正魏碑_GBK"/>
          <w:color w:val="auto"/>
          <w:highlight w:val="none"/>
          <w:shd w:val="clear" w:color="auto" w:fill="ffffff"/>
        </w:rPr>
        <w:t xml:space="preserve">            </w:t>
      </w:r>
      <w:r>
        <w:rPr>
          <w:rFonts w:hint="eastAsia" w:ascii="Times New Roman" w:hAnsi="Times New Roman" w:eastAsia="宋体" w:cs="方正魏碑_GBK"/>
          <w:color w:val="auto"/>
          <w:highlight w:val="none"/>
          <w:shd w:val="clear" w:color="auto" w:fill="ffffff"/>
        </w:rPr>
        <w:t xml:space="preserve">日期：　   年　  月　  日         </w:t>
      </w:r>
      <w:r/>
    </w:p>
    <w:p>
      <w:pPr>
        <w:pStyle w:val="757"/>
        <w:pageBreakBefore w:val="0"/>
        <w:spacing w:beforeAutospacing="0" w:afterAutospacing="0" w:line="360" w:lineRule="auto"/>
        <w:rPr>
          <w:rFonts w:hint="eastAsia" w:ascii="Times New Roman" w:hAnsi="Times New Roman" w:eastAsia="宋体" w:cs="方正魏碑_GBK"/>
          <w:color w:val="auto"/>
          <w:highlight w:val="none"/>
        </w:rPr>
      </w:pPr>
      <w:r>
        <w:rPr>
          <w:rFonts w:hint="eastAsia" w:ascii="Times New Roman" w:hAnsi="Times New Roman" w:eastAsia="宋体" w:cs="方正魏碑_GBK"/>
          <w:color w:val="auto"/>
          <w:highlight w:val="none"/>
          <w:shd w:val="clear" w:color="auto" w:fill="ffffff"/>
        </w:rPr>
        <w:t xml:space="preserve">__________________</w:t>
      </w:r>
      <w:r/>
    </w:p>
    <w:p>
      <w:pPr>
        <w:pStyle w:val="757"/>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1.产品如有型号，请在“产品名称”栏一并填写。</w:t>
      </w:r>
      <w:r/>
    </w:p>
    <w:p>
      <w:pPr>
        <w:pStyle w:val="757"/>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2.生产厂名与厂址应与生产厂营业执照载明的相关信息保持一致。</w:t>
      </w:r>
      <w:r/>
    </w:p>
    <w:p>
      <w:pPr>
        <w:pStyle w:val="757"/>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3.该产品的中国境内生产的组件成本占比相关要求实施前，“规定比例”栏可不填，下同。</w:t>
      </w:r>
      <w:r/>
    </w:p>
    <w:p>
      <w:pPr>
        <w:pStyle w:val="757"/>
        <w:pageBreakBefore w:val="0"/>
        <w:spacing w:beforeAutospacing="0" w:afterAutospacing="0" w:line="360" w:lineRule="auto"/>
        <w:rPr>
          <w:rFonts w:hint="eastAsia" w:ascii="Times New Roman" w:hAnsi="Times New Roman" w:eastAsia="宋体" w:cs="方正魏碑_GBK"/>
          <w:color w:val="auto"/>
          <w:sz w:val="22"/>
          <w:highlight w:val="none"/>
        </w:rPr>
      </w:pPr>
      <w:r>
        <w:rPr>
          <w:rFonts w:hint="eastAsia" w:ascii="Times New Roman" w:hAnsi="Times New Roman" w:eastAsia="宋体" w:cs="方正魏碑_GBK"/>
          <w:color w:val="auto"/>
          <w:sz w:val="22"/>
          <w:highlight w:val="none"/>
          <w:shd w:val="clear" w:color="auto" w:fill="ffffff"/>
        </w:rPr>
        <w:t xml:space="preserve">4.该产品的关键组件要求实施前，“关键组件”栏可不填，下同。</w:t>
      </w:r>
      <w:r/>
    </w:p>
    <w:p>
      <w:pPr>
        <w:pStyle w:val="757"/>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5.该产品的关键工序要求实施前，“关键工序”栏可不填，下同。</w:t>
      </w:r>
      <w:r/>
    </w:p>
    <w:p>
      <w:pPr>
        <w:pStyle w:val="757"/>
        <w:pageBreakBefore w:val="0"/>
        <w:spacing w:beforeAutospacing="0" w:afterAutospacing="0" w:line="360" w:lineRule="auto"/>
        <w:rPr>
          <w:rFonts w:ascii="Times New Roman" w:hAnsi="Times New Roman" w:eastAsia="宋体" w:cs="方正魏碑_GBK"/>
          <w:color w:val="auto"/>
          <w:sz w:val="22"/>
          <w:highlight w:val="none"/>
          <w:shd w:val="clear" w:color="auto" w:fill="ffffff"/>
        </w:rPr>
      </w:pPr>
      <w:r>
        <w:rPr>
          <w:rFonts w:hint="eastAsia" w:ascii="Times New Roman" w:hAnsi="Times New Roman" w:eastAsia="宋体" w:cs="方正魏碑_GBK"/>
          <w:color w:val="auto"/>
          <w:sz w:val="22"/>
          <w:highlight w:val="none"/>
          <w:shd w:val="clear" w:color="auto" w:fill="ffffff"/>
        </w:rPr>
        <w:t xml:space="preserve">6.用斜线划除的地方无需填写。</w:t>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sz w:val="21"/>
          <w:szCs w:val="21"/>
          <w:highlight w:val="none"/>
        </w:rPr>
      </w:pPr>
      <w:r>
        <w:rPr>
          <w:rFonts w:hint="eastAsia" w:ascii="Times New Roman" w:hAnsi="Times New Roman" w:eastAsia="宋体" w:cs="宋体"/>
          <w:b/>
          <w:bCs/>
          <w:color w:val="auto"/>
          <w:sz w:val="21"/>
          <w:szCs w:val="21"/>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left"/>
        <w:pageBreakBefore w:val="0"/>
        <w:spacing w:line="360" w:lineRule="auto"/>
        <w:widowControl/>
        <w:rPr>
          <w:rFonts w:hint="eastAsia" w:ascii="Times New Roman" w:hAnsi="Times New Roman" w:eastAsia="宋体" w:cs="宋体"/>
          <w:b/>
          <w:bCs/>
          <w:color w:val="auto"/>
          <w:highlight w:val="none"/>
        </w:rPr>
      </w:pPr>
      <w:r>
        <w:rPr>
          <w:rFonts w:hint="eastAsia" w:ascii="Times New Roman" w:hAnsi="Times New Roman" w:eastAsia="宋体" w:cs="宋体"/>
          <w:b/>
          <w:bCs/>
          <w:color w:val="auto"/>
          <w:highlight w:val="none"/>
        </w:rPr>
      </w:r>
      <w:r/>
    </w:p>
    <w:p>
      <w:pPr>
        <w:jc w:val="center"/>
        <w:pageBreakBefore w:val="0"/>
        <w:spacing w:line="360" w:lineRule="auto"/>
        <w:rPr>
          <w:rFonts w:hint="eastAsia" w:ascii="Times New Roman" w:hAnsi="Times New Roman" w:eastAsia="宋体" w:cs="宋体"/>
          <w:color w:val="auto"/>
          <w:sz w:val="32"/>
          <w:highlight w:val="none"/>
        </w:rPr>
      </w:pPr>
      <w:r/>
      <w:bookmarkStart w:id="110" w:name="_Toc25382"/>
      <w:r/>
      <w:bookmarkStart w:id="111" w:name="_Toc19910"/>
      <w:r>
        <w:rPr>
          <w:rFonts w:hint="eastAsia" w:ascii="Times New Roman" w:hAnsi="Times New Roman" w:eastAsia="宋体" w:cs="宋体"/>
          <w:b/>
          <w:bCs/>
          <w:color w:val="auto"/>
          <w:sz w:val="32"/>
          <w:szCs w:val="44"/>
          <w:highlight w:val="none"/>
        </w:rPr>
        <w:t xml:space="preserve">四、开标一览表</w:t>
      </w:r>
      <w:bookmarkEnd w:id="110"/>
      <w:r/>
      <w:bookmarkEnd w:id="111"/>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项目名称：</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项目编号：</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分包号（如有）： </w:t>
      </w:r>
      <w:r/>
    </w:p>
    <w:p>
      <w:pPr>
        <w:ind w:firstLine="480"/>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bl>
      <w:tblPr>
        <w:tblStyle w:val="72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8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  投标货物及服务名称</w:t>
            </w:r>
            <w:r/>
          </w:p>
        </w:tc>
        <w:tc>
          <w:tcPr>
            <w:tcW w:w="3604" w:type="pct"/>
            <w:vAlign w:val="center"/>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投标总报价</w:t>
            </w:r>
            <w:r/>
          </w:p>
        </w:tc>
      </w:tr>
      <w:tr>
        <w:trPr>
          <w:cantSplit/>
          <w:trHeight w:val="1697"/>
        </w:trPr>
        <w:tc>
          <w:tcPr>
            <w:tcW w:w="1395" w:type="pct"/>
            <w:vAlign w:val="center"/>
            <w:textDirection w:val="lrTb"/>
            <w:noWrap w:val="false"/>
          </w:tcPr>
          <w:p>
            <w:pPr>
              <w:pStyle w:val="980"/>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3604" w:type="pct"/>
            <w:vAlign w:val="center"/>
            <w:textDirection w:val="lrTb"/>
            <w:noWrap w:val="false"/>
          </w:tcPr>
          <w:p>
            <w:pPr>
              <w:pStyle w:val="78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大写：</w:t>
            </w:r>
            <w:r/>
          </w:p>
          <w:p>
            <w:pPr>
              <w:pStyle w:val="78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小写：                             （人民币：元）</w:t>
            </w:r>
            <w:r/>
          </w:p>
          <w:p>
            <w:pPr>
              <w:pStyle w:val="78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1697"/>
        </w:trPr>
        <w:tc>
          <w:tcPr>
            <w:tcW w:w="1395" w:type="pct"/>
            <w:vAlign w:val="center"/>
            <w:textDirection w:val="lrTb"/>
            <w:noWrap w:val="false"/>
          </w:tcPr>
          <w:p>
            <w:pPr>
              <w:pStyle w:val="980"/>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核心产品品牌</w:t>
            </w:r>
            <w:r/>
          </w:p>
        </w:tc>
        <w:tc>
          <w:tcPr>
            <w:tcW w:w="3604" w:type="pct"/>
            <w:vAlign w:val="center"/>
            <w:textDirection w:val="lrTb"/>
            <w:noWrap w:val="false"/>
          </w:tcPr>
          <w:p>
            <w:pPr>
              <w:pStyle w:val="781"/>
              <w:ind w:firstLine="0"/>
              <w:pageBreakBefore w:val="0"/>
              <w:spacing w:before="0" w:after="0"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p>
      <w:pPr>
        <w:ind w:firstLine="48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Cs w:val="21"/>
          <w:highlight w:val="none"/>
        </w:rPr>
        <w:t xml:space="preserve">                                          </w:t>
      </w:r>
      <w:r/>
    </w:p>
    <w:p>
      <w:pPr>
        <w:pStyle w:val="977"/>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pStyle w:val="977"/>
        <w:ind w:firstLine="640"/>
        <w:pageBreakBefore w:val="0"/>
        <w:spacing w:line="360" w:lineRule="auto"/>
        <w:rPr>
          <w:rFonts w:hint="eastAsia" w:ascii="Times New Roman" w:hAnsi="Times New Roman" w:eastAsia="宋体" w:cs="宋体"/>
          <w:color w:val="auto"/>
          <w:sz w:val="32"/>
          <w:szCs w:val="32"/>
          <w:highlight w:val="none"/>
        </w:rPr>
      </w:pPr>
      <w:r>
        <w:rPr>
          <w:rFonts w:hint="eastAsia" w:ascii="Times New Roman" w:hAnsi="Times New Roman" w:eastAsia="宋体" w:cs="宋体"/>
          <w:color w:val="auto"/>
          <w:sz w:val="32"/>
          <w:szCs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szCs w:val="32"/>
          <w:highlight w:val="none"/>
        </w:rPr>
        <w:br w:type="page" w:clear="all"/>
      </w:r>
      <w:bookmarkStart w:id="112" w:name="_Toc17891"/>
      <w:r/>
      <w:bookmarkStart w:id="113" w:name="_Toc20323"/>
      <w:r>
        <w:rPr>
          <w:rFonts w:hint="eastAsia" w:ascii="Times New Roman" w:hAnsi="Times New Roman" w:eastAsia="宋体" w:cs="宋体"/>
          <w:b/>
          <w:bCs/>
          <w:color w:val="auto"/>
          <w:sz w:val="32"/>
          <w:szCs w:val="44"/>
          <w:highlight w:val="none"/>
        </w:rPr>
        <w:t xml:space="preserve">五、</w:t>
      </w:r>
      <w:bookmarkEnd w:id="112"/>
      <w:r/>
      <w:bookmarkEnd w:id="113"/>
      <w:r>
        <w:rPr>
          <w:rFonts w:hint="eastAsia" w:ascii="Times New Roman" w:hAnsi="Times New Roman" w:eastAsia="宋体" w:cs="宋体"/>
          <w:b/>
          <w:bCs/>
          <w:color w:val="auto"/>
          <w:sz w:val="32"/>
          <w:szCs w:val="44"/>
          <w:highlight w:val="none"/>
        </w:rPr>
        <w:t xml:space="preserve">投标产品配置及分项报价表</w:t>
      </w:r>
      <w:r/>
    </w:p>
    <w:tbl>
      <w:tblPr>
        <w:tblStyle w:val="729"/>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728"/>
        <w:gridCol w:w="728"/>
        <w:gridCol w:w="938"/>
        <w:gridCol w:w="980"/>
        <w:gridCol w:w="1106"/>
        <w:gridCol w:w="1385"/>
        <w:gridCol w:w="924"/>
        <w:gridCol w:w="1008"/>
        <w:gridCol w:w="966"/>
      </w:tblGrid>
      <w:tr>
        <w:trPr>
          <w:cantSplit/>
          <w:trHeight w:val="544"/>
        </w:trPr>
        <w:tc>
          <w:tcPr>
            <w:tcW w:w="500"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序号</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w:t>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8</w:t>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9</w:t>
            </w:r>
            <w:r/>
          </w:p>
        </w:tc>
      </w:tr>
      <w:tr>
        <w:trPr>
          <w:cantSplit/>
          <w:trHeight w:val="29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产品</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名称</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品牌</w:t>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规格</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型号</w:t>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制造商名称</w:t>
            </w:r>
            <w:r/>
          </w:p>
        </w:tc>
        <w:tc>
          <w:tcPr>
            <w:tcW w:w="110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产地</w:t>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交付期</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数量</w:t>
            </w:r>
            <w:r/>
          </w:p>
        </w:tc>
        <w:tc>
          <w:tcPr>
            <w:tcW w:w="1008"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单价</w:t>
            </w:r>
            <w:r/>
          </w:p>
        </w:tc>
        <w:tc>
          <w:tcPr>
            <w:tcW w:w="966"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分项</w:t>
            </w:r>
            <w:r/>
          </w:p>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总价</w:t>
            </w:r>
            <w:r/>
          </w:p>
        </w:tc>
      </w:tr>
      <w:tr>
        <w:trPr>
          <w:cantSplit/>
          <w:trHeight w:val="696"/>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合同签订后</w:t>
            </w:r>
            <w:r>
              <w:rPr>
                <w:rFonts w:hint="eastAsia" w:ascii="Times New Roman" w:hAnsi="Times New Roman" w:eastAsia="宋体"/>
                <w:color w:val="auto"/>
                <w:sz w:val="21"/>
                <w:szCs w:val="21"/>
                <w:highlight w:val="none"/>
                <w:u w:val="single"/>
              </w:rPr>
              <w:t xml:space="preserve">  </w:t>
            </w:r>
            <w:r>
              <w:rPr>
                <w:rFonts w:hint="eastAsia" w:ascii="Times New Roman" w:hAnsi="Times New Roman" w:eastAsia="宋体"/>
                <w:color w:val="auto"/>
                <w:sz w:val="21"/>
                <w:szCs w:val="21"/>
                <w:highlight w:val="none"/>
              </w:rPr>
              <w:t xml:space="preserve">日</w:t>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724"/>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640"/>
        </w:trPr>
        <w:tc>
          <w:tcPr>
            <w:tcW w:w="50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580"/>
        </w:trPr>
        <w:tc>
          <w:tcPr>
            <w:tcW w:w="500" w:type="dxa"/>
            <w:vAlign w:val="center"/>
            <w:textDirection w:val="lrTb"/>
            <w:noWrap w:val="false"/>
          </w:tcPr>
          <w:p>
            <w:pPr>
              <w:jc w:val="center"/>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w:t>
            </w:r>
            <w:r/>
          </w:p>
        </w:tc>
        <w:tc>
          <w:tcPr>
            <w:tcW w:w="72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3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80"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106" w:type="dxa"/>
            <w:vAlign w:val="top"/>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385"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24"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1008"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c>
          <w:tcPr>
            <w:tcW w:w="966" w:type="dxa"/>
            <w:vAlign w:val="center"/>
            <w:textDirection w:val="lrTb"/>
            <w:noWrap w:val="false"/>
          </w:tcPr>
          <w:p>
            <w:pPr>
              <w:jc w:val="cente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r>
            <w:r/>
          </w:p>
        </w:tc>
      </w:tr>
      <w:tr>
        <w:trPr>
          <w:cantSplit/>
          <w:trHeight w:val="434"/>
        </w:trPr>
        <w:tc>
          <w:tcPr>
            <w:gridSpan w:val="10"/>
            <w:tcW w:w="9263" w:type="dxa"/>
            <w:vAlign w:val="top"/>
            <w:textDirection w:val="lrTb"/>
            <w:noWrap w:val="false"/>
          </w:tcPr>
          <w:p>
            <w:pPr>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投标总报价（人民币：元）</w:t>
            </w:r>
            <w:r>
              <w:rPr>
                <w:rFonts w:hint="eastAsia" w:ascii="Times New Roman" w:hAnsi="Times New Roman" w:eastAsia="宋体"/>
                <w:color w:val="auto"/>
                <w:sz w:val="21"/>
                <w:szCs w:val="21"/>
                <w:highlight w:val="none"/>
                <w:u w:val="single"/>
              </w:rPr>
              <w:t xml:space="preserve">                             </w:t>
            </w:r>
            <w:r/>
          </w:p>
        </w:tc>
      </w:tr>
      <w:tr>
        <w:trPr>
          <w:cantSplit/>
          <w:trHeight w:val="434"/>
        </w:trPr>
        <w:tc>
          <w:tcPr>
            <w:gridSpan w:val="10"/>
            <w:tcW w:w="9263" w:type="dxa"/>
            <w:vAlign w:val="top"/>
            <w:textDirection w:val="lrTb"/>
            <w:noWrap w:val="false"/>
          </w:tcPr>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 xml:space="preserve">本采购包中提供的符合本国产品标准的产品成本之和占该采购包提供的全部产品成本之和的比例为</w:t>
            </w:r>
            <w:r>
              <w:rPr>
                <w:rFonts w:hint="eastAsia" w:ascii="Times New Roman" w:hAnsi="Times New Roman" w:eastAsia="宋体" w:cs="宋体"/>
                <w:color w:val="auto"/>
                <w:sz w:val="21"/>
                <w:szCs w:val="21"/>
                <w:highlight w:val="none"/>
                <w:u w:val="single"/>
                <w:lang w:val="en-US" w:eastAsia="zh-CN"/>
              </w:rPr>
              <w:t xml:space="preserve">     </w:t>
            </w:r>
            <w:r>
              <w:rPr>
                <w:rFonts w:hint="eastAsia" w:ascii="Times New Roman" w:hAnsi="Times New Roman" w:eastAsia="宋体" w:cs="宋体"/>
                <w:color w:val="auto"/>
                <w:sz w:val="21"/>
                <w:szCs w:val="21"/>
                <w:highlight w:val="none"/>
              </w:rPr>
              <w:t xml:space="preserve">%。</w:t>
            </w:r>
            <w:r/>
          </w:p>
        </w:tc>
      </w:tr>
    </w:tbl>
    <w:p>
      <w:pPr>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备注：</w:t>
      </w:r>
      <w:r/>
    </w:p>
    <w:p>
      <w:pPr>
        <w:numPr>
          <w:ilvl w:val="0"/>
          <w:numId w:val="4"/>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报价采用总承包方式，“投标总报价”应包括所投货物制作（采购）、安装、施工、运输、调试验收相关的技术指导和售后服务、利润、保险、税金、以及所包含的风险、责任及其他有关的为完成本项目发生的所有费用，招标文件中另有规定的除外。</w:t>
      </w:r>
      <w:r/>
    </w:p>
    <w:p>
      <w:pPr>
        <w:numPr>
          <w:ilvl w:val="0"/>
          <w:numId w:val="0"/>
        </w:num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2.“投标分项报价表”中“投标总报价”数额应当与“开标一览表”中“投标总报价”数额一致。</w:t>
      </w:r>
      <w:r/>
    </w:p>
    <w:p>
      <w:pPr>
        <w:pageBreakBefore w:val="0"/>
        <w:spacing w:line="360" w:lineRule="auto"/>
        <w:rPr>
          <w:rFonts w:hint="eastAsia"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3.投标人需认真填写本报价表，尤其注意规格型号的准确填写。</w:t>
      </w:r>
      <w:r/>
    </w:p>
    <w:p>
      <w:pPr>
        <w:pageBreakBefore w:val="0"/>
        <w:spacing w:line="360" w:lineRule="auto"/>
        <w:rPr>
          <w:rFonts w:hint="eastAsia" w:ascii="Times New Roman" w:hAnsi="Times New Roman" w:eastAsia="宋体" w:cs="方正魏碑_GBK"/>
          <w:color w:val="auto"/>
          <w:sz w:val="21"/>
          <w:szCs w:val="21"/>
          <w:highlight w:val="none"/>
        </w:rPr>
      </w:pPr>
      <w:r>
        <w:rPr>
          <w:rFonts w:hint="eastAsia" w:ascii="Times New Roman" w:hAnsi="Times New Roman" w:eastAsia="宋体"/>
          <w:color w:val="auto"/>
          <w:sz w:val="21"/>
          <w:szCs w:val="21"/>
          <w:highlight w:val="none"/>
        </w:rPr>
        <w:t xml:space="preserve">4.项目经办人可以根据项目实际需要对表格结构进行调整</w:t>
      </w:r>
      <w:r>
        <w:rPr>
          <w:rFonts w:hint="eastAsia" w:ascii="Times New Roman" w:hAnsi="Times New Roman" w:eastAsia="宋体" w:cs="方正魏碑_GBK"/>
          <w:color w:val="auto"/>
          <w:sz w:val="21"/>
          <w:szCs w:val="21"/>
          <w:highlight w:val="none"/>
        </w:rPr>
        <w:t xml:space="preserve">。</w:t>
      </w:r>
      <w:r/>
    </w:p>
    <w:p>
      <w:pPr>
        <w:pageBreakBefore w:val="0"/>
        <w:spacing w:line="360" w:lineRule="auto"/>
        <w:rPr>
          <w:rFonts w:hint="default" w:ascii="Times New Roman" w:hAnsi="Times New Roman" w:eastAsia="宋体" w:cs="方正魏碑_GBK"/>
          <w:color w:val="auto"/>
          <w:sz w:val="24"/>
          <w:szCs w:val="24"/>
          <w:highlight w:val="none"/>
          <w:lang w:val="en-US" w:eastAsia="zh-CN"/>
        </w:rPr>
      </w:pPr>
      <w:r>
        <w:rPr>
          <w:rFonts w:hint="eastAsia" w:ascii="Times New Roman" w:hAnsi="Times New Roman" w:eastAsia="宋体" w:cs="方正魏碑_GBK"/>
          <w:color w:val="auto"/>
          <w:sz w:val="21"/>
          <w:szCs w:val="21"/>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Times New Roman" w:hAnsi="Times New Roman" w:eastAsia="宋体" w:cs="方正魏碑_GBK"/>
          <w:color w:val="auto"/>
          <w:sz w:val="24"/>
          <w:szCs w:val="24"/>
          <w:highlight w:val="none"/>
          <w:lang w:val="en-US" w:eastAsia="zh-CN"/>
        </w:rPr>
        <w:t xml:space="preserve">。</w:t>
      </w:r>
      <w:r/>
    </w:p>
    <w:p>
      <w:pPr>
        <w:pageBreakBefore w:val="0"/>
        <w:spacing w:line="360" w:lineRule="auto"/>
        <w:rPr>
          <w:rFonts w:hint="eastAsia" w:ascii="Times New Roman" w:hAnsi="Times New Roman" w:eastAsia="宋体" w:cs="方正魏碑_GBK"/>
          <w:color w:val="auto"/>
          <w:sz w:val="24"/>
          <w:szCs w:val="24"/>
          <w:highlight w:val="none"/>
        </w:rPr>
      </w:pPr>
      <w:r>
        <w:rPr>
          <w:rFonts w:hint="eastAsia" w:ascii="Times New Roman" w:hAnsi="Times New Roman" w:eastAsia="宋体" w:cs="方正魏碑_GBK"/>
          <w:color w:val="auto"/>
          <w:sz w:val="24"/>
          <w:szCs w:val="24"/>
          <w:highlight w:val="none"/>
        </w:rPr>
        <w:br w:type="page" w:clear="all"/>
      </w:r>
      <w:r/>
    </w:p>
    <w:p>
      <w:pPr>
        <w:pStyle w:val="971"/>
        <w:pageBreakBefore w:val="0"/>
        <w:spacing w:before="0" w:after="0" w:line="360" w:lineRule="auto"/>
        <w:rPr>
          <w:rFonts w:hint="eastAsia" w:ascii="Times New Roman" w:hAnsi="Times New Roman" w:eastAsia="宋体" w:cs="宋体"/>
          <w:color w:val="auto"/>
          <w:sz w:val="32"/>
          <w:highlight w:val="none"/>
        </w:rPr>
      </w:pPr>
      <w:r/>
      <w:bookmarkStart w:id="114" w:name="_Toc5967"/>
      <w:r/>
      <w:bookmarkStart w:id="115" w:name="_Toc32755"/>
      <w:r/>
      <w:bookmarkStart w:id="116" w:name="_Toc16517"/>
      <w:r/>
      <w:bookmarkStart w:id="117" w:name="_Toc9678"/>
      <w:r/>
      <w:bookmarkStart w:id="118" w:name="_Toc17996"/>
      <w:r>
        <w:rPr>
          <w:rFonts w:hint="eastAsia" w:ascii="Times New Roman" w:hAnsi="Times New Roman" w:eastAsia="宋体" w:cs="宋体"/>
          <w:color w:val="auto"/>
          <w:sz w:val="32"/>
          <w:highlight w:val="none"/>
        </w:rPr>
        <w:t xml:space="preserve">六、技术参数响应及偏离表</w:t>
      </w:r>
      <w:bookmarkEnd w:id="114"/>
      <w:r/>
      <w:bookmarkEnd w:id="115"/>
      <w:r/>
      <w:bookmarkEnd w:id="116"/>
      <w:r/>
      <w:bookmarkEnd w:id="117"/>
      <w:r/>
      <w:bookmarkEnd w:id="118"/>
      <w:r/>
      <w:r/>
    </w:p>
    <w:tbl>
      <w:tblPr>
        <w:tblStyle w:val="729"/>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序号</w:t>
            </w:r>
            <w:r/>
          </w:p>
        </w:tc>
        <w:tc>
          <w:tcPr>
            <w:tcW w:w="255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招标要求</w:t>
            </w:r>
            <w:r/>
          </w:p>
        </w:tc>
        <w:tc>
          <w:tcPr>
            <w:tcW w:w="2701"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投标响应</w:t>
            </w:r>
            <w:r/>
          </w:p>
        </w:tc>
        <w:tc>
          <w:tcPr>
            <w:tcW w:w="1458"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1</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2</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4</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5</w:t>
            </w:r>
            <w:r/>
          </w:p>
        </w:tc>
        <w:tc>
          <w:tcPr>
            <w:tcW w:w="255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r>
        <w:trPr>
          <w:cantSplit/>
          <w:trHeight w:val="640"/>
        </w:trPr>
        <w:tc>
          <w:tcPr>
            <w:tcW w:w="984"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2551" w:type="dxa"/>
            <w:textDirection w:val="lrTb"/>
            <w:noWrap w:val="false"/>
          </w:tcPr>
          <w:p>
            <w:pPr>
              <w:jc w:val="center"/>
              <w:pageBreakBefore w:val="0"/>
              <w:spacing w:line="360" w:lineRule="auto"/>
              <w:rPr>
                <w:rFonts w:hint="default"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w:t>
            </w:r>
            <w:r/>
          </w:p>
        </w:tc>
        <w:tc>
          <w:tcPr>
            <w:tcW w:w="2701"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458"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c>
          <w:tcPr>
            <w:tcW w:w="1210" w:type="dxa"/>
            <w:textDirection w:val="lrTb"/>
            <w:noWrap w:val="false"/>
          </w:tcPr>
          <w:p>
            <w:pPr>
              <w:jc w:val="cente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注：</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1.投标人需对技术要求（</w:t>
      </w:r>
      <w:r>
        <w:rPr>
          <w:rFonts w:hint="eastAsia" w:ascii="Times New Roman" w:hAnsi="Times New Roman" w:eastAsia="宋体" w:cs="宋体"/>
          <w:color w:val="auto"/>
          <w:sz w:val="21"/>
          <w:szCs w:val="21"/>
          <w:highlight w:val="none"/>
          <w:lang w:val="en-US" w:eastAsia="zh-CN"/>
        </w:rPr>
        <w:t xml:space="preserve">以及</w:t>
      </w:r>
      <w:r>
        <w:rPr>
          <w:rFonts w:hint="eastAsia" w:ascii="Times New Roman" w:hAnsi="Times New Roman" w:eastAsia="宋体" w:cs="宋体"/>
          <w:color w:val="auto"/>
          <w:sz w:val="21"/>
          <w:szCs w:val="21"/>
          <w:highlight w:val="none"/>
        </w:rPr>
        <w:t xml:space="preserve">未加斜体下划线的非实质性要求）逐条做出明确响应。</w:t>
      </w:r>
      <w:r/>
    </w:p>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2.如果招标文件要求提供证明材料，投标人需将证明材料列于该表之下。</w:t>
      </w:r>
      <w:r/>
    </w:p>
    <w:p>
      <w:pPr>
        <w:pStyle w:val="820"/>
        <w:pageBreakBefore w:val="0"/>
        <w:spacing w:line="360" w:lineRule="auto"/>
        <w:rPr>
          <w:rFonts w:hint="default" w:ascii="Times New Roman" w:hAnsi="Times New Roman" w:eastAsia="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3.行数不够，可自行添加。</w:t>
      </w:r>
      <w:r/>
    </w:p>
    <w:p>
      <w:pPr>
        <w:jc w:val="center"/>
        <w:pageBreakBefore w:val="0"/>
        <w:spacing w:line="360" w:lineRule="auto"/>
        <w:rPr>
          <w:rFonts w:hint="eastAsia" w:ascii="Times New Roman" w:hAnsi="Times New Roman" w:eastAsia="宋体" w:cs="宋体"/>
          <w:b/>
          <w:color w:val="auto"/>
          <w:sz w:val="21"/>
          <w:szCs w:val="21"/>
          <w:highlight w:val="none"/>
        </w:rPr>
      </w:pPr>
      <w:r>
        <w:rPr>
          <w:rFonts w:hint="eastAsia" w:ascii="Times New Roman" w:hAnsi="Times New Roman" w:eastAsia="宋体" w:cs="宋体"/>
          <w:b/>
          <w:color w:val="auto"/>
          <w:sz w:val="21"/>
          <w:szCs w:val="21"/>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jc w:val="center"/>
        <w:pageBreakBefore w:val="0"/>
        <w:spacing w:line="360" w:lineRule="auto"/>
        <w:rPr>
          <w:rFonts w:hint="eastAsia" w:ascii="Times New Roman" w:hAnsi="Times New Roman" w:eastAsia="宋体" w:cs="宋体"/>
          <w:b/>
          <w:color w:val="auto"/>
          <w:sz w:val="36"/>
          <w:highlight w:val="none"/>
        </w:rPr>
      </w:pPr>
      <w:r>
        <w:rPr>
          <w:rFonts w:hint="eastAsia" w:ascii="Times New Roman" w:hAnsi="Times New Roman" w:eastAsia="宋体" w:cs="宋体"/>
          <w:b/>
          <w:color w:val="auto"/>
          <w:sz w:val="36"/>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r>
      <w:r/>
    </w:p>
    <w:p>
      <w:pPr>
        <w:jc w:val="center"/>
        <w:pageBreakBefore w:val="0"/>
        <w:spacing w:line="360" w:lineRule="auto"/>
        <w:rPr>
          <w:rFonts w:hint="eastAsia" w:ascii="Times New Roman" w:hAnsi="Times New Roman" w:eastAsia="宋体" w:cs="宋体"/>
          <w:color w:val="auto"/>
          <w:sz w:val="32"/>
          <w:highlight w:val="none"/>
        </w:rPr>
      </w:pPr>
      <w:r>
        <w:rPr>
          <w:rFonts w:hint="eastAsia" w:ascii="Times New Roman" w:hAnsi="Times New Roman" w:eastAsia="宋体" w:cs="宋体"/>
          <w:color w:val="auto"/>
          <w:sz w:val="32"/>
          <w:highlight w:val="none"/>
        </w:rPr>
        <w:br w:type="page" w:clear="all"/>
      </w:r>
      <w:bookmarkStart w:id="119" w:name="_Hlt26955054"/>
      <w:r/>
      <w:bookmarkEnd w:id="119"/>
      <w:r/>
      <w:bookmarkStart w:id="120" w:name="_Toc16820"/>
      <w:r/>
      <w:bookmarkStart w:id="121" w:name="_Toc32154"/>
      <w:r>
        <w:rPr>
          <w:rFonts w:hint="eastAsia" w:ascii="Times New Roman" w:hAnsi="Times New Roman" w:eastAsia="宋体" w:cs="宋体"/>
          <w:b/>
          <w:bCs/>
          <w:color w:val="auto"/>
          <w:sz w:val="32"/>
          <w:szCs w:val="44"/>
          <w:highlight w:val="none"/>
        </w:rPr>
        <w:t xml:space="preserve">七、商务条款响应及偏离表</w:t>
      </w:r>
      <w:bookmarkEnd w:id="120"/>
      <w:r/>
      <w:bookmarkEnd w:id="121"/>
      <w:r/>
      <w:r/>
    </w:p>
    <w:tbl>
      <w:tblPr>
        <w:tblStyle w:val="729"/>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bookmarkStart w:id="122" w:name="_Hlt26782999"/>
            <w:r/>
            <w:bookmarkEnd w:id="122"/>
            <w:r/>
            <w:bookmarkStart w:id="123" w:name="_Hlt24879081"/>
            <w:r/>
            <w:bookmarkEnd w:id="123"/>
            <w:r/>
            <w:bookmarkStart w:id="124" w:name="_Hlt26671372"/>
            <w:r/>
            <w:bookmarkEnd w:id="124"/>
            <w:r/>
            <w:bookmarkStart w:id="125" w:name="_Hlt26955064"/>
            <w:r/>
            <w:bookmarkEnd w:id="125"/>
            <w:r/>
            <w:bookmarkStart w:id="126" w:name="_Hlt26609391"/>
            <w:r/>
            <w:bookmarkEnd w:id="126"/>
            <w:r/>
            <w:bookmarkStart w:id="127" w:name="_Hlt26671343"/>
            <w:r/>
            <w:bookmarkEnd w:id="127"/>
            <w:r/>
            <w:bookmarkStart w:id="128" w:name="_Hlt26955056"/>
            <w:r/>
            <w:bookmarkEnd w:id="128"/>
            <w:r/>
            <w:bookmarkStart w:id="129" w:name="_Hlt26580838"/>
            <w:r/>
            <w:bookmarkEnd w:id="129"/>
            <w:r>
              <w:rPr>
                <w:rFonts w:hint="eastAsia" w:ascii="Times New Roman" w:hAnsi="Times New Roman" w:eastAsia="宋体" w:cs="宋体"/>
                <w:color w:val="auto"/>
                <w:szCs w:val="21"/>
                <w:highlight w:val="none"/>
              </w:rPr>
              <w:t xml:space="preserve">项目</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招标文件要求</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是否响应</w:t>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投标人的承诺或说明</w:t>
            </w:r>
            <w:r/>
          </w:p>
        </w:tc>
      </w:tr>
      <w:tr>
        <w:trPr>
          <w:trHeight w:val="62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质保期</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950"/>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售后技术服务要求</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717"/>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交付时间</w:t>
            </w:r>
            <w:r/>
          </w:p>
        </w:tc>
        <w:tc>
          <w:tcPr>
            <w:tcW w:w="2122"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6"/>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613"/>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交货地点</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ind w:left="43"/>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付款方式</w:t>
            </w:r>
            <w:r/>
          </w:p>
        </w:tc>
        <w:tc>
          <w:tcPr>
            <w:tcW w:w="2122" w:type="dxa"/>
            <w:textDirection w:val="lrTb"/>
            <w:noWrap w:val="false"/>
          </w:tcPr>
          <w:p>
            <w:pP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r>
        <w:trPr>
          <w:trHeight w:val="584"/>
        </w:trPr>
        <w:tc>
          <w:tcPr>
            <w:tcW w:w="1935"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122" w:type="dxa"/>
            <w:textDirection w:val="lrTb"/>
            <w:noWrap w:val="false"/>
          </w:tcPr>
          <w:p>
            <w:pPr>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lang w:val="en-US" w:eastAsia="zh-CN"/>
              </w:rPr>
              <w:t xml:space="preserve">......</w:t>
            </w:r>
            <w:r/>
          </w:p>
        </w:tc>
        <w:tc>
          <w:tcPr>
            <w:tcW w:w="1800"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c>
          <w:tcPr>
            <w:tcW w:w="2561" w:type="dxa"/>
            <w:textDirection w:val="lrTb"/>
            <w:noWrap w:val="false"/>
          </w:tcPr>
          <w:p>
            <w:pPr>
              <w:jc w:val="center"/>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r>
            <w:r/>
          </w:p>
        </w:tc>
      </w:tr>
    </w:tbl>
    <w:p>
      <w:pPr>
        <w:pageBreakBefore w:val="0"/>
        <w:spacing w:line="360" w:lineRule="auto"/>
        <w:rPr>
          <w:rFonts w:hint="eastAsia"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rPr>
        <w:t xml:space="preserve">备注</w:t>
      </w:r>
      <w:r>
        <w:rPr>
          <w:rFonts w:ascii="Times New Roman" w:hAnsi="Times New Roman" w:eastAsia="宋体"/>
          <w:color w:val="auto"/>
          <w:sz w:val="21"/>
          <w:szCs w:val="21"/>
          <w:highlight w:val="none"/>
        </w:rPr>
        <w:t xml:space="preserve">：</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1.投标人需对</w:t>
      </w:r>
      <w:r>
        <w:rPr>
          <w:rFonts w:hint="eastAsia" w:ascii="Times New Roman" w:hAnsi="Times New Roman" w:eastAsia="宋体" w:cs="Times New Roman"/>
          <w:color w:val="auto"/>
          <w:sz w:val="21"/>
          <w:szCs w:val="21"/>
          <w:highlight w:val="none"/>
          <w:lang w:val="en-US" w:eastAsia="zh-CN"/>
        </w:rPr>
        <w:t xml:space="preserve">商务</w:t>
      </w:r>
      <w:r>
        <w:rPr>
          <w:rFonts w:hint="eastAsia" w:ascii="Times New Roman" w:hAnsi="Times New Roman" w:eastAsia="宋体" w:cs="Times New Roman"/>
          <w:color w:val="auto"/>
          <w:sz w:val="21"/>
          <w:szCs w:val="21"/>
          <w:highlight w:val="none"/>
        </w:rPr>
        <w:t xml:space="preserve">要求（未加斜体下划线的非实质性要求）逐条做出明确响应。</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2.如果招标文件要求提供证明材料，投标人需将证明材料列于该表之下。</w:t>
      </w:r>
      <w:r/>
    </w:p>
    <w:p>
      <w:pPr>
        <w:pageBreakBefore w:val="0"/>
        <w:spacing w:line="360" w:lineRule="auto"/>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 xml:space="preserve">3.行数不够，可自行添加。</w:t>
      </w:r>
      <w:r/>
    </w:p>
    <w:p>
      <w:pPr>
        <w:pStyle w:val="977"/>
        <w:ind w:firstLine="480"/>
        <w:pageBreakBefore w:val="0"/>
        <w:spacing w:line="360" w:lineRule="auto"/>
        <w:rPr>
          <w:rFonts w:hint="eastAsia" w:ascii="Times New Roman" w:hAnsi="Times New Roman" w:eastAsia="宋体" w:cs="宋体"/>
          <w:color w:val="auto"/>
          <w:sz w:val="24"/>
          <w:highlight w:val="none"/>
        </w:rPr>
      </w:pPr>
      <w:r/>
      <w:bookmarkStart w:id="130" w:name="_Hlt26671374"/>
      <w:r/>
      <w:bookmarkEnd w:id="130"/>
      <w:r/>
      <w:bookmarkStart w:id="131" w:name="_Hlt26955066"/>
      <w:r/>
      <w:bookmarkEnd w:id="131"/>
      <w:r/>
      <w:bookmarkStart w:id="132" w:name="_Hlt26609389"/>
      <w:r/>
      <w:bookmarkEnd w:id="132"/>
      <w:r/>
      <w:bookmarkStart w:id="133" w:name="_Toc462564146"/>
      <w:r/>
      <w:r/>
    </w:p>
    <w:p>
      <w:pPr>
        <w:pStyle w:val="977"/>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7"/>
        <w:ind w:firstLine="480"/>
        <w:pageBreakBefore w:val="0"/>
        <w:spacing w:line="360" w:lineRule="auto"/>
        <w:rPr>
          <w:rFonts w:hint="eastAsia" w:ascii="Times New Roman" w:hAnsi="Times New Roman" w:eastAsia="宋体" w:cs="宋体"/>
          <w:color w:val="auto"/>
          <w:sz w:val="24"/>
          <w:highlight w:val="none"/>
        </w:rPr>
      </w:pPr>
      <w:r>
        <w:rPr>
          <w:rFonts w:hint="eastAsia" w:ascii="Times New Roman" w:hAnsi="Times New Roman" w:eastAsia="宋体" w:cs="宋体"/>
          <w:color w:val="auto"/>
          <w:sz w:val="24"/>
          <w:highlight w:val="none"/>
        </w:rPr>
      </w:r>
      <w:r/>
    </w:p>
    <w:p>
      <w:pPr>
        <w:pStyle w:val="977"/>
        <w:ind w:firstLine="480"/>
        <w:jc w:val="cente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sz w:val="24"/>
          <w:highlight w:val="none"/>
        </w:rPr>
        <w:br w:type="page" w:clear="all"/>
      </w:r>
      <w:bookmarkEnd w:id="133"/>
      <w:r/>
      <w:bookmarkStart w:id="134" w:name="_格式2__法定代表人授权书"/>
      <w:r/>
      <w:bookmarkEnd w:id="134"/>
      <w:r>
        <w:rPr>
          <w:rFonts w:hint="eastAsia" w:ascii="Times New Roman" w:hAnsi="Times New Roman" w:eastAsia="宋体" w:cs="宋体"/>
          <w:b/>
          <w:bCs/>
          <w:color w:val="auto"/>
          <w:sz w:val="32"/>
          <w:szCs w:val="44"/>
          <w:highlight w:val="none"/>
        </w:rPr>
        <w:t xml:space="preserve">主要标的信息（中标后将公示）</w:t>
      </w:r>
      <w:r/>
    </w:p>
    <w:p>
      <w:pPr>
        <w:pageBreakBefore w:val="0"/>
        <w:spacing w:line="360" w:lineRule="auto"/>
        <w:rPr>
          <w:rFonts w:hint="eastAsia" w:ascii="Times New Roman" w:hAnsi="Times New Roman" w:eastAsia="宋体" w:cs="宋体"/>
          <w:b/>
          <w:color w:val="auto"/>
          <w:highlight w:val="none"/>
        </w:rPr>
      </w:pPr>
      <w:r>
        <w:rPr>
          <w:rFonts w:hint="eastAsia" w:ascii="Times New Roman" w:hAnsi="Times New Roman" w:eastAsia="宋体" w:cs="宋体"/>
          <w:color w:val="auto"/>
          <w:highlight w:val="none"/>
        </w:rPr>
        <w:t xml:space="preserve">投标人全称：</w:t>
      </w:r>
      <w:r/>
    </w:p>
    <w:tbl>
      <w:tblPr>
        <w:tblStyle w:val="729"/>
        <w:tblW w:w="6645" w:type="dxa"/>
        <w:tblInd w:w="79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5"/>
      </w:tblGrid>
      <w:tr>
        <w:trPr/>
        <w:tc>
          <w:tcPr>
            <w:tcW w:w="6645" w:type="dxa"/>
            <w:textDirection w:val="lrTb"/>
            <w:noWrap w:val="false"/>
          </w:tcPr>
          <w:p>
            <w:pPr>
              <w:jc w:val="cente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r>
      <w:tr>
        <w:trPr>
          <w:trHeight w:val="3810"/>
        </w:trPr>
        <w:tc>
          <w:tcPr>
            <w:tcW w:w="6645" w:type="dxa"/>
            <w:textDirection w:val="lrTb"/>
            <w:noWrap w:val="false"/>
          </w:tcPr>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r>
    </w:tbl>
    <w:p>
      <w:pPr>
        <w:jc w:val="left"/>
        <w:pageBreakBefore w:val="0"/>
        <w:spacing w:line="360" w:lineRule="auto"/>
        <w:widowControl/>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方正楷体_GB2312">
    <w:panose1 w:val="020B0503020202020204"/>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
  </w:p>
  <w:p>
    <w:pPr>
      <w:pStyle w:val="98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pPr>
    <w:r>
      <w:rPr>
        <w:rFonts w:hint="eastAsia"/>
        <w:lang w:eastAsia="zh-CN"/>
      </w:rPr>
      <w:t xml:space="preserve">JSZC-321000-SWGC-G2026-0131号</w:t>
    </w:r>
    <w:r>
      <w:rPr>
        <w:rFonts w:hint="eastAsia"/>
      </w:rPr>
      <w:t xml:space="preserve">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both"/>
    </w:pPr>
    <w:r>
      <w:rPr>
        <w:rFonts w:hint="eastAsia"/>
        <w:lang w:eastAsia="zh-CN"/>
      </w:rPr>
      <w:t xml:space="preserve">JSZC-321000-SWGC-G2026-0131号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4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0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8" w:default="1">
    <w:name w:val="Normal"/>
    <w:next w:val="730"/>
    <w:uiPriority w:val="0"/>
    <w:qFormat/>
    <w:pPr>
      <w:jc w:val="both"/>
      <w:widowControl w:val="off"/>
    </w:pPr>
    <w:rPr>
      <w:rFonts w:hint="default" w:ascii="Calibri" w:hAnsi="Calibri" w:eastAsia="宋体" w:cs="Times New Roman"/>
      <w:sz w:val="21"/>
      <w:szCs w:val="22"/>
      <w:lang w:val="en-US" w:eastAsia="zh-CN" w:bidi="ar-SA"/>
    </w:rPr>
  </w:style>
  <w:style w:type="paragraph" w:styleId="719">
    <w:name w:val="Heading 1"/>
    <w:basedOn w:val="718"/>
    <w:next w:val="718"/>
    <w:link w:val="822"/>
    <w:uiPriority w:val="9"/>
    <w:qFormat/>
    <w:pPr>
      <w:jc w:val="center"/>
      <w:keepLines/>
      <w:keepNext/>
      <w:spacing w:line="360" w:lineRule="auto"/>
      <w:outlineLvl w:val="0"/>
    </w:pPr>
    <w:rPr>
      <w:rFonts w:ascii="Arial" w:hAnsi="Arial" w:cs="Arial"/>
      <w:b/>
      <w:sz w:val="30"/>
      <w:szCs w:val="40"/>
    </w:rPr>
  </w:style>
  <w:style w:type="paragraph" w:styleId="720">
    <w:name w:val="Heading 2"/>
    <w:basedOn w:val="718"/>
    <w:next w:val="718"/>
    <w:link w:val="823"/>
    <w:uiPriority w:val="9"/>
    <w:unhideWhenUsed/>
    <w:qFormat/>
    <w:pPr>
      <w:keepLines/>
      <w:keepNext/>
      <w:spacing w:before="360" w:after="200"/>
      <w:outlineLvl w:val="1"/>
    </w:pPr>
    <w:rPr>
      <w:rFonts w:ascii="Arial" w:hAnsi="Arial" w:eastAsia="Arial" w:cs="Arial"/>
      <w:sz w:val="34"/>
    </w:rPr>
  </w:style>
  <w:style w:type="paragraph" w:styleId="721">
    <w:name w:val="Heading 3"/>
    <w:basedOn w:val="718"/>
    <w:next w:val="718"/>
    <w:link w:val="824"/>
    <w:uiPriority w:val="9"/>
    <w:unhideWhenUsed/>
    <w:qFormat/>
    <w:pPr>
      <w:keepLines/>
      <w:keepNext/>
      <w:spacing w:before="320" w:after="200"/>
      <w:outlineLvl w:val="2"/>
    </w:pPr>
    <w:rPr>
      <w:rFonts w:ascii="Arial" w:hAnsi="Arial" w:eastAsia="Arial" w:cs="Arial"/>
      <w:sz w:val="30"/>
      <w:szCs w:val="30"/>
    </w:rPr>
  </w:style>
  <w:style w:type="paragraph" w:styleId="722">
    <w:name w:val="Heading 4"/>
    <w:basedOn w:val="718"/>
    <w:next w:val="718"/>
    <w:link w:val="825"/>
    <w:uiPriority w:val="9"/>
    <w:unhideWhenUsed/>
    <w:qFormat/>
    <w:pPr>
      <w:keepLines/>
      <w:keepNext/>
      <w:spacing w:before="320" w:after="200"/>
      <w:outlineLvl w:val="3"/>
    </w:pPr>
    <w:rPr>
      <w:rFonts w:ascii="Arial" w:hAnsi="Arial" w:eastAsia="Arial" w:cs="Arial"/>
      <w:b/>
      <w:bCs/>
      <w:sz w:val="26"/>
      <w:szCs w:val="26"/>
    </w:rPr>
  </w:style>
  <w:style w:type="paragraph" w:styleId="723">
    <w:name w:val="Heading 5"/>
    <w:basedOn w:val="718"/>
    <w:next w:val="718"/>
    <w:link w:val="826"/>
    <w:uiPriority w:val="9"/>
    <w:unhideWhenUsed/>
    <w:qFormat/>
    <w:pPr>
      <w:keepLines/>
      <w:keepNext/>
      <w:spacing w:before="320" w:after="200"/>
      <w:outlineLvl w:val="4"/>
    </w:pPr>
    <w:rPr>
      <w:rFonts w:ascii="Arial" w:hAnsi="Arial" w:eastAsia="Arial" w:cs="Arial"/>
      <w:b/>
      <w:bCs/>
      <w:sz w:val="24"/>
      <w:szCs w:val="24"/>
    </w:rPr>
  </w:style>
  <w:style w:type="paragraph" w:styleId="724">
    <w:name w:val="Heading 6"/>
    <w:basedOn w:val="718"/>
    <w:next w:val="718"/>
    <w:link w:val="827"/>
    <w:uiPriority w:val="9"/>
    <w:unhideWhenUsed/>
    <w:qFormat/>
    <w:pPr>
      <w:keepLines/>
      <w:keepNext/>
      <w:spacing w:before="320" w:after="200"/>
      <w:outlineLvl w:val="5"/>
    </w:pPr>
    <w:rPr>
      <w:rFonts w:ascii="Arial" w:hAnsi="Arial" w:eastAsia="Arial" w:cs="Arial"/>
      <w:b/>
      <w:bCs/>
      <w:sz w:val="22"/>
    </w:rPr>
  </w:style>
  <w:style w:type="paragraph" w:styleId="725">
    <w:name w:val="Heading 7"/>
    <w:basedOn w:val="718"/>
    <w:next w:val="718"/>
    <w:link w:val="828"/>
    <w:uiPriority w:val="9"/>
    <w:unhideWhenUsed/>
    <w:qFormat/>
    <w:pPr>
      <w:keepLines/>
      <w:keepNext/>
      <w:spacing w:before="320" w:after="200"/>
      <w:outlineLvl w:val="6"/>
    </w:pPr>
    <w:rPr>
      <w:rFonts w:ascii="Arial" w:hAnsi="Arial" w:eastAsia="Arial" w:cs="Arial"/>
      <w:b/>
      <w:bCs/>
      <w:i/>
      <w:iCs/>
      <w:sz w:val="22"/>
    </w:rPr>
  </w:style>
  <w:style w:type="paragraph" w:styleId="726">
    <w:name w:val="Heading 8"/>
    <w:basedOn w:val="718"/>
    <w:next w:val="718"/>
    <w:link w:val="829"/>
    <w:uiPriority w:val="9"/>
    <w:unhideWhenUsed/>
    <w:qFormat/>
    <w:pPr>
      <w:keepLines/>
      <w:keepNext/>
      <w:spacing w:before="320" w:after="200"/>
      <w:outlineLvl w:val="7"/>
    </w:pPr>
    <w:rPr>
      <w:rFonts w:ascii="Arial" w:hAnsi="Arial" w:eastAsia="Arial" w:cs="Arial"/>
      <w:i/>
      <w:iCs/>
      <w:sz w:val="22"/>
    </w:rPr>
  </w:style>
  <w:style w:type="paragraph" w:styleId="727">
    <w:name w:val="Heading 9"/>
    <w:basedOn w:val="718"/>
    <w:next w:val="718"/>
    <w:link w:val="830"/>
    <w:uiPriority w:val="9"/>
    <w:unhideWhenUsed/>
    <w:qFormat/>
    <w:pPr>
      <w:keepLines/>
      <w:keepNext/>
      <w:spacing w:before="320" w:after="200"/>
      <w:outlineLvl w:val="8"/>
    </w:pPr>
    <w:rPr>
      <w:rFonts w:ascii="Arial" w:hAnsi="Arial" w:eastAsia="Arial" w:cs="Arial"/>
      <w:i/>
      <w:iCs/>
      <w:szCs w:val="21"/>
    </w:rPr>
  </w:style>
  <w:style w:type="character" w:styleId="728" w:default="1">
    <w:name w:val="Default Paragraph Font"/>
    <w:uiPriority w:val="1"/>
    <w:semiHidden/>
    <w:unhideWhenUsed/>
    <w:qFormat/>
  </w:style>
  <w:style w:type="table" w:styleId="729" w:default="1">
    <w:name w:val="Normal Table"/>
    <w:uiPriority w:val="99"/>
    <w:semiHidden/>
    <w:unhideWhenUsed/>
    <w:qFormat/>
    <w:tblPr>
      <w:tblCellMar>
        <w:left w:w="108" w:type="dxa"/>
        <w:top w:w="0" w:type="dxa"/>
        <w:right w:w="108" w:type="dxa"/>
        <w:bottom w:w="0" w:type="dxa"/>
      </w:tblCellMar>
    </w:tblPr>
  </w:style>
  <w:style w:type="paragraph" w:styleId="730" w:customStyle="1">
    <w:name w:val="正文首行缩进 21"/>
    <w:basedOn w:val="731"/>
    <w:next w:val="718"/>
    <w:uiPriority w:val="0"/>
    <w:qFormat/>
    <w:pPr>
      <w:ind w:firstLine="420"/>
      <w:spacing w:before="100" w:beforeAutospacing="1"/>
    </w:pPr>
    <w:rPr>
      <w:rFonts w:ascii="Times New Roman" w:hAnsi="Times New Roman" w:eastAsia="宋体"/>
      <w:sz w:val="20"/>
      <w:szCs w:val="21"/>
    </w:rPr>
  </w:style>
  <w:style w:type="paragraph" w:styleId="731" w:customStyle="1">
    <w:name w:val="正文文本缩进12"/>
    <w:basedOn w:val="718"/>
    <w:next w:val="732"/>
    <w:uiPriority w:val="0"/>
    <w:qFormat/>
    <w:pPr>
      <w:ind w:firstLine="645"/>
    </w:pPr>
    <w:rPr>
      <w:rFonts w:ascii="方正楷体_GB2312" w:eastAsia="方正楷体_GB2312"/>
      <w:sz w:val="32"/>
    </w:rPr>
  </w:style>
  <w:style w:type="paragraph" w:styleId="732" w:customStyle="1">
    <w:name w:val="寄信人地址11"/>
    <w:basedOn w:val="718"/>
    <w:uiPriority w:val="0"/>
    <w:qFormat/>
    <w:rPr>
      <w:rFonts w:ascii="Arial" w:hAnsi="Arial"/>
    </w:rPr>
  </w:style>
  <w:style w:type="paragraph" w:styleId="733">
    <w:name w:val="toc 7"/>
    <w:basedOn w:val="718"/>
    <w:next w:val="718"/>
    <w:uiPriority w:val="39"/>
    <w:unhideWhenUsed/>
    <w:qFormat/>
    <w:pPr>
      <w:ind w:left="1701"/>
      <w:spacing w:after="57"/>
    </w:pPr>
  </w:style>
  <w:style w:type="paragraph" w:styleId="734">
    <w:name w:val="table of authorities"/>
    <w:basedOn w:val="718"/>
    <w:next w:val="718"/>
    <w:uiPriority w:val="0"/>
    <w:qFormat/>
    <w:pPr>
      <w:ind w:left="420"/>
    </w:pPr>
    <w:rPr>
      <w:rFonts w:ascii="Times New Roman" w:hAnsi="Times New Roman"/>
    </w:rPr>
  </w:style>
  <w:style w:type="paragraph" w:styleId="735">
    <w:name w:val="Caption"/>
    <w:basedOn w:val="718"/>
    <w:next w:val="71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6">
    <w:name w:val="annotation text"/>
    <w:basedOn w:val="718"/>
    <w:uiPriority w:val="99"/>
    <w:semiHidden/>
    <w:unhideWhenUsed/>
    <w:qFormat/>
    <w:pPr>
      <w:jc w:val="left"/>
    </w:pPr>
  </w:style>
  <w:style w:type="paragraph" w:styleId="737">
    <w:name w:val="Body Text"/>
    <w:basedOn w:val="718"/>
    <w:uiPriority w:val="0"/>
    <w:qFormat/>
    <w:pPr>
      <w:spacing w:after="120"/>
    </w:pPr>
    <w:rPr>
      <w:szCs w:val="24"/>
    </w:rPr>
  </w:style>
  <w:style w:type="paragraph" w:styleId="738">
    <w:name w:val="Body Text Indent"/>
    <w:basedOn w:val="718"/>
    <w:next w:val="739"/>
    <w:uiPriority w:val="0"/>
    <w:qFormat/>
    <w:pPr>
      <w:ind w:left="420"/>
      <w:spacing w:after="120"/>
    </w:pPr>
    <w:rPr>
      <w:rFonts w:ascii="等线" w:hAnsi="等线" w:eastAsia="等线"/>
    </w:rPr>
  </w:style>
  <w:style w:type="paragraph" w:styleId="739">
    <w:name w:val="envelope return"/>
    <w:basedOn w:val="718"/>
    <w:uiPriority w:val="0"/>
    <w:qFormat/>
    <w:rPr>
      <w:rFonts w:ascii="Arial" w:hAnsi="Arial"/>
    </w:rPr>
  </w:style>
  <w:style w:type="paragraph" w:styleId="740">
    <w:name w:val="List Bullet 2"/>
    <w:basedOn w:val="718"/>
    <w:uiPriority w:val="99"/>
    <w:semiHidden/>
    <w:unhideWhenUsed/>
    <w:qFormat/>
    <w:pPr>
      <w:numPr>
        <w:ilvl w:val="0"/>
        <w:numId w:val="1"/>
      </w:numPr>
    </w:pPr>
  </w:style>
  <w:style w:type="paragraph" w:styleId="741">
    <w:name w:val="toc 5"/>
    <w:basedOn w:val="718"/>
    <w:next w:val="718"/>
    <w:uiPriority w:val="39"/>
    <w:unhideWhenUsed/>
    <w:qFormat/>
    <w:pPr>
      <w:ind w:left="1134"/>
      <w:spacing w:after="57"/>
    </w:pPr>
  </w:style>
  <w:style w:type="paragraph" w:styleId="742">
    <w:name w:val="toc 3"/>
    <w:basedOn w:val="718"/>
    <w:next w:val="718"/>
    <w:uiPriority w:val="39"/>
    <w:unhideWhenUsed/>
    <w:qFormat/>
    <w:pPr>
      <w:ind w:left="567"/>
      <w:spacing w:after="57"/>
    </w:pPr>
  </w:style>
  <w:style w:type="paragraph" w:styleId="743">
    <w:name w:val="Plain Text"/>
    <w:basedOn w:val="718"/>
    <w:uiPriority w:val="0"/>
    <w:qFormat/>
    <w:rPr>
      <w:rFonts w:ascii="宋体" w:hAnsi="Courier New"/>
      <w:sz w:val="20"/>
      <w:szCs w:val="21"/>
    </w:rPr>
  </w:style>
  <w:style w:type="paragraph" w:styleId="744">
    <w:name w:val="toc 8"/>
    <w:basedOn w:val="718"/>
    <w:next w:val="718"/>
    <w:uiPriority w:val="39"/>
    <w:unhideWhenUsed/>
    <w:qFormat/>
    <w:pPr>
      <w:ind w:left="1984"/>
      <w:spacing w:after="57"/>
    </w:pPr>
  </w:style>
  <w:style w:type="paragraph" w:styleId="745">
    <w:name w:val="Body Text Indent 2"/>
    <w:basedOn w:val="718"/>
    <w:uiPriority w:val="0"/>
    <w:qFormat/>
    <w:pPr>
      <w:ind w:left="640"/>
      <w:spacing w:after="120" w:line="480" w:lineRule="auto"/>
    </w:pPr>
    <w:rPr>
      <w:rFonts w:eastAsia="仿宋_GB2312"/>
      <w:sz w:val="32"/>
      <w:szCs w:val="28"/>
    </w:rPr>
  </w:style>
  <w:style w:type="paragraph" w:styleId="746">
    <w:name w:val="endnote text"/>
    <w:basedOn w:val="718"/>
    <w:link w:val="968"/>
    <w:uiPriority w:val="99"/>
    <w:semiHidden/>
    <w:unhideWhenUsed/>
    <w:qFormat/>
    <w:rPr>
      <w:sz w:val="20"/>
    </w:rPr>
  </w:style>
  <w:style w:type="paragraph" w:styleId="747">
    <w:name w:val="Footer"/>
    <w:basedOn w:val="718"/>
    <w:link w:val="841"/>
    <w:uiPriority w:val="99"/>
    <w:unhideWhenUsed/>
    <w:qFormat/>
    <w:pPr>
      <w:tabs>
        <w:tab w:val="center" w:pos="7143" w:leader="none"/>
        <w:tab w:val="right" w:pos="14287" w:leader="none"/>
      </w:tabs>
    </w:pPr>
  </w:style>
  <w:style w:type="paragraph" w:styleId="748">
    <w:name w:val="Header"/>
    <w:basedOn w:val="718"/>
    <w:link w:val="839"/>
    <w:uiPriority w:val="99"/>
    <w:unhideWhenUsed/>
    <w:qFormat/>
    <w:pPr>
      <w:tabs>
        <w:tab w:val="center" w:pos="7143" w:leader="none"/>
        <w:tab w:val="right" w:pos="14287" w:leader="none"/>
      </w:tabs>
    </w:pPr>
  </w:style>
  <w:style w:type="paragraph" w:styleId="749">
    <w:name w:val="toc 1"/>
    <w:basedOn w:val="718"/>
    <w:next w:val="718"/>
    <w:uiPriority w:val="39"/>
    <w:unhideWhenUsed/>
    <w:qFormat/>
    <w:pPr>
      <w:spacing w:after="57"/>
    </w:pPr>
  </w:style>
  <w:style w:type="paragraph" w:styleId="750">
    <w:name w:val="toc 4"/>
    <w:basedOn w:val="718"/>
    <w:next w:val="718"/>
    <w:uiPriority w:val="39"/>
    <w:unhideWhenUsed/>
    <w:qFormat/>
    <w:pPr>
      <w:ind w:left="850"/>
      <w:spacing w:after="57"/>
    </w:pPr>
  </w:style>
  <w:style w:type="paragraph" w:styleId="751">
    <w:name w:val="Subtitle"/>
    <w:basedOn w:val="718"/>
    <w:next w:val="718"/>
    <w:link w:val="834"/>
    <w:uiPriority w:val="11"/>
    <w:qFormat/>
    <w:pPr>
      <w:spacing w:before="200" w:after="200"/>
    </w:pPr>
    <w:rPr>
      <w:sz w:val="24"/>
      <w:szCs w:val="24"/>
    </w:rPr>
  </w:style>
  <w:style w:type="paragraph" w:styleId="752">
    <w:name w:val="footnote text"/>
    <w:basedOn w:val="718"/>
    <w:link w:val="967"/>
    <w:uiPriority w:val="99"/>
    <w:semiHidden/>
    <w:unhideWhenUsed/>
    <w:qFormat/>
    <w:pPr>
      <w:spacing w:after="40"/>
    </w:pPr>
    <w:rPr>
      <w:sz w:val="18"/>
    </w:rPr>
  </w:style>
  <w:style w:type="paragraph" w:styleId="753">
    <w:name w:val="toc 6"/>
    <w:basedOn w:val="718"/>
    <w:next w:val="718"/>
    <w:uiPriority w:val="39"/>
    <w:unhideWhenUsed/>
    <w:qFormat/>
    <w:pPr>
      <w:ind w:left="1417"/>
      <w:spacing w:after="57"/>
    </w:pPr>
  </w:style>
  <w:style w:type="paragraph" w:styleId="754">
    <w:name w:val="table of figures"/>
    <w:basedOn w:val="718"/>
    <w:next w:val="718"/>
    <w:uiPriority w:val="99"/>
    <w:unhideWhenUsed/>
    <w:qFormat/>
  </w:style>
  <w:style w:type="paragraph" w:styleId="755">
    <w:name w:val="toc 2"/>
    <w:basedOn w:val="718"/>
    <w:next w:val="718"/>
    <w:uiPriority w:val="39"/>
    <w:unhideWhenUsed/>
    <w:qFormat/>
    <w:pPr>
      <w:ind w:left="283"/>
      <w:spacing w:after="57"/>
    </w:pPr>
  </w:style>
  <w:style w:type="paragraph" w:styleId="756">
    <w:name w:val="toc 9"/>
    <w:basedOn w:val="718"/>
    <w:next w:val="718"/>
    <w:uiPriority w:val="39"/>
    <w:unhideWhenUsed/>
    <w:qFormat/>
    <w:pPr>
      <w:ind w:left="2268"/>
      <w:spacing w:after="57"/>
    </w:pPr>
  </w:style>
  <w:style w:type="paragraph" w:styleId="757">
    <w:name w:val="Normal (Web)"/>
    <w:basedOn w:val="718"/>
    <w:uiPriority w:val="99"/>
    <w:semiHidden/>
    <w:unhideWhenUsed/>
    <w:qFormat/>
    <w:pPr>
      <w:jc w:val="left"/>
      <w:spacing w:beforeAutospacing="1" w:afterAutospacing="1"/>
    </w:pPr>
    <w:rPr>
      <w:sz w:val="24"/>
    </w:rPr>
  </w:style>
  <w:style w:type="paragraph" w:styleId="758">
    <w:name w:val="index 1"/>
    <w:basedOn w:val="718"/>
    <w:next w:val="718"/>
    <w:uiPriority w:val="0"/>
    <w:qFormat/>
    <w:rPr>
      <w:rFonts w:ascii="仿宋_GB2312" w:hAnsi="宋体" w:eastAsia="仿宋_GB2312" w:cs="宋体"/>
      <w:sz w:val="30"/>
      <w:szCs w:val="24"/>
      <w:lang w:val="zh-CN"/>
    </w:rPr>
  </w:style>
  <w:style w:type="paragraph" w:styleId="759">
    <w:name w:val="Title"/>
    <w:basedOn w:val="718"/>
    <w:next w:val="718"/>
    <w:link w:val="833"/>
    <w:uiPriority w:val="10"/>
    <w:qFormat/>
    <w:pPr>
      <w:contextualSpacing/>
      <w:spacing w:before="300" w:after="200"/>
    </w:pPr>
    <w:rPr>
      <w:sz w:val="48"/>
      <w:szCs w:val="48"/>
    </w:rPr>
  </w:style>
  <w:style w:type="paragraph" w:styleId="760">
    <w:name w:val="Body Text First Indent"/>
    <w:basedOn w:val="737"/>
    <w:uiPriority w:val="99"/>
    <w:unhideWhenUsed/>
    <w:qFormat/>
    <w:pPr>
      <w:ind w:firstLine="426"/>
      <w:spacing w:line="400" w:lineRule="atLeast"/>
    </w:pPr>
    <w:rPr>
      <w:sz w:val="24"/>
      <w:szCs w:val="20"/>
    </w:rPr>
  </w:style>
  <w:style w:type="table" w:styleId="76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Strong"/>
    <w:basedOn w:val="728"/>
    <w:uiPriority w:val="0"/>
    <w:qFormat/>
    <w:rPr>
      <w:b/>
    </w:rPr>
  </w:style>
  <w:style w:type="character" w:styleId="763">
    <w:name w:val="endnote reference"/>
    <w:uiPriority w:val="99"/>
    <w:semiHidden/>
    <w:unhideWhenUsed/>
    <w:qFormat/>
    <w:rPr>
      <w:vertAlign w:val="superscript"/>
    </w:rPr>
  </w:style>
  <w:style w:type="character" w:styleId="764">
    <w:name w:val="Emphasis"/>
    <w:basedOn w:val="728"/>
    <w:uiPriority w:val="20"/>
    <w:qFormat/>
    <w:rPr>
      <w:i/>
    </w:rPr>
  </w:style>
  <w:style w:type="character" w:styleId="765">
    <w:name w:val="Hyperlink"/>
    <w:uiPriority w:val="99"/>
    <w:unhideWhenUsed/>
    <w:qFormat/>
    <w:rPr>
      <w:color w:val="0000ff" w:themeColor="hyperlink"/>
      <w:u w:val="single"/>
      <w14:textFill>
        <w14:solidFill>
          <w14:schemeClr w14:val="hlink"/>
        </w14:solidFill>
      </w14:textFill>
    </w:rPr>
  </w:style>
  <w:style w:type="character" w:styleId="766">
    <w:name w:val="footnote reference"/>
    <w:uiPriority w:val="99"/>
    <w:unhideWhenUsed/>
    <w:qFormat/>
    <w:rPr>
      <w:vertAlign w:val="superscript"/>
    </w:rPr>
  </w:style>
  <w:style w:type="paragraph" w:styleId="767"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768" w:customStyle="1">
    <w:name w:val="正文（缩进）"/>
    <w:basedOn w:val="718"/>
    <w:next w:val="769"/>
    <w:uiPriority w:val="0"/>
    <w:qFormat/>
    <w:pPr>
      <w:ind w:firstLine="480"/>
      <w:spacing w:before="156" w:after="156"/>
    </w:pPr>
  </w:style>
  <w:style w:type="paragraph" w:styleId="769" w:customStyle="1">
    <w:name w:val="Char Char Char Char Char Char Char Char Char"/>
    <w:basedOn w:val="718"/>
    <w:next w:val="770"/>
    <w:uiPriority w:val="99"/>
    <w:qFormat/>
    <w:pPr>
      <w:ind w:left="360" w:firstLine="5784"/>
    </w:pPr>
  </w:style>
  <w:style w:type="paragraph" w:styleId="770" w:customStyle="1">
    <w:name w:val="正文文本 21"/>
    <w:basedOn w:val="718"/>
    <w:next w:val="771"/>
    <w:uiPriority w:val="0"/>
    <w:qFormat/>
    <w:pPr>
      <w:spacing w:after="120" w:line="480" w:lineRule="auto"/>
    </w:pPr>
  </w:style>
  <w:style w:type="paragraph" w:styleId="771" w:customStyle="1">
    <w:name w:val="默认段落字体 Para Char Char Char Char Char Char Char"/>
    <w:basedOn w:val="718"/>
    <w:next w:val="772"/>
    <w:uiPriority w:val="99"/>
    <w:qFormat/>
    <w:pPr>
      <w:ind w:firstLine="200"/>
    </w:pPr>
    <w:rPr>
      <w:rFonts w:cs="Arial"/>
    </w:rPr>
  </w:style>
  <w:style w:type="paragraph" w:styleId="772" w:customStyle="1">
    <w:name w:val="样式 首行缩进:  2 字符"/>
    <w:basedOn w:val="718"/>
    <w:next w:val="773"/>
    <w:uiPriority w:val="99"/>
    <w:qFormat/>
    <w:pPr>
      <w:ind w:left="480" w:firstLine="5856"/>
      <w:spacing w:line="360" w:lineRule="auto"/>
    </w:pPr>
  </w:style>
  <w:style w:type="paragraph" w:styleId="773" w:customStyle="1">
    <w:name w:val="样式 段后: 0.25 行"/>
    <w:basedOn w:val="718"/>
    <w:next w:val="774"/>
    <w:uiPriority w:val="99"/>
    <w:qFormat/>
    <w:pPr>
      <w:ind w:left="420" w:firstLine="5796"/>
      <w:spacing w:line="300" w:lineRule="auto"/>
      <w:widowControl/>
    </w:pPr>
  </w:style>
  <w:style w:type="paragraph" w:styleId="774" w:customStyle="1">
    <w:name w:val="正文 New New New New New New New New New New New New New New"/>
    <w:next w:val="756"/>
    <w:uiPriority w:val="99"/>
    <w:qFormat/>
    <w:pPr>
      <w:ind w:firstLine="2048"/>
      <w:jc w:val="both"/>
      <w:widowControl w:val="off"/>
    </w:pPr>
    <w:rPr>
      <w:rFonts w:hint="default" w:ascii="Times New Roman" w:hAnsi="Times New Roman" w:eastAsia="宋体" w:cs="Times New Roman"/>
      <w:lang w:val="en-US" w:eastAsia="zh-CN" w:bidi="ar-SA"/>
    </w:rPr>
  </w:style>
  <w:style w:type="paragraph" w:styleId="775" w:customStyle="1">
    <w:name w:val="正文1"/>
    <w:basedOn w:val="718"/>
    <w:next w:val="776"/>
    <w:uiPriority w:val="0"/>
    <w:qFormat/>
    <w:pPr>
      <w:jc w:val="left"/>
      <w:spacing w:line="360" w:lineRule="atLeast"/>
    </w:pPr>
    <w:rPr>
      <w:rFonts w:ascii="宋体" w:cs="Arial"/>
      <w:sz w:val="24"/>
      <w:szCs w:val="20"/>
    </w:rPr>
  </w:style>
  <w:style w:type="paragraph" w:styleId="776" w:customStyle="1">
    <w:name w:val="正文文本1"/>
    <w:basedOn w:val="775"/>
    <w:next w:val="777"/>
    <w:uiPriority w:val="0"/>
    <w:qFormat/>
    <w:pPr>
      <w:spacing w:after="120"/>
    </w:pPr>
    <w:rPr>
      <w:lang w:eastAsia="en-US"/>
    </w:rPr>
  </w:style>
  <w:style w:type="paragraph" w:styleId="777" w:customStyle="1">
    <w:name w:val="一级条标题"/>
    <w:basedOn w:val="778"/>
    <w:next w:val="77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8" w:customStyle="1">
    <w:name w:val="章标题"/>
    <w:next w:val="718"/>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79" w:customStyle="1">
    <w:name w:val="段"/>
    <w:basedOn w:val="775"/>
    <w:next w:val="718"/>
    <w:uiPriority w:val="0"/>
    <w:qFormat/>
    <w:pPr>
      <w:ind w:firstLine="200"/>
      <w:widowControl/>
    </w:pPr>
    <w:rPr>
      <w:sz w:val="20"/>
    </w:rPr>
  </w:style>
  <w:style w:type="paragraph" w:styleId="780" w:customStyle="1">
    <w:name w:val="远大正文"/>
    <w:basedOn w:val="718"/>
    <w:uiPriority w:val="0"/>
    <w:qFormat/>
    <w:pPr>
      <w:ind w:firstLine="0"/>
      <w:jc w:val="center"/>
      <w:spacing w:line="360" w:lineRule="auto"/>
    </w:pPr>
    <w:rPr>
      <w:rFonts w:ascii="宋体" w:hAnsi="宋体" w:cs="Times New Roman"/>
    </w:rPr>
  </w:style>
  <w:style w:type="paragraph" w:styleId="781" w:customStyle="1">
    <w:name w:val="普通正文"/>
    <w:basedOn w:val="718"/>
    <w:uiPriority w:val="0"/>
    <w:qFormat/>
    <w:pPr>
      <w:ind w:firstLine="480"/>
      <w:jc w:val="left"/>
      <w:spacing w:before="120" w:after="120" w:line="360" w:lineRule="auto"/>
    </w:pPr>
    <w:rPr>
      <w:rFonts w:ascii="Arial" w:hAnsi="Arial"/>
      <w:sz w:val="24"/>
      <w:szCs w:val="24"/>
    </w:rPr>
  </w:style>
  <w:style w:type="paragraph" w:styleId="782" w:customStyle="1">
    <w:name w:val="标题1"/>
    <w:basedOn w:val="718"/>
    <w:next w:val="718"/>
    <w:uiPriority w:val="0"/>
    <w:qFormat/>
    <w:pPr>
      <w:jc w:val="center"/>
      <w:spacing w:before="240" w:after="60" w:line="360" w:lineRule="auto"/>
      <w:outlineLvl w:val="0"/>
    </w:pPr>
    <w:rPr>
      <w:rFonts w:ascii="宋体" w:hAnsi="宋体"/>
      <w:b/>
      <w:bCs/>
      <w:sz w:val="32"/>
      <w:szCs w:val="32"/>
    </w:rPr>
  </w:style>
  <w:style w:type="character" w:styleId="783" w:customStyle="1">
    <w:name w:val="Heading 1 Char"/>
    <w:basedOn w:val="728"/>
    <w:uiPriority w:val="9"/>
    <w:qFormat/>
    <w:rPr>
      <w:rFonts w:ascii="Arial" w:hAnsi="Arial" w:eastAsia="Arial" w:cs="Arial"/>
      <w:sz w:val="40"/>
      <w:szCs w:val="40"/>
    </w:rPr>
  </w:style>
  <w:style w:type="character" w:styleId="784" w:customStyle="1">
    <w:name w:val="Heading 2 Char"/>
    <w:basedOn w:val="728"/>
    <w:uiPriority w:val="9"/>
    <w:qFormat/>
    <w:rPr>
      <w:rFonts w:ascii="Arial" w:hAnsi="Arial" w:eastAsia="Arial" w:cs="Arial"/>
      <w:sz w:val="34"/>
    </w:rPr>
  </w:style>
  <w:style w:type="character" w:styleId="785" w:customStyle="1">
    <w:name w:val="Heading 3 Char"/>
    <w:basedOn w:val="728"/>
    <w:uiPriority w:val="9"/>
    <w:qFormat/>
    <w:rPr>
      <w:rFonts w:ascii="Arial" w:hAnsi="Arial" w:eastAsia="Arial" w:cs="Arial"/>
      <w:sz w:val="30"/>
      <w:szCs w:val="30"/>
    </w:rPr>
  </w:style>
  <w:style w:type="character" w:styleId="786" w:customStyle="1">
    <w:name w:val="Heading 4 Char"/>
    <w:basedOn w:val="728"/>
    <w:uiPriority w:val="9"/>
    <w:qFormat/>
    <w:rPr>
      <w:rFonts w:ascii="Arial" w:hAnsi="Arial" w:eastAsia="Arial" w:cs="Arial"/>
      <w:b/>
      <w:bCs/>
      <w:sz w:val="26"/>
      <w:szCs w:val="26"/>
    </w:rPr>
  </w:style>
  <w:style w:type="character" w:styleId="787" w:customStyle="1">
    <w:name w:val="Heading 5 Char"/>
    <w:basedOn w:val="728"/>
    <w:uiPriority w:val="9"/>
    <w:qFormat/>
    <w:rPr>
      <w:rFonts w:ascii="Arial" w:hAnsi="Arial" w:eastAsia="Arial" w:cs="Arial"/>
      <w:b/>
      <w:bCs/>
      <w:sz w:val="24"/>
      <w:szCs w:val="24"/>
    </w:rPr>
  </w:style>
  <w:style w:type="character" w:styleId="788" w:customStyle="1">
    <w:name w:val="Heading 6 Char"/>
    <w:basedOn w:val="728"/>
    <w:uiPriority w:val="9"/>
    <w:qFormat/>
    <w:rPr>
      <w:rFonts w:ascii="Arial" w:hAnsi="Arial" w:eastAsia="Arial" w:cs="Arial"/>
      <w:b/>
      <w:bCs/>
      <w:sz w:val="22"/>
      <w:szCs w:val="22"/>
    </w:rPr>
  </w:style>
  <w:style w:type="character" w:styleId="789" w:customStyle="1">
    <w:name w:val="Heading 7 Char"/>
    <w:basedOn w:val="728"/>
    <w:uiPriority w:val="9"/>
    <w:qFormat/>
    <w:rPr>
      <w:rFonts w:ascii="Arial" w:hAnsi="Arial" w:eastAsia="Arial" w:cs="Arial"/>
      <w:b/>
      <w:bCs/>
      <w:i/>
      <w:iCs/>
      <w:sz w:val="22"/>
      <w:szCs w:val="22"/>
    </w:rPr>
  </w:style>
  <w:style w:type="character" w:styleId="790" w:customStyle="1">
    <w:name w:val="Heading 8 Char"/>
    <w:basedOn w:val="728"/>
    <w:uiPriority w:val="9"/>
    <w:qFormat/>
    <w:rPr>
      <w:rFonts w:ascii="Arial" w:hAnsi="Arial" w:eastAsia="Arial" w:cs="Arial"/>
      <w:i/>
      <w:iCs/>
      <w:sz w:val="22"/>
      <w:szCs w:val="22"/>
    </w:rPr>
  </w:style>
  <w:style w:type="character" w:styleId="791" w:customStyle="1">
    <w:name w:val="Heading 9 Char"/>
    <w:basedOn w:val="728"/>
    <w:uiPriority w:val="9"/>
    <w:qFormat/>
    <w:rPr>
      <w:rFonts w:ascii="Arial" w:hAnsi="Arial" w:eastAsia="Arial" w:cs="Arial"/>
      <w:i/>
      <w:iCs/>
      <w:sz w:val="21"/>
      <w:szCs w:val="21"/>
    </w:rPr>
  </w:style>
  <w:style w:type="character" w:styleId="792" w:customStyle="1">
    <w:name w:val="Title Char"/>
    <w:basedOn w:val="728"/>
    <w:uiPriority w:val="10"/>
    <w:qFormat/>
    <w:rPr>
      <w:sz w:val="48"/>
      <w:szCs w:val="48"/>
    </w:rPr>
  </w:style>
  <w:style w:type="character" w:styleId="793" w:customStyle="1">
    <w:name w:val="Subtitle Char"/>
    <w:basedOn w:val="728"/>
    <w:uiPriority w:val="11"/>
    <w:qFormat/>
    <w:rPr>
      <w:sz w:val="24"/>
      <w:szCs w:val="24"/>
    </w:rPr>
  </w:style>
  <w:style w:type="character" w:styleId="794" w:customStyle="1">
    <w:name w:val="Quote Char"/>
    <w:uiPriority w:val="29"/>
    <w:qFormat/>
    <w:rPr>
      <w:i/>
    </w:rPr>
  </w:style>
  <w:style w:type="character" w:styleId="795" w:customStyle="1">
    <w:name w:val="Intense Quote Char"/>
    <w:uiPriority w:val="30"/>
    <w:qFormat/>
    <w:rPr>
      <w:i/>
    </w:rPr>
  </w:style>
  <w:style w:type="character" w:styleId="796" w:customStyle="1">
    <w:name w:val="Header Char"/>
    <w:basedOn w:val="728"/>
    <w:uiPriority w:val="99"/>
    <w:qFormat/>
  </w:style>
  <w:style w:type="character" w:styleId="797" w:customStyle="1">
    <w:name w:val="Caption Char"/>
    <w:uiPriority w:val="99"/>
    <w:qFormat/>
  </w:style>
  <w:style w:type="table" w:styleId="798" w:customStyle="1">
    <w:name w:val="Plain Table 1"/>
    <w:basedOn w:val="72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2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2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2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2"/>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5" w:customStyle="1">
    <w:name w:val="Grid Table 3"/>
    <w:basedOn w:val="72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4"/>
    <w:basedOn w:val="72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customStyle="1">
    <w:name w:val="Grid Table 5 Dark"/>
    <w:basedOn w:val="72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8" w:customStyle="1">
    <w:name w:val="Grid Table 6 Colorful"/>
    <w:basedOn w:val="72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9" w:customStyle="1">
    <w:name w:val="Grid Table 7 Colorful"/>
    <w:basedOn w:val="72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List Table 1 Light"/>
    <w:basedOn w:val="72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2"/>
    <w:basedOn w:val="72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3"/>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List Table 4"/>
    <w:basedOn w:val="72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5 Dark"/>
    <w:basedOn w:val="72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5" w:customStyle="1">
    <w:name w:val="List Table 6 Colorful"/>
    <w:basedOn w:val="72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6" w:customStyle="1">
    <w:name w:val="List Table 7 Colorful"/>
    <w:basedOn w:val="72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17" w:customStyle="1">
    <w:name w:val="Footnote Text Char"/>
    <w:uiPriority w:val="99"/>
    <w:qFormat/>
    <w:rPr>
      <w:sz w:val="18"/>
    </w:rPr>
  </w:style>
  <w:style w:type="character" w:styleId="818" w:customStyle="1">
    <w:name w:val="Endnote Text Char"/>
    <w:uiPriority w:val="99"/>
    <w:qFormat/>
    <w:rPr>
      <w:sz w:val="20"/>
    </w:rPr>
  </w:style>
  <w:style w:type="paragraph" w:styleId="819" w:customStyle="1">
    <w:name w:val="TOC Heading"/>
    <w:uiPriority w:val="39"/>
    <w:unhideWhenUsed/>
    <w:qFormat/>
    <w:rPr>
      <w:rFonts w:hint="default" w:ascii="Times New Roman" w:hAnsi="Times New Roman" w:eastAsia="宋体" w:cs="Times New Roman"/>
    </w:rPr>
  </w:style>
  <w:style w:type="paragraph" w:styleId="820" w:customStyle="1">
    <w:name w:val="Default"/>
    <w:next w:val="718"/>
    <w:uiPriority w:val="0"/>
    <w:qFormat/>
    <w:pPr>
      <w:widowControl w:val="off"/>
    </w:pPr>
    <w:rPr>
      <w:rFonts w:hint="default" w:ascii="黑体" w:hAnsi="Times New Roman" w:eastAsia="黑体" w:cs="Times New Roman"/>
      <w:lang w:val="en-US" w:eastAsia="zh-CN" w:bidi="ar-SA"/>
    </w:rPr>
  </w:style>
  <w:style w:type="paragraph" w:styleId="821" w:customStyle="1">
    <w:name w:val="首行缩进"/>
    <w:basedOn w:val="718"/>
    <w:uiPriority w:val="0"/>
    <w:qFormat/>
    <w:pPr>
      <w:ind w:firstLine="420"/>
      <w:spacing w:line="360" w:lineRule="auto"/>
    </w:pPr>
  </w:style>
  <w:style w:type="character" w:styleId="822" w:customStyle="1">
    <w:name w:val="标题 1 字符"/>
    <w:link w:val="719"/>
    <w:uiPriority w:val="9"/>
    <w:qFormat/>
    <w:rPr>
      <w:rFonts w:ascii="Arial" w:hAnsi="Arial" w:eastAsia="宋体" w:cs="Arial"/>
      <w:b/>
      <w:sz w:val="30"/>
      <w:szCs w:val="40"/>
    </w:rPr>
  </w:style>
  <w:style w:type="character" w:styleId="823" w:customStyle="1">
    <w:name w:val="标题 2 字符"/>
    <w:link w:val="720"/>
    <w:uiPriority w:val="9"/>
    <w:qFormat/>
    <w:rPr>
      <w:rFonts w:ascii="Arial" w:hAnsi="Arial" w:eastAsia="Arial" w:cs="Arial"/>
      <w:sz w:val="34"/>
    </w:rPr>
  </w:style>
  <w:style w:type="character" w:styleId="824" w:customStyle="1">
    <w:name w:val="标题 3 字符"/>
    <w:link w:val="721"/>
    <w:uiPriority w:val="9"/>
    <w:qFormat/>
    <w:rPr>
      <w:rFonts w:ascii="Arial" w:hAnsi="Arial" w:eastAsia="Arial" w:cs="Arial"/>
      <w:sz w:val="30"/>
      <w:szCs w:val="30"/>
    </w:rPr>
  </w:style>
  <w:style w:type="character" w:styleId="825" w:customStyle="1">
    <w:name w:val="标题 4 字符"/>
    <w:link w:val="722"/>
    <w:uiPriority w:val="9"/>
    <w:qFormat/>
    <w:rPr>
      <w:rFonts w:ascii="Arial" w:hAnsi="Arial" w:eastAsia="Arial" w:cs="Arial"/>
      <w:b/>
      <w:bCs/>
      <w:sz w:val="26"/>
      <w:szCs w:val="26"/>
    </w:rPr>
  </w:style>
  <w:style w:type="character" w:styleId="826" w:customStyle="1">
    <w:name w:val="标题 5 字符"/>
    <w:link w:val="723"/>
    <w:uiPriority w:val="9"/>
    <w:qFormat/>
    <w:rPr>
      <w:rFonts w:ascii="Arial" w:hAnsi="Arial" w:eastAsia="Arial" w:cs="Arial"/>
      <w:b/>
      <w:bCs/>
      <w:sz w:val="24"/>
      <w:szCs w:val="24"/>
    </w:rPr>
  </w:style>
  <w:style w:type="character" w:styleId="827" w:customStyle="1">
    <w:name w:val="标题 6 字符"/>
    <w:link w:val="724"/>
    <w:uiPriority w:val="9"/>
    <w:qFormat/>
    <w:rPr>
      <w:rFonts w:ascii="Arial" w:hAnsi="Arial" w:eastAsia="Arial" w:cs="Arial"/>
      <w:b/>
      <w:bCs/>
      <w:sz w:val="22"/>
      <w:szCs w:val="22"/>
    </w:rPr>
  </w:style>
  <w:style w:type="character" w:styleId="828" w:customStyle="1">
    <w:name w:val="标题 7 字符"/>
    <w:link w:val="725"/>
    <w:uiPriority w:val="9"/>
    <w:qFormat/>
    <w:rPr>
      <w:rFonts w:ascii="Arial" w:hAnsi="Arial" w:eastAsia="Arial" w:cs="Arial"/>
      <w:b/>
      <w:bCs/>
      <w:i/>
      <w:iCs/>
      <w:sz w:val="22"/>
      <w:szCs w:val="22"/>
    </w:rPr>
  </w:style>
  <w:style w:type="character" w:styleId="829" w:customStyle="1">
    <w:name w:val="标题 8 字符"/>
    <w:link w:val="726"/>
    <w:uiPriority w:val="9"/>
    <w:qFormat/>
    <w:rPr>
      <w:rFonts w:ascii="Arial" w:hAnsi="Arial" w:eastAsia="Arial" w:cs="Arial"/>
      <w:i/>
      <w:iCs/>
      <w:sz w:val="22"/>
      <w:szCs w:val="22"/>
    </w:rPr>
  </w:style>
  <w:style w:type="character" w:styleId="830" w:customStyle="1">
    <w:name w:val="标题 9 字符"/>
    <w:link w:val="727"/>
    <w:uiPriority w:val="9"/>
    <w:qFormat/>
    <w:rPr>
      <w:rFonts w:ascii="Arial" w:hAnsi="Arial" w:eastAsia="Arial" w:cs="Arial"/>
      <w:i/>
      <w:iCs/>
      <w:sz w:val="21"/>
      <w:szCs w:val="21"/>
    </w:rPr>
  </w:style>
  <w:style w:type="paragraph" w:styleId="831">
    <w:name w:val="List Paragraph"/>
    <w:basedOn w:val="718"/>
    <w:uiPriority w:val="34"/>
    <w:qFormat/>
    <w:pPr>
      <w:contextualSpacing/>
      <w:ind w:left="720"/>
    </w:pPr>
  </w:style>
  <w:style w:type="paragraph" w:styleId="832">
    <w:name w:val="No Spacing"/>
    <w:uiPriority w:val="1"/>
    <w:qFormat/>
    <w:rPr>
      <w:rFonts w:hint="default" w:ascii="Times New Roman" w:hAnsi="Times New Roman" w:eastAsia="宋体" w:cs="Times New Roman"/>
      <w:lang w:val="en-US" w:eastAsia="zh-CN" w:bidi="ar-SA"/>
    </w:rPr>
  </w:style>
  <w:style w:type="character" w:styleId="833" w:customStyle="1">
    <w:name w:val="标题 字符"/>
    <w:link w:val="759"/>
    <w:uiPriority w:val="10"/>
    <w:qFormat/>
    <w:rPr>
      <w:sz w:val="48"/>
      <w:szCs w:val="48"/>
    </w:rPr>
  </w:style>
  <w:style w:type="character" w:styleId="834" w:customStyle="1">
    <w:name w:val="副标题 字符"/>
    <w:link w:val="751"/>
    <w:uiPriority w:val="11"/>
    <w:qFormat/>
    <w:rPr>
      <w:sz w:val="24"/>
      <w:szCs w:val="24"/>
    </w:rPr>
  </w:style>
  <w:style w:type="paragraph" w:styleId="835">
    <w:name w:val="Quote"/>
    <w:basedOn w:val="718"/>
    <w:next w:val="718"/>
    <w:link w:val="836"/>
    <w:uiPriority w:val="29"/>
    <w:qFormat/>
    <w:pPr>
      <w:ind w:left="720" w:right="720"/>
    </w:pPr>
    <w:rPr>
      <w:i/>
    </w:rPr>
  </w:style>
  <w:style w:type="character" w:styleId="836" w:customStyle="1">
    <w:name w:val="引用 字符"/>
    <w:link w:val="835"/>
    <w:uiPriority w:val="29"/>
    <w:qFormat/>
    <w:rPr>
      <w:i/>
    </w:rPr>
  </w:style>
  <w:style w:type="paragraph" w:styleId="837">
    <w:name w:val="Intense Quote"/>
    <w:basedOn w:val="718"/>
    <w:next w:val="718"/>
    <w:link w:val="8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customStyle="1">
    <w:name w:val="明显引用 字符"/>
    <w:link w:val="837"/>
    <w:uiPriority w:val="30"/>
    <w:qFormat/>
    <w:rPr>
      <w:i/>
    </w:rPr>
  </w:style>
  <w:style w:type="character" w:styleId="839" w:customStyle="1">
    <w:name w:val="页眉 字符"/>
    <w:link w:val="748"/>
    <w:uiPriority w:val="99"/>
    <w:qFormat/>
  </w:style>
  <w:style w:type="character" w:styleId="840" w:customStyle="1">
    <w:name w:val="Footer Char"/>
    <w:uiPriority w:val="99"/>
    <w:qFormat/>
  </w:style>
  <w:style w:type="character" w:styleId="841" w:customStyle="1">
    <w:name w:val="页脚 字符"/>
    <w:link w:val="747"/>
    <w:uiPriority w:val="99"/>
    <w:qFormat/>
  </w:style>
  <w:style w:type="table" w:styleId="84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7" w:customStyle="1">
    <w:name w:val="脚注文本 字符"/>
    <w:link w:val="752"/>
    <w:uiPriority w:val="99"/>
    <w:qFormat/>
    <w:rPr>
      <w:sz w:val="18"/>
    </w:rPr>
  </w:style>
  <w:style w:type="character" w:styleId="968" w:customStyle="1">
    <w:name w:val="尾注文本 字符"/>
    <w:link w:val="746"/>
    <w:uiPriority w:val="99"/>
    <w:qFormat/>
    <w:rPr>
      <w:sz w:val="20"/>
    </w:rPr>
  </w:style>
  <w:style w:type="paragraph" w:styleId="969" w:customStyle="1">
    <w:name w:val="TOC 标题1"/>
    <w:uiPriority w:val="39"/>
    <w:unhideWhenUsed/>
    <w:qFormat/>
    <w:rPr>
      <w:rFonts w:hint="default" w:ascii="Times New Roman" w:hAnsi="Times New Roman" w:eastAsia="宋体" w:cs="Times New Roman"/>
      <w:lang w:val="en-US" w:eastAsia="zh-CN" w:bidi="ar-SA"/>
    </w:rPr>
  </w:style>
  <w:style w:type="paragraph" w:styleId="970" w:customStyle="1">
    <w:name w:val="标题 11"/>
    <w:basedOn w:val="718"/>
    <w:next w:val="718"/>
    <w:uiPriority w:val="9"/>
    <w:qFormat/>
    <w:pPr>
      <w:keepLines/>
      <w:keepNext/>
      <w:spacing w:before="340" w:after="330" w:line="578" w:lineRule="auto"/>
      <w:outlineLvl w:val="0"/>
    </w:pPr>
    <w:rPr>
      <w:b/>
      <w:bCs/>
      <w:sz w:val="44"/>
      <w:szCs w:val="44"/>
    </w:rPr>
  </w:style>
  <w:style w:type="paragraph" w:styleId="971" w:customStyle="1">
    <w:name w:val="标题 21"/>
    <w:basedOn w:val="718"/>
    <w:next w:val="71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2" w:customStyle="1">
    <w:name w:val="标题 31"/>
    <w:basedOn w:val="718"/>
    <w:next w:val="718"/>
    <w:uiPriority w:val="0"/>
    <w:qFormat/>
    <w:pPr>
      <w:keepLines/>
      <w:keepNext/>
      <w:spacing w:before="260" w:after="260" w:line="416" w:lineRule="auto"/>
      <w:outlineLvl w:val="2"/>
    </w:pPr>
    <w:rPr>
      <w:b/>
      <w:bCs/>
      <w:sz w:val="32"/>
      <w:szCs w:val="32"/>
    </w:rPr>
  </w:style>
  <w:style w:type="character" w:styleId="973" w:customStyle="1">
    <w:name w:val="默认段落字体1"/>
    <w:uiPriority w:val="1"/>
    <w:unhideWhenUsed/>
    <w:qFormat/>
  </w:style>
  <w:style w:type="table" w:styleId="974" w:customStyle="1">
    <w:name w:val="普通表格1"/>
    <w:uiPriority w:val="99"/>
    <w:unhideWhenUsed/>
    <w:qFormat/>
    <w:tblPr>
      <w:tblCellMar>
        <w:left w:w="0" w:type="dxa"/>
        <w:top w:w="0" w:type="dxa"/>
        <w:right w:w="0" w:type="dxa"/>
        <w:bottom w:w="0" w:type="dxa"/>
      </w:tblCellMar>
    </w:tblPr>
  </w:style>
  <w:style w:type="paragraph" w:styleId="975" w:customStyle="1">
    <w:name w:val="正文文本缩进1"/>
    <w:basedOn w:val="718"/>
    <w:next w:val="976"/>
    <w:uiPriority w:val="0"/>
    <w:qFormat/>
    <w:pPr>
      <w:ind w:left="420"/>
      <w:spacing w:after="120"/>
    </w:pPr>
    <w:rPr>
      <w:rFonts w:ascii="等线" w:hAnsi="等线" w:eastAsia="等线"/>
    </w:rPr>
  </w:style>
  <w:style w:type="paragraph" w:styleId="976" w:customStyle="1">
    <w:name w:val="寄信人地址1"/>
    <w:basedOn w:val="718"/>
    <w:uiPriority w:val="99"/>
    <w:unhideWhenUsed/>
    <w:qFormat/>
    <w:rPr>
      <w:rFonts w:ascii="Arial" w:hAnsi="Arial"/>
    </w:rPr>
  </w:style>
  <w:style w:type="paragraph" w:styleId="977" w:customStyle="1">
    <w:name w:val="正文缩进1"/>
    <w:basedOn w:val="718"/>
    <w:uiPriority w:val="0"/>
    <w:unhideWhenUsed/>
    <w:qFormat/>
    <w:pPr>
      <w:ind w:firstLine="420"/>
    </w:pPr>
  </w:style>
  <w:style w:type="paragraph" w:styleId="978" w:customStyle="1">
    <w:name w:val="批注文字1"/>
    <w:basedOn w:val="718"/>
    <w:link w:val="979"/>
    <w:uiPriority w:val="0"/>
    <w:qFormat/>
    <w:pPr>
      <w:jc w:val="left"/>
    </w:pPr>
  </w:style>
  <w:style w:type="character" w:styleId="979" w:customStyle="1">
    <w:name w:val="批注文字 Char"/>
    <w:link w:val="978"/>
    <w:uiPriority w:val="0"/>
    <w:qFormat/>
    <w:rPr>
      <w:rFonts w:ascii="Calibri" w:hAnsi="Calibri"/>
      <w:sz w:val="21"/>
      <w:szCs w:val="22"/>
    </w:rPr>
  </w:style>
  <w:style w:type="paragraph" w:styleId="980" w:customStyle="1">
    <w:name w:val="正文文本11"/>
    <w:basedOn w:val="718"/>
    <w:next w:val="782"/>
    <w:uiPriority w:val="0"/>
    <w:qFormat/>
    <w:rPr>
      <w:rFonts w:ascii="楷体_GB2312" w:hAnsi="Arial" w:eastAsia="楷体_GB2312"/>
      <w:sz w:val="28"/>
      <w:szCs w:val="28"/>
    </w:rPr>
  </w:style>
  <w:style w:type="paragraph" w:styleId="981" w:customStyle="1">
    <w:name w:val="纯文本1"/>
    <w:basedOn w:val="718"/>
    <w:uiPriority w:val="99"/>
    <w:qFormat/>
    <w:rPr>
      <w:rFonts w:ascii="宋体" w:hAnsi="Courier New"/>
      <w:sz w:val="20"/>
      <w:szCs w:val="21"/>
    </w:rPr>
  </w:style>
  <w:style w:type="paragraph" w:styleId="982" w:customStyle="1">
    <w:name w:val="正文文本缩进 21"/>
    <w:basedOn w:val="718"/>
    <w:uiPriority w:val="0"/>
    <w:qFormat/>
    <w:pPr>
      <w:ind w:left="640"/>
      <w:spacing w:after="120" w:line="480" w:lineRule="auto"/>
    </w:pPr>
    <w:rPr>
      <w:rFonts w:eastAsia="仿宋_GB2312"/>
      <w:sz w:val="32"/>
      <w:szCs w:val="28"/>
    </w:rPr>
  </w:style>
  <w:style w:type="paragraph" w:styleId="983" w:customStyle="1">
    <w:name w:val="批注框文本1"/>
    <w:basedOn w:val="718"/>
    <w:link w:val="984"/>
    <w:uiPriority w:val="0"/>
    <w:qFormat/>
    <w:rPr>
      <w:sz w:val="18"/>
      <w:szCs w:val="18"/>
    </w:rPr>
  </w:style>
  <w:style w:type="character" w:styleId="984" w:customStyle="1">
    <w:name w:val="批注框文本 Char"/>
    <w:link w:val="983"/>
    <w:uiPriority w:val="0"/>
    <w:qFormat/>
    <w:rPr>
      <w:sz w:val="18"/>
      <w:szCs w:val="18"/>
    </w:rPr>
  </w:style>
  <w:style w:type="paragraph" w:styleId="985" w:customStyle="1">
    <w:name w:val="页脚1"/>
    <w:basedOn w:val="718"/>
    <w:uiPriority w:val="99"/>
    <w:unhideWhenUsed/>
    <w:qFormat/>
    <w:pPr>
      <w:jc w:val="left"/>
      <w:tabs>
        <w:tab w:val="center" w:pos="4153" w:leader="none"/>
        <w:tab w:val="right" w:pos="8306" w:leader="none"/>
      </w:tabs>
    </w:pPr>
    <w:rPr>
      <w:sz w:val="18"/>
      <w:szCs w:val="18"/>
    </w:rPr>
  </w:style>
  <w:style w:type="paragraph" w:styleId="986" w:customStyle="1">
    <w:name w:val="页眉1"/>
    <w:basedOn w:val="71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87" w:customStyle="1">
    <w:name w:val="目录 11"/>
    <w:basedOn w:val="718"/>
    <w:next w:val="718"/>
    <w:uiPriority w:val="39"/>
    <w:unhideWhenUsed/>
    <w:qFormat/>
  </w:style>
  <w:style w:type="paragraph" w:styleId="988" w:customStyle="1">
    <w:name w:val="目录 21"/>
    <w:basedOn w:val="718"/>
    <w:next w:val="718"/>
    <w:uiPriority w:val="0"/>
    <w:qFormat/>
    <w:pPr>
      <w:ind w:left="420"/>
    </w:pPr>
  </w:style>
  <w:style w:type="paragraph" w:styleId="989" w:customStyle="1">
    <w:name w:val="信息标题1"/>
    <w:basedOn w:val="71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0" w:customStyle="1">
    <w:name w:val="普通(网站)1"/>
    <w:basedOn w:val="718"/>
    <w:uiPriority w:val="0"/>
    <w:qFormat/>
    <w:rPr>
      <w:rFonts w:ascii="Times New Roman" w:hAnsi="Times New Roman"/>
      <w:sz w:val="24"/>
    </w:rPr>
  </w:style>
  <w:style w:type="paragraph" w:styleId="991" w:customStyle="1">
    <w:name w:val="批注主题1"/>
    <w:basedOn w:val="978"/>
    <w:next w:val="978"/>
    <w:link w:val="992"/>
    <w:uiPriority w:val="0"/>
    <w:qFormat/>
    <w:rPr>
      <w:b/>
      <w:bCs/>
    </w:rPr>
  </w:style>
  <w:style w:type="character" w:styleId="992" w:customStyle="1">
    <w:name w:val="批注主题 Char"/>
    <w:link w:val="991"/>
    <w:uiPriority w:val="0"/>
    <w:qFormat/>
    <w:rPr>
      <w:rFonts w:ascii="Calibri" w:hAnsi="Calibri"/>
      <w:b/>
      <w:bCs/>
      <w:sz w:val="21"/>
      <w:szCs w:val="22"/>
    </w:rPr>
  </w:style>
  <w:style w:type="table" w:styleId="993" w:customStyle="1">
    <w:name w:val="网格型1"/>
    <w:basedOn w:val="974"/>
    <w:uiPriority w:val="0"/>
    <w:qFormat/>
    <w:pPr>
      <w:jc w:val="both"/>
      <w:widowControl w:val="off"/>
    </w:pPr>
    <w:tblPr>
      <w:tblCellMar>
        <w:left w:w="0" w:type="dxa"/>
        <w:top w:w="0" w:type="dxa"/>
        <w:right w:w="0" w:type="dxa"/>
        <w:bottom w:w="0" w:type="dxa"/>
      </w:tblCellMar>
    </w:tblPr>
  </w:style>
  <w:style w:type="character" w:styleId="994" w:customStyle="1">
    <w:name w:val="要点1"/>
    <w:uiPriority w:val="0"/>
    <w:qFormat/>
    <w:rPr>
      <w:b/>
    </w:rPr>
  </w:style>
  <w:style w:type="character" w:styleId="995" w:customStyle="1">
    <w:name w:val="强调1"/>
    <w:uiPriority w:val="0"/>
    <w:qFormat/>
    <w:rPr>
      <w:i/>
    </w:rPr>
  </w:style>
  <w:style w:type="character" w:styleId="996" w:customStyle="1">
    <w:name w:val="超链接1"/>
    <w:uiPriority w:val="0"/>
    <w:qFormat/>
    <w:rPr>
      <w:color w:val="0000ff"/>
      <w:u w:val="single"/>
    </w:rPr>
  </w:style>
  <w:style w:type="character" w:styleId="997" w:customStyle="1">
    <w:name w:val="批注引用1"/>
    <w:uiPriority w:val="0"/>
    <w:qFormat/>
    <w:rPr>
      <w:sz w:val="21"/>
      <w:szCs w:val="21"/>
    </w:rPr>
  </w:style>
  <w:style w:type="paragraph" w:styleId="998" w:customStyle="1">
    <w:name w:val="Char"/>
    <w:basedOn w:val="718"/>
    <w:uiPriority w:val="0"/>
    <w:qFormat/>
    <w:pPr>
      <w:ind w:firstLine="200"/>
      <w:tabs>
        <w:tab w:val="left" w:pos="360" w:leader="none"/>
      </w:tabs>
    </w:pPr>
    <w:rPr>
      <w:rFonts w:ascii="Times New Roman" w:hAnsi="Times New Roman"/>
      <w:sz w:val="28"/>
      <w:szCs w:val="30"/>
    </w:rPr>
  </w:style>
  <w:style w:type="paragraph" w:styleId="999" w:customStyle="1">
    <w:name w:val="Table Paragraph"/>
    <w:basedOn w:val="718"/>
    <w:uiPriority w:val="1"/>
    <w:qFormat/>
    <w:rPr>
      <w:rFonts w:ascii="Noto Sans CJK JP Regular" w:hAnsi="Noto Sans CJK JP Regular" w:eastAsia="Noto Sans CJK JP Regular" w:cs="Noto Sans CJK JP Regular"/>
    </w:rPr>
  </w:style>
  <w:style w:type="paragraph" w:styleId="1000" w:customStyle="1">
    <w:name w:val="正文（1）"/>
    <w:basedOn w:val="718"/>
    <w:uiPriority w:val="0"/>
    <w:qFormat/>
    <w:pPr>
      <w:numPr>
        <w:ilvl w:val="0"/>
        <w:numId w:val="2"/>
      </w:numPr>
      <w:ind w:firstLine="200"/>
    </w:pPr>
    <w:rPr>
      <w:szCs w:val="24"/>
    </w:rPr>
  </w:style>
  <w:style w:type="paragraph" w:styleId="1001" w:customStyle="1">
    <w:name w:val="朱-正文"/>
    <w:basedOn w:val="718"/>
    <w:uiPriority w:val="0"/>
    <w:qFormat/>
    <w:pPr>
      <w:ind w:firstLine="200"/>
    </w:pPr>
    <w:rPr>
      <w:rFonts w:ascii="Times New Roman"/>
      <w:color w:val="000000"/>
      <w:szCs w:val="24"/>
      <w:lang w:val="en-GB"/>
    </w:rPr>
  </w:style>
  <w:style w:type="paragraph" w:styleId="1002" w:customStyle="1">
    <w:name w:val="GP正文(首行缩进)"/>
    <w:basedOn w:val="718"/>
    <w:uiPriority w:val="0"/>
    <w:qFormat/>
    <w:pPr>
      <w:ind w:firstLine="480"/>
      <w:jc w:val="left"/>
    </w:pPr>
    <w:rPr>
      <w:rFonts w:ascii="Times New Roman" w:hAnsi="宋体"/>
      <w:sz w:val="24"/>
      <w:szCs w:val="24"/>
    </w:rPr>
  </w:style>
  <w:style w:type="character" w:styleId="1003" w:customStyle="1">
    <w:name w:val="font71"/>
    <w:basedOn w:val="728"/>
    <w:uiPriority w:val="0"/>
    <w:qFormat/>
    <w:rPr>
      <w:rFonts w:hint="eastAsia" w:ascii="宋体" w:hAnsi="宋体" w:eastAsia="宋体" w:cs="宋体"/>
      <w:color w:val="ff0000"/>
      <w:sz w:val="21"/>
      <w:szCs w:val="21"/>
      <w:u w:val="none"/>
    </w:rPr>
  </w:style>
  <w:style w:type="character" w:styleId="1004" w:customStyle="1">
    <w:name w:val="font41"/>
    <w:uiPriority w:val="0"/>
    <w:qFormat/>
    <w:rPr>
      <w:rFonts w:hint="eastAsia" w:ascii="宋体" w:hAnsi="宋体" w:eastAsia="宋体" w:cs="宋体"/>
      <w:color w:val="000000"/>
      <w:sz w:val="21"/>
      <w:szCs w:val="21"/>
      <w:u w:val="none"/>
    </w:rPr>
  </w:style>
  <w:style w:type="paragraph" w:styleId="1005" w:customStyle="1">
    <w:name w:val="列出段落"/>
    <w:basedOn w:val="718"/>
    <w:uiPriority w:val="0"/>
    <w:qFormat/>
    <w:pPr>
      <w:ind w:firstLine="420"/>
    </w:pPr>
  </w:style>
  <w:style w:type="paragraph" w:styleId="1006" w:customStyle="1">
    <w:name w:val="列出段落2"/>
    <w:basedOn w:val="718"/>
    <w:uiPriority w:val="34"/>
    <w:qFormat/>
    <w:pPr>
      <w:ind w:firstLine="420"/>
    </w:pPr>
    <w:rPr>
      <w:rFonts w:ascii="宋体"/>
      <w:color w:val="404040"/>
    </w:rPr>
  </w:style>
  <w:style w:type="paragraph" w:styleId="1007" w:customStyle="1">
    <w:name w:val="列表段落1"/>
    <w:basedOn w:val="718"/>
    <w:uiPriority w:val="0"/>
    <w:qFormat/>
    <w:pPr>
      <w:ind w:firstLine="200"/>
    </w:pPr>
    <w:rPr>
      <w:rFonts w:cs="宋体"/>
    </w:rPr>
  </w:style>
  <w:style w:type="character" w:styleId="1008" w:customStyle="1">
    <w:name w:val="font51"/>
    <w:uiPriority w:val="0"/>
    <w:qFormat/>
    <w:rPr>
      <w:rFonts w:hint="eastAsia" w:ascii="宋体" w:hAnsi="宋体" w:eastAsia="宋体" w:cs="宋体"/>
      <w:color w:val="000000"/>
      <w:sz w:val="24"/>
      <w:szCs w:val="24"/>
      <w:u w:val="none"/>
      <w:vertAlign w:val="subscript"/>
    </w:rPr>
  </w:style>
  <w:style w:type="character" w:styleId="1009" w:customStyle="1">
    <w:name w:val="font61"/>
    <w:basedOn w:val="728"/>
    <w:uiPriority w:val="0"/>
    <w:qFormat/>
    <w:rPr>
      <w:rFonts w:hint="eastAsia" w:ascii="宋体" w:hAnsi="宋体" w:eastAsia="宋体" w:cs="宋体"/>
      <w:color w:val="000000"/>
      <w:sz w:val="24"/>
      <w:szCs w:val="24"/>
      <w:u w:val="none"/>
    </w:rPr>
  </w:style>
  <w:style w:type="character" w:styleId="1010" w:customStyle="1">
    <w:name w:val="font01"/>
    <w:uiPriority w:val="0"/>
    <w:qFormat/>
    <w:rPr>
      <w:rFonts w:hint="eastAsia" w:ascii="宋体" w:hAnsi="宋体" w:eastAsia="宋体" w:cs="宋体"/>
      <w:color w:val="000000"/>
      <w:sz w:val="24"/>
      <w:szCs w:val="24"/>
      <w:u w:val="none"/>
    </w:rPr>
  </w:style>
  <w:style w:type="character" w:styleId="1011" w:customStyle="1">
    <w:name w:val="font81"/>
    <w:uiPriority w:val="0"/>
    <w:qFormat/>
    <w:rPr>
      <w:rFonts w:ascii="微软雅黑" w:hAnsi="微软雅黑" w:eastAsia="微软雅黑" w:cs="微软雅黑"/>
      <w:color w:val="000000"/>
      <w:sz w:val="24"/>
      <w:szCs w:val="24"/>
      <w:u w:val="none"/>
    </w:rPr>
  </w:style>
  <w:style w:type="character" w:styleId="1012" w:customStyle="1">
    <w:name w:val="font91"/>
    <w:basedOn w:val="728"/>
    <w:uiPriority w:val="0"/>
    <w:qFormat/>
    <w:rPr>
      <w:rFonts w:ascii="Segoe UI Symbol" w:hAnsi="Segoe UI Symbol" w:eastAsia="Segoe UI Symbol" w:cs="Segoe UI Symbol"/>
      <w:color w:val="000000"/>
      <w:sz w:val="24"/>
      <w:szCs w:val="24"/>
      <w:u w:val="none"/>
    </w:rPr>
  </w:style>
  <w:style w:type="character" w:styleId="1013" w:customStyle="1">
    <w:name w:val="font101"/>
    <w:uiPriority w:val="0"/>
    <w:qFormat/>
    <w:rPr>
      <w:rFonts w:ascii="Calibri" w:hAnsi="Calibri" w:cs="Calibri"/>
      <w:color w:val="000000"/>
      <w:sz w:val="24"/>
      <w:szCs w:val="24"/>
      <w:u w:val="none"/>
    </w:rPr>
  </w:style>
  <w:style w:type="paragraph" w:styleId="1014"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1015" w:customStyle="1">
    <w:name w:val="TableEmphasis"/>
    <w:basedOn w:val="718"/>
    <w:uiPriority w:val="0"/>
    <w:qFormat/>
    <w:rPr>
      <w:rFonts w:ascii="Times New Roman" w:hAnsi="Times New Roman" w:eastAsia="Times New Roman"/>
      <w:b/>
      <w:bCs/>
      <w:color w:val="3333ff"/>
      <w:sz w:val="16"/>
      <w:szCs w:val="18"/>
    </w:rPr>
  </w:style>
  <w:style w:type="paragraph" w:styleId="1016" w:customStyle="1">
    <w:name w:val="修订1"/>
    <w:uiPriority w:val="99"/>
    <w:unhideWhenUsed/>
    <w:qFormat/>
    <w:rPr>
      <w:rFonts w:hint="default" w:ascii="Calibri" w:hAnsi="Calibri" w:eastAsia="宋体" w:cs="Times New Roman"/>
      <w:sz w:val="21"/>
      <w:szCs w:val="22"/>
      <w:lang w:val="en-US" w:eastAsia="zh-CN" w:bidi="ar-SA"/>
    </w:rPr>
  </w:style>
  <w:style w:type="paragraph" w:styleId="1017" w:customStyle="1">
    <w:name w:val="修订2"/>
    <w:uiPriority w:val="99"/>
    <w:semiHidden/>
    <w:qFormat/>
    <w:rPr>
      <w:rFonts w:hint="default" w:ascii="Calibri" w:hAnsi="Calibri" w:eastAsia="宋体" w:cs="Times New Roman"/>
      <w:sz w:val="21"/>
      <w:szCs w:val="22"/>
      <w:lang w:val="en-US" w:eastAsia="zh-CN" w:bidi="ar-SA"/>
    </w:rPr>
  </w:style>
  <w:style w:type="character" w:styleId="1018" w:customStyle="1">
    <w:name w:val="font11"/>
    <w:uiPriority w:val="0"/>
    <w:qFormat/>
    <w:rPr>
      <w:rFonts w:hint="eastAsia" w:ascii="宋体" w:hAnsi="宋体" w:eastAsia="宋体" w:cs="宋体"/>
      <w:color w:val="000000"/>
      <w:sz w:val="24"/>
      <w:szCs w:val="24"/>
      <w:u w:val="none"/>
    </w:rPr>
  </w:style>
  <w:style w:type="character" w:styleId="1019" w:customStyle="1">
    <w:name w:val="font21"/>
    <w:uiPriority w:val="0"/>
    <w:qFormat/>
    <w:rPr>
      <w:rFonts w:ascii="Segoe UI Symbol" w:hAnsi="Segoe UI Symbol" w:eastAsia="Segoe UI Symbol" w:cs="Segoe UI Symbol"/>
      <w:color w:val="000000"/>
      <w:sz w:val="24"/>
      <w:szCs w:val="24"/>
      <w:u w:val="none"/>
    </w:rPr>
  </w:style>
  <w:style w:type="character" w:styleId="1020" w:customStyle="1">
    <w:name w:val="NormalCharacter1"/>
    <w:uiPriority w:val="0"/>
    <w:semiHidden/>
    <w:qFormat/>
  </w:style>
  <w:style w:type="character" w:styleId="1021" w:customStyle="1">
    <w:name w:val="font31"/>
    <w:uiPriority w:val="0"/>
    <w:qFormat/>
    <w:rPr>
      <w:rFonts w:hint="eastAsia" w:ascii="宋体" w:hAnsi="宋体" w:eastAsia="宋体" w:cs="宋体"/>
      <w:color w:val="000000"/>
      <w:sz w:val="21"/>
      <w:szCs w:val="21"/>
      <w:u w:val="none"/>
    </w:rPr>
  </w:style>
  <w:style w:type="paragraph" w:styleId="1022" w:customStyle="1">
    <w:name w:val="无间隔1"/>
    <w:uiPriority w:val="1"/>
    <w:qFormat/>
    <w:rPr>
      <w:rFonts w:hint="default" w:ascii="Times New Roman" w:hAnsi="Times New Roman" w:eastAsia="宋体" w:cs="Times New Roman"/>
      <w:lang w:val="en-US" w:eastAsia="zh-CN" w:bidi="ar-SA"/>
    </w:rPr>
  </w:style>
  <w:style w:type="paragraph" w:styleId="1023" w:customStyle="1">
    <w:name w:val="索引 41"/>
    <w:basedOn w:val="718"/>
    <w:next w:val="718"/>
    <w:uiPriority w:val="99"/>
    <w:unhideWhenUsed/>
    <w:qFormat/>
    <w:pPr>
      <w:ind w:left="600"/>
    </w:pPr>
    <w:rPr>
      <w:rFonts w:ascii="Verdana" w:hAnsi="Verdana" w:eastAsia="微软雅黑"/>
      <w:szCs w:val="20"/>
    </w:rPr>
  </w:style>
  <w:style w:type="paragraph" w:styleId="1024" w:customStyle="1">
    <w:name w:val="样式 宋体 加粗 居中"/>
    <w:basedOn w:val="718"/>
    <w:uiPriority w:val="0"/>
    <w:qFormat/>
    <w:pPr>
      <w:jc w:val="center"/>
    </w:pPr>
    <w:rPr>
      <w:rFonts w:ascii="宋体" w:hAnsi="宋体" w:cs="宋体"/>
      <w:b/>
      <w:bCs/>
      <w:sz w:val="32"/>
      <w:szCs w:val="20"/>
    </w:rPr>
  </w:style>
  <w:style w:type="character" w:styleId="1025" w:customStyle="1">
    <w:name w:val="font151"/>
    <w:basedOn w:val="728"/>
    <w:uiPriority w:val="0"/>
    <w:qFormat/>
    <w:rPr>
      <w:rFonts w:hint="eastAsia" w:ascii="宋体" w:hAnsi="宋体" w:eastAsia="宋体" w:cs="宋体"/>
      <w:color w:val="000000"/>
      <w:sz w:val="24"/>
      <w:szCs w:val="24"/>
      <w:u w:val="none"/>
    </w:rPr>
  </w:style>
  <w:style w:type="character" w:styleId="1026" w:customStyle="1">
    <w:name w:val="font161"/>
    <w:basedOn w:val="728"/>
    <w:uiPriority w:val="0"/>
    <w:qFormat/>
    <w:rPr>
      <w:rFonts w:hint="eastAsia" w:ascii="宋体" w:hAnsi="宋体" w:eastAsia="宋体" w:cs="宋体"/>
      <w:color w:val="000000"/>
      <w:sz w:val="24"/>
      <w:szCs w:val="24"/>
      <w:u w:val="none"/>
    </w:rPr>
  </w:style>
  <w:style w:type="character" w:styleId="1027" w:customStyle="1">
    <w:name w:val="font171"/>
    <w:basedOn w:val="728"/>
    <w:uiPriority w:val="0"/>
    <w:qFormat/>
    <w:rPr>
      <w:rFonts w:hint="eastAsia" w:ascii="宋体" w:hAnsi="宋体" w:eastAsia="宋体" w:cs="宋体"/>
      <w:color w:val="000000"/>
      <w:sz w:val="24"/>
      <w:szCs w:val="24"/>
      <w:u w:val="none"/>
    </w:rPr>
  </w:style>
  <w:style w:type="table" w:styleId="1028" w:customStyle="1">
    <w:name w:val="Table Normal"/>
    <w:uiPriority w:val="2"/>
    <w:semiHidden/>
    <w:unhideWhenUsed/>
    <w:qFormat/>
    <w:tblPr>
      <w:tblCellMar>
        <w:left w:w="0" w:type="dxa"/>
        <w:top w:w="0" w:type="dxa"/>
        <w:right w:w="0" w:type="dxa"/>
        <w:bottom w:w="0" w:type="dxa"/>
      </w:tblCellMar>
    </w:tblPr>
  </w:style>
  <w:style w:type="paragraph" w:styleId="1029" w:customStyle="1">
    <w:name w:val="纯文本2"/>
    <w:basedOn w:val="718"/>
    <w:uiPriority w:val="0"/>
    <w:qFormat/>
    <w:rPr>
      <w:rFonts w:ascii="宋体" w:hAnsi="Courier New" w:eastAsia="楷体_GB2312" w:cs="Times New Roman"/>
      <w:sz w:val="26"/>
      <w:szCs w:val="20"/>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黄炎</cp:lastModifiedBy>
  <cp:revision>19</cp:revision>
  <dcterms:created xsi:type="dcterms:W3CDTF">2024-08-07T07:47:00Z</dcterms:created>
  <dcterms:modified xsi:type="dcterms:W3CDTF">2026-10-27T07:59:18Z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2052-11.8.2.10912</vt:lpwstr>
  </property>
  <property fmtid="{D5CDD505-2E9C-101B-9397-08002B2CF9AE}" pid="3" name="ICV">
    <vt:lpwstr>FC4B394D16DE40E78CA665DD702233A4_13</vt:lpwstr>
  </property>
  <property fmtid="{D5CDD505-2E9C-101B-9397-08002B2CF9AE}" pid="4" name="KSOTemplateDocerSaveRecord">
    <vt:lpwstr>eyJoZGlkIjoiOTY1NTIxNDIxNWZhYzI4OWJjZDYwMTNjNTkwZGQ5N2UiLCJ1c2VySWQiOiIyMjY3NTcyNjEifQ==</vt:lpwstr>
  </property>
</Properties>
</file>