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6E88D">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highlight w:val="none"/>
          <w:lang w:val="en-US" w:eastAsia="zh-CN"/>
        </w:rPr>
      </w:pPr>
      <w:r>
        <w:rPr>
          <w:rFonts w:hint="eastAsia" w:ascii="宋体" w:hAnsi="宋体" w:cs="宋体"/>
          <w:b/>
          <w:bCs/>
          <w:sz w:val="30"/>
          <w:szCs w:val="30"/>
          <w:highlight w:val="none"/>
          <w:lang w:val="en-US" w:eastAsia="zh-CN"/>
        </w:rPr>
        <w:t>启东市农业废弃物处理中心市场化运营服务项目</w:t>
      </w:r>
    </w:p>
    <w:p w14:paraId="126E67C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t>更正公告</w:t>
      </w:r>
      <w:r>
        <w:rPr>
          <w:rFonts w:hint="eastAsia" w:ascii="宋体" w:hAnsi="宋体" w:cs="宋体"/>
          <w:b/>
          <w:bCs/>
          <w:sz w:val="30"/>
          <w:szCs w:val="30"/>
          <w:highlight w:val="none"/>
          <w:lang w:eastAsia="zh-CN"/>
        </w:rPr>
        <w:t>（</w:t>
      </w:r>
      <w:r>
        <w:rPr>
          <w:rFonts w:hint="eastAsia" w:ascii="宋体" w:hAnsi="宋体" w:cs="宋体"/>
          <w:b/>
          <w:bCs/>
          <w:sz w:val="30"/>
          <w:szCs w:val="30"/>
          <w:highlight w:val="none"/>
          <w:lang w:val="en-US" w:eastAsia="zh-CN"/>
        </w:rPr>
        <w:t>三</w:t>
      </w:r>
      <w:r>
        <w:rPr>
          <w:rFonts w:hint="eastAsia" w:ascii="宋体" w:hAnsi="宋体" w:cs="宋体"/>
          <w:b/>
          <w:bCs/>
          <w:sz w:val="30"/>
          <w:szCs w:val="30"/>
          <w:highlight w:val="none"/>
          <w:lang w:eastAsia="zh-CN"/>
        </w:rPr>
        <w:t>）</w:t>
      </w:r>
    </w:p>
    <w:p w14:paraId="71DFDB5F">
      <w:pPr>
        <w:keepNext w:val="0"/>
        <w:keepLines w:val="0"/>
        <w:pageBreakBefore w:val="0"/>
        <w:kinsoku/>
        <w:wordWrap/>
        <w:overflowPunct/>
        <w:topLinePunct w:val="0"/>
        <w:autoSpaceDE/>
        <w:autoSpaceDN/>
        <w:bidi w:val="0"/>
        <w:adjustRightInd/>
        <w:snapToGrid w:val="0"/>
        <w:spacing w:line="420" w:lineRule="exact"/>
        <w:ind w:left="0" w:right="0"/>
        <w:textAlignment w:val="auto"/>
        <w:rPr>
          <w:rFonts w:ascii="宋体" w:hAnsi="宋体" w:cs="宋体"/>
          <w:color w:val="000000"/>
          <w:sz w:val="24"/>
          <w:highlight w:val="none"/>
        </w:rPr>
      </w:pPr>
      <w:r>
        <w:rPr>
          <w:rFonts w:hint="eastAsia" w:ascii="宋体" w:hAnsi="宋体" w:cs="宋体"/>
          <w:color w:val="000000"/>
          <w:sz w:val="24"/>
          <w:highlight w:val="none"/>
        </w:rPr>
        <w:t>一、项目基本情况</w:t>
      </w:r>
    </w:p>
    <w:p w14:paraId="70F8823C">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highlight w:val="none"/>
        </w:rPr>
      </w:pPr>
      <w:r>
        <w:rPr>
          <w:rFonts w:hint="eastAsia" w:ascii="宋体" w:hAnsi="宋体" w:cs="宋体"/>
          <w:color w:val="000000"/>
          <w:sz w:val="24"/>
          <w:highlight w:val="none"/>
          <w:lang w:val="en-US" w:eastAsia="zh-CN"/>
        </w:rPr>
        <w:t>原公告的</w:t>
      </w:r>
      <w:r>
        <w:rPr>
          <w:rFonts w:hint="eastAsia" w:ascii="宋体" w:hAnsi="宋体" w:cs="宋体"/>
          <w:color w:val="000000"/>
          <w:sz w:val="24"/>
          <w:highlight w:val="none"/>
        </w:rPr>
        <w:t>采购项目编号：JSZC-320681-SHXP-C2026-0005</w:t>
      </w:r>
    </w:p>
    <w:p w14:paraId="1D7297DB">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eastAsia="宋体" w:cs="宋体"/>
          <w:color w:val="000000"/>
          <w:sz w:val="24"/>
          <w:highlight w:val="none"/>
          <w:lang w:eastAsia="zh-CN"/>
        </w:rPr>
      </w:pPr>
      <w:r>
        <w:rPr>
          <w:rFonts w:hint="eastAsia" w:ascii="宋体" w:hAnsi="宋体" w:cs="宋体"/>
          <w:color w:val="000000"/>
          <w:sz w:val="24"/>
          <w:highlight w:val="none"/>
          <w:lang w:val="en-US" w:eastAsia="zh-CN"/>
        </w:rPr>
        <w:t>原公告的</w:t>
      </w:r>
      <w:r>
        <w:rPr>
          <w:rFonts w:hint="eastAsia" w:ascii="宋体" w:hAnsi="宋体" w:cs="宋体"/>
          <w:color w:val="000000"/>
          <w:sz w:val="24"/>
          <w:highlight w:val="none"/>
        </w:rPr>
        <w:t>采购项目名称：</w:t>
      </w:r>
      <w:r>
        <w:rPr>
          <w:rFonts w:hint="eastAsia" w:ascii="宋体" w:hAnsi="宋体" w:cs="宋体"/>
          <w:color w:val="000000"/>
          <w:sz w:val="24"/>
          <w:highlight w:val="none"/>
          <w:lang w:val="en-US" w:eastAsia="zh-CN"/>
        </w:rPr>
        <w:t>启东市农业废弃物处理中心市场化运营服务项目</w:t>
      </w:r>
    </w:p>
    <w:p w14:paraId="4C3CA2DA">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highlight w:val="none"/>
        </w:rPr>
      </w:pPr>
      <w:r>
        <w:rPr>
          <w:rFonts w:hint="eastAsia" w:ascii="宋体" w:hAnsi="宋体" w:cs="宋体"/>
          <w:color w:val="000000"/>
          <w:sz w:val="24"/>
          <w:highlight w:val="none"/>
        </w:rPr>
        <w:t>首次公告日期：202</w:t>
      </w:r>
      <w:r>
        <w:rPr>
          <w:rFonts w:hint="eastAsia" w:ascii="宋体" w:hAnsi="宋体" w:cs="宋体"/>
          <w:color w:val="000000"/>
          <w:sz w:val="24"/>
          <w:highlight w:val="none"/>
          <w:lang w:val="en-US" w:eastAsia="zh-CN"/>
        </w:rPr>
        <w:t>6</w:t>
      </w:r>
      <w:r>
        <w:rPr>
          <w:rFonts w:hint="eastAsia" w:ascii="宋体" w:hAnsi="宋体" w:cs="宋体"/>
          <w:color w:val="000000"/>
          <w:sz w:val="24"/>
          <w:highlight w:val="none"/>
        </w:rPr>
        <w:t>年</w:t>
      </w:r>
      <w:r>
        <w:rPr>
          <w:rFonts w:hint="eastAsia" w:ascii="宋体" w:hAnsi="宋体" w:cs="宋体"/>
          <w:color w:val="000000"/>
          <w:sz w:val="24"/>
          <w:highlight w:val="none"/>
          <w:lang w:val="en-US" w:eastAsia="zh-CN"/>
        </w:rPr>
        <w:t>9</w:t>
      </w:r>
      <w:r>
        <w:rPr>
          <w:rFonts w:hint="eastAsia" w:ascii="宋体" w:hAnsi="宋体" w:cs="宋体"/>
          <w:color w:val="000000"/>
          <w:sz w:val="24"/>
          <w:highlight w:val="none"/>
        </w:rPr>
        <w:t>月</w:t>
      </w:r>
      <w:r>
        <w:rPr>
          <w:rFonts w:hint="eastAsia" w:ascii="宋体" w:hAnsi="宋体" w:cs="宋体"/>
          <w:color w:val="000000"/>
          <w:sz w:val="24"/>
          <w:highlight w:val="none"/>
          <w:lang w:val="en-US" w:eastAsia="zh-CN"/>
        </w:rPr>
        <w:t>24</w:t>
      </w:r>
      <w:r>
        <w:rPr>
          <w:rFonts w:hint="eastAsia" w:ascii="宋体" w:hAnsi="宋体" w:cs="宋体"/>
          <w:color w:val="000000"/>
          <w:sz w:val="24"/>
          <w:highlight w:val="none"/>
        </w:rPr>
        <w:t>日</w:t>
      </w:r>
    </w:p>
    <w:p w14:paraId="3DCCC70D">
      <w:pPr>
        <w:keepNext w:val="0"/>
        <w:keepLines w:val="0"/>
        <w:pageBreakBefore w:val="0"/>
        <w:numPr>
          <w:ilvl w:val="0"/>
          <w:numId w:val="0"/>
        </w:numPr>
        <w:kinsoku/>
        <w:wordWrap/>
        <w:overflowPunct/>
        <w:topLinePunct w:val="0"/>
        <w:autoSpaceDE/>
        <w:autoSpaceDN/>
        <w:bidi w:val="0"/>
        <w:adjustRightInd/>
        <w:snapToGrid w:val="0"/>
        <w:spacing w:line="420" w:lineRule="exact"/>
        <w:ind w:left="0" w:right="0" w:rightChars="0"/>
        <w:textAlignment w:val="auto"/>
        <w:rPr>
          <w:rFonts w:ascii="宋体" w:hAnsi="宋体" w:cs="宋体"/>
          <w:color w:val="000000"/>
          <w:sz w:val="24"/>
          <w:highlight w:val="none"/>
        </w:rPr>
      </w:pPr>
      <w:r>
        <w:rPr>
          <w:rFonts w:hint="eastAsia" w:ascii="宋体" w:hAnsi="宋体" w:cs="宋体"/>
          <w:color w:val="000000"/>
          <w:sz w:val="24"/>
          <w:highlight w:val="none"/>
          <w:lang w:val="en-US" w:eastAsia="zh-CN"/>
        </w:rPr>
        <w:t>二、</w:t>
      </w:r>
      <w:r>
        <w:rPr>
          <w:rFonts w:hint="eastAsia" w:ascii="宋体" w:hAnsi="宋体" w:cs="宋体"/>
          <w:color w:val="000000"/>
          <w:sz w:val="24"/>
          <w:highlight w:val="none"/>
        </w:rPr>
        <w:t>更正信息</w:t>
      </w:r>
    </w:p>
    <w:p w14:paraId="4C29EB23">
      <w:pPr>
        <w:keepNext w:val="0"/>
        <w:keepLines w:val="0"/>
        <w:pageBreakBefore w:val="0"/>
        <w:kinsoku/>
        <w:wordWrap/>
        <w:overflowPunct/>
        <w:topLinePunct w:val="0"/>
        <w:autoSpaceDE/>
        <w:autoSpaceDN/>
        <w:bidi w:val="0"/>
        <w:adjustRightInd/>
        <w:snapToGrid w:val="0"/>
        <w:spacing w:line="420" w:lineRule="exact"/>
        <w:ind w:right="0" w:firstLine="480" w:firstLineChars="200"/>
        <w:textAlignment w:val="auto"/>
        <w:rPr>
          <w:rFonts w:hint="eastAsia" w:ascii="宋体" w:hAnsi="宋体" w:eastAsia="宋体" w:cs="宋体"/>
          <w:b w:val="0"/>
          <w:bCs w:val="0"/>
          <w:color w:val="000000"/>
          <w:sz w:val="24"/>
          <w:highlight w:val="none"/>
          <w:lang w:val="en-US" w:eastAsia="zh-CN"/>
        </w:rPr>
      </w:pPr>
      <w:r>
        <w:rPr>
          <w:rFonts w:hint="eastAsia" w:ascii="宋体" w:hAnsi="宋体" w:cs="宋体"/>
          <w:b w:val="0"/>
          <w:bCs w:val="0"/>
          <w:color w:val="000000"/>
          <w:sz w:val="24"/>
          <w:highlight w:val="none"/>
        </w:rPr>
        <w:t>更正事项：</w:t>
      </w:r>
      <w:r>
        <w:rPr>
          <w:rFonts w:hint="eastAsia" w:ascii="宋体" w:hAnsi="宋体" w:cs="宋体"/>
          <w:b w:val="0"/>
          <w:bCs w:val="0"/>
          <w:color w:val="000000"/>
          <w:sz w:val="24"/>
          <w:highlight w:val="none"/>
          <w:lang w:val="en-US" w:eastAsia="zh-CN"/>
        </w:rPr>
        <w:t>采购文件</w:t>
      </w:r>
    </w:p>
    <w:p w14:paraId="447213C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val="0"/>
          <w:bCs w:val="0"/>
          <w:color w:val="000000"/>
          <w:sz w:val="24"/>
          <w:highlight w:val="none"/>
          <w:lang w:val="en-US" w:eastAsia="zh-CN"/>
        </w:rPr>
      </w:pPr>
      <w:r>
        <w:rPr>
          <w:rFonts w:hint="eastAsia" w:ascii="宋体" w:hAnsi="宋体" w:cs="宋体"/>
          <w:b/>
          <w:bCs/>
          <w:color w:val="000000"/>
          <w:sz w:val="24"/>
          <w:highlight w:val="none"/>
          <w:lang w:val="en-US" w:eastAsia="zh-CN"/>
        </w:rPr>
        <w:t>更正内容1：</w:t>
      </w:r>
      <w:r>
        <w:rPr>
          <w:rFonts w:hint="eastAsia" w:ascii="宋体" w:hAnsi="宋体" w:cs="宋体"/>
          <w:b w:val="0"/>
          <w:bCs w:val="0"/>
          <w:color w:val="000000"/>
          <w:sz w:val="24"/>
          <w:highlight w:val="none"/>
          <w:lang w:val="en-US" w:eastAsia="zh-CN"/>
        </w:rPr>
        <w:t>采购文件“第四部分 评审方法和评审标准”---“（三）商务技术分：70分”更正如下：</w:t>
      </w:r>
    </w:p>
    <w:p w14:paraId="41F3E638">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highlight w:val="none"/>
          <w:lang w:val="en-US" w:eastAsia="zh-CN"/>
        </w:rPr>
      </w:pPr>
      <w:r>
        <w:rPr>
          <w:rFonts w:hint="eastAsia" w:ascii="宋体" w:hAnsi="宋体" w:cs="宋体"/>
          <w:b w:val="0"/>
          <w:bCs w:val="0"/>
          <w:color w:val="000000"/>
          <w:sz w:val="24"/>
          <w:highlight w:val="none"/>
          <w:lang w:val="en-US" w:eastAsia="zh-CN"/>
        </w:rPr>
        <w:t>（三）商务技术分：70分</w:t>
      </w:r>
      <w:bookmarkStart w:id="0" w:name="_GoBack"/>
      <w:bookmarkEnd w:id="0"/>
    </w:p>
    <w:p w14:paraId="56E29F97">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highlight w:val="none"/>
          <w:lang w:val="en-US" w:eastAsia="zh-CN"/>
        </w:rPr>
      </w:pPr>
      <w:r>
        <w:rPr>
          <w:rFonts w:hint="eastAsia" w:ascii="宋体" w:hAnsi="宋体" w:cs="宋体"/>
          <w:b w:val="0"/>
          <w:bCs w:val="0"/>
          <w:color w:val="000000"/>
          <w:sz w:val="24"/>
          <w:highlight w:val="none"/>
          <w:lang w:val="en-US" w:eastAsia="zh-CN"/>
        </w:rPr>
        <w:t>各供应商得分为磋商小组成员评分的算术平均分，分值保留小数点后两位。</w:t>
      </w:r>
    </w:p>
    <w:tbl>
      <w:tblPr>
        <w:tblStyle w:val="10"/>
        <w:tblpPr w:leftFromText="180" w:rightFromText="180" w:vertAnchor="text" w:horzAnchor="page" w:tblpXSpec="center" w:tblpY="867"/>
        <w:tblOverlap w:val="never"/>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803"/>
        <w:gridCol w:w="7988"/>
      </w:tblGrid>
      <w:tr w14:paraId="7035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77" w:type="dxa"/>
            <w:tcBorders>
              <w:top w:val="single" w:color="auto" w:sz="4" w:space="0"/>
              <w:left w:val="single" w:color="auto" w:sz="4" w:space="0"/>
              <w:bottom w:val="single" w:color="auto" w:sz="4" w:space="0"/>
              <w:right w:val="single" w:color="auto" w:sz="4" w:space="0"/>
            </w:tcBorders>
            <w:vAlign w:val="center"/>
          </w:tcPr>
          <w:p w14:paraId="2AF8F997">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评审项</w:t>
            </w:r>
          </w:p>
        </w:tc>
        <w:tc>
          <w:tcPr>
            <w:tcW w:w="803" w:type="dxa"/>
            <w:tcBorders>
              <w:top w:val="single" w:color="auto" w:sz="4" w:space="0"/>
              <w:left w:val="single" w:color="auto" w:sz="4" w:space="0"/>
              <w:bottom w:val="single" w:color="auto" w:sz="4" w:space="0"/>
              <w:right w:val="single" w:color="auto" w:sz="4" w:space="0"/>
            </w:tcBorders>
            <w:vAlign w:val="center"/>
          </w:tcPr>
          <w:p w14:paraId="380D2F67">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分值</w:t>
            </w:r>
          </w:p>
        </w:tc>
        <w:tc>
          <w:tcPr>
            <w:tcW w:w="7988" w:type="dxa"/>
            <w:tcBorders>
              <w:top w:val="single" w:color="auto" w:sz="4" w:space="0"/>
              <w:left w:val="single" w:color="auto" w:sz="4" w:space="0"/>
              <w:bottom w:val="single" w:color="auto" w:sz="4" w:space="0"/>
              <w:right w:val="single" w:color="auto" w:sz="4" w:space="0"/>
            </w:tcBorders>
            <w:vAlign w:val="center"/>
          </w:tcPr>
          <w:p w14:paraId="15E007F1">
            <w:pPr>
              <w:pStyle w:val="8"/>
              <w:spacing w:after="0" w:line="300" w:lineRule="exact"/>
              <w:ind w:firstLine="0" w:firstLineChars="0"/>
              <w:jc w:val="center"/>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评审标准</w:t>
            </w:r>
          </w:p>
        </w:tc>
      </w:tr>
      <w:tr w14:paraId="02B2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0" w:hRule="atLeast"/>
          <w:jc w:val="center"/>
        </w:trPr>
        <w:tc>
          <w:tcPr>
            <w:tcW w:w="1077" w:type="dxa"/>
            <w:tcBorders>
              <w:top w:val="single" w:color="auto" w:sz="4" w:space="0"/>
              <w:left w:val="single" w:color="auto" w:sz="4" w:space="0"/>
              <w:bottom w:val="single" w:color="auto" w:sz="4" w:space="0"/>
              <w:right w:val="single" w:color="auto" w:sz="4" w:space="0"/>
            </w:tcBorders>
            <w:vAlign w:val="center"/>
          </w:tcPr>
          <w:p w14:paraId="43599911">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实施方案</w:t>
            </w:r>
          </w:p>
        </w:tc>
        <w:tc>
          <w:tcPr>
            <w:tcW w:w="803" w:type="dxa"/>
            <w:tcBorders>
              <w:top w:val="single" w:color="auto" w:sz="4" w:space="0"/>
              <w:left w:val="single" w:color="auto" w:sz="4" w:space="0"/>
              <w:bottom w:val="single" w:color="auto" w:sz="4" w:space="0"/>
              <w:right w:val="single" w:color="auto" w:sz="4" w:space="0"/>
            </w:tcBorders>
            <w:vAlign w:val="center"/>
          </w:tcPr>
          <w:p w14:paraId="22E8B276">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36分</w:t>
            </w:r>
          </w:p>
        </w:tc>
        <w:tc>
          <w:tcPr>
            <w:tcW w:w="7988" w:type="dxa"/>
            <w:tcBorders>
              <w:top w:val="single" w:color="auto" w:sz="4" w:space="0"/>
              <w:left w:val="single" w:color="auto" w:sz="4" w:space="0"/>
              <w:bottom w:val="single" w:color="auto" w:sz="4" w:space="0"/>
              <w:right w:val="single" w:color="auto" w:sz="4" w:space="0"/>
            </w:tcBorders>
            <w:vAlign w:val="center"/>
          </w:tcPr>
          <w:p w14:paraId="1B022706">
            <w:pPr>
              <w:pStyle w:val="8"/>
              <w:spacing w:after="0" w:line="300" w:lineRule="exact"/>
              <w:ind w:firstLine="0" w:firstLineChars="0"/>
              <w:jc w:val="left"/>
              <w:rPr>
                <w:rFonts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（1）投标人结合本市无害化处理实际情况，提出合理可行的实施方案，就快速收集、及时转运、立即处理、产物流向（产物包含但不限于残渣、油脂）、</w:t>
            </w:r>
            <w:r>
              <w:rPr>
                <w:rFonts w:hint="eastAsia" w:asciiTheme="minorEastAsia" w:hAnsiTheme="minorEastAsia" w:eastAsiaTheme="minorEastAsia"/>
                <w:color w:val="000000"/>
                <w:sz w:val="21"/>
                <w:szCs w:val="21"/>
                <w:highlight w:val="none"/>
              </w:rPr>
              <w:t>污水及混合物及其他污物等的环保处理、</w:t>
            </w:r>
            <w:r>
              <w:rPr>
                <w:rFonts w:hint="eastAsia" w:asciiTheme="minorEastAsia" w:hAnsiTheme="minorEastAsia" w:eastAsiaTheme="minorEastAsia"/>
                <w:color w:val="000000"/>
                <w:sz w:val="21"/>
                <w:szCs w:val="21"/>
                <w:highlight w:val="none"/>
              </w:rPr>
              <w:t>污染防治、疫病预警、灭杀消毒、数据核实、接受监管、群众矛盾等11个方面的处理措施进行打分，每个方面3分。每个方面的解决方案能切合实际，完整、合理、可行，对项目实施的重点、难点的处理措施针对性强、实施性强，得3分；实施方案切合实际，完整度及可行性一般，对项目实施的重点、难点的处理措施可操作性一般，得2分；实施方案未从项目实际出发，可行性差，且对项目实施的重点、难点的处理措施可操作性不强，得1分；无相关方案的不得分。</w:t>
            </w:r>
          </w:p>
          <w:p w14:paraId="20FEEF89">
            <w:pPr>
              <w:pStyle w:val="8"/>
              <w:spacing w:after="0" w:line="300" w:lineRule="exact"/>
              <w:ind w:firstLine="0" w:firstLineChars="0"/>
              <w:jc w:val="left"/>
              <w:rPr>
                <w:rFonts w:hint="eastAsia" w:asciiTheme="minorEastAsia" w:hAnsiTheme="minorEastAsia" w:eastAsiaTheme="minorEastAsia"/>
                <w:color w:val="000000"/>
                <w:sz w:val="21"/>
                <w:szCs w:val="21"/>
                <w:highlight w:val="none"/>
                <w:lang w:val="zh-CN"/>
              </w:rPr>
            </w:pPr>
            <w:r>
              <w:rPr>
                <w:rFonts w:hint="eastAsia" w:asciiTheme="minorEastAsia" w:hAnsiTheme="minorEastAsia" w:eastAsiaTheme="minorEastAsia"/>
                <w:color w:val="000000"/>
                <w:sz w:val="21"/>
                <w:szCs w:val="21"/>
                <w:highlight w:val="none"/>
                <w:lang w:val="zh-CN"/>
              </w:rPr>
              <w:t>（2）服务期内无偿按最新相关政策要求对本项目进行技改的承诺，</w:t>
            </w:r>
            <w:r>
              <w:rPr>
                <w:rFonts w:hint="eastAsia" w:asciiTheme="minorEastAsia" w:hAnsiTheme="minorEastAsia" w:eastAsiaTheme="minorEastAsia"/>
                <w:color w:val="000000"/>
                <w:sz w:val="21"/>
                <w:szCs w:val="21"/>
                <w:highlight w:val="none"/>
                <w:lang w:val="zh-CN"/>
              </w:rPr>
              <w:t>承诺书</w:t>
            </w:r>
            <w:r>
              <w:rPr>
                <w:rFonts w:hint="eastAsia" w:asciiTheme="minorEastAsia" w:hAnsiTheme="minorEastAsia" w:eastAsiaTheme="minorEastAsia"/>
                <w:color w:val="000000"/>
                <w:sz w:val="21"/>
                <w:szCs w:val="21"/>
                <w:highlight w:val="none"/>
                <w:lang w:val="en-US" w:eastAsia="zh-CN"/>
              </w:rPr>
              <w:t>格式自拟，</w:t>
            </w:r>
            <w:r>
              <w:rPr>
                <w:rFonts w:hint="eastAsia" w:asciiTheme="minorEastAsia" w:hAnsiTheme="minorEastAsia" w:eastAsiaTheme="minorEastAsia"/>
                <w:color w:val="000000"/>
                <w:sz w:val="21"/>
                <w:szCs w:val="21"/>
                <w:highlight w:val="none"/>
                <w:lang w:val="zh-CN"/>
              </w:rPr>
              <w:t>须加盖投标人公章并法定代表人签字（或盖章）。提供</w:t>
            </w:r>
            <w:r>
              <w:rPr>
                <w:rFonts w:hint="eastAsia" w:asciiTheme="minorEastAsia" w:hAnsiTheme="minorEastAsia" w:eastAsiaTheme="minorEastAsia"/>
                <w:color w:val="000000"/>
                <w:sz w:val="21"/>
                <w:szCs w:val="21"/>
                <w:highlight w:val="none"/>
                <w:lang w:val="en-US" w:eastAsia="zh-CN"/>
              </w:rPr>
              <w:t>有效的</w:t>
            </w:r>
            <w:r>
              <w:rPr>
                <w:rFonts w:hint="eastAsia" w:asciiTheme="minorEastAsia" w:hAnsiTheme="minorEastAsia" w:eastAsiaTheme="minorEastAsia"/>
                <w:color w:val="000000"/>
                <w:sz w:val="21"/>
                <w:szCs w:val="21"/>
                <w:highlight w:val="none"/>
                <w:lang w:val="zh-CN"/>
              </w:rPr>
              <w:t>承诺书，得3分；</w:t>
            </w:r>
            <w:r>
              <w:rPr>
                <w:rFonts w:hint="eastAsia" w:asciiTheme="minorEastAsia" w:hAnsiTheme="minorEastAsia" w:eastAsiaTheme="minorEastAsia"/>
                <w:color w:val="000000"/>
                <w:sz w:val="21"/>
                <w:szCs w:val="21"/>
                <w:highlight w:val="none"/>
                <w:lang w:val="en-US" w:eastAsia="zh-CN"/>
              </w:rPr>
              <w:t>否则</w:t>
            </w:r>
            <w:r>
              <w:rPr>
                <w:rFonts w:hint="eastAsia" w:asciiTheme="minorEastAsia" w:hAnsiTheme="minorEastAsia" w:eastAsiaTheme="minorEastAsia"/>
                <w:color w:val="000000"/>
                <w:sz w:val="21"/>
                <w:szCs w:val="21"/>
                <w:highlight w:val="none"/>
                <w:lang w:val="zh-CN"/>
              </w:rPr>
              <w:t>不得分。</w:t>
            </w:r>
          </w:p>
        </w:tc>
      </w:tr>
      <w:tr w14:paraId="1C9A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0" w:hRule="atLeast"/>
          <w:jc w:val="center"/>
        </w:trPr>
        <w:tc>
          <w:tcPr>
            <w:tcW w:w="1077" w:type="dxa"/>
            <w:tcBorders>
              <w:top w:val="single" w:color="auto" w:sz="4" w:space="0"/>
              <w:left w:val="single" w:color="auto" w:sz="4" w:space="0"/>
              <w:bottom w:val="single" w:color="auto" w:sz="4" w:space="0"/>
              <w:right w:val="single" w:color="auto" w:sz="4" w:space="0"/>
            </w:tcBorders>
            <w:vAlign w:val="center"/>
          </w:tcPr>
          <w:p w14:paraId="407BA34B">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企业实力</w:t>
            </w:r>
          </w:p>
          <w:p w14:paraId="07A61A11">
            <w:pPr>
              <w:pStyle w:val="8"/>
              <w:spacing w:after="0" w:line="300" w:lineRule="exact"/>
              <w:ind w:firstLine="0" w:firstLineChars="0"/>
              <w:rPr>
                <w:rFonts w:hint="eastAsia" w:asciiTheme="minorEastAsia" w:hAnsiTheme="minorEastAsia" w:eastAsiaTheme="minorEastAsia"/>
                <w:color w:val="000000"/>
                <w:sz w:val="21"/>
                <w:szCs w:val="21"/>
                <w:highlight w:val="none"/>
              </w:rPr>
            </w:pPr>
          </w:p>
        </w:tc>
        <w:tc>
          <w:tcPr>
            <w:tcW w:w="803" w:type="dxa"/>
            <w:tcBorders>
              <w:top w:val="single" w:color="auto" w:sz="4" w:space="0"/>
              <w:left w:val="single" w:color="auto" w:sz="4" w:space="0"/>
              <w:bottom w:val="single" w:color="auto" w:sz="4" w:space="0"/>
              <w:right w:val="single" w:color="auto" w:sz="4" w:space="0"/>
            </w:tcBorders>
            <w:vAlign w:val="center"/>
          </w:tcPr>
          <w:p w14:paraId="410E3F17">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13分</w:t>
            </w:r>
          </w:p>
        </w:tc>
        <w:tc>
          <w:tcPr>
            <w:tcW w:w="7988" w:type="dxa"/>
            <w:tcBorders>
              <w:top w:val="single" w:color="auto" w:sz="4" w:space="0"/>
              <w:left w:val="single" w:color="auto" w:sz="4" w:space="0"/>
              <w:bottom w:val="single" w:color="auto" w:sz="4" w:space="0"/>
              <w:right w:val="single" w:color="auto" w:sz="4" w:space="0"/>
            </w:tcBorders>
            <w:vAlign w:val="center"/>
          </w:tcPr>
          <w:p w14:paraId="55B89E0B">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）投标人具有质量管理、环境管理、健康管理体系认证证书，且在有效期内的，有一个得1分，最多得3分。</w:t>
            </w:r>
          </w:p>
          <w:p w14:paraId="088FB152">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（2）投标人具有有效的《动物防疫条件合格证》的得4分。</w:t>
            </w:r>
          </w:p>
          <w:p w14:paraId="5B14DDF0">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注：以上提供证书。</w:t>
            </w:r>
          </w:p>
          <w:p w14:paraId="01DF5FDD">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（3）为确保项目正常运营，投标人至少配备二种类型车辆，即①无害化收集车辆和②叉车或装载机，车辆为投标人自有的，每个类型车辆得2分；车辆为投标人租赁的，每个类型车辆得1分；本项满分4分。</w:t>
            </w:r>
          </w:p>
          <w:p w14:paraId="42D25527">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（4）为保证项目污水及时外运，投标人配备全封闭污水运输罐装车辆，车辆为投标人自有的，得2分；车辆为投标人租赁的，每得1分；本项满分2分。</w:t>
            </w:r>
          </w:p>
          <w:p w14:paraId="23064F16">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注：①车辆自有的，须同时</w:t>
            </w:r>
            <w:r>
              <w:rPr>
                <w:rFonts w:hint="eastAsia" w:asciiTheme="minorEastAsia" w:hAnsiTheme="minorEastAsia" w:eastAsiaTheme="minorEastAsia"/>
                <w:sz w:val="21"/>
                <w:szCs w:val="21"/>
                <w:highlight w:val="none"/>
              </w:rPr>
              <w:t>提供投标人名下的车辆行驶证、登记证、保险单，均需在有效期内，缺一不可。②车辆为租赁的，须同时提供租赁协议、出租方名下的车辆行驶证、登记证、保险单，均需在有效期内，缺一不可。③同一类型车辆不重复计分。</w:t>
            </w:r>
          </w:p>
        </w:tc>
      </w:tr>
      <w:tr w14:paraId="6F96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auto" w:sz="4" w:space="0"/>
              <w:left w:val="single" w:color="auto" w:sz="4" w:space="0"/>
              <w:bottom w:val="single" w:color="auto" w:sz="4" w:space="0"/>
              <w:right w:val="single" w:color="auto" w:sz="4" w:space="0"/>
            </w:tcBorders>
            <w:vAlign w:val="center"/>
          </w:tcPr>
          <w:p w14:paraId="7900BD9E">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企业业绩</w:t>
            </w:r>
          </w:p>
        </w:tc>
        <w:tc>
          <w:tcPr>
            <w:tcW w:w="803" w:type="dxa"/>
            <w:tcBorders>
              <w:top w:val="single" w:color="auto" w:sz="4" w:space="0"/>
              <w:left w:val="single" w:color="auto" w:sz="4" w:space="0"/>
              <w:bottom w:val="single" w:color="auto" w:sz="4" w:space="0"/>
              <w:right w:val="single" w:color="auto" w:sz="4" w:space="0"/>
            </w:tcBorders>
            <w:vAlign w:val="center"/>
          </w:tcPr>
          <w:p w14:paraId="60C7B39D">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8分</w:t>
            </w:r>
          </w:p>
        </w:tc>
        <w:tc>
          <w:tcPr>
            <w:tcW w:w="7988" w:type="dxa"/>
            <w:tcBorders>
              <w:top w:val="single" w:color="auto" w:sz="4" w:space="0"/>
              <w:left w:val="single" w:color="auto" w:sz="4" w:space="0"/>
              <w:bottom w:val="single" w:color="auto" w:sz="4" w:space="0"/>
              <w:right w:val="single" w:color="auto" w:sz="4" w:space="0"/>
            </w:tcBorders>
            <w:vAlign w:val="center"/>
          </w:tcPr>
          <w:p w14:paraId="4031FC3E">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（1）投标人自</w:t>
            </w:r>
            <w:r>
              <w:rPr>
                <w:rFonts w:asciiTheme="minorEastAsia" w:hAnsiTheme="minorEastAsia" w:eastAsiaTheme="minorEastAsia"/>
                <w:color w:val="000000"/>
                <w:sz w:val="21"/>
                <w:szCs w:val="21"/>
                <w:highlight w:val="none"/>
              </w:rPr>
              <w:t>2018</w:t>
            </w:r>
            <w:r>
              <w:rPr>
                <w:rFonts w:hint="eastAsia" w:asciiTheme="minorEastAsia" w:hAnsiTheme="minorEastAsia" w:eastAsiaTheme="minorEastAsia"/>
                <w:color w:val="000000"/>
                <w:sz w:val="21"/>
                <w:szCs w:val="21"/>
                <w:highlight w:val="none"/>
              </w:rPr>
              <w:t>年</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月</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日以来（以合同签订时间为准）承担过政府部门类似农业废弃物处置业绩（如病死动物无害化处置、畜禽粪污清运处理、秸秆综合利用、沼气工程等项目），有一类合同得1分，最多得4分；</w:t>
            </w:r>
            <w:r>
              <w:rPr>
                <w:rFonts w:asciiTheme="minorEastAsia" w:hAnsiTheme="minorEastAsia" w:eastAsiaTheme="minorEastAsia"/>
                <w:color w:val="000000"/>
                <w:sz w:val="21"/>
                <w:szCs w:val="21"/>
                <w:highlight w:val="none"/>
              </w:rPr>
              <w:t xml:space="preserve"> </w:t>
            </w:r>
          </w:p>
          <w:p w14:paraId="4D2AEF9E">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（2）投标人具有污水处理经验和能力，具有与环保部门认可的污水处理厂签订委托合同的或者在项目所在地具有环保部门认可的污水</w:t>
            </w:r>
            <w:r>
              <w:rPr>
                <w:rFonts w:hint="eastAsia" w:asciiTheme="minorEastAsia" w:hAnsiTheme="minorEastAsia" w:eastAsiaTheme="minorEastAsia"/>
                <w:color w:val="000000"/>
                <w:sz w:val="21"/>
                <w:szCs w:val="21"/>
                <w:highlight w:val="none"/>
              </w:rPr>
              <w:t>处理厂的，得4分。</w:t>
            </w:r>
            <w:r>
              <w:rPr>
                <w:rFonts w:hint="eastAsia" w:asciiTheme="minorEastAsia" w:hAnsiTheme="minorEastAsia" w:eastAsiaTheme="minorEastAsia"/>
                <w:color w:val="000000"/>
                <w:sz w:val="21"/>
                <w:szCs w:val="21"/>
                <w:highlight w:val="none"/>
              </w:rPr>
              <w:t>（提供委托合同和环保部门认证等有效证明材料。）</w:t>
            </w:r>
          </w:p>
          <w:p w14:paraId="624EEFDA">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注：①同时提供项目中标通知书</w:t>
            </w:r>
            <w:r>
              <w:rPr>
                <w:rFonts w:hint="eastAsia" w:asciiTheme="minorEastAsia" w:hAnsiTheme="minorEastAsia" w:eastAsiaTheme="minorEastAsia"/>
                <w:color w:val="000000"/>
                <w:sz w:val="21"/>
                <w:szCs w:val="21"/>
                <w:highlight w:val="none"/>
              </w:rPr>
              <w:t>或业主加盖公章的证明（证明上须提供业主联系人及联系电话。）</w:t>
            </w:r>
            <w:r>
              <w:rPr>
                <w:rFonts w:hint="eastAsia" w:asciiTheme="minorEastAsia" w:hAnsiTheme="minorEastAsia" w:eastAsiaTheme="minorEastAsia"/>
                <w:color w:val="000000"/>
                <w:sz w:val="21"/>
                <w:szCs w:val="21"/>
                <w:highlight w:val="none"/>
              </w:rPr>
              <w:t>、合同</w:t>
            </w:r>
            <w:r>
              <w:rPr>
                <w:rFonts w:hint="eastAsia" w:asciiTheme="minorEastAsia" w:hAnsiTheme="minorEastAsia" w:eastAsiaTheme="minorEastAsia"/>
                <w:color w:val="000000"/>
                <w:sz w:val="21"/>
                <w:szCs w:val="21"/>
                <w:highlight w:val="none"/>
                <w:lang w:eastAsia="zh-CN"/>
              </w:rPr>
              <w:t>；</w:t>
            </w:r>
            <w:r>
              <w:rPr>
                <w:rFonts w:hint="eastAsia" w:asciiTheme="minorEastAsia" w:hAnsiTheme="minorEastAsia" w:eastAsiaTheme="minorEastAsia"/>
                <w:color w:val="000000"/>
                <w:sz w:val="21"/>
                <w:szCs w:val="21"/>
                <w:highlight w:val="none"/>
              </w:rPr>
              <w:t>②若同一合同业绩涉及“病死动物无害化处置、畜禽粪污清运处理、秸秆综合利用、沼气工程等”多项内容的，则仅按一份合同计一次，不重复计分。③若投标人提供的不同合同为同一内容的（如均为秸秆综合利用的），则只能计一次，不重复计分。</w:t>
            </w:r>
          </w:p>
        </w:tc>
      </w:tr>
      <w:tr w14:paraId="5B18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tcBorders>
              <w:top w:val="single" w:color="auto" w:sz="4" w:space="0"/>
              <w:left w:val="single" w:color="auto" w:sz="4" w:space="0"/>
              <w:bottom w:val="single" w:color="auto" w:sz="4" w:space="0"/>
              <w:right w:val="single" w:color="auto" w:sz="4" w:space="0"/>
            </w:tcBorders>
            <w:vAlign w:val="center"/>
          </w:tcPr>
          <w:p w14:paraId="36C2DE5C">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拟派人员实力</w:t>
            </w:r>
          </w:p>
        </w:tc>
        <w:tc>
          <w:tcPr>
            <w:tcW w:w="803" w:type="dxa"/>
            <w:tcBorders>
              <w:top w:val="single" w:color="auto" w:sz="4" w:space="0"/>
              <w:left w:val="single" w:color="auto" w:sz="4" w:space="0"/>
              <w:bottom w:val="single" w:color="auto" w:sz="4" w:space="0"/>
              <w:right w:val="single" w:color="auto" w:sz="4" w:space="0"/>
            </w:tcBorders>
            <w:vAlign w:val="center"/>
          </w:tcPr>
          <w:p w14:paraId="61BE3133">
            <w:pPr>
              <w:pStyle w:val="8"/>
              <w:spacing w:after="0" w:line="300" w:lineRule="exact"/>
              <w:ind w:firstLine="0" w:firstLineChars="0"/>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13分</w:t>
            </w:r>
          </w:p>
        </w:tc>
        <w:tc>
          <w:tcPr>
            <w:tcW w:w="7988" w:type="dxa"/>
            <w:tcBorders>
              <w:top w:val="single" w:color="auto" w:sz="4" w:space="0"/>
              <w:left w:val="single" w:color="auto" w:sz="4" w:space="0"/>
              <w:bottom w:val="single" w:color="auto" w:sz="4" w:space="0"/>
              <w:right w:val="single" w:color="auto" w:sz="4" w:space="0"/>
            </w:tcBorders>
            <w:vAlign w:val="center"/>
          </w:tcPr>
          <w:p w14:paraId="5366BA8C">
            <w:pPr>
              <w:pStyle w:val="8"/>
              <w:numPr>
                <w:ilvl w:val="0"/>
                <w:numId w:val="1"/>
              </w:numPr>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拟投入本项目的运维及收集人员至少需配备8人，满足基本要求的得1分，拟投入9人及以上的得2分，8人以下不得分。</w:t>
            </w:r>
          </w:p>
          <w:p w14:paraId="41255690">
            <w:pPr>
              <w:pStyle w:val="8"/>
              <w:numPr>
                <w:ilvl w:val="0"/>
                <w:numId w:val="1"/>
              </w:numPr>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投入本项目的运维及收集人员中具有环保工程师中级职称的得</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分，环保工程师高级及以上职称的得2分；具有固废处理工程师中级职称的得</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分，固废处理工程师高级及以上职称的得2分；具有废气处理工程师中级职称的得</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分，废气处理工程师高级及以上职称的得2分；本项满分6分。</w:t>
            </w:r>
          </w:p>
          <w:p w14:paraId="633C40AF">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（3）投入本项目的运维及收集人员中持有</w:t>
            </w:r>
            <w:r>
              <w:rPr>
                <w:rFonts w:asciiTheme="minorEastAsia" w:hAnsiTheme="minorEastAsia" w:eastAsiaTheme="minorEastAsia"/>
                <w:color w:val="000000"/>
                <w:sz w:val="21"/>
                <w:szCs w:val="21"/>
                <w:highlight w:val="none"/>
              </w:rPr>
              <w:t>B2</w:t>
            </w:r>
            <w:r>
              <w:rPr>
                <w:rFonts w:hint="eastAsia" w:asciiTheme="minorEastAsia" w:hAnsiTheme="minorEastAsia" w:eastAsiaTheme="minorEastAsia"/>
                <w:color w:val="000000"/>
                <w:sz w:val="21"/>
                <w:szCs w:val="21"/>
                <w:highlight w:val="none"/>
              </w:rPr>
              <w:t>及以上驾驶证的特种车辆驾驶员有2名的，得1分，2名以上得2分；持有叉车或装载机等操作证有1名的，得1分，2名及以上得2分；持有锅炉操作证的得1分；本项满分5分。</w:t>
            </w:r>
          </w:p>
          <w:p w14:paraId="2A69BF5D">
            <w:pPr>
              <w:pStyle w:val="8"/>
              <w:spacing w:after="0" w:line="300" w:lineRule="exact"/>
              <w:ind w:firstLine="0" w:firstLineChars="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注：①提供投标人为以上人员缴纳的近三个月内任意一个月养老保险缴费证明（由当地社保机构出具，并加盖印章）；②车辆驾驶证、叉车等操作证；③职称证书 ；④以上人员不得兼职，计分仅计一次，且按最高得分计。</w:t>
            </w:r>
          </w:p>
        </w:tc>
      </w:tr>
      <w:tr w14:paraId="4B68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8" w:type="dxa"/>
            <w:gridSpan w:val="3"/>
            <w:tcBorders>
              <w:top w:val="single" w:color="auto" w:sz="4" w:space="0"/>
              <w:left w:val="single" w:color="auto" w:sz="4" w:space="0"/>
              <w:bottom w:val="single" w:color="auto" w:sz="4" w:space="0"/>
              <w:right w:val="single" w:color="auto" w:sz="4" w:space="0"/>
            </w:tcBorders>
            <w:vAlign w:val="center"/>
          </w:tcPr>
          <w:p w14:paraId="40605410">
            <w:pPr>
              <w:autoSpaceDE w:val="0"/>
              <w:autoSpaceDN w:val="0"/>
              <w:adjustRightInd w:val="0"/>
              <w:spacing w:line="300" w:lineRule="exact"/>
              <w:jc w:val="left"/>
              <w:rPr>
                <w:rFonts w:hint="eastAsia" w:asciiTheme="minorEastAsia" w:hAnsiTheme="minorEastAsia" w:eastAsiaTheme="minorEastAsia"/>
                <w:color w:val="000000"/>
                <w:sz w:val="21"/>
                <w:szCs w:val="21"/>
                <w:highlight w:val="none"/>
                <w:lang w:val="zh-CN"/>
              </w:rPr>
            </w:pPr>
            <w:r>
              <w:rPr>
                <w:rFonts w:hint="eastAsia" w:asciiTheme="minorEastAsia" w:hAnsiTheme="minorEastAsia" w:eastAsiaTheme="minorEastAsia"/>
                <w:color w:val="000000"/>
                <w:sz w:val="21"/>
                <w:szCs w:val="21"/>
                <w:highlight w:val="none"/>
              </w:rPr>
              <w:t>备注：（</w:t>
            </w:r>
            <w:r>
              <w:rPr>
                <w:rFonts w:asciiTheme="minorEastAsia" w:hAnsiTheme="minorEastAsia" w:eastAsiaTheme="minorEastAsia"/>
                <w:color w:val="000000"/>
                <w:sz w:val="21"/>
                <w:szCs w:val="21"/>
                <w:highlight w:val="none"/>
              </w:rPr>
              <w:t>1</w:t>
            </w:r>
            <w:r>
              <w:rPr>
                <w:rFonts w:hint="eastAsia" w:asciiTheme="minorEastAsia" w:hAnsiTheme="minorEastAsia" w:eastAsiaTheme="minorEastAsia"/>
                <w:color w:val="000000"/>
                <w:sz w:val="21"/>
                <w:szCs w:val="21"/>
                <w:highlight w:val="none"/>
              </w:rPr>
              <w:t>）</w:t>
            </w:r>
            <w:r>
              <w:rPr>
                <w:rFonts w:hint="eastAsia" w:asciiTheme="minorEastAsia" w:hAnsiTheme="minorEastAsia" w:eastAsiaTheme="minorEastAsia"/>
                <w:color w:val="000000"/>
                <w:sz w:val="21"/>
                <w:szCs w:val="21"/>
                <w:highlight w:val="none"/>
                <w:lang w:val="zh-CN"/>
              </w:rPr>
              <w:t>投标人的商务技术分不满3</w:t>
            </w:r>
            <w:r>
              <w:rPr>
                <w:rFonts w:hint="eastAsia" w:asciiTheme="minorEastAsia" w:hAnsiTheme="minorEastAsia" w:eastAsiaTheme="minorEastAsia"/>
                <w:color w:val="000000"/>
                <w:sz w:val="21"/>
                <w:szCs w:val="21"/>
                <w:highlight w:val="none"/>
              </w:rPr>
              <w:t>0</w:t>
            </w:r>
            <w:r>
              <w:rPr>
                <w:rFonts w:hint="eastAsia" w:asciiTheme="minorEastAsia" w:hAnsiTheme="minorEastAsia" w:eastAsiaTheme="minorEastAsia"/>
                <w:color w:val="000000"/>
                <w:sz w:val="21"/>
                <w:szCs w:val="21"/>
                <w:highlight w:val="none"/>
                <w:lang w:val="zh-CN"/>
              </w:rPr>
              <w:t>分，则视为无效投标文件。</w:t>
            </w:r>
          </w:p>
          <w:p w14:paraId="2807DB78">
            <w:pPr>
              <w:pStyle w:val="2"/>
              <w:spacing w:line="300" w:lineRule="exact"/>
              <w:ind w:firstLine="630" w:firstLineChars="300"/>
              <w:jc w:val="left"/>
              <w:rPr>
                <w:rFonts w:hint="eastAsia" w:asciiTheme="minorEastAsia" w:hAnsiTheme="minorEastAsia" w:eastAsiaTheme="minorEastAsia"/>
                <w:color w:val="000000"/>
                <w:sz w:val="21"/>
                <w:szCs w:val="21"/>
                <w:highlight w:val="none"/>
              </w:rPr>
            </w:pPr>
            <w:r>
              <w:rPr>
                <w:rFonts w:hint="eastAsia" w:asciiTheme="minorEastAsia" w:hAnsiTheme="minorEastAsia" w:eastAsiaTheme="minorEastAsia"/>
                <w:color w:val="000000"/>
                <w:sz w:val="21"/>
                <w:szCs w:val="21"/>
                <w:highlight w:val="none"/>
              </w:rPr>
              <w:t>（2）投标人提供的所有证明材料均须为原件扫描件，且真实有效、清晰明了，若弄虚作假的，则采购人有权取消其中标资格，并上报相关行政监督部门，记不良行为记录。</w:t>
            </w:r>
          </w:p>
        </w:tc>
      </w:tr>
    </w:tbl>
    <w:p w14:paraId="0B02A9B6">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highlight w:val="none"/>
          <w:lang w:val="en-US" w:eastAsia="zh-CN"/>
        </w:rPr>
      </w:pPr>
    </w:p>
    <w:p w14:paraId="55A29E0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val="0"/>
          <w:bCs w:val="0"/>
          <w:color w:val="000000"/>
          <w:sz w:val="24"/>
          <w:highlight w:val="none"/>
          <w:lang w:val="en-US" w:eastAsia="zh-CN"/>
        </w:rPr>
      </w:pPr>
      <w:r>
        <w:rPr>
          <w:rFonts w:hint="eastAsia" w:ascii="宋体" w:hAnsi="宋体" w:cs="宋体"/>
          <w:b/>
          <w:bCs/>
          <w:color w:val="000000"/>
          <w:sz w:val="24"/>
          <w:highlight w:val="none"/>
          <w:lang w:val="en-US" w:eastAsia="zh-CN"/>
        </w:rPr>
        <w:t>更正内容2：</w:t>
      </w:r>
      <w:r>
        <w:rPr>
          <w:rFonts w:hint="eastAsia" w:ascii="宋体" w:hAnsi="宋体" w:cs="宋体"/>
          <w:b w:val="0"/>
          <w:bCs w:val="0"/>
          <w:color w:val="000000"/>
          <w:sz w:val="24"/>
          <w:highlight w:val="none"/>
          <w:lang w:val="en-US" w:eastAsia="zh-CN"/>
        </w:rPr>
        <w:t>采购文件“第一部分  竞争性磋商公告”-“四、提交响应文件截止时间、磋商时间和地点”-“2026年10月</w:t>
      </w:r>
      <w:r>
        <w:rPr>
          <w:rFonts w:hint="eastAsia" w:ascii="宋体" w:hAnsi="宋体" w:cs="宋体"/>
          <w:b w:val="0"/>
          <w:bCs w:val="0"/>
          <w:color w:val="000000"/>
          <w:sz w:val="24"/>
          <w:highlight w:val="none"/>
          <w:lang w:val="en-US" w:eastAsia="zh-CN"/>
        </w:rPr>
        <w:t>14日</w:t>
      </w:r>
      <w:r>
        <w:rPr>
          <w:rFonts w:hint="eastAsia" w:ascii="宋体" w:hAnsi="宋体" w:cs="宋体"/>
          <w:b w:val="0"/>
          <w:bCs w:val="0"/>
          <w:color w:val="000000"/>
          <w:sz w:val="24"/>
          <w:highlight w:val="none"/>
          <w:lang w:val="en-US" w:eastAsia="zh-CN"/>
        </w:rPr>
        <w:t>9点00分（北京时间）”</w:t>
      </w:r>
    </w:p>
    <w:p w14:paraId="2BE242EF">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highlight w:val="none"/>
          <w:lang w:val="en-US" w:eastAsia="zh-CN"/>
        </w:rPr>
      </w:pPr>
      <w:r>
        <w:rPr>
          <w:rFonts w:hint="eastAsia" w:ascii="宋体" w:hAnsi="宋体" w:cs="宋体"/>
          <w:b w:val="0"/>
          <w:bCs w:val="0"/>
          <w:color w:val="000000"/>
          <w:sz w:val="24"/>
          <w:highlight w:val="none"/>
          <w:lang w:val="en-US" w:eastAsia="zh-CN"/>
        </w:rPr>
        <w:t>现更正为：2026年10月</w:t>
      </w:r>
      <w:r>
        <w:rPr>
          <w:rFonts w:hint="eastAsia" w:ascii="宋体" w:hAnsi="宋体" w:cs="宋体"/>
          <w:b w:val="0"/>
          <w:bCs w:val="0"/>
          <w:color w:val="000000"/>
          <w:sz w:val="24"/>
          <w:highlight w:val="none"/>
          <w:lang w:val="en-US" w:eastAsia="zh-CN"/>
        </w:rPr>
        <w:t>23日</w:t>
      </w:r>
      <w:r>
        <w:rPr>
          <w:rFonts w:hint="eastAsia" w:ascii="宋体" w:hAnsi="宋体" w:cs="宋体"/>
          <w:b w:val="0"/>
          <w:bCs w:val="0"/>
          <w:color w:val="000000"/>
          <w:sz w:val="24"/>
          <w:highlight w:val="none"/>
          <w:lang w:val="en-US" w:eastAsia="zh-CN"/>
        </w:rPr>
        <w:t>9:00分（北京时间）</w:t>
      </w:r>
    </w:p>
    <w:p w14:paraId="2A0F82F4">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bCs/>
          <w:color w:val="000000"/>
          <w:sz w:val="24"/>
          <w:highlight w:val="none"/>
          <w:lang w:val="en-US" w:eastAsia="zh-CN"/>
        </w:rPr>
      </w:pPr>
    </w:p>
    <w:p w14:paraId="46993195">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highlight w:val="none"/>
          <w:lang w:val="en-US" w:eastAsia="zh-CN"/>
        </w:rPr>
      </w:pPr>
      <w:r>
        <w:rPr>
          <w:rFonts w:hint="eastAsia" w:ascii="宋体" w:hAnsi="宋体" w:cs="宋体"/>
          <w:b w:val="0"/>
          <w:bCs w:val="0"/>
          <w:color w:val="000000"/>
          <w:sz w:val="24"/>
          <w:highlight w:val="none"/>
          <w:lang w:val="en-US" w:eastAsia="zh-CN"/>
        </w:rPr>
        <w:t>更正日期：</w:t>
      </w:r>
      <w:r>
        <w:rPr>
          <w:rFonts w:hint="eastAsia" w:ascii="宋体" w:hAnsi="宋体" w:cs="宋体"/>
          <w:color w:val="000000"/>
          <w:sz w:val="24"/>
          <w:highlight w:val="none"/>
        </w:rPr>
        <w:t>202</w:t>
      </w:r>
      <w:r>
        <w:rPr>
          <w:rFonts w:hint="eastAsia" w:ascii="宋体" w:hAnsi="宋体" w:cs="宋体"/>
          <w:color w:val="000000"/>
          <w:sz w:val="24"/>
          <w:highlight w:val="none"/>
          <w:lang w:val="en-US" w:eastAsia="zh-CN"/>
        </w:rPr>
        <w:t>6</w:t>
      </w:r>
      <w:r>
        <w:rPr>
          <w:rFonts w:hint="eastAsia" w:ascii="宋体" w:hAnsi="宋体" w:cs="宋体"/>
          <w:color w:val="000000"/>
          <w:sz w:val="24"/>
          <w:highlight w:val="none"/>
        </w:rPr>
        <w:t>年</w:t>
      </w:r>
      <w:r>
        <w:rPr>
          <w:rFonts w:hint="eastAsia" w:ascii="宋体" w:hAnsi="宋体" w:cs="宋体"/>
          <w:color w:val="000000"/>
          <w:sz w:val="24"/>
          <w:highlight w:val="none"/>
          <w:lang w:val="en-US" w:eastAsia="zh-CN"/>
        </w:rPr>
        <w:t>10</w:t>
      </w:r>
      <w:r>
        <w:rPr>
          <w:rFonts w:hint="eastAsia" w:ascii="宋体" w:hAnsi="宋体" w:cs="宋体"/>
          <w:color w:val="000000"/>
          <w:sz w:val="24"/>
          <w:highlight w:val="none"/>
        </w:rPr>
        <w:t>月</w:t>
      </w:r>
      <w:r>
        <w:rPr>
          <w:rFonts w:hint="eastAsia" w:ascii="宋体" w:hAnsi="宋体" w:cs="宋体"/>
          <w:color w:val="000000"/>
          <w:sz w:val="24"/>
          <w:highlight w:val="none"/>
          <w:lang w:val="en-US" w:eastAsia="zh-CN"/>
        </w:rPr>
        <w:t>12</w:t>
      </w:r>
      <w:r>
        <w:rPr>
          <w:rFonts w:hint="eastAsia" w:ascii="宋体" w:hAnsi="宋体" w:cs="宋体"/>
          <w:color w:val="000000"/>
          <w:sz w:val="24"/>
          <w:highlight w:val="none"/>
        </w:rPr>
        <w:t>日</w:t>
      </w:r>
    </w:p>
    <w:p w14:paraId="469EC777">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jc w:val="left"/>
        <w:textAlignment w:val="auto"/>
        <w:rPr>
          <w:rFonts w:hint="eastAsia" w:ascii="宋体" w:hAnsi="宋体" w:cs="宋体"/>
          <w:b w:val="0"/>
          <w:bCs w:val="0"/>
          <w:color w:val="000000"/>
          <w:sz w:val="24"/>
          <w:highlight w:val="none"/>
          <w:lang w:val="en-US" w:eastAsia="zh-CN"/>
        </w:rPr>
      </w:pPr>
      <w:r>
        <w:rPr>
          <w:rFonts w:hint="eastAsia" w:ascii="宋体" w:hAnsi="宋体" w:cs="宋体"/>
          <w:b w:val="0"/>
          <w:bCs w:val="0"/>
          <w:color w:val="000000"/>
          <w:sz w:val="24"/>
          <w:highlight w:val="none"/>
          <w:lang w:val="en-US" w:eastAsia="zh-CN"/>
        </w:rPr>
        <w:t>三、其他补充事宜</w:t>
      </w:r>
    </w:p>
    <w:p w14:paraId="6CAF86A3">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firstLine="480" w:firstLineChars="200"/>
        <w:jc w:val="left"/>
        <w:textAlignment w:val="auto"/>
        <w:rPr>
          <w:rFonts w:hint="default" w:ascii="宋体" w:hAnsi="宋体" w:eastAsia="宋体" w:cs="宋体"/>
          <w:b w:val="0"/>
          <w:bCs w:val="0"/>
          <w:color w:val="000000"/>
          <w:sz w:val="24"/>
          <w:highlight w:val="none"/>
          <w:lang w:val="en-US" w:eastAsia="zh-CN"/>
        </w:rPr>
      </w:pPr>
      <w:r>
        <w:rPr>
          <w:rFonts w:hint="eastAsia" w:ascii="宋体" w:hAnsi="宋体" w:eastAsia="宋体" w:cs="宋体"/>
          <w:b w:val="0"/>
          <w:bCs w:val="0"/>
          <w:color w:val="000000"/>
          <w:sz w:val="24"/>
          <w:highlight w:val="none"/>
          <w:lang w:val="en-US" w:eastAsia="zh-CN"/>
        </w:rPr>
        <w:t>无</w:t>
      </w:r>
    </w:p>
    <w:p w14:paraId="3E7AA5A7">
      <w:pPr>
        <w:keepNext w:val="0"/>
        <w:keepLines w:val="0"/>
        <w:pageBreakBefore w:val="0"/>
        <w:kinsoku/>
        <w:wordWrap/>
        <w:overflowPunct/>
        <w:topLinePunct w:val="0"/>
        <w:autoSpaceDE/>
        <w:autoSpaceDN/>
        <w:bidi w:val="0"/>
        <w:adjustRightInd/>
        <w:snapToGrid w:val="0"/>
        <w:spacing w:line="420" w:lineRule="exact"/>
        <w:ind w:left="0" w:right="0"/>
        <w:textAlignment w:val="auto"/>
        <w:rPr>
          <w:rFonts w:hint="eastAsia" w:ascii="宋体" w:hAnsi="宋体" w:cs="宋体"/>
          <w:b w:val="0"/>
          <w:bCs w:val="0"/>
          <w:color w:val="000000"/>
          <w:sz w:val="24"/>
          <w:highlight w:val="none"/>
        </w:rPr>
      </w:pPr>
      <w:r>
        <w:rPr>
          <w:rFonts w:hint="eastAsia" w:ascii="宋体" w:hAnsi="宋体" w:cs="宋体"/>
          <w:b w:val="0"/>
          <w:bCs w:val="0"/>
          <w:color w:val="000000"/>
          <w:sz w:val="24"/>
          <w:highlight w:val="none"/>
          <w:lang w:val="en-US" w:eastAsia="zh-CN"/>
        </w:rPr>
        <w:t>四</w:t>
      </w:r>
      <w:r>
        <w:rPr>
          <w:rFonts w:hint="eastAsia" w:ascii="宋体" w:hAnsi="宋体" w:cs="宋体"/>
          <w:b w:val="0"/>
          <w:bCs w:val="0"/>
          <w:color w:val="000000"/>
          <w:sz w:val="24"/>
          <w:highlight w:val="none"/>
        </w:rPr>
        <w:t>、凡对本次公告内容提出询问，请按以下方式联系。</w:t>
      </w:r>
    </w:p>
    <w:p w14:paraId="10382FC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1.采购人信息</w:t>
      </w:r>
    </w:p>
    <w:p w14:paraId="199B0BC6">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名  称：启东市动物疫病预防控制中心　　　　　　　　　　　　</w:t>
      </w:r>
    </w:p>
    <w:p w14:paraId="7CD84EEA">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地  址：启东市紫薇中路578号</w:t>
      </w:r>
    </w:p>
    <w:p w14:paraId="5500681E">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联系人：丁先生</w:t>
      </w:r>
    </w:p>
    <w:p w14:paraId="72E4C47F">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联系方式：0513-83312746</w:t>
      </w:r>
    </w:p>
    <w:p w14:paraId="0DC6961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cs="仿宋"/>
          <w:spacing w:val="7"/>
          <w:kern w:val="0"/>
          <w:sz w:val="24"/>
          <w:szCs w:val="24"/>
          <w:highlight w:val="none"/>
          <w:lang w:val="en-US" w:eastAsia="zh-CN"/>
        </w:rPr>
        <w:t>2.</w:t>
      </w:r>
      <w:r>
        <w:rPr>
          <w:rFonts w:hint="eastAsia" w:ascii="宋体" w:hAnsi="宋体" w:eastAsia="宋体" w:cs="仿宋"/>
          <w:spacing w:val="7"/>
          <w:kern w:val="0"/>
          <w:sz w:val="24"/>
          <w:szCs w:val="24"/>
          <w:highlight w:val="none"/>
          <w:lang w:eastAsia="zh-CN"/>
        </w:rPr>
        <w:t>采购代理机构</w:t>
      </w:r>
    </w:p>
    <w:p w14:paraId="29F412CA">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名称：上海祥浦建设工程监理咨询有限责任公司</w:t>
      </w:r>
    </w:p>
    <w:p w14:paraId="5C548BE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地址：启东市汇龙镇江海中路579号建都大厦2#3F</w:t>
      </w:r>
    </w:p>
    <w:p w14:paraId="6E8304F2">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val="en-US" w:eastAsia="zh-CN"/>
        </w:rPr>
      </w:pPr>
      <w:r>
        <w:rPr>
          <w:rFonts w:hint="eastAsia" w:ascii="宋体" w:hAnsi="宋体" w:eastAsia="宋体" w:cs="仿宋"/>
          <w:spacing w:val="7"/>
          <w:kern w:val="0"/>
          <w:sz w:val="24"/>
          <w:szCs w:val="24"/>
          <w:highlight w:val="none"/>
          <w:lang w:eastAsia="zh-CN"/>
        </w:rPr>
        <w:t>联系人：</w:t>
      </w:r>
      <w:r>
        <w:rPr>
          <w:rFonts w:hint="eastAsia" w:ascii="宋体" w:hAnsi="宋体" w:eastAsia="宋体" w:cs="仿宋"/>
          <w:spacing w:val="7"/>
          <w:kern w:val="0"/>
          <w:sz w:val="24"/>
          <w:szCs w:val="24"/>
          <w:highlight w:val="none"/>
          <w:lang w:val="en-US" w:eastAsia="zh-CN"/>
        </w:rPr>
        <w:t>俞桂银</w:t>
      </w:r>
    </w:p>
    <w:p w14:paraId="224D01B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联系方式：0513-83721688</w:t>
      </w:r>
    </w:p>
    <w:p w14:paraId="2FD51376">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cs="仿宋"/>
          <w:spacing w:val="7"/>
          <w:kern w:val="0"/>
          <w:sz w:val="24"/>
          <w:szCs w:val="24"/>
          <w:highlight w:val="none"/>
          <w:lang w:val="en-US" w:eastAsia="zh-CN"/>
        </w:rPr>
        <w:t>3.</w:t>
      </w:r>
      <w:r>
        <w:rPr>
          <w:rFonts w:hint="eastAsia" w:ascii="宋体" w:hAnsi="宋体" w:eastAsia="宋体" w:cs="仿宋"/>
          <w:spacing w:val="7"/>
          <w:kern w:val="0"/>
          <w:sz w:val="24"/>
          <w:szCs w:val="24"/>
          <w:highlight w:val="none"/>
          <w:lang w:eastAsia="zh-CN"/>
        </w:rPr>
        <w:t>软件技术支持</w:t>
      </w:r>
    </w:p>
    <w:p w14:paraId="791B41F1">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highlight w:val="none"/>
          <w:lang w:eastAsia="zh-CN"/>
        </w:rPr>
      </w:pPr>
      <w:r>
        <w:rPr>
          <w:rFonts w:hint="eastAsia" w:ascii="宋体" w:hAnsi="宋体" w:eastAsia="宋体" w:cs="仿宋"/>
          <w:spacing w:val="7"/>
          <w:kern w:val="0"/>
          <w:sz w:val="24"/>
          <w:szCs w:val="24"/>
          <w:highlight w:val="none"/>
          <w:lang w:eastAsia="zh-CN"/>
        </w:rPr>
        <w:t>交易系统软件维护人员：0519-86722801、0519-86722806</w:t>
      </w:r>
    </w:p>
    <w:p w14:paraId="54E46CBF">
      <w:pPr>
        <w:keepNext w:val="0"/>
        <w:keepLines w:val="0"/>
        <w:pageBreakBefore w:val="0"/>
        <w:widowControl w:val="0"/>
        <w:kinsoku/>
        <w:wordWrap/>
        <w:overflowPunct/>
        <w:topLinePunct w:val="0"/>
        <w:autoSpaceDE/>
        <w:autoSpaceDN/>
        <w:bidi w:val="0"/>
        <w:adjustRightInd/>
        <w:spacing w:line="420" w:lineRule="exact"/>
        <w:ind w:left="0"/>
        <w:jc w:val="right"/>
        <w:textAlignment w:val="auto"/>
        <w:rPr>
          <w:rFonts w:hint="eastAsia" w:ascii="宋体" w:hAnsi="宋体" w:eastAsia="宋体" w:cs="仿宋"/>
          <w:spacing w:val="7"/>
          <w:kern w:val="0"/>
          <w:sz w:val="24"/>
          <w:szCs w:val="24"/>
          <w:highlight w:val="none"/>
          <w:lang w:eastAsia="zh-CN"/>
        </w:rPr>
      </w:pPr>
    </w:p>
    <w:sectPr>
      <w:pgSz w:w="11906" w:h="16838"/>
      <w:pgMar w:top="1240" w:right="1486" w:bottom="1351"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FE611"/>
    <w:multiLevelType w:val="singleLevel"/>
    <w:tmpl w:val="8E5FE6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kN2E3MzAyNjU0NjQ4ODE5YWUwZjJiN2U0MDhiMjAifQ=="/>
  </w:docVars>
  <w:rsids>
    <w:rsidRoot w:val="00000000"/>
    <w:rsid w:val="0012483F"/>
    <w:rsid w:val="003E5B73"/>
    <w:rsid w:val="004D3A5D"/>
    <w:rsid w:val="005F037B"/>
    <w:rsid w:val="006B4F71"/>
    <w:rsid w:val="00840F7A"/>
    <w:rsid w:val="00E02424"/>
    <w:rsid w:val="012D66CB"/>
    <w:rsid w:val="0213141D"/>
    <w:rsid w:val="021A09FD"/>
    <w:rsid w:val="02A46519"/>
    <w:rsid w:val="02FD4712"/>
    <w:rsid w:val="04194840"/>
    <w:rsid w:val="043F2F66"/>
    <w:rsid w:val="05852C62"/>
    <w:rsid w:val="05882122"/>
    <w:rsid w:val="05B253F0"/>
    <w:rsid w:val="05C8441B"/>
    <w:rsid w:val="05EA06E6"/>
    <w:rsid w:val="05FD666C"/>
    <w:rsid w:val="06367DD0"/>
    <w:rsid w:val="064614D7"/>
    <w:rsid w:val="06500E91"/>
    <w:rsid w:val="07307E85"/>
    <w:rsid w:val="07F817E1"/>
    <w:rsid w:val="082223BA"/>
    <w:rsid w:val="083F6977"/>
    <w:rsid w:val="094A42A7"/>
    <w:rsid w:val="09510A7C"/>
    <w:rsid w:val="0AA502F4"/>
    <w:rsid w:val="0AC10562"/>
    <w:rsid w:val="0BD05BCE"/>
    <w:rsid w:val="0C594818"/>
    <w:rsid w:val="0D197B03"/>
    <w:rsid w:val="0D7A0A02"/>
    <w:rsid w:val="0E450FD8"/>
    <w:rsid w:val="0EC85EC3"/>
    <w:rsid w:val="0F0671E1"/>
    <w:rsid w:val="0F5C4890"/>
    <w:rsid w:val="10173D5F"/>
    <w:rsid w:val="10741736"/>
    <w:rsid w:val="11812847"/>
    <w:rsid w:val="11B61DC5"/>
    <w:rsid w:val="11D205D7"/>
    <w:rsid w:val="12125011"/>
    <w:rsid w:val="121D1E44"/>
    <w:rsid w:val="126B7053"/>
    <w:rsid w:val="131A01EF"/>
    <w:rsid w:val="133B07D3"/>
    <w:rsid w:val="13456871"/>
    <w:rsid w:val="13CF716E"/>
    <w:rsid w:val="14370B91"/>
    <w:rsid w:val="146C0855"/>
    <w:rsid w:val="14D7277E"/>
    <w:rsid w:val="15EF4CF6"/>
    <w:rsid w:val="167209B0"/>
    <w:rsid w:val="16B64F71"/>
    <w:rsid w:val="16E66CC4"/>
    <w:rsid w:val="17BB6387"/>
    <w:rsid w:val="183D50BE"/>
    <w:rsid w:val="19A047BC"/>
    <w:rsid w:val="19FF56DF"/>
    <w:rsid w:val="1A613215"/>
    <w:rsid w:val="1A6C4655"/>
    <w:rsid w:val="1AB11C1B"/>
    <w:rsid w:val="1B8A22F8"/>
    <w:rsid w:val="1C964CCC"/>
    <w:rsid w:val="1CCC0028"/>
    <w:rsid w:val="1D6E17A5"/>
    <w:rsid w:val="1E2A7BD7"/>
    <w:rsid w:val="1F8044A1"/>
    <w:rsid w:val="20146634"/>
    <w:rsid w:val="2040567B"/>
    <w:rsid w:val="209D487B"/>
    <w:rsid w:val="20B92D7D"/>
    <w:rsid w:val="22602004"/>
    <w:rsid w:val="22B8599C"/>
    <w:rsid w:val="22F80095"/>
    <w:rsid w:val="232878D0"/>
    <w:rsid w:val="23FE3883"/>
    <w:rsid w:val="24A26904"/>
    <w:rsid w:val="24C85C3F"/>
    <w:rsid w:val="25143AEB"/>
    <w:rsid w:val="264D65A7"/>
    <w:rsid w:val="27066B06"/>
    <w:rsid w:val="275A34C6"/>
    <w:rsid w:val="277F13CF"/>
    <w:rsid w:val="28702875"/>
    <w:rsid w:val="287265EE"/>
    <w:rsid w:val="295B01C9"/>
    <w:rsid w:val="29991AE9"/>
    <w:rsid w:val="29EB2AFB"/>
    <w:rsid w:val="2A13795C"/>
    <w:rsid w:val="2CD82BFA"/>
    <w:rsid w:val="2D401184"/>
    <w:rsid w:val="2E3F51C4"/>
    <w:rsid w:val="2E935510"/>
    <w:rsid w:val="2FC51AF0"/>
    <w:rsid w:val="2FD67CB4"/>
    <w:rsid w:val="30075E17"/>
    <w:rsid w:val="30593890"/>
    <w:rsid w:val="30607673"/>
    <w:rsid w:val="3134454A"/>
    <w:rsid w:val="31EC5663"/>
    <w:rsid w:val="337E22EA"/>
    <w:rsid w:val="340547BA"/>
    <w:rsid w:val="34485309"/>
    <w:rsid w:val="354166AD"/>
    <w:rsid w:val="359961F6"/>
    <w:rsid w:val="35A31B70"/>
    <w:rsid w:val="35E548A3"/>
    <w:rsid w:val="367C62F2"/>
    <w:rsid w:val="37DE5C46"/>
    <w:rsid w:val="37E731E8"/>
    <w:rsid w:val="382316B2"/>
    <w:rsid w:val="38A21DBF"/>
    <w:rsid w:val="39295B3A"/>
    <w:rsid w:val="39E92488"/>
    <w:rsid w:val="3A291C8B"/>
    <w:rsid w:val="3A5B15D7"/>
    <w:rsid w:val="3A7C32FC"/>
    <w:rsid w:val="3AE51DA6"/>
    <w:rsid w:val="3AFB6916"/>
    <w:rsid w:val="3AFE56D9"/>
    <w:rsid w:val="3BC74A4B"/>
    <w:rsid w:val="3BC92571"/>
    <w:rsid w:val="3C0D2993"/>
    <w:rsid w:val="3C110337"/>
    <w:rsid w:val="3C805325"/>
    <w:rsid w:val="3CC65F65"/>
    <w:rsid w:val="3CE066FE"/>
    <w:rsid w:val="3DEE62BF"/>
    <w:rsid w:val="3E832D4A"/>
    <w:rsid w:val="3E90381A"/>
    <w:rsid w:val="3F5C6138"/>
    <w:rsid w:val="3F78241F"/>
    <w:rsid w:val="403703F1"/>
    <w:rsid w:val="40B2186E"/>
    <w:rsid w:val="422412BC"/>
    <w:rsid w:val="423A4ED4"/>
    <w:rsid w:val="424741EF"/>
    <w:rsid w:val="42A15E9F"/>
    <w:rsid w:val="44242A3A"/>
    <w:rsid w:val="467528E5"/>
    <w:rsid w:val="46905DAD"/>
    <w:rsid w:val="46D85CF7"/>
    <w:rsid w:val="47756433"/>
    <w:rsid w:val="47A45C40"/>
    <w:rsid w:val="47F22E4F"/>
    <w:rsid w:val="48482A6F"/>
    <w:rsid w:val="48623FE3"/>
    <w:rsid w:val="48E1539E"/>
    <w:rsid w:val="48EA50E9"/>
    <w:rsid w:val="49647D7D"/>
    <w:rsid w:val="49AD5280"/>
    <w:rsid w:val="4AEC4050"/>
    <w:rsid w:val="4BC9452D"/>
    <w:rsid w:val="4C003D8D"/>
    <w:rsid w:val="4CBB5F06"/>
    <w:rsid w:val="4CFD651E"/>
    <w:rsid w:val="4D111FCA"/>
    <w:rsid w:val="4D6E1214"/>
    <w:rsid w:val="4DA44BEC"/>
    <w:rsid w:val="50324731"/>
    <w:rsid w:val="50CC06E1"/>
    <w:rsid w:val="51022355"/>
    <w:rsid w:val="518B10AD"/>
    <w:rsid w:val="51BD002A"/>
    <w:rsid w:val="52222330"/>
    <w:rsid w:val="53EE4E13"/>
    <w:rsid w:val="540B7773"/>
    <w:rsid w:val="546E6199"/>
    <w:rsid w:val="549C78B2"/>
    <w:rsid w:val="551B421C"/>
    <w:rsid w:val="552810B5"/>
    <w:rsid w:val="55366DE6"/>
    <w:rsid w:val="564927D4"/>
    <w:rsid w:val="56FC15F5"/>
    <w:rsid w:val="589576C9"/>
    <w:rsid w:val="599E2E37"/>
    <w:rsid w:val="59E25F23"/>
    <w:rsid w:val="5A8738CB"/>
    <w:rsid w:val="5AB67D0C"/>
    <w:rsid w:val="5AB81CD6"/>
    <w:rsid w:val="5B3A53A5"/>
    <w:rsid w:val="5B5A324E"/>
    <w:rsid w:val="5C700ABB"/>
    <w:rsid w:val="5C99493E"/>
    <w:rsid w:val="5CB00D05"/>
    <w:rsid w:val="5DAB16FF"/>
    <w:rsid w:val="5E761C8C"/>
    <w:rsid w:val="5E9B16F3"/>
    <w:rsid w:val="5F3D09FC"/>
    <w:rsid w:val="5F9F0B0D"/>
    <w:rsid w:val="5FE5531C"/>
    <w:rsid w:val="617050B9"/>
    <w:rsid w:val="61A06CED"/>
    <w:rsid w:val="622F0AD0"/>
    <w:rsid w:val="62E25B42"/>
    <w:rsid w:val="63952BB5"/>
    <w:rsid w:val="63ED29F1"/>
    <w:rsid w:val="645C36D2"/>
    <w:rsid w:val="660B53B0"/>
    <w:rsid w:val="670B2782"/>
    <w:rsid w:val="671026BC"/>
    <w:rsid w:val="67184229"/>
    <w:rsid w:val="67BA377B"/>
    <w:rsid w:val="67E86793"/>
    <w:rsid w:val="68F61043"/>
    <w:rsid w:val="6908207B"/>
    <w:rsid w:val="696279DD"/>
    <w:rsid w:val="6A250FDA"/>
    <w:rsid w:val="6A9C2751"/>
    <w:rsid w:val="6B4078AA"/>
    <w:rsid w:val="6C97174C"/>
    <w:rsid w:val="6D7221B9"/>
    <w:rsid w:val="6DA00B15"/>
    <w:rsid w:val="6DB760D4"/>
    <w:rsid w:val="6E301E58"/>
    <w:rsid w:val="6F6D2C38"/>
    <w:rsid w:val="6F8D32DA"/>
    <w:rsid w:val="6FCD38F6"/>
    <w:rsid w:val="7178448F"/>
    <w:rsid w:val="71A44267"/>
    <w:rsid w:val="73FD5A3A"/>
    <w:rsid w:val="749B4CE4"/>
    <w:rsid w:val="74C74B98"/>
    <w:rsid w:val="75230A69"/>
    <w:rsid w:val="75481A38"/>
    <w:rsid w:val="759C6025"/>
    <w:rsid w:val="763D4BBB"/>
    <w:rsid w:val="789B66C9"/>
    <w:rsid w:val="79CC67BB"/>
    <w:rsid w:val="7AEA7832"/>
    <w:rsid w:val="7BC167E5"/>
    <w:rsid w:val="7C3B5254"/>
    <w:rsid w:val="7CC61BD9"/>
    <w:rsid w:val="7D190C89"/>
    <w:rsid w:val="7F1F0478"/>
    <w:rsid w:val="7F630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99"/>
    <w:pPr>
      <w:spacing w:after="120"/>
    </w:pPr>
    <w:rPr>
      <w:kern w:val="0"/>
      <w:sz w:val="24"/>
      <w:szCs w:val="24"/>
    </w:rPr>
  </w:style>
  <w:style w:type="paragraph" w:styleId="3">
    <w:name w:val="Body Text Indent"/>
    <w:basedOn w:val="1"/>
    <w:next w:val="4"/>
    <w:qFormat/>
    <w:uiPriority w:val="0"/>
    <w:pPr>
      <w:ind w:left="765"/>
    </w:pPr>
    <w:rPr>
      <w:rFonts w:ascii="仿宋_GB2312" w:eastAsia="仿宋_GB2312"/>
      <w:kern w:val="0"/>
      <w:sz w:val="28"/>
      <w:szCs w:val="20"/>
    </w:rPr>
  </w:style>
  <w:style w:type="paragraph" w:styleId="4">
    <w:name w:val="envelope return"/>
    <w:basedOn w:val="1"/>
    <w:autoRedefine/>
    <w:qFormat/>
    <w:uiPriority w:val="0"/>
    <w:pPr>
      <w:snapToGrid w:val="0"/>
    </w:pPr>
    <w:rPr>
      <w:rFonts w:ascii="Arial" w:hAnsi="Arial"/>
    </w:rPr>
  </w:style>
  <w:style w:type="paragraph" w:styleId="5">
    <w:name w:val="footer"/>
    <w:basedOn w:val="1"/>
    <w:unhideWhenUsed/>
    <w:qFormat/>
    <w:uiPriority w:val="99"/>
    <w:pPr>
      <w:tabs>
        <w:tab w:val="center" w:pos="7143"/>
        <w:tab w:val="right" w:pos="14287"/>
      </w:tabs>
    </w:pPr>
  </w:style>
  <w:style w:type="paragraph" w:styleId="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w:basedOn w:val="2"/>
    <w:autoRedefine/>
    <w:qFormat/>
    <w:uiPriority w:val="0"/>
    <w:pPr>
      <w:spacing w:after="120"/>
      <w:ind w:firstLine="420" w:firstLineChars="100"/>
    </w:pPr>
    <w:rPr>
      <w:rFonts w:ascii="Times New Roman" w:eastAsia="宋体"/>
      <w:szCs w:val="24"/>
    </w:rPr>
  </w:style>
  <w:style w:type="paragraph" w:styleId="9">
    <w:name w:val="Body Text First Indent 2"/>
    <w:basedOn w:val="3"/>
    <w:autoRedefine/>
    <w:qFormat/>
    <w:uiPriority w:val="0"/>
    <w:pPr>
      <w:spacing w:after="120"/>
      <w:ind w:firstLine="200" w:firstLineChars="200"/>
    </w:pPr>
  </w:style>
  <w:style w:type="character" w:styleId="12">
    <w:name w:val="Strong"/>
    <w:basedOn w:val="11"/>
    <w:autoRedefine/>
    <w:qFormat/>
    <w:uiPriority w:val="0"/>
    <w:rPr>
      <w:b/>
      <w:bCs/>
    </w:rPr>
  </w:style>
  <w:style w:type="character" w:styleId="13">
    <w:name w:val="FollowedHyperlink"/>
    <w:basedOn w:val="11"/>
    <w:autoRedefine/>
    <w:qFormat/>
    <w:uiPriority w:val="0"/>
    <w:rPr>
      <w:color w:val="800080"/>
      <w:u w:val="none"/>
    </w:rPr>
  </w:style>
  <w:style w:type="character" w:styleId="14">
    <w:name w:val="Emphasis"/>
    <w:basedOn w:val="11"/>
    <w:autoRedefine/>
    <w:qFormat/>
    <w:uiPriority w:val="0"/>
    <w:rPr>
      <w:b/>
      <w:bCs/>
    </w:rPr>
  </w:style>
  <w:style w:type="character" w:styleId="15">
    <w:name w:val="HTML Definition"/>
    <w:basedOn w:val="11"/>
    <w:autoRedefine/>
    <w:qFormat/>
    <w:uiPriority w:val="0"/>
    <w:rPr>
      <w:vanish/>
    </w:rPr>
  </w:style>
  <w:style w:type="character" w:styleId="16">
    <w:name w:val="HTML Typewriter"/>
    <w:basedOn w:val="11"/>
    <w:autoRedefine/>
    <w:qFormat/>
    <w:uiPriority w:val="0"/>
    <w:rPr>
      <w:rFonts w:hint="default" w:ascii="monospace" w:hAnsi="monospace" w:eastAsia="monospace" w:cs="monospace"/>
      <w:sz w:val="20"/>
    </w:rPr>
  </w:style>
  <w:style w:type="character" w:styleId="17">
    <w:name w:val="HTML Acronym"/>
    <w:basedOn w:val="11"/>
    <w:autoRedefine/>
    <w:qFormat/>
    <w:uiPriority w:val="0"/>
    <w:rPr>
      <w:bdr w:val="single" w:color="999999" w:sz="2" w:space="0"/>
    </w:rPr>
  </w:style>
  <w:style w:type="character" w:styleId="18">
    <w:name w:val="HTML Variable"/>
    <w:basedOn w:val="11"/>
    <w:autoRedefine/>
    <w:qFormat/>
    <w:uiPriority w:val="0"/>
  </w:style>
  <w:style w:type="character" w:styleId="19">
    <w:name w:val="Hyperlink"/>
    <w:basedOn w:val="11"/>
    <w:autoRedefine/>
    <w:qFormat/>
    <w:uiPriority w:val="0"/>
    <w:rPr>
      <w:color w:val="0000FF"/>
      <w:u w:val="none"/>
    </w:rPr>
  </w:style>
  <w:style w:type="character" w:styleId="20">
    <w:name w:val="HTML Code"/>
    <w:basedOn w:val="11"/>
    <w:autoRedefine/>
    <w:qFormat/>
    <w:uiPriority w:val="0"/>
    <w:rPr>
      <w:rFonts w:hint="default" w:ascii="monospace" w:hAnsi="monospace" w:eastAsia="monospace" w:cs="monospace"/>
      <w:sz w:val="20"/>
    </w:rPr>
  </w:style>
  <w:style w:type="character" w:styleId="21">
    <w:name w:val="HTML Cite"/>
    <w:basedOn w:val="11"/>
    <w:autoRedefine/>
    <w:qFormat/>
    <w:uiPriority w:val="0"/>
  </w:style>
  <w:style w:type="character" w:styleId="22">
    <w:name w:val="HTML Keyboard"/>
    <w:basedOn w:val="11"/>
    <w:autoRedefine/>
    <w:qFormat/>
    <w:uiPriority w:val="0"/>
    <w:rPr>
      <w:rFonts w:ascii="monospace" w:hAnsi="monospace" w:eastAsia="monospace" w:cs="monospace"/>
      <w:sz w:val="20"/>
    </w:rPr>
  </w:style>
  <w:style w:type="character" w:styleId="23">
    <w:name w:val="HTML Sample"/>
    <w:basedOn w:val="11"/>
    <w:autoRedefine/>
    <w:qFormat/>
    <w:uiPriority w:val="0"/>
    <w:rPr>
      <w:rFonts w:hint="default" w:ascii="monospace" w:hAnsi="monospace" w:eastAsia="monospace" w:cs="monospace"/>
    </w:rPr>
  </w:style>
  <w:style w:type="paragraph" w:customStyle="1" w:styleId="24">
    <w:name w:val="正文文本1"/>
    <w:basedOn w:val="1"/>
    <w:next w:val="1"/>
    <w:qFormat/>
    <w:uiPriority w:val="0"/>
    <w:rPr>
      <w:rFonts w:ascii="仿宋_GB2312" w:eastAsia="仿宋_GB2312"/>
      <w:sz w:val="24"/>
      <w:szCs w:val="20"/>
    </w:rPr>
  </w:style>
  <w:style w:type="paragraph" w:customStyle="1" w:styleId="25">
    <w:name w:val="正文首行缩进 211"/>
    <w:basedOn w:val="3"/>
    <w:autoRedefine/>
    <w:unhideWhenUsed/>
    <w:qFormat/>
    <w:uiPriority w:val="99"/>
    <w:pPr>
      <w:ind w:firstLine="200" w:firstLineChars="200"/>
    </w:pPr>
  </w:style>
  <w:style w:type="paragraph" w:customStyle="1" w:styleId="26">
    <w:name w:val="列出段落1"/>
    <w:basedOn w:val="1"/>
    <w:autoRedefine/>
    <w:qFormat/>
    <w:uiPriority w:val="0"/>
    <w:pPr>
      <w:ind w:firstLine="420" w:firstLineChars="200"/>
    </w:pPr>
    <w:rPr>
      <w:rFonts w:ascii="Calibri" w:hAnsi="Calibri"/>
      <w:szCs w:val="22"/>
    </w:rPr>
  </w:style>
  <w:style w:type="paragraph" w:customStyle="1" w:styleId="27">
    <w:name w:val="Default"/>
    <w:autoRedefine/>
    <w:qFormat/>
    <w:uiPriority w:val="99"/>
    <w:pPr>
      <w:widowControl w:val="0"/>
      <w:autoSpaceDE w:val="0"/>
      <w:autoSpaceDN w:val="0"/>
      <w:adjustRightInd w:val="0"/>
    </w:pPr>
    <w:rPr>
      <w:rFonts w:ascii="宋体" w:hAnsi="宋体" w:eastAsia="等线" w:cs="宋体"/>
      <w:color w:val="000000"/>
      <w:sz w:val="24"/>
      <w:szCs w:val="24"/>
      <w:lang w:val="en-US" w:eastAsia="zh-CN" w:bidi="ar-SA"/>
    </w:rPr>
  </w:style>
  <w:style w:type="character" w:customStyle="1" w:styleId="28">
    <w:name w:val="layui-this"/>
    <w:basedOn w:val="11"/>
    <w:autoRedefine/>
    <w:qFormat/>
    <w:uiPriority w:val="0"/>
    <w:rPr>
      <w:bdr w:val="single" w:color="EEEEEE" w:sz="6" w:space="0"/>
      <w:shd w:val="clear" w:fill="FFFFFF"/>
    </w:rPr>
  </w:style>
  <w:style w:type="character" w:customStyle="1" w:styleId="29">
    <w:name w:val="first-child"/>
    <w:basedOn w:val="11"/>
    <w:autoRedefine/>
    <w:qFormat/>
    <w:uiPriority w:val="0"/>
  </w:style>
  <w:style w:type="character" w:customStyle="1" w:styleId="30">
    <w:name w:val="hover3"/>
    <w:basedOn w:val="11"/>
    <w:autoRedefine/>
    <w:qFormat/>
    <w:uiPriority w:val="0"/>
    <w:rPr>
      <w:color w:val="FFFFFF"/>
    </w:rPr>
  </w:style>
  <w:style w:type="character" w:customStyle="1" w:styleId="31">
    <w:name w:val="hover4"/>
    <w:basedOn w:val="11"/>
    <w:autoRedefine/>
    <w:qFormat/>
    <w:uiPriority w:val="0"/>
    <w:rPr>
      <w:color w:val="5FB878"/>
    </w:rPr>
  </w:style>
  <w:style w:type="character" w:customStyle="1" w:styleId="32">
    <w:name w:val="hover5"/>
    <w:basedOn w:val="11"/>
    <w:autoRedefine/>
    <w:qFormat/>
    <w:uiPriority w:val="0"/>
    <w:rPr>
      <w:color w:val="5FB878"/>
    </w:rPr>
  </w:style>
  <w:style w:type="character" w:customStyle="1" w:styleId="33">
    <w:name w:val="layui-this2"/>
    <w:basedOn w:val="11"/>
    <w:autoRedefine/>
    <w:qFormat/>
    <w:uiPriority w:val="0"/>
    <w:rPr>
      <w:bdr w:val="single" w:color="EEEEEE" w:sz="6" w:space="0"/>
      <w:shd w:val="clear" w:fill="FFFFFF"/>
    </w:rPr>
  </w:style>
  <w:style w:type="paragraph" w:customStyle="1" w:styleId="34">
    <w:name w:val="Heading1"/>
    <w:basedOn w:val="1"/>
    <w:next w:val="1"/>
    <w:autoRedefine/>
    <w:qFormat/>
    <w:uiPriority w:val="0"/>
    <w:pPr>
      <w:keepNext/>
      <w:keepLines/>
      <w:spacing w:before="340" w:after="330" w:line="576" w:lineRule="auto"/>
      <w:textAlignment w:val="baseline"/>
    </w:pPr>
    <w:rPr>
      <w:b/>
      <w:bCs/>
      <w:kern w:val="44"/>
      <w:sz w:val="44"/>
      <w:szCs w:val="44"/>
    </w:rPr>
  </w:style>
  <w:style w:type="paragraph" w:customStyle="1" w:styleId="35">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36">
    <w:name w:val="页脚1"/>
    <w:basedOn w:val="1"/>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2046</Words>
  <Characters>2166</Characters>
  <Lines>0</Lines>
  <Paragraphs>0</Paragraphs>
  <TotalTime>2</TotalTime>
  <ScaleCrop>false</ScaleCrop>
  <LinksUpToDate>false</LinksUpToDate>
  <CharactersWithSpaces>2187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2021-11-19T00:04:00Z</dcterms:created>
  <dc:creator>缔逸招投标一</dc:creator>
  <cp:lastModifiedBy>Administrator</cp:lastModifiedBy>
  <cp:lastPrinted>2022-12-22T08:40:00Z</cp:lastPrinted>
  <dcterms:modified xsi:type="dcterms:W3CDTF">2026-10-12T09:10:41Z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6390E44F2C1541A5A04388B7DBF13D77</vt:lpwstr>
  </property>
  <property fmtid="{D5CDD505-2E9C-101B-9397-08002B2CF9AE}" pid="4" name="KSOTemplateDocerSaveRecord">
    <vt:lpwstr>eyJoZGlkIjoiMzVkN2E3MzAyNjU0NjQ4ODE5YWUwZjJiN2U0MDhiMjAiLCJ1c2VySWQiOiI1MTkyNzEzMTgifQ==</vt:lpwstr>
  </property>
</Properties>
</file>