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spacing w:before="120" w:beforeAutospacing="0" w:after="120" w:afterAutospacing="0" w:line="360" w:lineRule="auto"/>
        <w:rPr>
          <w:highlight w:val="none"/>
        </w:rPr>
      </w:pPr>
      <w:r>
        <w:rPr>
          <w:highlight w:val="none"/>
        </w:rPr>
        <w:t xml:space="preserve"> </w:t>
      </w:r>
      <w:r/>
    </w:p>
    <w:p>
      <w:pPr>
        <w:pStyle w:val="822"/>
        <w:jc w:val="center"/>
        <w:spacing w:before="120" w:beforeAutospacing="0" w:after="120" w:afterAutospacing="0" w:line="360" w:lineRule="auto"/>
        <w:rPr>
          <w:highlight w:val="none"/>
        </w:rPr>
        <w:outlineLvl w:val="0"/>
      </w:pPr>
      <w:r/>
      <w:bookmarkStart w:id="0" w:name="_Toc26286"/>
      <w:r/>
      <w:bookmarkStart w:id="1" w:name="_Toc12175"/>
      <w:r>
        <w:rPr>
          <w:rFonts w:ascii="Arial" w:hAnsi="Arial" w:cs="Arial"/>
          <w:b/>
          <w:sz w:val="84"/>
          <w:szCs w:val="84"/>
          <w:highlight w:val="none"/>
        </w:rPr>
        <w:t xml:space="preserve">竞争性磋商文件</w:t>
      </w:r>
      <w:bookmarkEnd w:id="0"/>
      <w:r/>
      <w:bookmarkEnd w:id="1"/>
      <w:r/>
      <w:r/>
    </w:p>
    <w:p>
      <w:pPr>
        <w:pStyle w:val="822"/>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2"/>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2"/>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2"/>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2"/>
        <w:jc w:val="center"/>
        <w:spacing w:before="120" w:beforeAutospacing="0" w:after="120" w:afterAutospacing="0" w:line="360" w:lineRule="auto"/>
        <w:rPr>
          <w:rFonts w:hint="eastAsia" w:ascii="Arial" w:hAnsi="Arial" w:cs="Arial" w:eastAsiaTheme="minorEastAsia"/>
          <w:b/>
          <w:sz w:val="32"/>
          <w:szCs w:val="32"/>
          <w:highlight w:val="none"/>
          <w:lang w:eastAsia="zh-CN"/>
        </w:rPr>
        <w:outlineLvl w:val="0"/>
      </w:pPr>
      <w:r/>
      <w:bookmarkStart w:id="2" w:name="_Toc6322"/>
      <w:r/>
      <w:bookmarkStart w:id="3" w:name="_Toc16637"/>
      <w:r>
        <w:rPr>
          <w:rFonts w:ascii="Arial" w:hAnsi="Arial" w:cs="Arial"/>
          <w:b/>
          <w:sz w:val="32"/>
          <w:szCs w:val="32"/>
          <w:highlight w:val="none"/>
        </w:rPr>
        <w:t xml:space="preserve">项目名称：</w:t>
      </w:r>
      <w:bookmarkEnd w:id="2"/>
      <w:r/>
      <w:bookmarkEnd w:id="3"/>
      <w:r>
        <w:rPr>
          <w:rFonts w:hint="eastAsia" w:ascii="Arial" w:hAnsi="Arial" w:cs="Arial"/>
          <w:b/>
          <w:sz w:val="32"/>
          <w:szCs w:val="32"/>
          <w:highlight w:val="none"/>
          <w:lang w:eastAsia="zh-CN"/>
        </w:rPr>
        <w:t xml:space="preserve">龙冈镇刘垎村道路改造和人居环境提升项目</w:t>
      </w:r>
      <w:r/>
    </w:p>
    <w:p>
      <w:pPr>
        <w:pStyle w:val="822"/>
        <w:jc w:val="center"/>
        <w:spacing w:beforeAutospacing="0" w:afterAutospacing="0" w:line="360" w:lineRule="auto"/>
        <w:rPr>
          <w:rFonts w:hint="eastAsia" w:eastAsiaTheme="minorEastAsia"/>
          <w:highlight w:val="none"/>
          <w:lang w:eastAsia="zh-CN"/>
        </w:rPr>
      </w:pPr>
      <w:r>
        <w:rPr>
          <w:rFonts w:ascii="Arial" w:hAnsi="Arial" w:cs="Arial"/>
          <w:b/>
          <w:sz w:val="32"/>
          <w:szCs w:val="32"/>
          <w:highlight w:val="none"/>
        </w:rPr>
        <w:t xml:space="preserve">项目编号：</w:t>
      </w:r>
      <w:r>
        <w:rPr>
          <w:rFonts w:hint="eastAsia" w:ascii="Arial" w:hAnsi="Arial" w:cs="Arial"/>
          <w:b/>
          <w:sz w:val="32"/>
          <w:szCs w:val="32"/>
          <w:highlight w:val="none"/>
          <w:lang w:eastAsia="zh-CN"/>
        </w:rPr>
        <w:t xml:space="preserve">JSZC-320903-CSXC-C2026-0051</w:t>
      </w:r>
      <w:r/>
    </w:p>
    <w:p>
      <w:pPr>
        <w:pStyle w:val="822"/>
        <w:spacing w:beforeAutospacing="0" w:afterAutospacing="0" w:line="360" w:lineRule="auto"/>
        <w:rPr>
          <w:highlight w:val="none"/>
        </w:rPr>
      </w:pPr>
      <w:r>
        <w:rPr>
          <w:highlight w:val="none"/>
        </w:rPr>
        <w:t xml:space="preserve"> </w:t>
      </w:r>
      <w:r/>
    </w:p>
    <w:p>
      <w:pPr>
        <w:pStyle w:val="822"/>
        <w:spacing w:beforeAutospacing="0" w:afterAutospacing="0" w:line="360" w:lineRule="auto"/>
        <w:rPr>
          <w:highlight w:val="none"/>
        </w:rPr>
      </w:pPr>
      <w:r>
        <w:rPr>
          <w:highlight w:val="none"/>
        </w:rPr>
      </w:r>
      <w:r/>
    </w:p>
    <w:p>
      <w:pPr>
        <w:pStyle w:val="822"/>
        <w:spacing w:beforeAutospacing="0" w:afterAutospacing="0" w:line="360" w:lineRule="auto"/>
        <w:rPr>
          <w:highlight w:val="none"/>
        </w:rPr>
      </w:pPr>
      <w:r>
        <w:rPr>
          <w:highlight w:val="none"/>
        </w:rPr>
      </w:r>
      <w:r/>
    </w:p>
    <w:p>
      <w:pPr>
        <w:pStyle w:val="822"/>
        <w:spacing w:beforeAutospacing="0" w:afterAutospacing="0" w:line="360" w:lineRule="auto"/>
        <w:rPr>
          <w:highlight w:val="none"/>
        </w:rPr>
      </w:pPr>
      <w:r>
        <w:rPr>
          <w:highlight w:val="none"/>
        </w:rPr>
      </w:r>
      <w:r/>
    </w:p>
    <w:p>
      <w:pPr>
        <w:pStyle w:val="822"/>
        <w:spacing w:beforeAutospacing="0" w:afterAutospacing="0" w:line="360" w:lineRule="auto"/>
        <w:rPr>
          <w:highlight w:val="none"/>
        </w:rPr>
      </w:pPr>
      <w:r>
        <w:rPr>
          <w:highlight w:val="none"/>
        </w:rPr>
        <w:t xml:space="preserve"> </w:t>
      </w:r>
      <w:r/>
    </w:p>
    <w:p>
      <w:pPr>
        <w:pStyle w:val="822"/>
        <w:spacing w:beforeAutospacing="0" w:afterAutospacing="0" w:line="360" w:lineRule="auto"/>
        <w:rPr>
          <w:highlight w:val="none"/>
        </w:rPr>
      </w:pPr>
      <w:r>
        <w:rPr>
          <w:highlight w:val="none"/>
        </w:rPr>
        <w:t xml:space="preserve"> </w:t>
      </w:r>
      <w:r/>
    </w:p>
    <w:p>
      <w:pPr>
        <w:pStyle w:val="822"/>
        <w:spacing w:beforeAutospacing="0" w:afterAutospacing="0" w:line="360" w:lineRule="auto"/>
        <w:rPr>
          <w:highlight w:val="none"/>
        </w:rPr>
      </w:pPr>
      <w:r>
        <w:rPr>
          <w:highlight w:val="none"/>
        </w:rPr>
        <w:t xml:space="preserve"> </w:t>
      </w:r>
      <w:r/>
    </w:p>
    <w:p>
      <w:pPr>
        <w:pStyle w:val="822"/>
        <w:jc w:val="center"/>
        <w:spacing w:before="120" w:beforeAutospacing="0" w:after="120" w:afterAutospacing="0" w:line="360" w:lineRule="auto"/>
        <w:rPr>
          <w:rFonts w:ascii="Arial" w:hAnsi="Arial" w:cs="Arial"/>
          <w:b/>
          <w:sz w:val="32"/>
          <w:szCs w:val="32"/>
          <w:highlight w:val="none"/>
        </w:rPr>
      </w:pPr>
      <w:r>
        <w:rPr>
          <w:rFonts w:hint="eastAsia" w:ascii="Arial" w:hAnsi="Arial" w:cs="Arial"/>
          <w:b/>
          <w:sz w:val="32"/>
          <w:szCs w:val="32"/>
          <w:highlight w:val="none"/>
        </w:rPr>
        <w:t xml:space="preserve">盐城市盐都区龙冈镇人民政府</w:t>
      </w:r>
      <w:r/>
    </w:p>
    <w:p>
      <w:pPr>
        <w:pStyle w:val="822"/>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2026年10月</w:t>
      </w:r>
      <w:r/>
    </w:p>
    <w:p>
      <w:pPr>
        <w:pStyle w:val="822"/>
        <w:spacing w:before="120" w:beforeAutospacing="0" w:after="120" w:afterAutospacing="0" w:line="360" w:lineRule="auto"/>
        <w:rPr>
          <w:highlight w:val="none"/>
        </w:rPr>
      </w:pPr>
      <w:r>
        <w:rPr>
          <w:rFonts w:ascii="Arial" w:hAnsi="Arial" w:cs="Arial"/>
          <w:highlight w:val="none"/>
        </w:rPr>
        <w:t xml:space="preserve">                        </w:t>
      </w:r>
      <w:r/>
    </w:p>
    <w:p>
      <w:pPr>
        <w:pStyle w:val="822"/>
        <w:jc w:val="center"/>
        <w:spacing w:before="120" w:beforeAutospacing="0" w:after="120" w:afterAutospacing="0" w:line="360" w:lineRule="auto"/>
        <w:rPr>
          <w:highlight w:val="none"/>
        </w:rPr>
      </w:pPr>
      <w:r>
        <w:rPr>
          <w:highlight w:val="none"/>
        </w:rPr>
        <w:t xml:space="preserve"> </w:t>
      </w:r>
      <w:r/>
    </w:p>
    <w:p>
      <w:pPr>
        <w:pStyle w:val="822"/>
        <w:jc w:val="center"/>
        <w:spacing w:beforeAutospacing="0" w:afterAutospacing="0" w:line="480" w:lineRule="auto"/>
        <w:rPr>
          <w:rFonts w:ascii="Times New Roman" w:hAnsi="Times New Roman"/>
          <w:sz w:val="21"/>
          <w:szCs w:val="21"/>
          <w:highlight w:val="none"/>
        </w:rPr>
        <w:sectPr>
          <w:headerReference w:type="even" r:id="rId9"/>
          <w:headerReference w:type="first" r:id="rId10"/>
          <w:footerReference w:type="default" r:id="rId12"/>
          <w:footerReference w:type="even" r:id="rId13"/>
          <w:footerReference w:type="first" r:id="rId14"/>
          <w:footnotePr/>
          <w:endnotePr/>
          <w:type w:val="nextPage"/>
          <w:pgSz w:w="11907" w:h="16840" w:orient="portrait"/>
          <w:pgMar w:top="1474" w:right="1134" w:bottom="1418" w:left="1134" w:header="851" w:footer="992" w:gutter="0"/>
          <w:pgNumType w:start="1"/>
          <w:cols w:num="1" w:sep="0" w:space="720" w:equalWidth="1"/>
          <w:docGrid w:linePitch="360"/>
        </w:sectPr>
      </w:pPr>
      <w:r>
        <w:rPr>
          <w:rFonts w:ascii="Times New Roman" w:hAnsi="Times New Roman"/>
          <w:sz w:val="21"/>
          <w:szCs w:val="21"/>
          <w:highlight w:val="none"/>
        </w:rPr>
      </w:r>
      <w:r/>
    </w:p>
    <w:p>
      <w:pPr>
        <w:pStyle w:val="822"/>
        <w:jc w:val="center"/>
        <w:spacing w:beforeAutospacing="0" w:afterAutospacing="0" w:line="480" w:lineRule="auto"/>
        <w:rPr>
          <w:highlight w:val="none"/>
        </w:rPr>
      </w:pPr>
      <w:r>
        <w:rPr>
          <w:rFonts w:ascii="Times New Roman" w:hAnsi="Times New Roman"/>
          <w:sz w:val="21"/>
          <w:szCs w:val="21"/>
          <w:highlight w:val="none"/>
        </w:rPr>
        <w:t xml:space="preserve"> </w:t>
      </w:r>
      <w:bookmarkStart w:id="4" w:name="_Toc523127445"/>
      <w:r/>
      <w:bookmarkStart w:id="5" w:name="_Toc20823272"/>
      <w:r/>
      <w:bookmarkStart w:id="6" w:name="_Toc513029200"/>
      <w:r/>
      <w:bookmarkStart w:id="7" w:name="_Toc120614210"/>
      <w:r/>
      <w:bookmarkStart w:id="8" w:name="_Toc16938516"/>
      <w:r/>
      <w:bookmarkStart w:id="9" w:name="_Toc479757206"/>
      <w:r>
        <w:rPr>
          <w:rFonts w:ascii="黑体" w:hAnsi="宋体" w:eastAsia="黑体" w:cs="黑体"/>
          <w:b/>
          <w:sz w:val="44"/>
          <w:szCs w:val="44"/>
          <w:highlight w:val="none"/>
        </w:rPr>
        <w:t xml:space="preserve">总  目  录</w:t>
      </w:r>
      <w:bookmarkEnd w:id="4"/>
      <w:r/>
      <w:bookmarkEnd w:id="5"/>
      <w:r/>
      <w:bookmarkEnd w:id="6"/>
      <w:r/>
      <w:bookmarkEnd w:id="7"/>
      <w:r/>
      <w:bookmarkEnd w:id="8"/>
      <w:r/>
      <w:bookmarkEnd w:id="9"/>
      <w:r/>
      <w:r/>
    </w:p>
    <w:p>
      <w:pPr>
        <w:pStyle w:val="822"/>
        <w:jc w:val="both"/>
        <w:spacing w:beforeAutospacing="0" w:afterAutospacing="0" w:line="480" w:lineRule="auto"/>
        <w:rPr>
          <w:highlight w:val="none"/>
        </w:rPr>
      </w:pPr>
      <w:r>
        <w:rPr>
          <w:highlight w:val="none"/>
        </w:rPr>
        <w:t xml:space="preserve"> </w:t>
      </w:r>
      <w:r/>
    </w:p>
    <w:sdt>
      <w:sdtPr>
        <w15:appearance w15:val="boundingBox"/>
        <w15:color w:val="dbdbdb"/>
        <w:id w:val="147467548"/>
        <w:docPartObj>
          <w:docPartGallery w:val="Table of Contents"/>
          <w:docPartUnique w:val="true"/>
        </w:docPartObj>
        <w:rPr>
          <w:rFonts w:ascii="宋体" w:hAnsi="宋体" w:eastAsia="宋体"/>
          <w:highlight w:val="none"/>
        </w:rPr>
      </w:sdtPr>
      <w:sdtContent>
        <w:p>
          <w:pPr>
            <w:pStyle w:val="814"/>
            <w:tabs>
              <w:tab w:val="right" w:pos="8504" w:leader="dot"/>
            </w:tabs>
            <w:rPr>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TOC \o "1-1" \h \u </w:instrText>
          </w:r>
          <w:r>
            <w:rPr>
              <w:rFonts w:hint="eastAsia" w:ascii="黑体" w:hAnsi="黑体" w:eastAsia="黑体" w:cs="黑体"/>
              <w:sz w:val="36"/>
              <w:szCs w:val="36"/>
              <w:highlight w:val="none"/>
            </w:rPr>
            <w:fldChar w:fldCharType="separate"/>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"_Toc14496" </w:instrText>
          </w:r>
          <w:r>
            <w:rPr>
              <w:highlight w:val="none"/>
            </w:rPr>
            <w:fldChar w:fldCharType="separate"/>
          </w:r>
          <w:r>
            <w:rPr>
              <w:rFonts w:hint="eastAsia" w:ascii="黑体" w:hAnsi="黑体" w:eastAsia="黑体" w:cs="黑体"/>
              <w:sz w:val="36"/>
              <w:szCs w:val="36"/>
              <w:highlight w:val="none"/>
            </w:rPr>
            <w:t xml:space="preserve">第一章  竞争性磋商公告</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2</w:t>
          </w:r>
          <w:r>
            <w:rPr>
              <w:rFonts w:hint="eastAsia" w:ascii="黑体" w:hAnsi="黑体" w:eastAsia="黑体" w:cs="黑体"/>
              <w:sz w:val="36"/>
              <w:szCs w:val="36"/>
              <w:highlight w:val="none"/>
            </w:rPr>
            <w:fldChar w:fldCharType="end"/>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"_Toc21039" </w:instrText>
          </w:r>
          <w:r>
            <w:rPr>
              <w:highlight w:val="none"/>
            </w:rPr>
            <w:fldChar w:fldCharType="separate"/>
          </w:r>
          <w:r>
            <w:rPr>
              <w:rFonts w:hint="eastAsia" w:ascii="黑体" w:hAnsi="黑体" w:eastAsia="黑体" w:cs="黑体"/>
              <w:sz w:val="36"/>
              <w:szCs w:val="36"/>
              <w:highlight w:val="none"/>
            </w:rPr>
            <w:t xml:space="preserve">第二章  供应商须知</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6</w:t>
          </w:r>
          <w:r>
            <w:rPr>
              <w:rFonts w:hint="eastAsia" w:ascii="黑体" w:hAnsi="黑体" w:eastAsia="黑体" w:cs="黑体"/>
              <w:sz w:val="36"/>
              <w:szCs w:val="36"/>
              <w:highlight w:val="none"/>
            </w:rPr>
            <w:fldChar w:fldCharType="end"/>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黑体" w:hAnsi="黑体" w:eastAsia="黑体" w:cs="黑体"/>
              <w:sz w:val="36"/>
              <w:szCs w:val="36"/>
              <w:highlight w:val="none"/>
            </w:rPr>
            <w:t xml:space="preserve">第三章  合同条款及格式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_Toc3582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20</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"_Toc1169" </w:instrText>
          </w:r>
          <w:r>
            <w:rPr>
              <w:highlight w:val="none"/>
            </w:rPr>
            <w:fldChar w:fldCharType="separate"/>
          </w:r>
          <w:r>
            <w:rPr>
              <w:rFonts w:hint="eastAsia" w:ascii="黑体" w:hAnsi="黑体" w:eastAsia="黑体" w:cs="黑体"/>
              <w:sz w:val="36"/>
              <w:szCs w:val="36"/>
              <w:highlight w:val="none"/>
            </w:rPr>
            <w:t xml:space="preserve">第四章  采购需求</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_Toc1169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67</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"_Toc6274" </w:instrText>
          </w:r>
          <w:r>
            <w:rPr>
              <w:highlight w:val="none"/>
            </w:rPr>
            <w:fldChar w:fldCharType="separate"/>
          </w:r>
          <w:r>
            <w:rPr>
              <w:rFonts w:hint="eastAsia" w:ascii="黑体" w:hAnsi="黑体" w:eastAsia="黑体" w:cs="黑体"/>
              <w:sz w:val="36"/>
              <w:szCs w:val="36"/>
              <w:highlight w:val="none"/>
            </w:rPr>
            <w:t xml:space="preserve">第五章  评审方法与评审标准</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_Toc6274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72</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4"/>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"_Toc21664" </w:instrText>
          </w:r>
          <w:r>
            <w:rPr>
              <w:highlight w:val="none"/>
            </w:rPr>
            <w:fldChar w:fldCharType="separate"/>
          </w:r>
          <w:r>
            <w:rPr>
              <w:rFonts w:hint="eastAsia" w:ascii="黑体" w:hAnsi="黑体" w:eastAsia="黑体" w:cs="黑体"/>
              <w:sz w:val="36"/>
              <w:szCs w:val="36"/>
              <w:highlight w:val="none"/>
            </w:rPr>
            <w:t xml:space="preserve">第六章  响应文件格式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_Toc21664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76</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jc w:val="center"/>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end"/>
          </w:r>
          <w:r/>
        </w:p>
      </w:sdtContent>
    </w:sdt>
    <w:p>
      <w:pPr>
        <w:rPr>
          <w:highlight w:val="none"/>
        </w:rPr>
      </w:pPr>
      <w:r>
        <w:rPr>
          <w:highlight w:val="none"/>
        </w:rPr>
        <w:br w:type="page" w:clear="all"/>
      </w:r>
      <w:r/>
    </w:p>
    <w:p>
      <w:pPr>
        <w:pStyle w:val="822"/>
        <w:jc w:val="center"/>
        <w:keepNext/>
        <w:spacing w:beforeAutospacing="0" w:afterAutospacing="0"/>
        <w:rPr>
          <w:rFonts w:hint="eastAsia" w:ascii="仿宋" w:hAnsi="仿宋" w:eastAsia="仿宋" w:cs="仿宋"/>
          <w:sz w:val="28"/>
          <w:szCs w:val="28"/>
          <w:highlight w:val="none"/>
        </w:rPr>
        <w:outlineLvl w:val="0"/>
      </w:pPr>
      <w:r/>
      <w:bookmarkStart w:id="10" w:name="_Toc14496"/>
      <w:r/>
      <w:bookmarkStart w:id="11" w:name="_Toc28359086"/>
      <w:r>
        <w:rPr>
          <w:rFonts w:hint="eastAsia" w:ascii="黑体" w:hAnsi="宋体" w:eastAsia="黑体" w:cs="黑体"/>
          <w:sz w:val="44"/>
          <w:szCs w:val="44"/>
          <w:highlight w:val="none"/>
        </w:rPr>
        <w:t xml:space="preserve">第一章  竞争性磋商公告</w:t>
      </w:r>
      <w:bookmarkEnd w:id="10"/>
      <w:r/>
      <w:r/>
    </w:p>
    <w:p>
      <w:pPr>
        <w:pStyle w:val="822"/>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p>
    <w:p>
      <w:pPr>
        <w:pStyle w:val="822"/>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lang w:eastAsia="zh-CN"/>
        </w:rPr>
        <w:t xml:space="preserve">龙冈镇刘垎村道路改造和人居环境提升项目</w:t>
      </w:r>
      <w:r>
        <w:rPr>
          <w:rFonts w:hint="eastAsia" w:ascii="宋体" w:hAnsi="宋体" w:eastAsia="宋体" w:cs="宋体"/>
          <w:highlight w:val="none"/>
          <w:u w:val="single"/>
        </w:rPr>
        <w:t xml:space="preserve">采购项目的潜在供应商应在“苏采云”系统内免费下载（投标人必须在苏采云系统中获取磋商文件，方能参与政府采购项目）；并于2026年11月 </w:t>
      </w:r>
      <w:r>
        <w:rPr>
          <w:rFonts w:hint="eastAsia" w:ascii="宋体" w:hAnsi="宋体" w:eastAsia="宋体" w:cs="宋体"/>
          <w:highlight w:val="none"/>
          <w:u w:val="single"/>
          <w:lang w:val="en-US" w:eastAsia="zh-CN"/>
        </w:rPr>
        <w:t xml:space="preserve">10</w:t>
      </w:r>
      <w:r>
        <w:rPr>
          <w:rFonts w:hint="eastAsia" w:ascii="宋体" w:hAnsi="宋体" w:eastAsia="宋体" w:cs="宋体"/>
          <w:highlight w:val="none"/>
          <w:u w:val="single"/>
        </w:rPr>
        <w:t xml:space="preserve"> 日</w:t>
      </w:r>
      <w:r>
        <w:rPr>
          <w:rFonts w:hint="eastAsia" w:ascii="宋体" w:hAnsi="宋体" w:eastAsia="宋体" w:cs="宋体"/>
          <w:highlight w:val="none"/>
          <w:u w:val="single"/>
          <w:lang w:val="en-US" w:eastAsia="zh-CN"/>
        </w:rPr>
        <w:t xml:space="preserve">09</w:t>
      </w:r>
      <w:r>
        <w:rPr>
          <w:rFonts w:hint="eastAsia" w:ascii="宋体" w:hAnsi="宋体" w:eastAsia="宋体" w:cs="宋体"/>
          <w:highlight w:val="none"/>
          <w:u w:val="single"/>
        </w:rPr>
        <w:t xml:space="preserve">点00分（北京时间）前递交响应文件。</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 w:name="_Hlk24379207"/>
      <w:r/>
      <w:bookmarkStart w:id="13" w:name="_Toc28359002"/>
      <w:r/>
      <w:bookmarkStart w:id="14" w:name="_Toc35393790"/>
      <w:r/>
      <w:bookmarkStart w:id="15" w:name="_Toc28359079"/>
      <w:r/>
      <w:bookmarkStart w:id="16" w:name="_Toc35393621"/>
      <w:r/>
      <w:bookmarkStart w:id="17" w:name="_Toc38985263"/>
      <w:r>
        <w:rPr>
          <w:rFonts w:hint="eastAsia" w:ascii="宋体" w:hAnsi="宋体" w:eastAsia="宋体" w:cs="宋体"/>
          <w:b/>
          <w:highlight w:val="none"/>
        </w:rPr>
        <w:t xml:space="preserve">一、项目基本情况</w:t>
      </w:r>
      <w:bookmarkEnd w:id="12"/>
      <w:r/>
      <w:bookmarkEnd w:id="13"/>
      <w:r/>
      <w:bookmarkEnd w:id="14"/>
      <w:r/>
      <w:bookmarkEnd w:id="15"/>
      <w:r/>
      <w:bookmarkEnd w:id="16"/>
      <w:r/>
      <w:bookmarkEnd w:id="17"/>
      <w:r/>
      <w:r/>
    </w:p>
    <w:p>
      <w:pPr>
        <w:pStyle w:val="822"/>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1.项目编号</w:t>
      </w:r>
      <w:r>
        <w:rPr>
          <w:rFonts w:hint="eastAsia" w:ascii="宋体" w:hAnsi="宋体" w:eastAsia="宋体" w:cs="宋体"/>
          <w:highlight w:val="none"/>
          <w:lang w:eastAsia="zh-CN"/>
        </w:rPr>
        <w:t xml:space="preserve">JSZC-320903-CSXC-C2026-0051</w:t>
      </w:r>
      <w:r/>
    </w:p>
    <w:p>
      <w:pPr>
        <w:pStyle w:val="822"/>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2.项目名称：</w:t>
      </w:r>
      <w:r>
        <w:rPr>
          <w:rFonts w:hint="eastAsia" w:ascii="宋体" w:hAnsi="宋体" w:eastAsia="宋体" w:cs="宋体"/>
          <w:highlight w:val="none"/>
          <w:lang w:eastAsia="zh-CN"/>
        </w:rPr>
        <w:t xml:space="preserve">龙冈镇刘垎村道路改造和人居环境提升项目</w:t>
      </w:r>
      <w:r/>
    </w:p>
    <w:p>
      <w:pPr>
        <w:pStyle w:val="822"/>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3.采购方式：竞争性磋商</w:t>
      </w:r>
      <w:r/>
    </w:p>
    <w:p>
      <w:pPr>
        <w:pStyle w:val="822"/>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4.预算金额：</w:t>
      </w:r>
      <w:r>
        <w:rPr>
          <w:rFonts w:hint="eastAsia" w:ascii="宋体" w:hAnsi="宋体" w:eastAsia="宋体" w:cs="宋体"/>
          <w:highlight w:val="none"/>
          <w:lang w:eastAsia="zh-CN"/>
        </w:rPr>
        <w:t xml:space="preserve">1237183.15</w:t>
      </w:r>
      <w:r>
        <w:rPr>
          <w:rFonts w:hint="eastAsia" w:ascii="宋体" w:hAnsi="宋体" w:eastAsia="宋体" w:cs="宋体"/>
          <w:highlight w:val="none"/>
          <w:shd w:val="clear" w:color="auto" w:fill="ffffff"/>
        </w:rPr>
        <w:t xml:space="preserve">元 </w:t>
      </w:r>
      <w:r/>
    </w:p>
    <w:p>
      <w:pPr>
        <w:pStyle w:val="822"/>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5.最高限价：</w:t>
      </w:r>
      <w:r>
        <w:rPr>
          <w:rFonts w:hint="eastAsia" w:ascii="宋体" w:hAnsi="宋体" w:eastAsia="宋体" w:cs="宋体"/>
          <w:highlight w:val="none"/>
          <w:lang w:eastAsia="zh-CN"/>
        </w:rPr>
        <w:t xml:space="preserve">1237183.15</w:t>
      </w:r>
      <w:r>
        <w:rPr>
          <w:rFonts w:hint="eastAsia" w:ascii="宋体" w:hAnsi="宋体" w:eastAsia="宋体" w:cs="宋体"/>
          <w:highlight w:val="none"/>
        </w:rPr>
        <w:t xml:space="preserve">元。投标人投标报价超出招标人设定最高投标限价的，其投标文件按无效标书处理。</w:t>
      </w:r>
      <w:r/>
    </w:p>
    <w:p>
      <w:pPr>
        <w:pStyle w:val="822"/>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6.采购需求：</w:t>
      </w:r>
      <w:r>
        <w:rPr>
          <w:rFonts w:hint="eastAsia" w:ascii="宋体" w:hAnsi="宋体" w:eastAsia="宋体" w:cs="宋体"/>
          <w:highlight w:val="none"/>
          <w:lang w:eastAsia="zh-CN"/>
        </w:rPr>
        <w:t xml:space="preserve">龙冈镇刘垎村道路改造及人居环境提升项目，主要内容为建设道路4条，总面积约5608平方米、新安装路灯75盏、六组生产河疏浚、村标及人居环境提升等工程。详见发包人提供的工程量清单和图纸，发包人保留对上述承包范围进行调整的权利。（详细内容见本磋商文件第四章）</w:t>
      </w:r>
      <w:r/>
    </w:p>
    <w:p>
      <w:pPr>
        <w:pStyle w:val="822"/>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7.合同履行期限：60日历天，具体开工日期以监理签发的开工通知为准。</w:t>
      </w:r>
      <w:r>
        <w:rPr>
          <w:rFonts w:hint="eastAsia" w:ascii="宋体" w:hAnsi="宋体" w:eastAsia="宋体" w:cs="宋体"/>
          <w:highlight w:val="none"/>
          <w:lang w:eastAsia="zh-CN"/>
        </w:rPr>
        <w:t xml:space="preserve">（</w:t>
      </w:r>
      <w:r>
        <w:rPr>
          <w:rFonts w:hint="eastAsia" w:ascii="宋体" w:hAnsi="宋体" w:eastAsia="宋体" w:cs="宋体"/>
          <w:color w:val="auto"/>
          <w:highlight w:val="none"/>
          <w:lang w:val="en-US" w:eastAsia="zh-CN"/>
        </w:rPr>
        <w:t xml:space="preserve">注：承包人必须在2026年</w:t>
      </w:r>
      <w:r>
        <w:rPr>
          <w:rFonts w:hint="eastAsia" w:ascii="宋体" w:hAnsi="宋体" w:eastAsia="宋体" w:cs="宋体"/>
          <w:color w:val="auto"/>
          <w:highlight w:val="none"/>
        </w:rPr>
        <w:t xml:space="preserve">12月10日完成工程量70%，</w:t>
      </w:r>
      <w:r>
        <w:rPr>
          <w:rFonts w:hint="eastAsia" w:ascii="宋体" w:hAnsi="宋体" w:eastAsia="宋体" w:cs="宋体"/>
          <w:color w:val="auto"/>
          <w:highlight w:val="none"/>
          <w:lang w:val="en-US" w:eastAsia="zh-CN"/>
        </w:rPr>
        <w:t xml:space="preserve">否则承包人自行承担相应后果。</w:t>
      </w:r>
      <w:r>
        <w:rPr>
          <w:rFonts w:hint="eastAsia" w:ascii="宋体" w:hAnsi="宋体" w:eastAsia="宋体" w:cs="宋体"/>
          <w:color w:val="auto"/>
          <w:highlight w:val="none"/>
          <w:lang w:eastAsia="zh-CN"/>
        </w:rPr>
        <w:t xml:space="preserve">）</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8.质量要求：合格</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9.安全目标：无安全生产责任事故</w:t>
      </w:r>
      <w:r/>
    </w:p>
    <w:p>
      <w:pPr>
        <w:pStyle w:val="822"/>
        <w:ind w:firstLine="482"/>
        <w:jc w:val="both"/>
        <w:spacing w:beforeAutospacing="0" w:afterAutospacing="0" w:line="420" w:lineRule="exact"/>
        <w:rPr>
          <w:rFonts w:hint="eastAsia" w:ascii="宋体" w:hAnsi="宋体" w:eastAsia="宋体" w:cs="宋体"/>
          <w:highlight w:val="none"/>
        </w:rPr>
        <w:outlineLvl w:val="2"/>
      </w:pPr>
      <w:r>
        <w:rPr>
          <w:rFonts w:hint="eastAsia" w:ascii="宋体" w:hAnsi="宋体" w:eastAsia="宋体" w:cs="宋体"/>
          <w:highlight w:val="none"/>
        </w:rPr>
        <w:t xml:space="preserve">10.本项目</w:t>
      </w:r>
      <w:r>
        <w:rPr>
          <w:rFonts w:hint="eastAsia" w:ascii="宋体" w:hAnsi="宋体" w:eastAsia="宋体" w:cs="宋体"/>
          <w:highlight w:val="none"/>
          <w:u w:val="single"/>
        </w:rPr>
        <w:t xml:space="preserve"> 不</w:t>
      </w:r>
      <w:r>
        <w:rPr>
          <w:rFonts w:hint="eastAsia" w:ascii="宋体" w:hAnsi="宋体" w:eastAsia="宋体" w:cs="宋体"/>
          <w:b/>
          <w:bCs/>
          <w:highlight w:val="none"/>
          <w:u w:val="single"/>
        </w:rPr>
        <w:t xml:space="preserve"> </w:t>
      </w:r>
      <w:r>
        <w:rPr>
          <w:rFonts w:hint="eastAsia" w:ascii="宋体" w:hAnsi="宋体" w:eastAsia="宋体" w:cs="宋体"/>
          <w:highlight w:val="none"/>
        </w:rPr>
        <w:t xml:space="preserve">接受联合体参与磋商。</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8" w:name="_Toc28359080"/>
      <w:r/>
      <w:bookmarkStart w:id="19" w:name="_Toc38985264"/>
      <w:r/>
      <w:bookmarkStart w:id="20" w:name="_Toc28359003"/>
      <w:r/>
      <w:bookmarkStart w:id="21" w:name="_Toc35393791"/>
      <w:r/>
      <w:bookmarkStart w:id="22" w:name="_Toc35393622"/>
      <w:r>
        <w:rPr>
          <w:rFonts w:hint="eastAsia" w:ascii="宋体" w:hAnsi="宋体" w:eastAsia="宋体" w:cs="宋体"/>
          <w:b/>
          <w:highlight w:val="none"/>
        </w:rPr>
        <w:t xml:space="preserve">二、申请人的资格要求：</w:t>
      </w:r>
      <w:bookmarkEnd w:id="18"/>
      <w:r/>
      <w:bookmarkEnd w:id="19"/>
      <w:r/>
      <w:bookmarkEnd w:id="20"/>
      <w:r/>
      <w:bookmarkEnd w:id="21"/>
      <w:r/>
      <w:bookmarkEnd w:id="22"/>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法人或者其他组织的营业执照等证明文件，自然人的身份证明；</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1.2上一年度的财务状况报告（成立不满一年无需提供）；</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1.3具备履行合同所必需的设备和专业技术能力的书面声明；</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p>
    <w:p>
      <w:pPr>
        <w:pStyle w:val="822"/>
        <w:ind w:firstLine="480"/>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1.6法律、行政法规规定的其他条件。</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1.8单位负责人为同一人或者存在直接控股、管理关系的不同供应商，不得参加同一合同项下的政府采购活动。</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pStyle w:val="822"/>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3"/>
      </w:pPr>
      <w:r>
        <w:rPr>
          <w:rFonts w:hint="eastAsia" w:ascii="宋体" w:hAnsi="宋体" w:eastAsia="宋体" w:cs="宋体"/>
          <w:highlight w:val="none"/>
        </w:rPr>
        <w:t xml:space="preserve">3.本项目的特定资格要求：</w:t>
      </w:r>
      <w:r/>
    </w:p>
    <w:p>
      <w:pPr>
        <w:pStyle w:val="822"/>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3.1投标人要求：</w:t>
      </w:r>
      <w:r>
        <w:rPr>
          <w:rFonts w:ascii="宋体" w:hAnsi="宋体" w:eastAsia="宋体" w:cs="宋体"/>
          <w:highlight w:val="none"/>
        </w:rPr>
        <w:t xml:space="preserve">投标人须具有建设行政主管部门核发的市政公用工程施工总承包三级及以上资质的独立法人，并具有有效的安全生产许可证</w:t>
      </w:r>
      <w:r>
        <w:rPr>
          <w:rFonts w:hint="eastAsia" w:ascii="宋体" w:hAnsi="宋体" w:eastAsia="宋体" w:cs="宋体"/>
          <w:highlight w:val="none"/>
        </w:rPr>
        <w:t xml:space="preserve">。</w:t>
      </w:r>
      <w:r/>
    </w:p>
    <w:p>
      <w:pPr>
        <w:pStyle w:val="822"/>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3.2项目负责人要求：</w:t>
      </w:r>
      <w:r>
        <w:rPr>
          <w:rFonts w:ascii="宋体" w:hAnsi="宋体" w:eastAsia="宋体" w:cs="宋体"/>
          <w:highlight w:val="none"/>
        </w:rPr>
        <w:t xml:space="preserve">项目负责人具有市政公用工程专业二级及以上注册建造师资格，并取得有效的安全生产考核合格证（B类）证书</w:t>
      </w:r>
      <w:r>
        <w:rPr>
          <w:rFonts w:hint="eastAsia" w:ascii="宋体" w:hAnsi="宋体" w:eastAsia="宋体" w:cs="宋体"/>
          <w:highlight w:val="none"/>
        </w:rPr>
        <w:t xml:space="preserve">；</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3.3其他要求：</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3.3.1 项目负责人从本工程投标文件递交截止之日起必须满足下列条件：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项目负责人不得同时在两个或者两个以上单位受聘或者执业。</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3.3.2 投标申请人代理人及投标承诺的项目负责人均为本单位的正式职工，投标时提供从2026年8月开始至投标截止之日当月内至少1个月在本单位缴纳养老保险缴费记录证明（退休人员提供在本单位相关证明）。</w:t>
      </w:r>
      <w:r/>
    </w:p>
    <w:p>
      <w:pPr>
        <w:pStyle w:val="822"/>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三、获取磋商文件</w:t>
      </w:r>
      <w:r/>
    </w:p>
    <w:p>
      <w:pPr>
        <w:ind w:firstLine="480"/>
        <w:pageBreakBefore w:val="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outlineLvl w:val="2"/>
      </w:pPr>
      <w:r/>
      <w:bookmarkStart w:id="23" w:name="_Toc35393793"/>
      <w:r/>
      <w:bookmarkStart w:id="24" w:name="_Toc38985266"/>
      <w:r/>
      <w:bookmarkStart w:id="25" w:name="_Toc28359005"/>
      <w:r/>
      <w:bookmarkStart w:id="26" w:name="_Toc35393624"/>
      <w:r/>
      <w:bookmarkStart w:id="27" w:name="_Toc28359082"/>
      <w:r>
        <w:rPr>
          <w:rFonts w:hint="eastAsia" w:ascii="宋体" w:hAnsi="宋体" w:eastAsia="宋体" w:cs="宋体"/>
          <w:sz w:val="24"/>
          <w:highlight w:val="none"/>
        </w:rPr>
        <w:t xml:space="preserve">1.时间：自磋商文件公告发布之日起5个工作日。</w:t>
      </w:r>
      <w:bookmarkEnd w:id="23"/>
      <w:r/>
      <w:bookmarkEnd w:id="24"/>
      <w:r/>
      <w:bookmarkEnd w:id="25"/>
      <w:r/>
      <w:bookmarkEnd w:id="26"/>
      <w:r/>
      <w:bookmarkEnd w:id="27"/>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2.地点：“苏采云”系统内免费下载（投标人必须在苏采云系统中获取磋商文件，方能参与政府采购项目）；</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4.售价：0元</w:t>
      </w:r>
      <w:r/>
    </w:p>
    <w:p>
      <w:pPr>
        <w:pStyle w:val="822"/>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四、响应文件提交</w:t>
      </w:r>
      <w:r/>
    </w:p>
    <w:p>
      <w:pPr>
        <w:pStyle w:val="822"/>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1.截止时间：2026年11月 </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 日</w:t>
      </w:r>
      <w:r>
        <w:rPr>
          <w:rFonts w:hint="eastAsia" w:ascii="宋体" w:hAnsi="宋体" w:eastAsia="宋体" w:cs="宋体"/>
          <w:highlight w:val="none"/>
          <w:lang w:val="en-US" w:eastAsia="zh-CN"/>
        </w:rPr>
        <w:t xml:space="preserve">09</w:t>
      </w:r>
      <w:r>
        <w:rPr>
          <w:rFonts w:hint="eastAsia" w:ascii="宋体" w:hAnsi="宋体" w:eastAsia="宋体" w:cs="宋体"/>
          <w:highlight w:val="none"/>
        </w:rPr>
        <w:t xml:space="preserve"> 点00分（北京时间）。</w:t>
      </w:r>
      <w:r/>
    </w:p>
    <w:p>
      <w:pPr>
        <w:pStyle w:val="822"/>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22"/>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28" w:name="_Toc35393795"/>
      <w:r/>
      <w:bookmarkStart w:id="29" w:name="_Toc35393626"/>
      <w:r/>
      <w:bookmarkStart w:id="30" w:name="_Toc38985268"/>
      <w:r>
        <w:rPr>
          <w:rFonts w:hint="eastAsia" w:ascii="宋体" w:hAnsi="宋体" w:eastAsia="宋体" w:cs="宋体"/>
          <w:b/>
          <w:highlight w:val="none"/>
        </w:rPr>
        <w:t xml:space="preserve">五、开启</w:t>
      </w:r>
      <w:r/>
    </w:p>
    <w:p>
      <w:pPr>
        <w:pStyle w:val="822"/>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1.时间：2026年11月 </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 日</w:t>
      </w:r>
      <w:r>
        <w:rPr>
          <w:rFonts w:hint="eastAsia" w:ascii="宋体" w:hAnsi="宋体" w:eastAsia="宋体" w:cs="宋体"/>
          <w:highlight w:val="none"/>
          <w:lang w:val="en-US" w:eastAsia="zh-CN"/>
        </w:rPr>
        <w:t xml:space="preserve">09</w:t>
      </w:r>
      <w:r>
        <w:rPr>
          <w:rFonts w:hint="eastAsia" w:ascii="宋体" w:hAnsi="宋体" w:eastAsia="宋体" w:cs="宋体"/>
          <w:highlight w:val="none"/>
        </w:rPr>
        <w:t xml:space="preserve">点00分（北京时间）。</w:t>
      </w:r>
      <w:bookmarkEnd w:id="28"/>
      <w:r/>
      <w:bookmarkEnd w:id="29"/>
      <w:r/>
      <w:bookmarkEnd w:id="30"/>
      <w:r/>
      <w:r/>
    </w:p>
    <w:p>
      <w:pPr>
        <w:pStyle w:val="822"/>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22"/>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31" w:name="_Toc28359094"/>
      <w:r>
        <w:rPr>
          <w:rFonts w:hint="eastAsia" w:ascii="宋体" w:hAnsi="宋体" w:eastAsia="宋体" w:cs="宋体"/>
          <w:b/>
          <w:highlight w:val="none"/>
        </w:rPr>
        <w:t xml:space="preserve">六、公告期限</w:t>
      </w:r>
      <w:bookmarkEnd w:id="31"/>
      <w:r/>
      <w:r/>
    </w:p>
    <w:p>
      <w:pPr>
        <w:pStyle w:val="822"/>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22"/>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七、其他补充事宜</w:t>
      </w:r>
      <w:r/>
    </w:p>
    <w:p>
      <w:pPr>
        <w:pStyle w:val="822"/>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bookmarkStart w:id="32" w:name="_Toc28359018"/>
      <w:r>
        <w:rPr>
          <w:rFonts w:hint="eastAsia" w:ascii="宋体" w:hAnsi="宋体" w:eastAsia="宋体" w:cs="宋体"/>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2"/>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领取CA和办理电子签章（请至盐城市政务服务中心四楼窗口办理，联系电话：1505</w:t>
      </w:r>
      <w:bookmarkStart w:id="686" w:name="_GoBack"/>
      <w:r>
        <w:rPr>
          <w:rFonts w:hint="eastAsia" w:ascii="宋体" w:hAnsi="宋体" w:eastAsia="宋体" w:cs="宋体"/>
          <w:highlight w:val="none"/>
        </w:rPr>
        <w:t xml:space="preserve">15</w:t>
      </w:r>
      <w:bookmarkEnd w:id="686"/>
      <w:r>
        <w:rPr>
          <w:rFonts w:hint="eastAsia" w:ascii="宋体" w:hAnsi="宋体" w:eastAsia="宋体" w:cs="宋体"/>
          <w:highlight w:val="none"/>
        </w:rPr>
        <w:t xml:space="preserve">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2.潜在供应商访问电子招标响应交易平台的网络地址和方法：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2.3 磋商文件（后缀名为“.kedt”）、供应商操作手册及政府采购客户端 工具可通过“苏采云”系统相应链接进行下载。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采购代理机构将数据电文形式的磋商文件加载至“苏采云”系统，供潜在供应商下载或者查阅。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pStyle w:val="822"/>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3. 有关本次磋商的事项若存在变动或修改，敬请及时关注盐城市盐都区龙冈镇人民政府在“中国政府采购网”“江苏政府采购网”“盐城市政府采购网”发布的更正公告。</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 本次磋商不收取磋商保证金，不收取质量保证金。</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5.电子投标文件一份(通过系统提交)；纸质投标文件正本一份，副本四份（评审结束后由中标候选人邮寄至江苏协诚工程咨询有限公司，未中标单位不需要提供）。</w:t>
      </w:r>
      <w:r/>
    </w:p>
    <w:p>
      <w:pPr>
        <w:pStyle w:val="822"/>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八、凡对本次采购提出询问，请按以下方式联系。</w:t>
      </w:r>
      <w:bookmarkEnd w:id="32"/>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1.采购人信息</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名 称：盐城市盐都区龙冈镇人民政府 </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地址：盐城市盐都区龙冈镇华兴大道 </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联系人：张书记              </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联系方式：13605103705            </w:t>
      </w:r>
      <w:bookmarkStart w:id="33" w:name="_Toc28359009"/>
      <w:r/>
      <w:bookmarkEnd w:id="33"/>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2.采购代理机构信息</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名 称：江苏协诚工程咨询有限公司</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地 址：盐城市盐龙街道振兴路109号华航科技广场5号楼903室</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联系人：董女士                     </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联系方式：15950220182                </w:t>
      </w:r>
      <w:bookmarkStart w:id="34" w:name="_Toc28359087"/>
      <w:r/>
      <w:bookmarkEnd w:id="34"/>
      <w:r/>
      <w:bookmarkStart w:id="35" w:name="_Toc28359010"/>
      <w:r/>
      <w:bookmarkEnd w:id="35"/>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bookmarkStart w:id="36" w:name="_Toc28359021"/>
      <w:r>
        <w:rPr>
          <w:rFonts w:hint="eastAsia" w:ascii="宋体" w:hAnsi="宋体" w:eastAsia="宋体" w:cs="宋体"/>
          <w:highlight w:val="none"/>
        </w:rPr>
        <w:t xml:space="preserve">3.</w:t>
      </w:r>
      <w:bookmarkEnd w:id="36"/>
      <w:r>
        <w:rPr>
          <w:rFonts w:hint="eastAsia" w:ascii="宋体" w:hAnsi="宋体" w:eastAsia="宋体" w:cs="宋体"/>
          <w:highlight w:val="none"/>
        </w:rPr>
        <w:t xml:space="preserve">项目联系方式</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项目联系人：张书记</w:t>
      </w:r>
      <w:r/>
    </w:p>
    <w:p>
      <w:pPr>
        <w:pStyle w:val="822"/>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电　　 话：13605103705　　　　　　　　　　　</w:t>
      </w:r>
      <w:r/>
    </w:p>
    <w:p>
      <w:pPr>
        <w:rPr>
          <w:highlight w:val="none"/>
        </w:rPr>
      </w:pPr>
      <w:r>
        <w:rPr>
          <w:highlight w:val="none"/>
        </w:rPr>
        <w:t xml:space="preserve"> </w:t>
      </w:r>
      <w:r/>
    </w:p>
    <w:p>
      <w:pPr>
        <w:jc w:val="center"/>
        <w:rPr>
          <w:rFonts w:hint="eastAsia" w:ascii="黑体" w:hAnsi="宋体" w:eastAsia="黑体" w:cs="黑体"/>
          <w:b/>
          <w:sz w:val="44"/>
          <w:szCs w:val="44"/>
          <w:highlight w:val="none"/>
        </w:rPr>
      </w:pPr>
      <w:r/>
      <w:bookmarkStart w:id="37" w:name="_Toc120614211"/>
      <w:r/>
      <w:bookmarkStart w:id="38" w:name="_Toc21039"/>
      <w:r>
        <w:rPr>
          <w:rFonts w:hint="eastAsia" w:ascii="黑体" w:hAnsi="宋体" w:eastAsia="黑体" w:cs="黑体"/>
          <w:b/>
          <w:sz w:val="44"/>
          <w:szCs w:val="44"/>
          <w:highlight w:val="none"/>
        </w:rPr>
        <w:br w:type="page" w:clear="all"/>
      </w:r>
      <w:r>
        <w:rPr>
          <w:rFonts w:hint="eastAsia" w:ascii="黑体" w:hAnsi="宋体" w:eastAsia="黑体" w:cs="黑体"/>
          <w:b/>
          <w:sz w:val="44"/>
          <w:szCs w:val="44"/>
          <w:highlight w:val="none"/>
        </w:rPr>
        <w:t xml:space="preserve">第二章  </w:t>
      </w:r>
      <w:bookmarkEnd w:id="37"/>
      <w:r>
        <w:rPr>
          <w:rFonts w:hint="eastAsia" w:ascii="黑体" w:hAnsi="宋体" w:eastAsia="黑体" w:cs="黑体"/>
          <w:b/>
          <w:sz w:val="44"/>
          <w:szCs w:val="44"/>
          <w:highlight w:val="none"/>
        </w:rPr>
        <w:t xml:space="preserve">供应商须知</w:t>
      </w:r>
      <w:bookmarkEnd w:id="38"/>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39" w:name="_Toc16938519"/>
      <w:r/>
      <w:bookmarkStart w:id="40" w:name="_Toc20823275"/>
      <w:r/>
      <w:bookmarkStart w:id="41" w:name="_Toc120614214"/>
      <w:r/>
      <w:bookmarkStart w:id="42" w:name="_Toc513029203"/>
      <w:r>
        <w:rPr>
          <w:rFonts w:hint="eastAsia" w:ascii="宋体" w:hAnsi="宋体" w:eastAsia="宋体" w:cs="宋体"/>
          <w:b/>
          <w:highlight w:val="none"/>
        </w:rPr>
        <w:t xml:space="preserve">一、总则</w:t>
      </w:r>
      <w:bookmarkEnd w:id="39"/>
      <w:r/>
      <w:bookmarkEnd w:id="40"/>
      <w:r/>
      <w:bookmarkEnd w:id="41"/>
      <w:r/>
      <w:bookmarkEnd w:id="42"/>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43" w:name="_Toc20823276"/>
      <w:r/>
      <w:bookmarkStart w:id="44" w:name="_Toc513029204"/>
      <w:r/>
      <w:bookmarkStart w:id="45" w:name="_Toc458694821"/>
      <w:r/>
      <w:bookmarkStart w:id="46" w:name="_Toc16938520"/>
      <w:r/>
      <w:bookmarkStart w:id="47" w:name="_Hlt16619475"/>
      <w:r>
        <w:rPr>
          <w:rFonts w:hint="eastAsia" w:ascii="宋体" w:hAnsi="宋体" w:eastAsia="宋体" w:cs="宋体"/>
          <w:highlight w:val="none"/>
        </w:rPr>
        <w:t xml:space="preserve">1</w:t>
      </w:r>
      <w:bookmarkEnd w:id="43"/>
      <w:r>
        <w:rPr>
          <w:rFonts w:hint="eastAsia" w:ascii="宋体" w:hAnsi="宋体" w:eastAsia="宋体" w:cs="宋体"/>
          <w:highlight w:val="none"/>
        </w:rPr>
        <w:t xml:space="preserve">、采购方式</w:t>
      </w:r>
      <w:bookmarkEnd w:id="44"/>
      <w:r/>
      <w:bookmarkEnd w:id="45"/>
      <w:r/>
      <w:bookmarkEnd w:id="46"/>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本次政府采购活动采取竞争性磋商(以下简称磋商)方式，本磋商文件仅适用于磋商公告中所述项目。</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48" w:name="_Toc16938521"/>
      <w:r/>
      <w:bookmarkStart w:id="49" w:name="_Toc513029205"/>
      <w:r/>
      <w:bookmarkStart w:id="50" w:name="_Toc20823277"/>
      <w:r>
        <w:rPr>
          <w:rFonts w:hint="eastAsia" w:ascii="宋体" w:hAnsi="宋体" w:eastAsia="宋体" w:cs="宋体"/>
          <w:highlight w:val="none"/>
        </w:rPr>
        <w:t xml:space="preserve">2、合格的</w:t>
      </w:r>
      <w:bookmarkEnd w:id="48"/>
      <w:r/>
      <w:bookmarkEnd w:id="49"/>
      <w:r/>
      <w:bookmarkEnd w:id="50"/>
      <w:r>
        <w:rPr>
          <w:rFonts w:hint="eastAsia" w:ascii="宋体" w:hAnsi="宋体" w:eastAsia="宋体" w:cs="宋体"/>
          <w:highlight w:val="none"/>
        </w:rPr>
        <w:t xml:space="preserve">供应商</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2.1满足磋商公告中供应商资格要求的规定。</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 满足本磋商文件实质性要求和条件的规定。</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51" w:name="_Toc16938522"/>
      <w:r/>
      <w:bookmarkStart w:id="52" w:name="_Toc513029206"/>
      <w:r/>
      <w:bookmarkStart w:id="53" w:name="_Toc20823278"/>
      <w:r>
        <w:rPr>
          <w:rFonts w:hint="eastAsia" w:ascii="宋体" w:hAnsi="宋体" w:eastAsia="宋体" w:cs="宋体"/>
          <w:highlight w:val="none"/>
        </w:rPr>
        <w:t xml:space="preserve">3、适用法律</w:t>
      </w:r>
      <w:bookmarkEnd w:id="51"/>
      <w:r/>
      <w:bookmarkEnd w:id="52"/>
      <w:r/>
      <w:bookmarkEnd w:id="53"/>
      <w:r/>
      <w:r/>
    </w:p>
    <w:p>
      <w:pPr>
        <w:pStyle w:val="822"/>
        <w:ind w:firstLine="42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 本次磋商及由此产生的合同受中华人民共和国有关的法律法规制约和保护。</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54" w:name="_Toc16938523"/>
      <w:r/>
      <w:bookmarkStart w:id="55" w:name="_Toc20823279"/>
      <w:r/>
      <w:bookmarkStart w:id="56" w:name="_Toc513029207"/>
      <w:r/>
      <w:bookmarkStart w:id="57" w:name="_Toc462564067"/>
      <w:r>
        <w:rPr>
          <w:rFonts w:hint="eastAsia" w:ascii="宋体" w:hAnsi="宋体" w:eastAsia="宋体" w:cs="宋体"/>
          <w:highlight w:val="none"/>
        </w:rPr>
        <w:t xml:space="preserve">4、磋商费用</w:t>
      </w:r>
      <w:bookmarkEnd w:id="54"/>
      <w:r/>
      <w:bookmarkEnd w:id="55"/>
      <w:r/>
      <w:bookmarkEnd w:id="56"/>
      <w:r/>
      <w:bookmarkEnd w:id="57"/>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4.1供应商应自行承担所有与参加本次磋商有关的费用，无论磋商过程中的做法和结果如何，采购人及代理机构在任何情况下均无义务和责任承担这些费用。</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4.2本次磋商不收取标书工本费。</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5、磋商文件的约束力</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5.1供应商一旦参加本项目采购活动，即被认为接受了本磋商文件的规定和约束。</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58" w:name="_Toc513029209"/>
      <w:r/>
      <w:bookmarkStart w:id="59" w:name="_Toc16938525"/>
      <w:r/>
      <w:bookmarkStart w:id="60" w:name="_Toc120614215"/>
      <w:r/>
      <w:bookmarkStart w:id="61" w:name="_Toc20823281"/>
      <w:r>
        <w:rPr>
          <w:rFonts w:hint="eastAsia" w:ascii="宋体" w:hAnsi="宋体" w:eastAsia="宋体" w:cs="宋体"/>
          <w:b/>
          <w:highlight w:val="none"/>
        </w:rPr>
        <w:t xml:space="preserve">二、</w:t>
      </w:r>
      <w:bookmarkEnd w:id="58"/>
      <w:r/>
      <w:bookmarkEnd w:id="59"/>
      <w:r/>
      <w:bookmarkEnd w:id="60"/>
      <w:r/>
      <w:bookmarkEnd w:id="61"/>
      <w:r>
        <w:rPr>
          <w:rFonts w:hint="eastAsia" w:ascii="宋体" w:hAnsi="宋体" w:eastAsia="宋体" w:cs="宋体"/>
          <w:b/>
          <w:highlight w:val="none"/>
        </w:rPr>
        <w:t xml:space="preserve">磋商文件</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62" w:name="_Toc20823282"/>
      <w:r/>
      <w:bookmarkStart w:id="63" w:name="_Toc513029210"/>
      <w:r/>
      <w:bookmarkStart w:id="64" w:name="_Toc16938526"/>
      <w:r>
        <w:rPr>
          <w:rFonts w:hint="eastAsia" w:ascii="宋体" w:hAnsi="宋体" w:eastAsia="宋体" w:cs="宋体"/>
          <w:highlight w:val="none"/>
        </w:rPr>
        <w:t xml:space="preserve">6、磋商文件构成</w:t>
      </w:r>
      <w:bookmarkEnd w:id="62"/>
      <w:r/>
      <w:bookmarkEnd w:id="63"/>
      <w:r/>
      <w:bookmarkEnd w:id="64"/>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6.1磋商文件由以下部分组成：</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（1）磋商公告</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（2）供应商须知</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（3）合同文本</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（4）采购需求</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（5）评审方法与评审标准</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（6）响应文件格式</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请仔细检查磋商文件是否齐全，如有缺漏请立即与采购人联系解决。</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2"/>
        <w:ind w:firstLine="560"/>
        <w:jc w:val="both"/>
        <w:keepLines/>
        <w:keepNext/>
        <w:spacing w:beforeAutospacing="0" w:afterAutospacing="0" w:line="440" w:lineRule="exact"/>
        <w:rPr>
          <w:rFonts w:hint="eastAsia" w:ascii="宋体" w:hAnsi="宋体" w:eastAsia="宋体" w:cs="宋体"/>
          <w:highlight w:val="none"/>
        </w:rPr>
        <w:outlineLvl w:val="2"/>
      </w:pPr>
      <w:r/>
      <w:bookmarkStart w:id="65" w:name="_Toc462564070"/>
      <w:r/>
      <w:bookmarkStart w:id="66" w:name="_Toc513029211"/>
      <w:r/>
      <w:bookmarkStart w:id="67" w:name="_Toc20823283"/>
      <w:r/>
      <w:bookmarkStart w:id="68" w:name="_Toc16938527"/>
      <w:r>
        <w:rPr>
          <w:rFonts w:hint="eastAsia" w:ascii="宋体" w:hAnsi="宋体" w:eastAsia="宋体" w:cs="宋体"/>
          <w:highlight w:val="none"/>
        </w:rPr>
        <w:t xml:space="preserve">7、磋商文件的澄清</w:t>
      </w:r>
      <w:bookmarkEnd w:id="65"/>
      <w:r/>
      <w:bookmarkEnd w:id="66"/>
      <w:r/>
      <w:bookmarkEnd w:id="67"/>
      <w:r/>
      <w:bookmarkEnd w:id="68"/>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7.1 任何要求对磋商文件进行澄清的供应商，应在磋商截止期5日前按磋商公告中的通讯地址，以书面形式通知采购人。</w:t>
      </w:r>
      <w:r/>
    </w:p>
    <w:p>
      <w:pPr>
        <w:pStyle w:val="822"/>
        <w:ind w:firstLine="560"/>
        <w:jc w:val="both"/>
        <w:keepLines/>
        <w:keepNext/>
        <w:spacing w:beforeAutospacing="0" w:afterAutospacing="0" w:line="440" w:lineRule="exact"/>
        <w:rPr>
          <w:rFonts w:hint="eastAsia" w:ascii="宋体" w:hAnsi="宋体" w:eastAsia="宋体" w:cs="宋体"/>
          <w:highlight w:val="none"/>
        </w:rPr>
        <w:outlineLvl w:val="2"/>
      </w:pPr>
      <w:r/>
      <w:bookmarkStart w:id="69" w:name="_Toc20823284"/>
      <w:r/>
      <w:bookmarkStart w:id="70" w:name="_Toc462564071"/>
      <w:r/>
      <w:bookmarkStart w:id="71" w:name="_Toc16938528"/>
      <w:r/>
      <w:bookmarkStart w:id="72" w:name="_Toc513029212"/>
      <w:r>
        <w:rPr>
          <w:rFonts w:hint="eastAsia" w:ascii="宋体" w:hAnsi="宋体" w:eastAsia="宋体" w:cs="宋体"/>
          <w:highlight w:val="none"/>
        </w:rPr>
        <w:t xml:space="preserve">8、磋商文件的澄清和修改</w:t>
      </w:r>
      <w:bookmarkEnd w:id="69"/>
      <w:r/>
      <w:bookmarkEnd w:id="70"/>
      <w:r/>
      <w:bookmarkEnd w:id="71"/>
      <w:r/>
      <w:bookmarkEnd w:id="72"/>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8.2采购人可以视采购项目的具体情况，组织供应商进行现场考察或召开磋商前答疑会，但不单独或分别组织只有一个供应商参加的现场考察和答疑会。</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73" w:name="_Toc120614216"/>
      <w:r/>
      <w:bookmarkStart w:id="74" w:name="_Toc462564072"/>
      <w:r/>
      <w:bookmarkStart w:id="75" w:name="_Toc20823285"/>
      <w:r/>
      <w:bookmarkStart w:id="76" w:name="_Toc16938529"/>
      <w:r/>
      <w:bookmarkStart w:id="77" w:name="_Toc513029213"/>
      <w:r>
        <w:rPr>
          <w:rFonts w:hint="eastAsia" w:ascii="宋体" w:hAnsi="宋体" w:eastAsia="宋体" w:cs="宋体"/>
          <w:b/>
          <w:highlight w:val="none"/>
        </w:rPr>
        <w:t xml:space="preserve">三、响应文件的编制</w:t>
      </w:r>
      <w:bookmarkEnd w:id="73"/>
      <w:r/>
      <w:bookmarkEnd w:id="74"/>
      <w:r/>
      <w:bookmarkEnd w:id="75"/>
      <w:r/>
      <w:bookmarkEnd w:id="76"/>
      <w:r/>
      <w:bookmarkEnd w:id="77"/>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78" w:name="_Toc20823286"/>
      <w:r/>
      <w:bookmarkStart w:id="79" w:name="_Toc513029214"/>
      <w:r/>
      <w:bookmarkStart w:id="80" w:name="_Toc16938530"/>
      <w:r/>
      <w:bookmarkStart w:id="81" w:name="_Toc462564073"/>
      <w:r>
        <w:rPr>
          <w:rFonts w:hint="eastAsia" w:ascii="宋体" w:hAnsi="宋体" w:eastAsia="宋体" w:cs="宋体"/>
          <w:highlight w:val="none"/>
        </w:rPr>
        <w:t xml:space="preserve">9、响应文件的语言及度量衡单位</w:t>
      </w:r>
      <w:bookmarkEnd w:id="78"/>
      <w:r/>
      <w:bookmarkEnd w:id="79"/>
      <w:r/>
      <w:bookmarkEnd w:id="80"/>
      <w:r/>
      <w:bookmarkEnd w:id="81"/>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9.1供应商提交的响应文件以及供应商与采购人就有关磋商的所有来往通知、函件和文件均应使用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9.2 除技术性能另有规定外，响应文件所使用的度量衡单位，均须采用国家法定计量单位。</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82" w:name="_Toc462564074"/>
      <w:r/>
      <w:bookmarkStart w:id="83" w:name="_Toc20823287"/>
      <w:r/>
      <w:bookmarkStart w:id="84" w:name="_Toc513029215"/>
      <w:r/>
      <w:bookmarkStart w:id="85" w:name="_Toc16938531"/>
      <w:r>
        <w:rPr>
          <w:rFonts w:hint="eastAsia" w:ascii="宋体" w:hAnsi="宋体" w:eastAsia="宋体" w:cs="宋体"/>
          <w:highlight w:val="none"/>
        </w:rPr>
        <w:t xml:space="preserve">10、响应文件构成</w:t>
      </w:r>
      <w:bookmarkEnd w:id="82"/>
      <w:r/>
      <w:bookmarkEnd w:id="83"/>
      <w:r/>
      <w:bookmarkEnd w:id="84"/>
      <w:r/>
      <w:bookmarkEnd w:id="85"/>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10.1供应商编写的响应文件应包括资格证明文件、符合性证明文件、分项报价表、技术要求响应及偏离表、商务要求响应及偏离表、其他证明文件、磋商响应函等部分。</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86" w:name="_Toc14577357"/>
      <w:r/>
      <w:bookmarkStart w:id="87" w:name="_Toc513029219"/>
      <w:r/>
      <w:bookmarkStart w:id="88" w:name="_Toc14577355"/>
      <w:r/>
      <w:bookmarkStart w:id="89" w:name="_Toc14577354"/>
      <w:r/>
      <w:bookmarkStart w:id="90" w:name="_Toc513029216"/>
      <w:r/>
      <w:bookmarkStart w:id="91" w:name="_Toc49090508"/>
      <w:r/>
      <w:bookmarkStart w:id="92" w:name="_Toc49090509"/>
      <w:r/>
      <w:bookmarkStart w:id="93" w:name="_Toc49090507"/>
      <w:r/>
      <w:bookmarkStart w:id="94" w:name="_Hlt26954838"/>
      <w:r/>
      <w:bookmarkStart w:id="95" w:name="_Hlt26668975"/>
      <w:r/>
      <w:bookmarkStart w:id="96" w:name="_Hlt26670360"/>
      <w:r>
        <w:rPr>
          <w:rFonts w:hint="eastAsia" w:ascii="宋体" w:hAnsi="宋体" w:eastAsia="宋体" w:cs="宋体"/>
          <w:highlight w:val="none"/>
        </w:rPr>
        <w:t xml:space="preserve">11、证明磋商响应标的符合磋商文件规定的文件</w:t>
      </w:r>
      <w:bookmarkEnd w:id="86"/>
      <w:r/>
      <w:bookmarkEnd w:id="87"/>
      <w:r/>
      <w:bookmarkEnd w:id="88"/>
      <w:r/>
      <w:bookmarkEnd w:id="89"/>
      <w:r/>
      <w:bookmarkEnd w:id="90"/>
      <w:r/>
      <w:bookmarkEnd w:id="91"/>
      <w:r/>
      <w:bookmarkEnd w:id="92"/>
      <w:r/>
      <w:bookmarkEnd w:id="93"/>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11.1供应商应按照磋商文件要求提交证明文件，证明其及磋商响应标的符合磋商文件规定。</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11.2磋商文件对证明文件无明确形式要求的，证明文件可以以文字资料、图纸和数据等形式提交。</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12、分项报价表</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12.1供应商应按照磋商文件规定格式填报分项报价表。</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12.2磋商货币。响应文件中的单价和总价无特殊规定的采用人民币报价，以元为单位标注。磋商文件中另有规定的按规定执行。</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97" w:name="_Hlt26954731"/>
      <w:r/>
      <w:bookmarkStart w:id="98" w:name="_Hlt26954848"/>
      <w:r/>
      <w:bookmarkStart w:id="99" w:name="_Hlt26954846"/>
      <w:r/>
      <w:bookmarkStart w:id="100" w:name="_Hlt26670482"/>
      <w:r/>
      <w:bookmarkStart w:id="101" w:name="_Hlt26670486"/>
      <w:r>
        <w:rPr>
          <w:rFonts w:hint="eastAsia" w:ascii="宋体" w:hAnsi="宋体" w:eastAsia="宋体" w:cs="宋体"/>
          <w:highlight w:val="none"/>
        </w:rPr>
        <w:t xml:space="preserve">13、技术要求响应及偏离表、商务要求响应及偏离表</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13.1供应商需对磋商文件中的技术要求与商务要求逐项作出响应或偏离，并说明原因。</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13.2供应商可在响应文件中提供认为需要的其他技术文件或说明。</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14、服务承诺、培训计划、人员安排及其他</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14.1供应商需根据磋商文件要求提供有关售后服务的管理制度，售后服务机构的分布情况，售后服务人员的数量、素质、技术水平及售后服务的反应能力等。</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14.2供应商需根据磋商文件要求提供培训计划。</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14.3供应商需根据磋商文件要求提供磋商响应标的的主要组成部分、功能设计、实现思路及关键技术等。</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02" w:name="_Toc14577359"/>
      <w:r/>
      <w:bookmarkStart w:id="103" w:name="_Toc49090510"/>
      <w:r>
        <w:rPr>
          <w:rFonts w:hint="eastAsia" w:ascii="宋体" w:hAnsi="宋体" w:eastAsia="宋体" w:cs="宋体"/>
          <w:highlight w:val="none"/>
        </w:rPr>
        <w:t xml:space="preserve">15、磋商响应函</w:t>
      </w:r>
      <w:bookmarkEnd w:id="102"/>
      <w:r/>
      <w:bookmarkEnd w:id="103"/>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15.1供应商应按照磋商文件中提供的格式完整、正确填写磋商响应函。</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04" w:name="_Toc14577360"/>
      <w:r/>
      <w:bookmarkStart w:id="105" w:name="_Toc49090511"/>
      <w:r>
        <w:rPr>
          <w:rFonts w:hint="eastAsia" w:ascii="宋体" w:hAnsi="宋体" w:eastAsia="宋体" w:cs="宋体"/>
          <w:highlight w:val="none"/>
        </w:rPr>
        <w:t xml:space="preserve">16、磋商有效期</w:t>
      </w:r>
      <w:bookmarkEnd w:id="104"/>
      <w:r/>
      <w:bookmarkEnd w:id="105"/>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16.1磋商有效期为采购人规定的提交响应文件截止之日后</w:t>
      </w:r>
      <w:r>
        <w:rPr>
          <w:rFonts w:hint="eastAsia" w:ascii="宋体" w:hAnsi="宋体" w:eastAsia="宋体" w:cs="宋体"/>
          <w:b/>
          <w:highlight w:val="none"/>
          <w:u w:val="single"/>
        </w:rPr>
        <w:t xml:space="preserve">九十（90）天</w:t>
      </w:r>
      <w:r>
        <w:rPr>
          <w:rFonts w:hint="eastAsia" w:ascii="宋体" w:hAnsi="宋体" w:eastAsia="宋体" w:cs="宋体"/>
          <w:highlight w:val="none"/>
        </w:rPr>
        <w:t xml:space="preserve">。磋商有效期比规定短的将被视为非实质性响应磋商文件而予以拒绝。</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17、磋商有效期的延长</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06" w:name="_Toc513029224"/>
      <w:r/>
      <w:bookmarkStart w:id="107" w:name="_Toc120614217"/>
      <w:r/>
      <w:bookmarkStart w:id="108" w:name="_Toc16938540"/>
      <w:r/>
      <w:bookmarkStart w:id="109" w:name="_Toc20823296"/>
      <w:r/>
      <w:bookmarkStart w:id="110" w:name="_Hlt26954852"/>
      <w:r/>
      <w:bookmarkStart w:id="111" w:name="_Hlt26954739"/>
      <w:r>
        <w:rPr>
          <w:rFonts w:hint="eastAsia" w:ascii="宋体" w:hAnsi="宋体" w:eastAsia="宋体" w:cs="宋体"/>
          <w:b/>
          <w:highlight w:val="none"/>
        </w:rPr>
        <w:t xml:space="preserve">四、响应文件的递交</w:t>
      </w:r>
      <w:bookmarkEnd w:id="106"/>
      <w:r/>
      <w:bookmarkEnd w:id="107"/>
      <w:r/>
      <w:bookmarkEnd w:id="108"/>
      <w:r/>
      <w:bookmarkEnd w:id="109"/>
      <w:r/>
      <w:r/>
    </w:p>
    <w:p>
      <w:pPr>
        <w:pStyle w:val="822"/>
        <w:ind w:firstLine="560"/>
        <w:jc w:val="both"/>
        <w:keepLines/>
        <w:keepNext/>
        <w:spacing w:beforeAutospacing="0" w:afterAutospacing="0" w:line="440" w:lineRule="exact"/>
        <w:rPr>
          <w:rFonts w:hint="eastAsia" w:ascii="宋体" w:hAnsi="宋体" w:eastAsia="宋体" w:cs="宋体"/>
          <w:highlight w:val="none"/>
        </w:rPr>
        <w:outlineLvl w:val="2"/>
      </w:pPr>
      <w:r/>
      <w:bookmarkStart w:id="112" w:name="_Toc20823297"/>
      <w:r/>
      <w:bookmarkStart w:id="113" w:name="_Toc462564084"/>
      <w:r/>
      <w:bookmarkStart w:id="114" w:name="_Toc16938541"/>
      <w:r/>
      <w:bookmarkStart w:id="115" w:name="_Toc513029225"/>
      <w:r>
        <w:rPr>
          <w:rFonts w:hint="eastAsia" w:ascii="宋体" w:hAnsi="宋体" w:eastAsia="宋体" w:cs="宋体"/>
          <w:highlight w:val="none"/>
        </w:rPr>
        <w:t xml:space="preserve">18、电子磋商</w:t>
      </w:r>
      <w:bookmarkEnd w:id="112"/>
      <w:r/>
      <w:bookmarkEnd w:id="113"/>
      <w:r/>
      <w:bookmarkEnd w:id="114"/>
      <w:r/>
      <w:bookmarkEnd w:id="115"/>
      <w:r>
        <w:rPr>
          <w:rFonts w:hint="eastAsia" w:ascii="宋体" w:hAnsi="宋体" w:eastAsia="宋体" w:cs="宋体"/>
          <w:highlight w:val="none"/>
        </w:rPr>
        <w:t xml:space="preserve">响应文件的递交</w:t>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18.1供应商应当按照《操作手册》规定，在提交响应文件截止时间前制作并上传电子响应文件。</w:t>
      </w:r>
      <w:bookmarkStart w:id="116" w:name="_Toc20823298"/>
      <w:r/>
      <w:bookmarkEnd w:id="116"/>
      <w:r/>
      <w:bookmarkStart w:id="117" w:name="_Toc16938542"/>
      <w:r/>
      <w:bookmarkEnd w:id="117"/>
      <w:r/>
      <w:bookmarkStart w:id="118" w:name="_Toc513029226"/>
      <w:r/>
      <w:r/>
    </w:p>
    <w:p>
      <w:pPr>
        <w:pStyle w:val="822"/>
        <w:ind w:firstLine="56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19、提交响应文件截止时间</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i/>
          <w:highlight w:val="none"/>
          <w:u w:val="single"/>
        </w:rPr>
        <w:t xml:space="preserve">19.1供应商上传电子响应文件的时间不得迟于磋商公告中规定的提交响应文件截止时间。</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19" w:name="_Toc513029227"/>
      <w:r/>
      <w:bookmarkStart w:id="120" w:name="_Toc20823299"/>
      <w:r/>
      <w:bookmarkStart w:id="121" w:name="_Toc16938543"/>
      <w:r>
        <w:rPr>
          <w:rFonts w:hint="eastAsia" w:ascii="宋体" w:hAnsi="宋体" w:eastAsia="宋体" w:cs="宋体"/>
          <w:highlight w:val="none"/>
        </w:rPr>
        <w:t xml:space="preserve">20、响应文件</w:t>
      </w:r>
      <w:bookmarkEnd w:id="119"/>
      <w:r/>
      <w:bookmarkEnd w:id="120"/>
      <w:r/>
      <w:bookmarkEnd w:id="121"/>
      <w:r>
        <w:rPr>
          <w:rFonts w:hint="eastAsia" w:ascii="宋体" w:hAnsi="宋体" w:eastAsia="宋体" w:cs="宋体"/>
          <w:highlight w:val="none"/>
        </w:rPr>
        <w:t xml:space="preserve">的拒收</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20.1 采购人拒绝接收在其规定的提交响应文件截止时间后上传的任何电子响应文件。</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22" w:name="_Toc513029228"/>
      <w:r/>
      <w:bookmarkStart w:id="123" w:name="_Toc20823300"/>
      <w:r/>
      <w:bookmarkStart w:id="124" w:name="_Toc16938544"/>
      <w:r>
        <w:rPr>
          <w:rFonts w:hint="eastAsia" w:ascii="宋体" w:hAnsi="宋体" w:eastAsia="宋体" w:cs="宋体"/>
          <w:highlight w:val="none"/>
        </w:rPr>
        <w:t xml:space="preserve">21、响应文件的撤回和修改</w:t>
      </w:r>
      <w:bookmarkEnd w:id="122"/>
      <w:r/>
      <w:bookmarkEnd w:id="123"/>
      <w:r/>
      <w:bookmarkEnd w:id="124"/>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21.1响应文件的撤回</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21.1.1 电子响应文件的撤回</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供应商可在提交响应文件截止时间前，撤回其电子响应文件，具体操作方法见《操作手册》。</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21.1.2供应商撤回电子响应文件，则认为其不再参与本项目磋商活动。</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21.2响应文件的修改</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供应商可在提交响应文件截止时间前，对其电子响应文件进行修改，具体操作方法见《操作手册》。</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21.3 在提交响应文件截止时间之后，供应商不得对其电子响应文件作任何修改。</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21.4 在提交响应文件截止时间至磋商文件中规定的磋商有效期满之间的这段时间内，供应商不得撤回其响应文件。</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5" w:name="_Toc20823301"/>
      <w:r/>
      <w:bookmarkStart w:id="126" w:name="_Toc16938545"/>
      <w:r/>
      <w:bookmarkStart w:id="127" w:name="_Toc120614218"/>
      <w:r/>
      <w:bookmarkStart w:id="128" w:name="_Toc513029229"/>
      <w:r>
        <w:rPr>
          <w:rFonts w:hint="eastAsia" w:ascii="宋体" w:hAnsi="宋体" w:eastAsia="宋体" w:cs="宋体"/>
          <w:b/>
          <w:highlight w:val="none"/>
        </w:rPr>
        <w:t xml:space="preserve">五、响应文件的解密与评审</w:t>
      </w:r>
      <w:bookmarkEnd w:id="125"/>
      <w:r/>
      <w:bookmarkEnd w:id="126"/>
      <w:r/>
      <w:bookmarkEnd w:id="127"/>
      <w:r/>
      <w:bookmarkEnd w:id="128"/>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29" w:name="_Toc513029230"/>
      <w:r/>
      <w:bookmarkStart w:id="130" w:name="_Toc16938546"/>
      <w:r/>
      <w:bookmarkStart w:id="131" w:name="_Toc20823302"/>
      <w:r>
        <w:rPr>
          <w:rFonts w:hint="eastAsia" w:ascii="宋体" w:hAnsi="宋体" w:eastAsia="宋体" w:cs="宋体"/>
          <w:highlight w:val="none"/>
        </w:rPr>
        <w:t xml:space="preserve">22、</w:t>
      </w:r>
      <w:bookmarkEnd w:id="129"/>
      <w:r/>
      <w:bookmarkEnd w:id="130"/>
      <w:r/>
      <w:bookmarkEnd w:id="131"/>
      <w:r>
        <w:rPr>
          <w:rFonts w:hint="eastAsia" w:ascii="宋体" w:hAnsi="宋体" w:eastAsia="宋体" w:cs="宋体"/>
          <w:highlight w:val="none"/>
        </w:rPr>
        <w:t xml:space="preserve">响应文件解密</w:t>
      </w:r>
      <w:r/>
    </w:p>
    <w:p>
      <w:pPr>
        <w:pStyle w:val="822"/>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22.1供应商应当按照《操作手册》规定，在苏采云系统规定的时间内对磋商响应文件进行解密。</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32" w:name="_Toc16938547"/>
      <w:r/>
      <w:bookmarkStart w:id="133" w:name="_Toc20823303"/>
      <w:r/>
      <w:bookmarkStart w:id="134" w:name="_Toc513029231"/>
      <w:r>
        <w:rPr>
          <w:rFonts w:hint="eastAsia" w:ascii="宋体" w:hAnsi="宋体" w:eastAsia="宋体" w:cs="宋体"/>
          <w:highlight w:val="none"/>
        </w:rPr>
        <w:t xml:space="preserve">23、磋商小组</w:t>
      </w:r>
      <w:bookmarkEnd w:id="132"/>
      <w:r/>
      <w:bookmarkEnd w:id="133"/>
      <w:r/>
      <w:bookmarkEnd w:id="134"/>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23.1采购人将组织磋商小组对响应文件进行评审。磋商小组由采购人代表和有关技术、经济等方面的专家组成，且人员构成符合政府采购有关规定。</w:t>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23.2磋商小组独立工作，负责评审所有响应文件并确定成交候选人。</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24、评审过程的保密与公正</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24.1磋商小组、采购人和采购人工作人员、相关监督人员等与评审工作有关的人员，对评审情况以及在评审过程中获悉的国家秘密、商业秘密负有保密责任。</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24.2在评审过程中，供应商不得以任何行为影响磋商评审过程，否则其响应文件将被视为无效响应文件。</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24.3在项目评审期间，采购人将设专门人员与供应商联系。</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24.4 采购人和磋商小组不向未成交的供应商解释未成交原因，也不公布评审过程中的相关细节。</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35" w:name="_Toc20823304"/>
      <w:r/>
      <w:bookmarkStart w:id="136" w:name="_Toc513029232"/>
      <w:r/>
      <w:bookmarkStart w:id="137" w:name="_Toc16938548"/>
      <w:r>
        <w:rPr>
          <w:rFonts w:hint="eastAsia" w:ascii="宋体" w:hAnsi="宋体" w:eastAsia="宋体" w:cs="宋体"/>
          <w:highlight w:val="none"/>
        </w:rPr>
        <w:t xml:space="preserve">25、评审过程中的澄清</w:t>
      </w:r>
      <w:bookmarkEnd w:id="135"/>
      <w:r/>
      <w:bookmarkEnd w:id="136"/>
      <w:r/>
      <w:bookmarkEnd w:id="137"/>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磋商小组并非对每个供应商都作澄清要求。</w:t>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25.3 接到磋商小组澄清、说明和更正要求的供应商如未按规定作出澄清、说明和 更正，其风险由供应商自行承担。</w:t>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bookmarkStart w:id="138" w:name="_Toc513029233"/>
      <w:r/>
      <w:bookmarkStart w:id="139" w:name="_Toc20823305"/>
      <w:r/>
      <w:bookmarkStart w:id="140" w:name="_Toc16938549"/>
      <w:r>
        <w:rPr>
          <w:rFonts w:hint="eastAsia" w:ascii="宋体" w:hAnsi="宋体" w:eastAsia="宋体" w:cs="宋体"/>
          <w:highlight w:val="none"/>
        </w:rPr>
        <w:t xml:space="preserve">26、对响应文件的审</w:t>
      </w:r>
      <w:bookmarkEnd w:id="138"/>
      <w:r/>
      <w:bookmarkEnd w:id="139"/>
      <w:r/>
      <w:bookmarkEnd w:id="140"/>
      <w:r>
        <w:rPr>
          <w:rFonts w:hint="eastAsia" w:ascii="宋体" w:hAnsi="宋体" w:eastAsia="宋体" w:cs="宋体"/>
          <w:highlight w:val="none"/>
        </w:rPr>
        <w:t xml:space="preserve">查</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26.1响应文件审查分为资格审查和符合性审查。</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26.1.1 资格审查：由磋商小组依据法律法规和磋商文件的规定，对响应文件中的资格证明文件进行审查，以确定供应商是否具备参加磋商的资格。</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磋商小组在进行资格审查的同时，将在“信用中国”网站（www.creditchina.gov.cn）查询供应商的信用记录，以确定供应商是否具备磋商资格,查询结果留存并归档。</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26.3未实质性响应磋商文件的情形</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26.3.1供应商在苏采云系统规定的时间内未成功解密电子响应文件的。</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26.3.2供应商未按照磋商文件要求上传电子响应文件的。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26.3.3同一供应商提交两个（含两个）以上不同的响应文件或者最后报价的。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26.3.4供应商不具备磋商文件中规定资格要求的。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26.3.5供应商的最后报价超过了采购预算。</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26.3.6不符合磋商文件中规定的实质性要求和条件的</w:t>
      </w:r>
      <w:r>
        <w:rPr>
          <w:rFonts w:hint="eastAsia" w:ascii="宋体" w:hAnsi="宋体" w:eastAsia="宋体" w:cs="宋体"/>
          <w:i/>
          <w:highlight w:val="none"/>
          <w:u w:val="single"/>
        </w:rPr>
        <w:t xml:space="preserve">（本磋商文件中斜体且有下划线部分为实质性要求和条件）。</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26.3.8响应文件含有采购人不能接受的附加条件的。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26.3.10供应商不能证明其报价合理性的，磋商小组应当将其作为无效响应处理。</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（1）评审过程中出现下列情形之一的，评标委员会应当启动异常低价响应审查程序：</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1.投标（响应）报价低于全部通过符合性审查供应商投标（响应）报价平均值50%的，即投标（响应）报价&lt;全部通过符合性审查供应商投标（响应）报价平均值×50%；</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2.投标（响应）报价低于通过符合性审查的次低报价供应商投标（响应）报价50%的，即投标（响应）报价&lt;通过符合性审查的次低报价供应商投标（响应）报价×50%；</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3.投标（响应）报价低于采购项目</w:t>
      </w:r>
      <w:r>
        <w:rPr>
          <w:rFonts w:hint="eastAsia" w:ascii="宋体" w:hAnsi="宋体" w:eastAsia="宋体" w:cs="宋体"/>
          <w:color w:val="ee0000"/>
          <w:highlight w:val="none"/>
        </w:rPr>
        <w:t xml:space="preserve">最高限价</w:t>
      </w:r>
      <w:r>
        <w:rPr>
          <w:rFonts w:hint="eastAsia" w:ascii="宋体" w:hAnsi="宋体" w:eastAsia="宋体" w:cs="宋体"/>
          <w:highlight w:val="none"/>
        </w:rPr>
        <w:t xml:space="preserve">45%的，即投标（响应）报价&lt;采购项目</w:t>
      </w:r>
      <w:r>
        <w:rPr>
          <w:rFonts w:hint="eastAsia" w:ascii="宋体" w:hAnsi="宋体" w:eastAsia="宋体" w:cs="宋体"/>
          <w:color w:val="ff0000"/>
          <w:highlight w:val="none"/>
        </w:rPr>
        <w:t xml:space="preserve">最高限价</w:t>
      </w:r>
      <w:r>
        <w:rPr>
          <w:rFonts w:hint="eastAsia" w:ascii="宋体" w:hAnsi="宋体" w:eastAsia="宋体" w:cs="宋体"/>
          <w:highlight w:val="none"/>
        </w:rPr>
        <w:t xml:space="preserve">×45%；</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4.评审委员会基于专业判断，认为供应商报价过低，有可能影响产品质量或者不能诚信履约的其他情形。</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相关法律法规对供应商报价有规定的，从其规定。</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2"/>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26.3.11响应文件未按照磋商文件要求加盖CA电子公章的。</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26.4未实质性响应磋商文件的响应文件按无效响应处理。</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26.5如果响应文件实质上没有响应磋商文件的要求，磋商小组将予以拒绝，供应商不得通过修改或撤销不符合要求的偏离或保留而使其成为实质性响应的文件。</w:t>
      </w:r>
      <w:r/>
    </w:p>
    <w:p>
      <w:pPr>
        <w:pStyle w:val="822"/>
        <w:ind w:firstLine="480"/>
        <w:jc w:val="both"/>
        <w:spacing w:beforeAutospacing="0" w:afterAutospacing="0" w:line="440" w:lineRule="exact"/>
        <w:rPr>
          <w:rFonts w:hint="eastAsia" w:ascii="宋体" w:hAnsi="宋体" w:eastAsia="宋体" w:cs="宋体"/>
          <w:highlight w:val="none"/>
        </w:rPr>
      </w:pPr>
      <w:r/>
      <w:bookmarkStart w:id="141" w:name="_Toc20823306"/>
      <w:r/>
      <w:bookmarkStart w:id="142" w:name="_Toc16938550"/>
      <w:r/>
      <w:bookmarkStart w:id="143" w:name="_Toc513029234"/>
      <w:r>
        <w:rPr>
          <w:rFonts w:hint="eastAsia" w:ascii="宋体" w:hAnsi="宋体" w:eastAsia="宋体" w:cs="宋体"/>
          <w:highlight w:val="none"/>
        </w:rPr>
        <w:t xml:space="preserve">26.6供应商在项目评审全过程中应保持通信畅通，并安排专人与采购人及磋商小组联系。</w:t>
      </w:r>
      <w:bookmarkEnd w:id="141"/>
      <w:r/>
      <w:bookmarkEnd w:id="142"/>
      <w:r/>
      <w:bookmarkEnd w:id="143"/>
      <w:r/>
      <w:r/>
    </w:p>
    <w:p>
      <w:pPr>
        <w:pStyle w:val="822"/>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27、磋商程序及评审方法和评审标准</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27.1磋商程序</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2"/>
        <w:ind w:firstLine="48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27.2 评审方法和评审标准</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27.2.2评审标准</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见本磋商文件第五章规定。</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27.3采购活动终止的情况</w:t>
      </w:r>
      <w:r/>
    </w:p>
    <w:p>
      <w:pPr>
        <w:pStyle w:val="822"/>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出现下列情形之一的，本次竞争性磋商采购活动将被终止：</w:t>
      </w:r>
      <w:r/>
    </w:p>
    <w:p>
      <w:pPr>
        <w:pStyle w:val="822"/>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27.3.1因情况变化，不再符合规定的竞争性磋商采购方式适用情形的。</w:t>
      </w:r>
      <w:r/>
    </w:p>
    <w:p>
      <w:pPr>
        <w:pStyle w:val="822"/>
        <w:ind w:firstLine="360"/>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27.3.2出现影响采购公正的违法、违规行为的。</w:t>
      </w:r>
      <w:r/>
    </w:p>
    <w:p>
      <w:pPr>
        <w:pStyle w:val="822"/>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27.3.3除本磋商文件第二章第27.1.2条第三款规定的情形外，在磋商过程中符合要求的供应商或者最后报价未超过采购预算的供应商不足3家的。</w:t>
      </w:r>
      <w:r/>
    </w:p>
    <w:p>
      <w:pPr>
        <w:pStyle w:val="822"/>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27.3.4在苏采云系统规定时间内成功解密电子响应文件的供应商不足3家的。</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44" w:name="_Toc20823307"/>
      <w:r/>
      <w:bookmarkStart w:id="145" w:name="_Toc120614219"/>
      <w:r/>
      <w:bookmarkStart w:id="146" w:name="_Toc16938551"/>
      <w:r/>
      <w:bookmarkStart w:id="147" w:name="_Toc513029235"/>
      <w:r>
        <w:rPr>
          <w:rFonts w:hint="eastAsia" w:ascii="宋体" w:hAnsi="宋体" w:eastAsia="宋体" w:cs="宋体"/>
          <w:b/>
          <w:highlight w:val="none"/>
        </w:rPr>
        <w:t xml:space="preserve">六、</w:t>
      </w:r>
      <w:bookmarkEnd w:id="144"/>
      <w:r/>
      <w:bookmarkEnd w:id="145"/>
      <w:r/>
      <w:bookmarkEnd w:id="146"/>
      <w:r/>
      <w:bookmarkEnd w:id="147"/>
      <w:r>
        <w:rPr>
          <w:rFonts w:hint="eastAsia" w:ascii="宋体" w:hAnsi="宋体" w:eastAsia="宋体" w:cs="宋体"/>
          <w:b/>
          <w:highlight w:val="none"/>
        </w:rPr>
        <w:t xml:space="preserve">成交</w:t>
      </w:r>
      <w:r/>
    </w:p>
    <w:p>
      <w:pPr>
        <w:pStyle w:val="822"/>
        <w:ind w:firstLine="600"/>
        <w:jc w:val="both"/>
        <w:keepLines/>
        <w:keepNext/>
        <w:spacing w:beforeAutospacing="0" w:afterAutospacing="0" w:line="440" w:lineRule="exact"/>
        <w:rPr>
          <w:rFonts w:hint="eastAsia" w:ascii="宋体" w:hAnsi="宋体" w:eastAsia="宋体" w:cs="宋体"/>
          <w:highlight w:val="none"/>
        </w:rPr>
        <w:outlineLvl w:val="2"/>
      </w:pPr>
      <w:r/>
      <w:bookmarkStart w:id="148" w:name="_Toc20823310"/>
      <w:r/>
      <w:bookmarkStart w:id="149" w:name="_Toc513029238"/>
      <w:r/>
      <w:bookmarkStart w:id="150" w:name="_Toc16938554"/>
      <w:r>
        <w:rPr>
          <w:rFonts w:hint="eastAsia" w:ascii="宋体" w:hAnsi="宋体" w:eastAsia="宋体" w:cs="宋体"/>
          <w:highlight w:val="none"/>
        </w:rPr>
        <w:t xml:space="preserve">28、</w:t>
      </w:r>
      <w:bookmarkEnd w:id="148"/>
      <w:r>
        <w:rPr>
          <w:rFonts w:hint="eastAsia" w:ascii="宋体" w:hAnsi="宋体" w:eastAsia="宋体" w:cs="宋体"/>
          <w:highlight w:val="none"/>
        </w:rPr>
        <w:t xml:space="preserve">确定</w:t>
      </w:r>
      <w:bookmarkEnd w:id="149"/>
      <w:r/>
      <w:bookmarkEnd w:id="150"/>
      <w:r>
        <w:rPr>
          <w:rFonts w:hint="eastAsia" w:ascii="宋体" w:hAnsi="宋体" w:eastAsia="宋体" w:cs="宋体"/>
          <w:highlight w:val="none"/>
        </w:rPr>
        <w:t xml:space="preserve">成交单位</w:t>
      </w:r>
      <w:r/>
    </w:p>
    <w:p>
      <w:pPr>
        <w:pStyle w:val="822"/>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28.3若有充分证据证明，成交供应商出现下列情况之一的，一经查实，将被取消成交资格：</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28.3.1提供虚假材料谋取成交的。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28.3.2与评审专家、采购人、其他供应商或者采购人工作人员恶意串通的。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28.3.3向评审专家、采购人或采购人工作人员行贿或者提供其他不正当利益的。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28.3.4恶意竞争，最后报价明显低于其自身合理成本且又无法提供证明的。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28.3.5不满足本磋商文件规定的实质性要求，但在评审过程中又未被磋商小组发现的。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28.3.6成交后无正当理由拒不与采购人签订政府采购合同或者未按照磋商文件确定的事项签订政府采购合同的。</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28.3.7将政府采购合同转包的。</w:t>
      </w:r>
      <w:r/>
    </w:p>
    <w:p>
      <w:pPr>
        <w:pStyle w:val="822"/>
        <w:ind w:firstLine="600"/>
        <w:jc w:val="both"/>
        <w:keepLines/>
        <w:keepNext/>
        <w:spacing w:beforeAutospacing="0" w:afterAutospacing="0" w:line="440" w:lineRule="exact"/>
        <w:rPr>
          <w:rFonts w:hint="eastAsia" w:ascii="宋体" w:hAnsi="宋体" w:eastAsia="宋体" w:cs="宋体"/>
          <w:highlight w:val="none"/>
        </w:rPr>
        <w:outlineLvl w:val="2"/>
      </w:pPr>
      <w:r/>
      <w:bookmarkStart w:id="151" w:name="_Toc200451960"/>
      <w:r>
        <w:rPr>
          <w:rFonts w:hint="eastAsia" w:ascii="宋体" w:hAnsi="宋体" w:eastAsia="宋体" w:cs="宋体"/>
          <w:highlight w:val="none"/>
        </w:rPr>
        <w:t xml:space="preserve">29、质疑处理</w:t>
      </w:r>
      <w:bookmarkEnd w:id="151"/>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29.1 提出质疑的供应商应当是参与所质疑项目采购活动的供应商。潜在供应商依法获取其可质疑的磋商文件的，可以对磋商文件提出质疑。</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29.2.1对可以质疑的磋商文件提出质疑的，为收到磋商文件之日或者磋商文件公告期限届满之日。</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29.2.2对磋商过程提出质疑的，为各采购程序环节结束之日。</w:t>
      </w:r>
      <w:r/>
    </w:p>
    <w:p>
      <w:pPr>
        <w:pStyle w:val="822"/>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29.2.3对成交结果提出质疑的，为成交结果公告期限届满之日。</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822"/>
        <w:ind w:firstLine="480"/>
        <w:jc w:val="both"/>
        <w:spacing w:beforeAutospacing="0" w:afterAutospacing="0" w:line="440" w:lineRule="exact"/>
        <w:rPr>
          <w:rFonts w:hint="eastAsia" w:ascii="宋体" w:hAnsi="宋体" w:eastAsia="宋体" w:cs="宋体"/>
          <w:b/>
          <w:bCs/>
          <w:highlight w:val="none"/>
        </w:rPr>
      </w:pPr>
      <w:r>
        <w:rPr>
          <w:rFonts w:hint="eastAsia" w:ascii="宋体" w:hAnsi="宋体" w:cs="宋体"/>
          <w:highlight w:val="none"/>
        </w:rPr>
        <w:t xml:space="preserve">采购人及代理公司只接收以纸质原件形式送达的质疑,采购人和代理公司不接受未填写快递运单的快件。质疑接收部门为江苏协诚工程咨询有限公司，联系地址：盐城市盐龙街道振兴路109号华航科技广场5号楼903室，联系电话：15950220182。</w:t>
      </w:r>
      <w:r/>
    </w:p>
    <w:p>
      <w:pPr>
        <w:pStyle w:val="822"/>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29.5 以下情形的质疑不予受理</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29.5.1 内容不符合《政府采购质疑和投诉办法》第十二条规定的质疑。</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29.5.2 超出政府采购法定期限的质疑。</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29.5.3 以传真、电子邮件等方式递交的非原件形式的质疑。</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29.5.4 未参加磋商活动的供应商或在磋商活动中自身权益未受到损害的供应商所提出的质疑。</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29.5.5供应商组成联合体参加磋商，联合体中任何一方或多方未按要求签字、盖章、加盖公章的质疑。</w:t>
      </w:r>
      <w:r/>
    </w:p>
    <w:p>
      <w:pPr>
        <w:pStyle w:val="822"/>
        <w:ind w:firstLine="468"/>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2"/>
        <w:ind w:firstLine="60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30、成交通知书</w:t>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2"/>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52" w:name="_Toc20823308"/>
      <w:r/>
      <w:bookmarkStart w:id="153" w:name="_Toc120614220"/>
      <w:r/>
      <w:bookmarkStart w:id="154" w:name="_Toc16938552"/>
      <w:r/>
      <w:bookmarkStart w:id="155" w:name="_Toc513029236"/>
      <w:r>
        <w:rPr>
          <w:rFonts w:hint="eastAsia" w:ascii="宋体" w:hAnsi="宋体" w:eastAsia="宋体" w:cs="宋体"/>
          <w:b/>
          <w:highlight w:val="none"/>
        </w:rPr>
        <w:t xml:space="preserve">七、授予合同</w:t>
      </w:r>
      <w:bookmarkEnd w:id="152"/>
      <w:r/>
      <w:bookmarkEnd w:id="153"/>
      <w:r/>
      <w:bookmarkEnd w:id="154"/>
      <w:r/>
      <w:bookmarkEnd w:id="155"/>
      <w:r/>
      <w:r/>
    </w:p>
    <w:p>
      <w:pPr>
        <w:pStyle w:val="822"/>
        <w:ind w:firstLine="600"/>
        <w:jc w:val="both"/>
        <w:keepLines/>
        <w:keepNext/>
        <w:spacing w:beforeAutospacing="0" w:afterAutospacing="0" w:line="440" w:lineRule="exact"/>
        <w:rPr>
          <w:rFonts w:hint="eastAsia" w:ascii="宋体" w:hAnsi="宋体" w:eastAsia="宋体" w:cs="宋体"/>
          <w:highlight w:val="none"/>
        </w:rPr>
        <w:outlineLvl w:val="2"/>
      </w:pPr>
      <w:r/>
      <w:bookmarkStart w:id="156" w:name="_Toc16938553"/>
      <w:r/>
      <w:bookmarkStart w:id="157" w:name="_Toc20823309"/>
      <w:r/>
      <w:bookmarkStart w:id="158" w:name="_Toc513029237"/>
      <w:r>
        <w:rPr>
          <w:rFonts w:hint="eastAsia" w:ascii="宋体" w:hAnsi="宋体" w:eastAsia="宋体" w:cs="宋体"/>
          <w:highlight w:val="none"/>
        </w:rPr>
        <w:t xml:space="preserve">31.签订合同</w:t>
      </w:r>
      <w:bookmarkEnd w:id="156"/>
      <w:r/>
      <w:bookmarkEnd w:id="157"/>
      <w:r/>
      <w:bookmarkEnd w:id="158"/>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31.l成交供应商应当在成交通知书发出之日起三十日内，按照磋商文件确定的事项与采购人签订政府采购合同。</w:t>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31.2磋商文件、成交供应商的响应文件及磋商过程中有关澄清、承诺文件均应作为合同附件。</w:t>
      </w:r>
      <w:r/>
    </w:p>
    <w:p>
      <w:pPr>
        <w:pStyle w:val="822"/>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31.3 签订合同后，</w:t>
      </w:r>
      <w:r>
        <w:rPr>
          <w:rFonts w:hint="eastAsia" w:ascii="宋体" w:hAnsi="宋体" w:eastAsia="宋体" w:cs="宋体"/>
          <w:i/>
          <w:highlight w:val="none"/>
          <w:u w:val="single"/>
        </w:rPr>
        <w:t xml:space="preserve">成交供应商不得将合同标的进行转包</w:t>
      </w:r>
      <w:r>
        <w:rPr>
          <w:rFonts w:hint="eastAsia" w:ascii="宋体" w:hAnsi="宋体" w:eastAsia="宋体" w:cs="宋体"/>
          <w:highlight w:val="none"/>
        </w:rPr>
        <w:t xml:space="preserve">。未经采购人同意，成交供应商也不得采用分包形式履行合同,否则采购人有权终止合同。转包或分包造成采购人损失的，成交供应商应承担相应赔偿责任。</w:t>
      </w:r>
      <w:r/>
    </w:p>
    <w:p>
      <w:pPr>
        <w:pStyle w:val="822"/>
        <w:ind w:firstLine="48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32.标的物的追加</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2"/>
        <w:ind w:left="474"/>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33.政府采购政策功能落实</w:t>
      </w:r>
      <w:r/>
    </w:p>
    <w:p>
      <w:pPr>
        <w:pStyle w:val="822"/>
        <w:ind w:firstLine="480"/>
        <w:jc w:val="both"/>
        <w:keepLines/>
        <w:keepNext/>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33.1政府采购线上合同信用融资政策</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33.2进口产品</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33.3中小企业、监狱企业及残疾人福利性单位</w:t>
      </w:r>
      <w:r/>
    </w:p>
    <w:p>
      <w:pPr>
        <w:ind w:firstLine="480"/>
        <w:spacing w:line="440" w:lineRule="exact"/>
        <w:rPr>
          <w:rFonts w:hint="eastAsia" w:ascii="宋体" w:hAnsi="宋体" w:eastAsia="宋体" w:cs="宋体"/>
          <w:sz w:val="24"/>
          <w:highlight w:val="none"/>
        </w:rPr>
        <w:outlineLvl w:val="4"/>
      </w:pPr>
      <w:r>
        <w:rPr>
          <w:rFonts w:hint="eastAsia" w:ascii="宋体" w:hAnsi="宋体" w:eastAsia="宋体" w:cs="宋体"/>
          <w:sz w:val="24"/>
          <w:highlight w:val="none"/>
        </w:rPr>
        <w:t xml:space="preserve">33.3.1中小企业定义：</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中小企业</w:t>
      </w:r>
      <w:r>
        <w:rPr>
          <w:rFonts w:hint="eastAsia" w:ascii="宋体" w:hAnsi="宋体" w:eastAsia="宋体" w:cs="宋体"/>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33.3.2供应商提供的货物、工程或者服务符合下列情形的，享受中小企业扶持政策：</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33.3.2.1在货物采购项目中，货物由中小企业制造，即货物由中小企业生产且使用该中小企业商号或者注册商标；</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33.3.2.2在工程采购项目中，工程由中小企业承建，即工程施工单位为中小企业；</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33.3.2.3在服务采购项目中，服务由中小企业承接，即提供服务的人员为中小企业依照《中华人民共和国劳动合同法》订立劳动合同的从业人员。</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33.3.3在货物采购项目中，供应商提供的货物既有中小企业制造货物，也有大型企业制造货物的，不享受中小企业扶持政策。</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33.3.4以联合体形式参加政府采购活动，联合体各方均为中小企业的，联合体视同中小企业。其中，联合体各方均为小微企业的，联合体视同小微企业。</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33.3.6残疾人福利单位定义：享受政府采购支持政策的残疾人福利性单位应当同时满足以下条件：</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33.3.6.1安置的残疾人占本单位在职职工人数的比例不低于25%（含25%），并且安置的残疾人人数不少于10 人（含10 人）；</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33.3.6.2依法与安置的每位残疾人签订了一年以上（含一年）的劳动合同或服务协议；</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33.3.6.3为安置的每位残疾人按月足额缴纳了基本养老保险、基本医疗保险、失业保险、工伤保险和生育保险等社会保险费；</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33.3.6.4通过银行等金融机构向安置的每位残疾人，按月支付了不低于单位所在区县适用的经省级人民政府批准的月最低工资标准的工资；</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33.3.6.5提供本单位制造的货物、承担的工程或者服务（以下简称产品），或者提供其他残疾人福利性单位制造的货物（不包括使用非残疾人福利性单位注册商标的货物）；</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33.3.7本项目是否专门面向中小企业预留采购份额见第一章《竞争性磋商公告》。</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33.3.8采购标的对应的中小企业划分标准所属行业见第四章《采购需求》。</w:t>
      </w:r>
      <w:r/>
    </w:p>
    <w:p>
      <w:pPr>
        <w:pStyle w:val="822"/>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33.3.9小微企业价格评审优惠的政策：见第五章《评标方法和评标标准》。</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33.4政府采购节能产品、环境标志产品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33.5绿色包装</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33.6政府采购创新产品</w:t>
      </w:r>
      <w:r/>
    </w:p>
    <w:p>
      <w:pPr>
        <w:ind w:firstLine="478"/>
        <w:spacing w:line="44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采购人优先采购各级政府部门公开发布的有效期内的创新产品、创新服务、首台套、首购首用等《目录》的创新产品。</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33.7绿色数据中心政策 </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33.8履约保证金政策</w:t>
      </w:r>
      <w:r/>
    </w:p>
    <w:p>
      <w:pPr>
        <w:pStyle w:val="981"/>
        <w:ind w:left="0" w:firstLine="560"/>
        <w:spacing w:after="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履约保证金的缴纳形式：</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降低履约保证金缴纳比例，履约保证金调整为合同价的5%）。</w:t>
      </w:r>
      <w:r/>
    </w:p>
    <w:p>
      <w:pPr>
        <w:ind w:firstLine="482"/>
        <w:spacing w:line="440" w:lineRule="exact"/>
        <w:tabs>
          <w:tab w:val="left" w:pos="138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33.9预付款制度</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本项目落实预付款制度，预付款比例为</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787"/>
        <w:jc w:val="center"/>
        <w:rPr>
          <w:rFonts w:cs="宋体"/>
          <w:color w:val="000000"/>
          <w:sz w:val="44"/>
          <w:szCs w:val="44"/>
          <w:highlight w:val="none"/>
        </w:rPr>
        <w:pBdr>
          <w:top w:val="none" w:color="000000" w:sz="0" w:space="0"/>
          <w:left w:val="none" w:color="000000" w:sz="0" w:space="0"/>
          <w:bottom w:val="none" w:color="000000" w:sz="0" w:space="0"/>
          <w:right w:val="none" w:color="000000" w:sz="0" w:space="0"/>
        </w:pBdr>
      </w:pPr>
      <w:r/>
      <w:bookmarkStart w:id="159" w:name="_Toc3582"/>
      <w:r>
        <w:rPr>
          <w:rFonts w:cs="宋体"/>
          <w:color w:val="000000"/>
          <w:sz w:val="44"/>
          <w:highlight w:val="none"/>
        </w:rPr>
        <w:t xml:space="preserve">第三章 合同条款及格式</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spacing w:before="104" w:line="236" w:lineRule="auto"/>
        <w:rPr>
          <w:rFonts w:hint="eastAsia" w:ascii="宋体" w:hAnsi="宋体" w:eastAsia="宋体" w:cs="宋体"/>
          <w:sz w:val="32"/>
          <w:szCs w:val="32"/>
          <w:highlight w:val="none"/>
        </w:rPr>
      </w:pPr>
      <w:r>
        <w:rPr>
          <w:rFonts w:hint="eastAsia" w:ascii="宋体" w:hAnsi="宋体" w:eastAsia="宋体" w:cs="宋体"/>
          <w:spacing w:val="-2"/>
          <w:sz w:val="32"/>
          <w:szCs w:val="32"/>
          <w:highlight w:val="none"/>
        </w:rPr>
        <w:t xml:space="preserve">（GF—2017—0201）</w:t>
      </w:r>
      <w:r/>
    </w:p>
    <w:p>
      <w:pPr>
        <w:pStyle w:val="805"/>
        <w:spacing w:line="245" w:lineRule="auto"/>
        <w:rPr>
          <w:rFonts w:hint="eastAsia" w:ascii="宋体" w:eastAsia="宋体" w:cs="宋体"/>
          <w:highlight w:val="none"/>
        </w:rPr>
      </w:pPr>
      <w:r>
        <w:rPr>
          <w:rFonts w:hint="eastAsia" w:ascii="宋体" w:eastAsia="宋体" w:cs="宋体"/>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805"/>
        <w:spacing w:line="246" w:lineRule="auto"/>
        <w:rPr>
          <w:rFonts w:hint="eastAsia" w:ascii="宋体" w:eastAsia="宋体" w:cs="宋体"/>
          <w:highlight w:val="none"/>
        </w:rPr>
      </w:pPr>
      <w:r>
        <w:rPr>
          <w:rFonts w:hint="eastAsia" w:ascii="宋体" w:eastAsia="宋体" w:cs="宋体"/>
          <w:highlight w:val="none"/>
        </w:rPr>
      </w:r>
      <w:r/>
    </w:p>
    <w:p>
      <w:pPr>
        <w:ind w:left="2091"/>
        <w:spacing w:before="234" w:line="220" w:lineRule="auto"/>
        <w:rPr>
          <w:rFonts w:hint="eastAsia" w:ascii="宋体" w:hAnsi="宋体" w:eastAsia="宋体" w:cs="宋体"/>
          <w:sz w:val="72"/>
          <w:szCs w:val="72"/>
          <w:highlight w:val="none"/>
        </w:rPr>
      </w:pPr>
      <w:r>
        <w:rPr>
          <w:rFonts w:hint="eastAsia" w:ascii="宋体" w:hAnsi="宋体" w:eastAsia="宋体" w:cs="宋体"/>
          <w:b/>
          <w:bCs/>
          <w:spacing w:val="-10"/>
          <w:sz w:val="72"/>
          <w:szCs w:val="72"/>
          <w:highlight w:val="none"/>
        </w:rPr>
        <w:t xml:space="preserve">建设工程施工合同</w:t>
      </w:r>
      <w:r/>
    </w:p>
    <w:p>
      <w:pPr>
        <w:ind w:left="3414"/>
        <w:spacing w:before="42" w:line="219" w:lineRule="auto"/>
        <w:rPr>
          <w:rFonts w:hint="eastAsia" w:ascii="宋体" w:hAnsi="宋体" w:eastAsia="宋体" w:cs="宋体"/>
          <w:sz w:val="52"/>
          <w:szCs w:val="52"/>
          <w:highlight w:val="none"/>
        </w:rPr>
      </w:pPr>
      <w:r>
        <w:rPr>
          <w:rFonts w:hint="eastAsia" w:ascii="宋体" w:hAnsi="宋体" w:eastAsia="宋体" w:cs="宋体"/>
          <w:b/>
          <w:bCs/>
          <w:spacing w:val="-10"/>
          <w:sz w:val="52"/>
          <w:szCs w:val="52"/>
          <w:highlight w:val="none"/>
        </w:rPr>
        <w:t xml:space="preserve">（示范文本）</w:t>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2" w:lineRule="auto"/>
        <w:rPr>
          <w:rFonts w:hint="eastAsia" w:ascii="宋体" w:eastAsia="宋体" w:cs="宋体"/>
          <w:highlight w:val="none"/>
        </w:rPr>
      </w:pPr>
      <w:r>
        <w:rPr>
          <w:rFonts w:hint="eastAsia" w:ascii="宋体" w:eastAsia="宋体" w:cs="宋体"/>
          <w:highlight w:val="none"/>
        </w:rPr>
      </w:r>
      <w:r/>
    </w:p>
    <w:p>
      <w:pPr>
        <w:pStyle w:val="805"/>
        <w:spacing w:line="243" w:lineRule="auto"/>
        <w:rPr>
          <w:rFonts w:hint="eastAsia" w:ascii="宋体" w:eastAsia="宋体" w:cs="宋体"/>
          <w:highlight w:val="none"/>
        </w:rPr>
      </w:pPr>
      <w:r>
        <w:rPr>
          <w:rFonts w:hint="eastAsia" w:ascii="宋体" w:eastAsia="宋体" w:cs="宋体"/>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977"/>
        <w:rPr>
          <w:rFonts w:hint="eastAsia" w:hAnsi="宋体" w:eastAsia="宋体"/>
          <w:color w:val="auto"/>
          <w:highlight w:val="none"/>
        </w:rPr>
      </w:pPr>
      <w:r>
        <w:rPr>
          <w:rFonts w:hint="eastAsia" w:hAnsi="宋体" w:eastAsia="宋体"/>
          <w:color w:val="auto"/>
          <w:highlight w:val="none"/>
        </w:rPr>
      </w:r>
      <w:r/>
    </w:p>
    <w:p>
      <w:pPr>
        <w:pStyle w:val="805"/>
        <w:spacing w:line="243" w:lineRule="auto"/>
        <w:rPr>
          <w:rFonts w:hint="eastAsia" w:ascii="宋体" w:eastAsia="宋体" w:cs="宋体"/>
          <w:highlight w:val="none"/>
        </w:rPr>
      </w:pPr>
      <w:r>
        <w:rPr>
          <w:rFonts w:hint="eastAsia" w:ascii="宋体" w:eastAsia="宋体" w:cs="宋体"/>
          <w:highlight w:val="none"/>
        </w:rPr>
      </w:r>
      <w:r/>
    </w:p>
    <w:p>
      <w:pPr>
        <w:ind w:right="3280"/>
        <w:jc w:val="right"/>
        <w:spacing w:before="104" w:line="241" w:lineRule="auto"/>
        <w:rPr>
          <w:rFonts w:hint="eastAsia" w:ascii="宋体" w:hAnsi="宋体" w:eastAsia="宋体" w:cs="宋体"/>
          <w:b/>
          <w:bCs/>
          <w:spacing w:val="-20"/>
          <w:sz w:val="32"/>
          <w:szCs w:val="32"/>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4188460</wp:posOffset>
                </wp:positionH>
                <wp:positionV relativeFrom="paragraph">
                  <wp:posOffset>170815</wp:posOffset>
                </wp:positionV>
                <wp:extent cx="900430" cy="550545"/>
                <wp:effectExtent l="0" t="0" r="13970" b="1905"/>
                <wp:wrapNone/>
                <wp:docPr id="5" name="文本框 5"/>
                <wp:cNvGraphicFramePr/>
                <a:graphic xmlns:a="http://schemas.openxmlformats.org/drawingml/2006/main">
                  <a:graphicData uri="http://schemas.microsoft.com/office/word/2010/wordprocessingShape">
                    <wps:wsp>
                      <wps:cNvPr id="0" name=""/>
                      <wps:cNvSpPr txBox="1"/>
                      <wps:spPr bwMode="auto">
                        <a:xfrm flipH="1">
                          <a:off x="0" y="0"/>
                          <a:ext cx="900430" cy="550545"/>
                        </a:xfrm>
                        <a:prstGeom prst="rect">
                          <a:avLst/>
                        </a:prstGeom>
                        <a:noFill/>
                        <a:ln>
                          <a:noFill/>
                        </a:ln>
                      </wps:spPr>
                      <wps:txbx>
                        <w:txbxContent>
                          <w:p>
                            <w:pPr>
                              <w:spacing w:line="20" w:lineRule="exact"/>
                            </w:pPr>
                            <w:r/>
                            <w:r/>
                          </w:p>
                          <w:p>
                            <w:pPr>
                              <w:pStyle w:val="992"/>
                              <w:ind w:left="157"/>
                              <w:spacing w:before="122" w:line="220" w:lineRule="auto"/>
                              <w:rPr>
                                <w:rFonts w:hint="eastAsia"/>
                                <w:sz w:val="32"/>
                                <w:szCs w:val="32"/>
                              </w:rPr>
                            </w:pPr>
                            <w:r>
                              <w:rPr>
                                <w:b/>
                                <w:bCs/>
                                <w:spacing w:val="-10"/>
                                <w:sz w:val="32"/>
                                <w:szCs w:val="32"/>
                              </w:rPr>
                              <w:t xml:space="preserve">制定</w:t>
                            </w:r>
                            <w:r/>
                          </w:p>
                          <w:p>
                            <w:r/>
                            <w:r/>
                          </w:p>
                          <w:p>
                            <w:pPr>
                              <w:pStyle w:val="805"/>
                              <w:rPr>
                                <w:rFonts w:hint="eastAsia"/>
                              </w:rPr>
                            </w:pPr>
                            <w:r>
                              <w:rPr>
                                <w:rFonts w:hint="eastAsia"/>
                              </w:rPr>
                            </w:r>
                            <w:r/>
                          </w:p>
                        </w:txbxContent>
                      </wps:txbx>
                      <wps:bodyPr lIns="0" tIns="0" rIns="0" bIns="0" upright="1"/>
                    </wps:wsp>
                  </a:graphicData>
                </a:graphic>
              </wp:anchor>
            </w:drawing>
          </mc:Choice>
          <mc:Fallback>
            <w:pict>
              <v:shape id="shape 4" o:spid="_x0000_s4" o:spt="202" type="#_x0000_t202" style="position:absolute;z-index:251660288;o:allowoverlap:true;o:allowincell:true;mso-position-horizontal-relative:text;margin-left:329.8pt;mso-position-horizontal:absolute;mso-position-vertical-relative:text;margin-top:13.4pt;mso-position-vertical:absolute;width:70.9pt;height:43.4pt;mso-wrap-distance-left:9.0pt;mso-wrap-distance-top:0.0pt;mso-wrap-distance-right:9.0pt;mso-wrap-distance-bottom:0.0pt;flip:x;visibility:visible;" filled="f" stroked="f">
                <v:textbox inset="0,0,0,0">
                  <w:txbxContent>
                    <w:p>
                      <w:pPr>
                        <w:spacing w:line="20" w:lineRule="exact"/>
                      </w:pPr>
                      <w:r/>
                      <w:r/>
                    </w:p>
                    <w:p>
                      <w:pPr>
                        <w:pStyle w:val="992"/>
                        <w:ind w:left="157"/>
                        <w:spacing w:before="122" w:line="220" w:lineRule="auto"/>
                        <w:rPr>
                          <w:rFonts w:hint="eastAsia"/>
                          <w:sz w:val="32"/>
                          <w:szCs w:val="32"/>
                        </w:rPr>
                      </w:pPr>
                      <w:r>
                        <w:rPr>
                          <w:b/>
                          <w:bCs/>
                          <w:spacing w:val="-10"/>
                          <w:sz w:val="32"/>
                          <w:szCs w:val="32"/>
                        </w:rPr>
                        <w:t xml:space="preserve">制定</w:t>
                      </w:r>
                      <w:r/>
                    </w:p>
                    <w:p>
                      <w:r/>
                      <w:r/>
                    </w:p>
                    <w:p>
                      <w:pPr>
                        <w:pStyle w:val="805"/>
                        <w:rPr>
                          <w:rFonts w:hint="eastAsia"/>
                        </w:rPr>
                      </w:pPr>
                      <w:r>
                        <w:rPr>
                          <w:rFonts w:hint="eastAsia"/>
                        </w:rPr>
                      </w:r>
                      <w:r/>
                    </w:p>
                  </w:txbxContent>
                </v:textbox>
              </v:shape>
            </w:pict>
          </mc:Fallback>
        </mc:AlternateContent>
      </w:r>
      <w:r>
        <w:rPr>
          <w:rFonts w:hint="eastAsia" w:ascii="宋体" w:hAnsi="宋体" w:eastAsia="宋体" w:cs="宋体"/>
          <w:b/>
          <w:bCs/>
          <w:spacing w:val="-20"/>
          <w:sz w:val="32"/>
          <w:szCs w:val="32"/>
          <w:highlight w:val="none"/>
        </w:rPr>
        <w:t xml:space="preserve">住</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房</w:t>
      </w:r>
      <w:r>
        <w:rPr>
          <w:rFonts w:hint="eastAsia" w:ascii="宋体" w:hAnsi="宋体" w:eastAsia="宋体" w:cs="宋体"/>
          <w:spacing w:val="39"/>
          <w:sz w:val="32"/>
          <w:szCs w:val="32"/>
          <w:highlight w:val="none"/>
        </w:rPr>
        <w:t xml:space="preserve"> </w:t>
      </w:r>
      <w:r>
        <w:rPr>
          <w:rFonts w:hint="eastAsia" w:ascii="宋体" w:hAnsi="宋体" w:eastAsia="宋体" w:cs="宋体"/>
          <w:b/>
          <w:bCs/>
          <w:spacing w:val="-20"/>
          <w:sz w:val="32"/>
          <w:szCs w:val="32"/>
          <w:highlight w:val="none"/>
        </w:rPr>
        <w:t xml:space="preserve">城</w:t>
      </w:r>
      <w:r>
        <w:rPr>
          <w:rFonts w:hint="eastAsia" w:ascii="宋体" w:hAnsi="宋体" w:eastAsia="宋体" w:cs="宋体"/>
          <w:spacing w:val="53"/>
          <w:sz w:val="32"/>
          <w:szCs w:val="32"/>
          <w:highlight w:val="none"/>
        </w:rPr>
        <w:t xml:space="preserve"> </w:t>
      </w:r>
      <w:r>
        <w:rPr>
          <w:rFonts w:hint="eastAsia" w:ascii="宋体" w:hAnsi="宋体" w:eastAsia="宋体" w:cs="宋体"/>
          <w:b/>
          <w:bCs/>
          <w:spacing w:val="-20"/>
          <w:sz w:val="32"/>
          <w:szCs w:val="32"/>
          <w:highlight w:val="none"/>
        </w:rPr>
        <w:t xml:space="preserve">乡</w:t>
      </w:r>
      <w:r>
        <w:rPr>
          <w:rFonts w:hint="eastAsia" w:ascii="宋体" w:hAnsi="宋体" w:eastAsia="宋体" w:cs="宋体"/>
          <w:spacing w:val="43"/>
          <w:sz w:val="32"/>
          <w:szCs w:val="32"/>
          <w:highlight w:val="none"/>
        </w:rPr>
        <w:t xml:space="preserve"> </w:t>
      </w:r>
      <w:r>
        <w:rPr>
          <w:rFonts w:hint="eastAsia" w:ascii="宋体" w:hAnsi="宋体" w:eastAsia="宋体" w:cs="宋体"/>
          <w:b/>
          <w:bCs/>
          <w:spacing w:val="-20"/>
          <w:sz w:val="32"/>
          <w:szCs w:val="32"/>
          <w:highlight w:val="none"/>
        </w:rPr>
        <w:t xml:space="preserve">建</w:t>
      </w:r>
      <w:r>
        <w:rPr>
          <w:rFonts w:hint="eastAsia" w:ascii="宋体" w:hAnsi="宋体" w:eastAsia="宋体" w:cs="宋体"/>
          <w:spacing w:val="45"/>
          <w:sz w:val="32"/>
          <w:szCs w:val="32"/>
          <w:highlight w:val="none"/>
        </w:rPr>
        <w:t xml:space="preserve"> </w:t>
      </w:r>
      <w:r>
        <w:rPr>
          <w:rFonts w:hint="eastAsia" w:ascii="宋体" w:hAnsi="宋体" w:eastAsia="宋体" w:cs="宋体"/>
          <w:b/>
          <w:bCs/>
          <w:spacing w:val="-20"/>
          <w:sz w:val="32"/>
          <w:szCs w:val="32"/>
          <w:highlight w:val="none"/>
        </w:rPr>
        <w:t xml:space="preserve">设</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部</w:t>
      </w:r>
      <w:r/>
    </w:p>
    <w:p>
      <w:pPr>
        <w:ind w:right="3280"/>
        <w:jc w:val="right"/>
        <w:spacing w:before="104" w:line="241" w:lineRule="auto"/>
        <w:rPr>
          <w:rFonts w:hint="eastAsia" w:ascii="宋体" w:hAnsi="宋体" w:eastAsia="宋体" w:cs="宋体"/>
          <w:sz w:val="32"/>
          <w:szCs w:val="32"/>
          <w:highlight w:val="none"/>
        </w:rPr>
      </w:pPr>
      <w:r>
        <w:rPr>
          <w:rFonts w:hint="eastAsia" w:ascii="宋体" w:hAnsi="宋体" w:eastAsia="宋体" w:cs="宋体"/>
          <w:b/>
          <w:bCs/>
          <w:spacing w:val="8"/>
          <w:sz w:val="32"/>
          <w:szCs w:val="32"/>
          <w:highlight w:val="none"/>
        </w:rPr>
        <w:t xml:space="preserve">国家工商行政管理总局</w:t>
      </w:r>
      <w:r/>
    </w:p>
    <w:p>
      <w:pPr>
        <w:spacing w:line="439" w:lineRule="atLeast"/>
        <w:rPr>
          <w:rFonts w:eastAsia="黑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bookmarkEnd w:id="159"/>
      <w:r/>
      <w:bookmarkStart w:id="160" w:name="_Toc419443852"/>
      <w:r/>
      <w:bookmarkStart w:id="161" w:name="_Toc488071324"/>
      <w:r/>
      <w:bookmarkEnd w:id="160"/>
      <w:bookmarkEnd w:id="161"/>
      <w:r/>
    </w:p>
    <w:p>
      <w:pPr>
        <w:jc w:val="center"/>
        <w:widowControl/>
        <w:rPr>
          <w:rFonts w:hint="eastAsia" w:ascii="黑体" w:hAnsi="宋体" w:eastAsia="黑体" w:cs="黑体"/>
          <w:sz w:val="44"/>
          <w:szCs w:val="44"/>
          <w:highlight w:val="none"/>
        </w:rPr>
      </w:pPr>
      <w:r/>
      <w:bookmarkStart w:id="162" w:name="_Toc1169"/>
      <w:r/>
      <w:bookmarkStart w:id="163" w:name="_Toc20823346"/>
      <w:r/>
      <w:bookmarkStart w:id="164" w:name="_Toc462564139"/>
      <w:r/>
      <w:bookmarkStart w:id="165" w:name="_Toc120614244"/>
      <w:r/>
      <w:bookmarkStart w:id="166" w:name="_Toc16938590"/>
      <w:r/>
      <w:bookmarkStart w:id="167" w:name="_Hlt16619350"/>
      <w:r/>
      <w:bookmarkStart w:id="168" w:name="_Hlt16619369"/>
      <w:r>
        <w:rPr>
          <w:rFonts w:hint="eastAsia" w:ascii="宋体" w:hAnsi="宋体" w:eastAsia="宋体" w:cs="宋体"/>
          <w:sz w:val="44"/>
          <w:szCs w:val="44"/>
          <w:highlight w:val="none"/>
        </w:rPr>
        <w:t xml:space="preserve">说  明</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一、《示范文本》的组成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《示范文本》由合同协议书、通用合同条款和专用合同条款三部分组成。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（一）合同协议书</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（三）专用合同条款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1.专用合同条款的编号应与相应的通用合同条款的编号一致；</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2.合同当事人可以通过对专用合同条款的修改，满足具体建设工程的特殊要求，避免直接修改通用合同条款；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二、《示范文本》的性质和适用范围</w:t>
      </w:r>
      <w:r/>
    </w:p>
    <w:p>
      <w:pPr>
        <w:ind w:firstLine="420"/>
        <w:rPr>
          <w:rFonts w:hint="eastAsia" w:ascii="宋体" w:hAnsi="宋体" w:eastAsia="宋体" w:cs="宋体"/>
          <w:szCs w:val="21"/>
          <w:highlight w:val="none"/>
        </w:rPr>
        <w:sectPr>
          <w:footerReference w:type="default" r:id="rId15"/>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eastAsia="宋体" w:cs="宋体"/>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21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第一部分 合同协议书</w:t>
      </w:r>
      <w:r/>
    </w:p>
    <w:p>
      <w:pPr>
        <w:spacing w:line="420" w:lineRule="exact"/>
        <w:rPr>
          <w:rFonts w:hint="eastAsia" w:ascii="宋体" w:hAnsi="宋体" w:eastAsia="宋体" w:cs="宋体"/>
          <w:sz w:val="24"/>
          <w:highlight w:val="none"/>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rPr>
        <w:t xml:space="preserve">盐城市盐都区龙冈镇人民政府</w:t>
      </w:r>
      <w:r/>
    </w:p>
    <w:p>
      <w:pPr>
        <w:spacing w:line="42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b/>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21"/>
          <w:highlight w:val="none"/>
          <w:u w:val="single"/>
          <w:lang w:eastAsia="zh-CN"/>
        </w:rPr>
        <w:t xml:space="preserve">龙冈镇刘垎村道路改造和人居环境提升项目</w:t>
      </w:r>
      <w:r>
        <w:rPr>
          <w:rFonts w:hint="eastAsia" w:ascii="宋体" w:hAnsi="宋体" w:eastAsia="宋体" w:cs="宋体"/>
          <w:szCs w:val="21"/>
          <w:highlight w:val="none"/>
        </w:rPr>
        <w:t xml:space="preserve">施工及有关事项协商一致，共同达成如下协议：</w:t>
      </w:r>
      <w:r/>
    </w:p>
    <w:p>
      <w:pPr>
        <w:keepLines/>
        <w:keepNext/>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69" w:name="_Toc351203481"/>
      <w:r>
        <w:rPr>
          <w:rFonts w:hint="eastAsia" w:ascii="宋体" w:hAnsi="宋体" w:eastAsia="宋体" w:cs="宋体"/>
          <w:b/>
          <w:szCs w:val="21"/>
          <w:highlight w:val="none"/>
        </w:rPr>
        <w:t xml:space="preserve">一、工程概况</w:t>
      </w:r>
      <w:bookmarkEnd w:id="169"/>
      <w:r/>
      <w:r/>
    </w:p>
    <w:p>
      <w:pPr>
        <w:ind w:firstLine="411"/>
        <w:spacing w:line="42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1.工程名称</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lang w:eastAsia="zh-CN"/>
        </w:rPr>
        <w:t xml:space="preserve">龙冈镇刘垎村道路改造和人居环境提升项目</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cs="宋体"/>
          <w:szCs w:val="21"/>
          <w:highlight w:val="none"/>
          <w:u w:val="single"/>
        </w:rPr>
        <w:t xml:space="preserve">盐都区龙冈镇境内</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3.工程立项批准文号：</w:t>
      </w:r>
      <w:r>
        <w:rPr>
          <w:rFonts w:hint="eastAsia" w:ascii="宋体" w:hAnsi="宋体" w:eastAsia="宋体" w:cs="宋体"/>
          <w:szCs w:val="21"/>
          <w:highlight w:val="none"/>
          <w:u w:val="single"/>
          <w:lang w:eastAsia="zh-CN"/>
        </w:rPr>
        <w:t xml:space="preserve">都政服投资复(2026)284号</w:t>
      </w:r>
      <w:r>
        <w:rPr>
          <w:rFonts w:hint="eastAsia" w:ascii="宋体" w:hAnsi="宋体" w:eastAsia="宋体" w:cs="宋体"/>
          <w:bCs/>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4.资金来源：</w:t>
      </w:r>
      <w:r>
        <w:rPr>
          <w:rFonts w:hint="eastAsia" w:ascii="宋体" w:hAnsi="宋体" w:eastAsia="宋体" w:cs="宋体"/>
          <w:bCs/>
          <w:szCs w:val="21"/>
          <w:highlight w:val="none"/>
          <w:u w:val="single"/>
        </w:rPr>
        <w:t xml:space="preserve">财政资金</w:t>
      </w:r>
      <w:r>
        <w:rPr>
          <w:rFonts w:hint="eastAsia" w:ascii="宋体" w:hAnsi="宋体" w:cs="宋体"/>
          <w:bCs/>
          <w:szCs w:val="21"/>
          <w:highlight w:val="none"/>
          <w:u w:val="single"/>
        </w:rPr>
        <w:t xml:space="preserve">，</w:t>
      </w:r>
      <w:r>
        <w:rPr>
          <w:rFonts w:hint="eastAsia" w:ascii="宋体" w:hAnsi="宋体" w:eastAsia="宋体" w:cs="宋体"/>
          <w:bCs/>
          <w:szCs w:val="21"/>
          <w:highlight w:val="none"/>
          <w:u w:val="single"/>
        </w:rPr>
        <w:t xml:space="preserve">已落实。</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5.工程内容：</w:t>
      </w:r>
      <w:r>
        <w:rPr>
          <w:rFonts w:hint="eastAsia" w:ascii="宋体" w:hAnsi="宋体" w:eastAsia="宋体" w:cs="宋体"/>
          <w:szCs w:val="21"/>
          <w:highlight w:val="none"/>
          <w:u w:val="single"/>
          <w:lang w:eastAsia="zh-CN"/>
        </w:rPr>
        <w:t xml:space="preserve">龙冈镇刘垎村道路改造和人居环境提升项目</w:t>
      </w:r>
      <w:r>
        <w:rPr>
          <w:rFonts w:hint="eastAsia" w:ascii="宋体" w:hAnsi="宋体" w:eastAsia="宋体" w:cs="宋体"/>
          <w:szCs w:val="21"/>
          <w:highlight w:val="none"/>
          <w:u w:val="single"/>
        </w:rPr>
        <w:t xml:space="preserve">的施工，具体以发包人提供的工程量清单、图纸及采购人现场要求为准，发包人保留对上述工程量及范围适当调整的权利。</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6.工程承包范围：</w:t>
      </w:r>
      <w:r/>
    </w:p>
    <w:p>
      <w:pPr>
        <w:ind w:firstLine="420"/>
        <w:spacing w:line="420" w:lineRule="exact"/>
        <w:rPr>
          <w:rFonts w:hint="eastAsia" w:ascii="宋体" w:hAnsi="宋体" w:eastAsia="宋体" w:cs="宋体"/>
          <w:b/>
          <w:bCs/>
          <w:szCs w:val="21"/>
          <w:highlight w:val="none"/>
        </w:rPr>
      </w:pPr>
      <w:r>
        <w:rPr>
          <w:rFonts w:hint="eastAsia" w:ascii="宋体" w:hAnsi="宋体" w:eastAsia="宋体" w:cs="宋体"/>
          <w:szCs w:val="21"/>
          <w:highlight w:val="none"/>
          <w:u w:val="single"/>
          <w:lang w:eastAsia="zh-CN"/>
        </w:rPr>
        <w:t xml:space="preserve">龙冈镇刘垎村道路改造和人居环境提升项目</w:t>
      </w:r>
      <w:r>
        <w:rPr>
          <w:rFonts w:hint="eastAsia" w:ascii="宋体" w:hAnsi="宋体" w:eastAsia="宋体" w:cs="宋体"/>
          <w:szCs w:val="21"/>
          <w:highlight w:val="none"/>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p>
    <w:p>
      <w:pPr>
        <w:ind w:firstLine="422"/>
        <w:keepLines/>
        <w:keepNext/>
        <w:spacing w:line="420" w:lineRule="exact"/>
        <w:rPr>
          <w:rFonts w:hint="eastAsia" w:ascii="宋体" w:hAnsi="宋体" w:eastAsia="宋体" w:cs="宋体"/>
          <w:b/>
          <w:szCs w:val="21"/>
          <w:highlight w:val="none"/>
        </w:rPr>
      </w:pPr>
      <w:r/>
      <w:bookmarkStart w:id="170" w:name="_Toc351203482"/>
      <w:r>
        <w:rPr>
          <w:rFonts w:hint="eastAsia" w:ascii="宋体" w:hAnsi="宋体" w:eastAsia="宋体" w:cs="宋体"/>
          <w:b/>
          <w:szCs w:val="21"/>
          <w:highlight w:val="none"/>
        </w:rPr>
        <w:t xml:space="preserve">二、合同工期</w:t>
      </w:r>
      <w:bookmarkEnd w:id="170"/>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cs="宋体"/>
          <w:szCs w:val="21"/>
          <w:highlight w:val="none"/>
          <w:u w:val="single"/>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日。</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cs="宋体"/>
          <w:szCs w:val="21"/>
          <w:highlight w:val="none"/>
          <w:u w:val="single"/>
        </w:rPr>
        <w:t xml:space="preserve">2026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日。</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rPr>
        <w:t xml:space="preserve">60</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pStyle w:val="977"/>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特别说明：</w:t>
      </w:r>
      <w:r/>
    </w:p>
    <w:p>
      <w:pPr>
        <w:pStyle w:val="977"/>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1.具体开工日期以发包人或监理人的书面开工通知为准。</w:t>
      </w:r>
      <w:r/>
    </w:p>
    <w:p>
      <w:pPr>
        <w:pStyle w:val="977"/>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2.若因土地征收或响应政府要求等客观原因造成无法正常开工，发包人可无条件将工期延后或终止项目。</w:t>
      </w:r>
      <w:r/>
    </w:p>
    <w:p>
      <w:pPr>
        <w:pStyle w:val="977"/>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3.如因政策调整等不可预见原因项目取消或终止，自动解除合同，承包人不得以此对发包人要求经济补偿，双方互不承担责任。</w:t>
      </w:r>
      <w:r/>
    </w:p>
    <w:p>
      <w:pPr>
        <w:pStyle w:val="977"/>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4.实际施工过程中如因交通封闭分幅施工等客观原因造成多次进场分段施工的，所产生的费用由承包人自行承担，发包人不另行增加费用。</w:t>
      </w:r>
      <w:r/>
    </w:p>
    <w:p>
      <w:pPr>
        <w:ind w:firstLine="422"/>
        <w:keepLines/>
        <w:keepNext/>
        <w:spacing w:line="420" w:lineRule="exact"/>
        <w:rPr>
          <w:rFonts w:hint="eastAsia" w:ascii="宋体" w:hAnsi="宋体" w:eastAsia="宋体" w:cs="宋体"/>
          <w:b/>
          <w:szCs w:val="21"/>
          <w:highlight w:val="none"/>
        </w:rPr>
      </w:pPr>
      <w:r/>
      <w:bookmarkStart w:id="171" w:name="_Toc351203483"/>
      <w:r>
        <w:rPr>
          <w:rFonts w:hint="eastAsia" w:ascii="宋体" w:hAnsi="宋体" w:eastAsia="宋体" w:cs="宋体"/>
          <w:b/>
          <w:szCs w:val="21"/>
          <w:highlight w:val="none"/>
        </w:rPr>
        <w:t xml:space="preserve">三、质量标准</w:t>
      </w:r>
      <w:bookmarkEnd w:id="171"/>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合格</w:t>
      </w:r>
      <w:r>
        <w:rPr>
          <w:rFonts w:hint="eastAsia" w:ascii="宋体" w:hAnsi="宋体" w:eastAsia="宋体" w:cs="宋体"/>
          <w:szCs w:val="21"/>
          <w:highlight w:val="none"/>
        </w:rPr>
        <w:t xml:space="preserve">标准。</w:t>
      </w:r>
      <w:bookmarkStart w:id="172" w:name="_Toc351203484"/>
      <w:r>
        <w:rPr>
          <w:rFonts w:hint="eastAsia" w:ascii="宋体" w:hAnsi="宋体" w:eastAsia="宋体" w:cs="宋体"/>
          <w:szCs w:val="21"/>
          <w:highlight w:val="none"/>
        </w:rPr>
        <w:t xml:space="preserve">满足合同及图纸设计要求，达到国家、所在省市现行有关施工质量验收规范要求和该类工程质量验收的标准，并验收合格。</w:t>
      </w:r>
      <w:r/>
    </w:p>
    <w:p>
      <w:pPr>
        <w:ind w:firstLine="459"/>
        <w:spacing w:line="42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四、签约合同价与合同价格形式</w:t>
      </w:r>
      <w:bookmarkEnd w:id="172"/>
      <w:r>
        <w:rPr>
          <w:rFonts w:hint="eastAsia" w:ascii="宋体" w:hAnsi="宋体" w:eastAsia="宋体" w:cs="宋体"/>
          <w:szCs w:val="21"/>
          <w:highlight w:val="none"/>
        </w:rPr>
        <w:tab/>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3" w:name="_Toc351203485"/>
      <w:r>
        <w:rPr>
          <w:rFonts w:hint="eastAsia" w:ascii="宋体" w:hAnsi="宋体" w:eastAsia="宋体" w:cs="宋体"/>
          <w:b/>
          <w:szCs w:val="21"/>
          <w:highlight w:val="none"/>
        </w:rPr>
        <w:t xml:space="preserve">五、</w:t>
      </w:r>
      <w:bookmarkEnd w:id="173"/>
      <w:r>
        <w:rPr>
          <w:rFonts w:hint="eastAsia" w:ascii="宋体" w:hAnsi="宋体" w:eastAsia="宋体" w:cs="宋体"/>
          <w:b/>
          <w:szCs w:val="21"/>
          <w:highlight w:val="none"/>
        </w:rPr>
        <w:t xml:space="preserve">项目经理</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bookmarkStart w:id="174" w:name="_Toc351203486"/>
      <w:r>
        <w:rPr>
          <w:rFonts w:hint="eastAsia" w:ascii="宋体" w:hAnsi="宋体" w:eastAsia="宋体" w:cs="宋体"/>
          <w:szCs w:val="21"/>
          <w:highlight w:val="none"/>
        </w:rPr>
        <w:t xml:space="preserve">六、合同文件构成</w:t>
      </w:r>
      <w:bookmarkEnd w:id="174"/>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本协议书与下列文件一起构成合同文件：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（1）中标通知书；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 </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5" w:name="_Toc351203487"/>
      <w:r>
        <w:rPr>
          <w:rFonts w:hint="eastAsia" w:ascii="宋体" w:hAnsi="宋体" w:eastAsia="宋体" w:cs="宋体"/>
          <w:b/>
          <w:szCs w:val="21"/>
          <w:highlight w:val="none"/>
        </w:rPr>
        <w:t xml:space="preserve">七、承诺</w:t>
      </w:r>
      <w:bookmarkEnd w:id="175"/>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1.发包人承诺按照法律规定履行项目审批手续、筹集工程建设资金并按照合同约定的期限和方式支付合同价款。</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3.发包人和承包人通过招投标形式签订合同的，双方理解并承诺不再就同一工程另行签订与合同实质性内容相背离的协议。</w:t>
      </w:r>
      <w:r/>
    </w:p>
    <w:p>
      <w:pPr>
        <w:spacing w:line="420" w:lineRule="exact"/>
        <w:rPr>
          <w:rFonts w:hint="eastAsia" w:ascii="宋体" w:hAnsi="宋体" w:eastAsia="宋体" w:cs="宋体"/>
          <w:bCs/>
          <w:szCs w:val="21"/>
          <w:highlight w:val="none"/>
        </w:rPr>
      </w:pPr>
      <w:r/>
      <w:bookmarkStart w:id="176" w:name="_Toc351203488"/>
      <w:r>
        <w:rPr>
          <w:rFonts w:hint="eastAsia" w:ascii="宋体" w:hAnsi="宋体" w:eastAsia="宋体" w:cs="宋体"/>
          <w:b/>
          <w:szCs w:val="21"/>
          <w:highlight w:val="none"/>
        </w:rPr>
        <w:t xml:space="preserve">    八、词语含义</w:t>
      </w:r>
      <w:bookmarkEnd w:id="176"/>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本协议书中词语含义与第二部分通用合同条款中赋予的含义相同。</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7" w:name="_Toc351203489"/>
      <w:r>
        <w:rPr>
          <w:rFonts w:hint="eastAsia" w:ascii="宋体" w:hAnsi="宋体" w:eastAsia="宋体" w:cs="宋体"/>
          <w:b/>
          <w:szCs w:val="21"/>
          <w:highlight w:val="none"/>
        </w:rPr>
        <w:t xml:space="preserve">九、签订时间</w:t>
      </w:r>
      <w:bookmarkEnd w:id="177"/>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本合同于</w:t>
      </w:r>
      <w:r>
        <w:rPr>
          <w:rFonts w:hint="eastAsia" w:ascii="宋体" w:hAnsi="宋体" w:eastAsia="宋体" w:cs="宋体"/>
          <w:bCs/>
          <w:szCs w:val="21"/>
          <w:highlight w:val="none"/>
          <w:u w:val="single"/>
        </w:rPr>
        <w:t xml:space="preserve">202</w:t>
      </w:r>
      <w:r>
        <w:rPr>
          <w:rFonts w:hint="eastAsia" w:ascii="宋体" w:hAnsi="宋体" w:cs="宋体"/>
          <w:bCs/>
          <w:szCs w:val="21"/>
          <w:highlight w:val="none"/>
          <w:u w:val="single"/>
        </w:rPr>
        <w:t xml:space="preserve">6</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日签订。</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8" w:name="_Toc351203490"/>
      <w:r>
        <w:rPr>
          <w:rFonts w:hint="eastAsia" w:ascii="宋体" w:hAnsi="宋体" w:eastAsia="宋体" w:cs="宋体"/>
          <w:b/>
          <w:szCs w:val="21"/>
          <w:highlight w:val="none"/>
        </w:rPr>
        <w:t xml:space="preserve">十、签订地点</w:t>
      </w:r>
      <w:bookmarkEnd w:id="178"/>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本合同在</w:t>
      </w:r>
      <w:r>
        <w:rPr>
          <w:rFonts w:hint="eastAsia" w:ascii="宋体" w:hAnsi="宋体" w:cs="宋体"/>
          <w:bCs/>
          <w:szCs w:val="21"/>
          <w:highlight w:val="none"/>
          <w:u w:val="single"/>
        </w:rPr>
        <w:t xml:space="preserve">盐城市盐都区龙冈镇人民政府</w:t>
      </w:r>
      <w:r>
        <w:rPr>
          <w:rFonts w:hint="eastAsia" w:ascii="宋体" w:hAnsi="宋体" w:eastAsia="宋体" w:cs="宋体"/>
          <w:bCs/>
          <w:szCs w:val="21"/>
          <w:highlight w:val="none"/>
        </w:rPr>
        <w:t xml:space="preserve">签订。</w:t>
      </w:r>
      <w:r/>
    </w:p>
    <w:p>
      <w:pPr>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79" w:name="_Toc351203491"/>
      <w:r>
        <w:rPr>
          <w:rFonts w:hint="eastAsia" w:ascii="宋体" w:hAnsi="宋体" w:eastAsia="宋体" w:cs="宋体"/>
          <w:b/>
          <w:szCs w:val="21"/>
          <w:highlight w:val="none"/>
        </w:rPr>
        <w:t xml:space="preserve">十一、补充协议</w:t>
      </w:r>
      <w:bookmarkEnd w:id="179"/>
      <w:r/>
      <w:r/>
    </w:p>
    <w:p>
      <w:pPr>
        <w:ind w:firstLine="420"/>
        <w:spacing w:line="420" w:lineRule="exact"/>
        <w:rPr>
          <w:rFonts w:hint="eastAsia" w:ascii="宋体" w:hAnsi="宋体" w:eastAsia="宋体" w:cs="宋体"/>
          <w:b/>
          <w:bCs/>
          <w:szCs w:val="21"/>
          <w:highlight w:val="none"/>
        </w:rPr>
      </w:pPr>
      <w:r>
        <w:rPr>
          <w:rFonts w:hint="eastAsia" w:ascii="宋体" w:hAnsi="宋体" w:eastAsia="宋体" w:cs="宋体"/>
          <w:bCs/>
          <w:szCs w:val="21"/>
          <w:highlight w:val="none"/>
        </w:rPr>
        <w:t xml:space="preserve">合同未尽事宜，合同当事人另行签订补充协议，补充协议是合同的组成部分。</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80" w:name="_Toc351203492"/>
      <w:r>
        <w:rPr>
          <w:rFonts w:hint="eastAsia" w:ascii="宋体" w:hAnsi="宋体" w:eastAsia="宋体" w:cs="宋体"/>
          <w:b/>
          <w:szCs w:val="21"/>
          <w:highlight w:val="none"/>
        </w:rPr>
        <w:t xml:space="preserve">十二、合同生效</w:t>
      </w:r>
      <w:bookmarkEnd w:id="180"/>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本合同自</w:t>
      </w:r>
      <w:r>
        <w:rPr>
          <w:rFonts w:hint="eastAsia" w:ascii="宋体" w:hAnsi="宋体" w:eastAsia="宋体" w:cs="宋体"/>
          <w:bCs/>
          <w:szCs w:val="21"/>
          <w:highlight w:val="none"/>
          <w:u w:val="single"/>
        </w:rPr>
        <w:t xml:space="preserve">双方法定代表人或其委托代理人签字并加盖单位公章</w:t>
      </w:r>
      <w:r>
        <w:rPr>
          <w:rFonts w:hint="eastAsia" w:ascii="宋体" w:hAnsi="宋体" w:eastAsia="宋体" w:cs="宋体"/>
          <w:bCs/>
          <w:szCs w:val="21"/>
          <w:highlight w:val="none"/>
        </w:rPr>
        <w:t xml:space="preserve">生效。</w:t>
      </w:r>
      <w:r/>
    </w:p>
    <w:p>
      <w:pPr>
        <w:spacing w:line="420"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  </w:t>
      </w:r>
      <w:bookmarkStart w:id="181" w:name="_Toc351203493"/>
      <w:r>
        <w:rPr>
          <w:rFonts w:hint="eastAsia" w:ascii="宋体" w:hAnsi="宋体" w:eastAsia="宋体" w:cs="宋体"/>
          <w:b/>
          <w:bCs/>
          <w:szCs w:val="21"/>
          <w:highlight w:val="none"/>
        </w:rPr>
        <w:t xml:space="preserve">十三、合同份数</w:t>
      </w:r>
      <w:bookmarkEnd w:id="181"/>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本合同一式</w:t>
      </w:r>
      <w:r>
        <w:rPr>
          <w:rFonts w:hint="eastAsia" w:ascii="宋体" w:hAnsi="宋体" w:eastAsia="宋体" w:cs="宋体"/>
          <w:bCs/>
          <w:szCs w:val="21"/>
          <w:highlight w:val="none"/>
          <w:u w:val="single"/>
        </w:rPr>
        <w:t xml:space="preserve">  捌  </w:t>
      </w:r>
      <w:r>
        <w:rPr>
          <w:rFonts w:hint="eastAsia" w:ascii="宋体" w:hAnsi="宋体" w:eastAsia="宋体" w:cs="宋体"/>
          <w:bCs/>
          <w:szCs w:val="21"/>
          <w:highlight w:val="none"/>
        </w:rPr>
        <w:t xml:space="preserve">份，均具有同等法律效力，发包人执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份，承包人执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发包人：  (公章)                     承包人：  (公章)</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           法定代表人或其委托代理人：</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（签字）                                （签字）</w:t>
      </w:r>
      <w:r/>
    </w:p>
    <w:p>
      <w:pPr>
        <w:ind w:firstLine="420"/>
        <w:spacing w:line="420" w:lineRule="exact"/>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组织机构代码：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地  址：</w:t>
      </w:r>
      <w:r>
        <w:rPr>
          <w:rFonts w:hint="eastAsia" w:ascii="宋体" w:hAnsi="宋体" w:eastAsia="宋体" w:cs="宋体"/>
          <w:szCs w:val="21"/>
          <w:highlight w:val="none"/>
          <w:u w:val="single"/>
        </w:rPr>
        <w:t xml:space="preserve"> 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         邮政编码：</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电子信箱：</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开户银行：</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b/>
          <w:sz w:val="32"/>
          <w:szCs w:val="32"/>
          <w:highlight w:val="none"/>
          <w:lang w:val="zh-CN"/>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r/>
    </w:p>
    <w:p>
      <w:pPr>
        <w:ind w:firstLine="2233"/>
        <w:spacing w:line="460" w:lineRule="exac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br w:type="page" w:clear="all"/>
      </w:r>
      <w:r>
        <w:rPr>
          <w:rFonts w:hint="eastAsia" w:ascii="宋体" w:hAnsi="宋体" w:eastAsia="宋体" w:cs="宋体"/>
          <w:b/>
          <w:sz w:val="32"/>
          <w:szCs w:val="32"/>
          <w:highlight w:val="none"/>
          <w:lang w:val="zh-CN"/>
        </w:rPr>
        <w:t xml:space="preserve">第二部分 通用合同条款</w:t>
      </w:r>
      <w:r/>
    </w:p>
    <w:p>
      <w:pPr>
        <w:spacing w:line="46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411"/>
        <w:spacing w:line="46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同建设工程施工合同（示范文本）（GF—2017—0201）内的通用合同条款</w:t>
      </w:r>
      <w:r/>
    </w:p>
    <w:p>
      <w:pPr>
        <w:ind w:firstLine="216"/>
        <w:spacing w:line="46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left="0" w:firstLine="1459"/>
        <w:jc w:val="center"/>
        <w:pageBreakBefore w:val="0"/>
        <w:spacing w:line="460" w:lineRule="exact"/>
        <w:widowControl w:val="off"/>
        <w:rPr>
          <w:rFonts w:hint="eastAsia" w:ascii="宋体" w:hAnsi="宋体" w:eastAsia="宋体" w:cs="宋体"/>
          <w:sz w:val="44"/>
          <w:szCs w:val="44"/>
          <w:highlight w:val="none"/>
        </w:rPr>
      </w:pPr>
      <w:r>
        <w:rPr>
          <w:rFonts w:hint="eastAsia" w:ascii="宋体" w:hAnsi="宋体" w:eastAsia="宋体" w:cs="宋体"/>
          <w:szCs w:val="21"/>
          <w:highlight w:val="none"/>
        </w:rPr>
        <w:br w:type="page" w:clear="all"/>
      </w:r>
      <w:r>
        <w:rPr>
          <w:rFonts w:hint="eastAsia" w:ascii="宋体" w:hAnsi="宋体" w:eastAsia="宋体" w:cs="宋体"/>
          <w:b/>
          <w:sz w:val="32"/>
          <w:szCs w:val="32"/>
          <w:highlight w:val="none"/>
          <w:lang w:val="zh-CN"/>
        </w:rPr>
        <w:t xml:space="preserve">第三部分 专用合同条款</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182" w:name="_Toc351203633"/>
      <w:r>
        <w:rPr>
          <w:rFonts w:hint="eastAsia" w:ascii="宋体" w:hAnsi="宋体" w:eastAsia="宋体" w:cs="宋体"/>
          <w:b/>
          <w:szCs w:val="21"/>
          <w:highlight w:val="none"/>
        </w:rPr>
        <w:t xml:space="preserve">1</w:t>
      </w:r>
      <w:bookmarkStart w:id="183" w:name="_Toc297120456"/>
      <w:r/>
      <w:bookmarkStart w:id="184" w:name="_Toc297048342"/>
      <w:r/>
      <w:bookmarkStart w:id="185" w:name="_Toc292559361"/>
      <w:r/>
      <w:bookmarkStart w:id="186" w:name="_Toc296503156"/>
      <w:r/>
      <w:bookmarkStart w:id="187" w:name="_Toc296890984"/>
      <w:r/>
      <w:bookmarkStart w:id="188" w:name="_Toc296347155"/>
      <w:r/>
      <w:bookmarkStart w:id="189" w:name="_Toc296944495"/>
      <w:r/>
      <w:bookmarkStart w:id="190" w:name="_Toc296346657"/>
      <w:r/>
      <w:bookmarkStart w:id="191" w:name="_Toc292559866"/>
      <w:r/>
      <w:bookmarkStart w:id="192" w:name="_Toc296891196"/>
      <w:r>
        <w:rPr>
          <w:rFonts w:hint="eastAsia" w:ascii="宋体" w:hAnsi="宋体" w:eastAsia="宋体" w:cs="宋体"/>
          <w:b/>
          <w:szCs w:val="21"/>
          <w:highlight w:val="none"/>
        </w:rPr>
        <w:t xml:space="preserve">. 一般约定</w:t>
      </w:r>
      <w:bookmarkEnd w:id="182"/>
      <w:r/>
      <w:bookmarkEnd w:id="183"/>
      <w:bookmarkEnd w:id="184"/>
      <w:bookmarkEnd w:id="185"/>
      <w:bookmarkEnd w:id="186"/>
      <w:bookmarkEnd w:id="187"/>
      <w:bookmarkEnd w:id="188"/>
      <w:bookmarkEnd w:id="189"/>
      <w:bookmarkEnd w:id="190"/>
      <w:bookmarkEnd w:id="191"/>
      <w:bookmarkEnd w:id="192"/>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1.1.2.4监理人：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1.1.2.5 设计人：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w:t>
      </w:r>
      <w:r>
        <w:rPr>
          <w:rFonts w:hint="eastAsia" w:ascii="宋体" w:hAnsi="宋体" w:eastAsia="宋体" w:cs="宋体"/>
          <w:szCs w:val="21"/>
          <w:highlight w:val="none"/>
          <w:u w:val="single"/>
        </w:rPr>
        <w:t xml:space="preserve"> 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w:t>
      </w:r>
      <w:r>
        <w:rPr>
          <w:rFonts w:hint="eastAsia" w:ascii="宋体" w:hAnsi="宋体" w:eastAsia="宋体" w:cs="宋体"/>
          <w:szCs w:val="21"/>
          <w:highlight w:val="none"/>
          <w:u w:val="single"/>
        </w:rPr>
        <w:t xml:space="preserve">               /   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1.3法律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 标准和规范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1.4.1适用于工程的标准规范包括：</w:t>
      </w:r>
      <w:r>
        <w:rPr>
          <w:rFonts w:hint="eastAsia" w:ascii="宋体" w:hAnsi="宋体" w:eastAsia="宋体" w:cs="宋体"/>
          <w:szCs w:val="21"/>
          <w:highlight w:val="none"/>
          <w:u w:val="single"/>
        </w:rPr>
        <w:t xml:space="preserve">中华人民共和国建设部颁发的现行有关标准、规范；国家标准、行业标准、工程所在地的地方标准以及相应的规范、规程等，前述标准规范规定不一致的，以较高标准者为准。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1.4.3发包人对工程的技术标准和功能要求的特殊要求：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 合同文件的优先顺序</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①本合同协议书；②中标通知书；③招投标书及</w:t>
      </w:r>
      <w:r>
        <w:rPr>
          <w:rFonts w:hint="eastAsia" w:ascii="宋体" w:hAnsi="宋体" w:eastAsia="宋体" w:cs="宋体"/>
          <w:szCs w:val="21"/>
          <w:highlight w:val="none"/>
          <w:u w:val="single"/>
        </w:rPr>
        <w:t xml:space="preserve">其附件(含投标函及其附录)；④本合同专用条款；⑤本合同通用条款；⑥现行标准、规范及有关技术文件；⑦图纸；⑧工程量清单；⑨招标预算价或最高投标限价；⑩合同履行中，发包人和承包人有关工程的洽商、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上述各项合同文件包括合同当事人就该项合同文件所作出的补充和修改，属于同一类内容的文件，应以最新签署的为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 图纸和承包人文件</w:t>
      </w:r>
      <w:r>
        <w:rPr>
          <w:rFonts w:hint="eastAsia" w:ascii="宋体" w:hAnsi="宋体" w:eastAsia="宋体" w:cs="宋体"/>
          <w:szCs w:val="21"/>
          <w:highlight w:val="none"/>
        </w:rPr>
        <w:tab/>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 图纸的提供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签订施工合同后5天内</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全套施工图。未经发包人书面同意，不得向承包人以外的人员泄露图纸的有关内容。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1.6.4 承包人文件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按监理交底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根据发包人要求</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书面及电子版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收到文件后 7 日内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1.6.5 现场图纸准备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所有施工必须以发包人提供的图纸为准，发包人须向承包人提供经审查的有效的图纸。</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 联络</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1.7.1发包人和承包人应当在</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1.7.2 发包人接收文件的地点：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总监理工程师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 交通运输</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3" w:name="_Toc304295521"/>
      <w:r/>
      <w:bookmarkStart w:id="194" w:name="_Toc303539100"/>
      <w:r/>
      <w:bookmarkStart w:id="195" w:name="_Toc300934943"/>
      <w:r/>
      <w:bookmarkStart w:id="196" w:name="_Toc318581155"/>
      <w:r/>
      <w:bookmarkStart w:id="197" w:name="_Toc312677986"/>
      <w:r>
        <w:rPr>
          <w:rFonts w:hint="eastAsia" w:ascii="宋体" w:hAnsi="宋体" w:eastAsia="宋体" w:cs="宋体"/>
          <w:szCs w:val="21"/>
          <w:highlight w:val="none"/>
        </w:rPr>
        <w:t xml:space="preserve">.10.1 出入现场的权利</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根据施工需要，承包人负责取得出入施工现场所需的批准手续和全部权利，以及取得因施工所需修建道路、桥梁以及其他基础设施的权利，并承担相关手续费用和建设费用。承包人应在订</w:t>
      </w:r>
      <w:r>
        <w:rPr>
          <w:rFonts w:hint="eastAsia" w:ascii="宋体" w:hAnsi="宋体" w:eastAsia="宋体" w:cs="宋体"/>
          <w:szCs w:val="21"/>
          <w:highlight w:val="none"/>
          <w:u w:val="single"/>
        </w:rPr>
        <w:t xml:space="preserve">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w:t>
      </w:r>
      <w:r>
        <w:rPr>
          <w:rFonts w:hint="eastAsia" w:ascii="宋体" w:hAnsi="宋体" w:eastAsia="宋体" w:cs="宋体"/>
          <w:szCs w:val="21"/>
          <w:highlight w:val="none"/>
          <w:u w:val="single"/>
        </w:rPr>
        <w:t xml:space="preserve">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入口、地方矛盾等)而导致的索赔申请将不被批准。本项目竣工后，如有临时设施（含但不限于临时道路、临时围墙等）的拆除及处理由承包人自行考虑，结算时相关费用不予增加。</w:t>
      </w:r>
      <w:bookmarkEnd w:id="193"/>
      <w:bookmarkEnd w:id="194"/>
      <w:bookmarkEnd w:id="195"/>
      <w:bookmarkEnd w:id="196"/>
      <w:bookmarkEnd w:id="197"/>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8" w:name="_Toc312677987"/>
      <w:r/>
      <w:bookmarkStart w:id="199" w:name="_Toc300934944"/>
      <w:r/>
      <w:bookmarkStart w:id="200" w:name="_Toc303539101"/>
      <w:r/>
      <w:bookmarkStart w:id="201" w:name="_Toc304295522"/>
      <w:r/>
      <w:bookmarkStart w:id="202" w:name="_Toc318581156"/>
      <w:r>
        <w:rPr>
          <w:rFonts w:hint="eastAsia" w:ascii="宋体" w:hAnsi="宋体" w:eastAsia="宋体" w:cs="宋体"/>
          <w:szCs w:val="21"/>
          <w:highlight w:val="none"/>
        </w:rPr>
        <w:t xml:space="preserve">.10.3 场内交通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场内、外交通均由承包人自行负责解决并承担费用，承包人应遵守有关交通法规，严格按照道路和桥梁的限制荷载行驶，执行有关道路限速、限行、禁止超载的规定，并配合</w:t>
      </w:r>
      <w:r>
        <w:rPr>
          <w:rFonts w:hint="eastAsia" w:ascii="宋体" w:hAnsi="宋体" w:eastAsia="宋体" w:cs="宋体"/>
          <w:szCs w:val="21"/>
          <w:highlight w:val="none"/>
          <w:u w:val="single"/>
        </w:rPr>
        <w:t xml:space="preserve">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道路交通安全相关规定。本项目竣工后，如有临时设施（含但不限于临时道路、临时围墙等）的拆除及处理由承包人自行考虑，结算时相关费用不予增加。</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98"/>
      <w:r/>
      <w:bookmarkEnd w:id="199"/>
      <w:r/>
      <w:bookmarkEnd w:id="200"/>
      <w:r/>
      <w:bookmarkEnd w:id="201"/>
      <w:r/>
      <w:bookmarkEnd w:id="202"/>
      <w:r>
        <w:rPr>
          <w:rFonts w:hint="eastAsia" w:ascii="宋体" w:hAnsi="宋体" w:eastAsia="宋体" w:cs="宋体"/>
          <w:szCs w:val="21"/>
          <w:highlight w:val="none"/>
        </w:rPr>
        <w:t xml:space="preserve"> </w:t>
      </w:r>
      <w:bookmarkStart w:id="203" w:name="_Toc31858115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1.10.4超大件和超重件的运输</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承包人</w:t>
      </w:r>
      <w:r>
        <w:rPr>
          <w:rFonts w:hint="eastAsia" w:ascii="宋体" w:hAnsi="宋体" w:eastAsia="宋体" w:cs="宋体"/>
          <w:szCs w:val="21"/>
          <w:highlight w:val="none"/>
        </w:rPr>
        <w:t xml:space="preserve">承担。</w:t>
      </w:r>
      <w:bookmarkEnd w:id="203"/>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 知识产权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1.11.2 关于承包人为实施工程所编制文件的著作权的归属：</w:t>
      </w:r>
      <w:r>
        <w:rPr>
          <w:rFonts w:hint="eastAsia" w:ascii="宋体" w:hAnsi="宋体" w:eastAsia="宋体" w:cs="宋体"/>
          <w:szCs w:val="21"/>
          <w:highlight w:val="none"/>
          <w:u w:val="single"/>
        </w:rPr>
        <w:t xml:space="preserve">发包人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承包人违反 1.11.1 以及 1.11.2 条的约定的，需承担与本合同约定的总价款等额的违约金。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1.11.4 承包人在施工过程中所采用的专利、专有技术、技术秘密的使用费的承担方式：</w:t>
      </w:r>
      <w:r>
        <w:rPr>
          <w:rFonts w:hint="eastAsia" w:ascii="宋体" w:hAnsi="宋体" w:eastAsia="宋体" w:cs="宋体"/>
          <w:szCs w:val="21"/>
          <w:highlight w:val="none"/>
          <w:u w:val="single"/>
        </w:rPr>
        <w:t xml:space="preserve">                    承包人承担，费用含在合同价中。</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1.13工程量清单错误的修正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出现工程量清单错误时，是否调整合同价格：</w:t>
      </w:r>
      <w:r>
        <w:rPr>
          <w:rFonts w:hint="eastAsia" w:ascii="宋体" w:hAnsi="宋体" w:eastAsia="宋体" w:cs="宋体"/>
          <w:szCs w:val="21"/>
          <w:highlight w:val="none"/>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1.13.3 凡实施工作量增加超过招标工作量15%的，其超过部分的结算单价一律按市场价重新会商确定；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（1）数量增加型：中标量×中标价+中标量×15%×中标价+（实际量-中标量×15%-中标量）×重新组价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（2）数量减少型：中标量×中标价-中标量×15%×中标价-（中标量-中标量×15%-实际量）×重新组价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（3）设计变更型：实际量×中标价+实际量×（变更后的-变更前的）重新组价注解：</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的《盐城工程造价》的市场指导价或市场信息价），经发包人确认后调整；若套定额下浮后费用与市场价误差 15%以上的（比如，顶管、拉管、零星工程、市场上按照独立费招标的项目等）或没有定额要套的项目，则按照市场价进行调整。</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04" w:name="_Toc351203634"/>
      <w:r>
        <w:rPr>
          <w:rFonts w:hint="eastAsia" w:ascii="宋体" w:hAnsi="宋体" w:eastAsia="宋体" w:cs="宋体"/>
          <w:szCs w:val="21"/>
          <w:highlight w:val="none"/>
        </w:rPr>
        <w:t xml:space="preserve">2</w:t>
      </w:r>
      <w:bookmarkStart w:id="205" w:name="_Toc292559362"/>
      <w:r/>
      <w:bookmarkStart w:id="206" w:name="_Toc296891197"/>
      <w:r/>
      <w:bookmarkStart w:id="207" w:name="_Toc292559867"/>
      <w:r/>
      <w:bookmarkStart w:id="208" w:name="_Toc296347156"/>
      <w:r/>
      <w:bookmarkStart w:id="209" w:name="_Toc296944496"/>
      <w:r/>
      <w:bookmarkStart w:id="210" w:name="_Toc296346658"/>
      <w:r/>
      <w:bookmarkStart w:id="211" w:name="_Toc296503157"/>
      <w:r/>
      <w:bookmarkStart w:id="212" w:name="_Toc297120457"/>
      <w:r/>
      <w:bookmarkStart w:id="213" w:name="_Toc296890985"/>
      <w:r/>
      <w:bookmarkStart w:id="214" w:name="_Toc297048343"/>
      <w:r>
        <w:rPr>
          <w:rFonts w:hint="eastAsia" w:ascii="宋体" w:hAnsi="宋体" w:eastAsia="宋体" w:cs="宋体"/>
          <w:szCs w:val="21"/>
          <w:highlight w:val="none"/>
        </w:rPr>
        <w:t xml:space="preserve">. 发包人</w:t>
      </w:r>
      <w:bookmarkEnd w:id="204"/>
      <w:r/>
      <w:bookmarkEnd w:id="205"/>
      <w:bookmarkEnd w:id="206"/>
      <w:bookmarkEnd w:id="207"/>
      <w:bookmarkEnd w:id="208"/>
      <w:bookmarkEnd w:id="209"/>
      <w:bookmarkEnd w:id="210"/>
      <w:bookmarkEnd w:id="211"/>
      <w:bookmarkEnd w:id="212"/>
      <w:bookmarkEnd w:id="213"/>
      <w:bookmarkEnd w:id="214"/>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2.2 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代表发包人负责整体工程协调管理、确认现场工程量，按程序办理签证及变更方案实施。对工程质量、施工进度、造价控制、合同管理、信息管理及组织协调等各方面全面监督和管理。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 施工现场、施工条件和基础资料的提供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 提供施工现场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书面正式通知后三天内。开工前由发包人按现状交给承包人，其它由承包人负责，满足工程施工需要，费用由承包人承担。</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2.4.2 提供施工条件</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施工队伍进场后，首先由发包人和监理人与承包人进行现场工作面现状分界、交接，书面交接后方可进行现场施工。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施工用水、电由承包人现场单独挂表计量，费用由承包人负责，水、电费用由发包人代缴</w:t>
      </w:r>
      <w:r>
        <w:rPr>
          <w:rFonts w:hint="eastAsia" w:ascii="宋体" w:hAnsi="宋体" w:eastAsia="宋体" w:cs="宋体"/>
          <w:szCs w:val="21"/>
          <w:highlight w:val="none"/>
          <w:u w:val="single"/>
        </w:rPr>
        <w:t xml:space="preserve">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szCs w:val="21"/>
          <w:highlight w:val="none"/>
          <w:u w:val="single"/>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 资金来源证明及支付担保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已提供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发包人依法向施工单位提供工程款支付担保。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担保形式不限，对于资金落实到位的政府投资项目，建设单位可以根据合同约定将有权部门出具的相应资金来源证明作为支付担保凭证。</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15" w:name="_Toc351203635"/>
      <w:r>
        <w:rPr>
          <w:rFonts w:hint="eastAsia" w:ascii="宋体" w:hAnsi="宋体" w:eastAsia="宋体" w:cs="宋体"/>
          <w:szCs w:val="21"/>
          <w:highlight w:val="none"/>
        </w:rPr>
        <w:t xml:space="preserve">3</w:t>
      </w:r>
      <w:bookmarkStart w:id="216" w:name="_Toc296944497"/>
      <w:r/>
      <w:bookmarkStart w:id="217" w:name="_Toc297048344"/>
      <w:r/>
      <w:bookmarkStart w:id="218" w:name="_Toc296347157"/>
      <w:r/>
      <w:bookmarkStart w:id="219" w:name="_Toc297120458"/>
      <w:r/>
      <w:bookmarkStart w:id="220" w:name="_Toc292559868"/>
      <w:r/>
      <w:bookmarkStart w:id="221" w:name="_Toc296890986"/>
      <w:r/>
      <w:bookmarkStart w:id="222" w:name="_Toc292559363"/>
      <w:r/>
      <w:bookmarkStart w:id="223" w:name="_Toc296503158"/>
      <w:r/>
      <w:bookmarkStart w:id="224" w:name="_Toc296891198"/>
      <w:r/>
      <w:bookmarkStart w:id="225" w:name="_Toc296346659"/>
      <w:r>
        <w:rPr>
          <w:rFonts w:hint="eastAsia" w:ascii="宋体" w:hAnsi="宋体" w:eastAsia="宋体" w:cs="宋体"/>
          <w:szCs w:val="21"/>
          <w:highlight w:val="none"/>
        </w:rPr>
        <w:t xml:space="preserve">. 承包人</w:t>
      </w:r>
      <w:bookmarkEnd w:id="215"/>
      <w:r/>
      <w:bookmarkEnd w:id="216"/>
      <w:bookmarkEnd w:id="217"/>
      <w:bookmarkEnd w:id="218"/>
      <w:bookmarkEnd w:id="219"/>
      <w:bookmarkEnd w:id="220"/>
      <w:bookmarkEnd w:id="221"/>
      <w:bookmarkEnd w:id="222"/>
      <w:bookmarkEnd w:id="223"/>
      <w:bookmarkEnd w:id="224"/>
      <w:bookmarkEnd w:id="225"/>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承包人在履行合同过程中应遵守法律和工程建设标准规范，并履行以下义务：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w:t>
      </w:r>
      <w:r>
        <w:rPr>
          <w:rFonts w:hint="eastAsia" w:ascii="宋体" w:hAnsi="宋体" w:eastAsia="宋体" w:cs="宋体"/>
          <w:szCs w:val="21"/>
          <w:highlight w:val="none"/>
          <w:u w:val="single"/>
        </w:rPr>
        <w:t xml:space="preserve">办理法律规定应由承包人办理的施工许可和批准（包括但不限于合同归集、质安监手续、农民工专户等手续），发包人协助，费用由承包人承担，办理结果书面报送发包人留存（如需办理）；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（2）按法律规定和合同约定完成工程施工，并在保修期内承担保修义务；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（3）按法律规定和合同约定采取施工安全和环境保护措施，办理工伤保险，确保工程及人员、材料、设备和设施的安全；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（4）按合同约定的工作内容和施工进度要求，编制施工组织设计和施工措施计划，并对所有施工作业和施工方法的完备性和安全可靠性负责；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施工场地及其周边环境与生态以及施工场地周围地下管线和构筑物（含文物保护建筑）、树木的保护，费用由承包人承担，如发现有重点文物等，应及时报告当地政府及相关部门，如因承包人没有及时报告和保护而造成的一切经济损失和法律责任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（7）采取施工安全措施，确保工程及其人员、材料、设备和设施的安全， 防止因工程施工造成的人身伤害和财产损失；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（8）及时支付农民工工资和机械设备租用费、分包项价款，不得因此造成矛盾。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（9）承包人提交的竣工资料的内容：</w:t>
      </w:r>
      <w:r>
        <w:rPr>
          <w:rFonts w:hint="eastAsia" w:ascii="宋体" w:hAnsi="宋体" w:eastAsia="宋体" w:cs="宋体"/>
          <w:szCs w:val="21"/>
          <w:highlight w:val="none"/>
          <w:u w:val="single"/>
        </w:rPr>
        <w:t xml:space="preserve">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竣工资料和竣工图 4 套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施工结束，竣工验收前，先验收资料，后验收工程实体，不影响发包人整体移交</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书面资料及电子档资料，满足主管部门及档案管理部门的要求。</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承包人应履行的其他义务：</w:t>
      </w:r>
      <w:r>
        <w:rPr>
          <w:rFonts w:hint="eastAsia" w:ascii="宋体" w:hAnsi="宋体" w:eastAsia="宋体" w:cs="宋体"/>
          <w:szCs w:val="21"/>
          <w:highlight w:val="none"/>
          <w:u w:val="single"/>
        </w:rPr>
        <w:t xml:space="preserve">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必须按规定对施工现场成品进行保护，自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3）承包人必须对施工场地周围地下管线和构筑（含文物保护建筑）、古树名木进行保护，费用由承包人负责；如因承包人没有及时报告和保护而造成的一切经济损失和法律责任由承包人承担；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按文明施工要求组织施工，保持场地整洁卫生，费用由承包人负责；施工垃圾在指定区域定点堆放，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5）承包人在本工程竣工验收后七日内拆除所有临时设施，并清运出现场，费用由承包人负责。否则，如发生相关费用由发包人在工程竣工结算价款中扣除；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6）如发包人代扣代缴本工程应由承包人缴纳的各种费用，承包人必须履行发包人要求的各项手续，费用由承包人负责；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7）本工程向建设主管部门办理的工程施工许可手续，由承包人代为办理，由发包人协助，费用按规定承担。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承包人无条件服从发包人管理工作的要求。自行协调与其它专业工程施工承包人（如有）之间的矛盾，如发生相关费用，由承包人自行承担。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9）进场后自觉服从发包人对工地安全、标准化现场、总平面布置的管理， 如出现不服从、不配合等现象，发包人有权按违约处理，要求承包人承担违约责任。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10）本项目施工过程中遇到的一切地方矛盾及由此发生的费用与发包人无涉，均由承包人自行负责，并在投标报价中考虑，结算时不调整。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11）施工前，承包人自行到建设、城管、交警等部门办理各类可能涉及的相关手续、缴纳押金和办理备案，需缴纳的费用和涉及的所有费用自行考虑在投标报价中，结算时不另计。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13）工程施工中开挖、破除等施工手续的申请，由承包人按盐都区主管部门要求履行申请手续取得批准后方可施工，如申请时需缴纳保证金等有关费用的，均由承包人缴纳并承担费用，发包人不另行支付此费用。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16）本项目在施工期间现场雾炮、洒水车数量均须满足发包人及相关主管部门要求，裸土必须全覆盖，相关费用在投标报价中充分考虑。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18）雨季，承包人在报价时须考虑雨季施工的相关措施费，包括搭设防雨棚、抽排水等措施， 须无条件服从发包人统一调度和排水安排，对施工区域进行临时应急抽水，相关费用自行考虑在报价中，结算时不另计。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19）承包人报价时需考虑送检第三方检测等需要现场破坏性检测的材料费用，分摊在清单报价中。如发生第三方材料检测结果不合格，检测费用由承包人支付。</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21）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23）承包人在合同签订后10日内主动向发包人、监理单位，提供用工合同，并确保合同的合法性、有效性，签约的相关主体具有签约资格。</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25）为了配合发包人做好建设局及相关主管部门要求的相关备案手续，承包人保证在发包人要求时间内及时向发包人出具无拖欠工程款证明，确保发包人备案手续的顺利及时地完成。</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26）如承包人拒绝提供无拖欠工程款证明材料造成发包人备案延误，承包人应承担由此造成的损失，并按规定承担违约责任。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27）施工垃圾指定区域定点堆放，由承包人及时清运，费用由承包人承担；如不及时清运的，由发包人指定其他单位代为实施，费用由承包人承担。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28）施工过程严格执行国家、本区域相关防疫规定，防疫用品配备到位，防疫措施实施到位，否则不得进行现场施工，相关费用全部包含在价款内，由承包人承担。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29）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30）承包人自行承担工程施工过程中的工程质量、任何状况下的安全责任。非发包人原因，发生的一切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31）承包人须接受现场不一定完全具备施工条件的现状，穿插施工，合理组织安排工期，确保按期完成。由此带来的损失由承包人自行承担。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33）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承包人对项目经理的授权范围如下：</w:t>
      </w:r>
      <w:r>
        <w:rPr>
          <w:rFonts w:hint="eastAsia" w:ascii="宋体" w:hAnsi="宋体" w:eastAsia="宋体" w:cs="宋体"/>
          <w:szCs w:val="21"/>
          <w:highlight w:val="none"/>
          <w:u w:val="single"/>
        </w:rPr>
        <w:t xml:space="preserve">代表承包人全面负责施工合同的履行，对本工程的施工、进度、质量、安全、工期、付款、以及设计变更等全面跟踪监督及服务，协调各方面矛盾负责工程的施工安全，文件的签署、接收等。</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经发包人提出后，承包人未整改的，发包人有权终止合同，扣除履约保证金，承包人应承担合同总价20%违约金，并赔偿由此给发包人造成的全部损失。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发包人将对本项目项目负责人进行考勤，时间为上午 8：30—9:30，下午 5:00—6:00 到发包人进行打卡（上下午都满足打卡要求的，为 1个有效考勤日期），如有特殊情况请假的，需提前3天向发包人提出书面申请，在得到书面同意后请假的，视为有效考勤日期。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未经发包人书面同意，发包人有权解除合同，扣除履约保证金，承包人应向发包人支付合同协议书中约定的合同总价20%的违约金。因此给发包人造成损失的，承包人需予以全部赔偿。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    3.2.4 承包人无正当理由拒绝更换项目经理的违约责任：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 20%的违约金。因此给发包人造成损失的，承包人需予以全部赔偿。</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进场 3 日内 </w:t>
      </w:r>
      <w:r>
        <w:rPr>
          <w:rFonts w:hint="eastAsia" w:ascii="宋体" w:hAnsi="宋体" w:eastAsia="宋体" w:cs="宋体"/>
          <w:szCs w:val="21"/>
          <w:highlight w:val="none"/>
        </w:rPr>
        <w:t xml:space="preserve"> 。其中必须包括投标时确认的项目部成员，承包人应将人员名单报发包人备案。</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承包人无正当理由拒绝撤换主要施工管理人员的违约责任：</w:t>
      </w:r>
      <w:r>
        <w:rPr>
          <w:rFonts w:hint="eastAsia" w:ascii="宋体" w:hAnsi="宋体" w:eastAsia="宋体" w:cs="宋体"/>
          <w:szCs w:val="21"/>
          <w:highlight w:val="none"/>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3.3.4 承包人主要施工管理人员离开施工现场的批准要求：</w:t>
      </w:r>
      <w:r>
        <w:rPr>
          <w:rFonts w:hint="eastAsia" w:ascii="宋体" w:hAnsi="宋体" w:eastAsia="宋体" w:cs="宋体"/>
          <w:szCs w:val="21"/>
          <w:highlight w:val="none"/>
          <w:u w:val="single"/>
        </w:rPr>
        <w:t xml:space="preserve">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3.3.5承包人擅自更换主要施工管理人员的违约责任：</w:t>
      </w:r>
      <w:r>
        <w:rPr>
          <w:rFonts w:hint="eastAsia" w:ascii="宋体" w:hAnsi="宋体" w:eastAsia="宋体" w:cs="宋体"/>
          <w:szCs w:val="21"/>
          <w:highlight w:val="none"/>
          <w:u w:val="single"/>
        </w:rPr>
        <w:t xml:space="preserve">未经发包人书面同意擅自更换的，发包人有权解除合同，扣除履约保证金，承包人应向发包人支付合同协议书中约定的合同总价20%的违约金。因此给发包人造成损失的，承包人需予以全部赔偿。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5000元的违约</w:t>
      </w:r>
      <w:r>
        <w:rPr>
          <w:rFonts w:hint="eastAsia" w:ascii="宋体" w:hAnsi="宋体" w:eastAsia="宋体" w:cs="宋体"/>
          <w:szCs w:val="21"/>
          <w:highlight w:val="none"/>
          <w:u w:val="single"/>
        </w:rPr>
        <w:t xml:space="preserve">金，发包人有权在当期工程款支付时或履约保证金直接扣除；项目负责人和项目部人员中途如需离开，必须书面申请，若未经发包人书面同意而擅自离岗的，将有权要求承包人承担每人每天3000元的违约金，承包人必须在发包人处罚决定后2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若未经发包人书面同意而擅自离岗的，承包人应承担每人每天5000元的违约金，承包人必须在2日内以现金形式交由发包人，逾期未交的发包人有权在支付工程款时从应付的工程款中或从履约保证金中扣除。若擅自离岗累计达2天以上的，发包人有权解除合同，扣除履约保证金，承包人应向发包人支付合同协议书中约定的合同总价20%的违约金。因此给发包人造成损失的，承包人需予以全部赔偿。 </w:t>
      </w:r>
      <w:r/>
    </w:p>
    <w:p>
      <w:pPr>
        <w:ind w:left="0" w:firstLine="414"/>
        <w:pageBreakBefore w:val="0"/>
        <w:spacing w:line="420" w:lineRule="exact"/>
        <w:widowControl w:val="off"/>
        <w:rPr>
          <w:rFonts w:hint="eastAsia" w:ascii="宋体" w:hAnsi="宋体" w:eastAsia="宋体" w:cs="宋体"/>
          <w:b/>
          <w:bCs/>
          <w:spacing w:val="-2"/>
          <w:szCs w:val="21"/>
          <w:highlight w:val="none"/>
          <w:u w:val="single"/>
        </w:rPr>
      </w:pPr>
      <w:r>
        <w:rPr>
          <w:rFonts w:hint="eastAsia" w:ascii="宋体" w:hAnsi="宋体" w:eastAsia="宋体" w:cs="宋体"/>
          <w:b/>
          <w:bCs/>
          <w:spacing w:val="-2"/>
          <w:szCs w:val="21"/>
          <w:highlight w:val="none"/>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26" w:name="_Toc297123492"/>
      <w:r/>
      <w:bookmarkStart w:id="227" w:name="_Toc297120459"/>
      <w:r/>
      <w:bookmarkStart w:id="228" w:name="_Toc296891199"/>
      <w:r/>
      <w:bookmarkStart w:id="229" w:name="_Toc296347158"/>
      <w:r/>
      <w:bookmarkStart w:id="230" w:name="_Toc297216151"/>
      <w:r/>
      <w:bookmarkStart w:id="231" w:name="_Toc296503159"/>
      <w:r/>
      <w:bookmarkStart w:id="232" w:name="_Toc292559364"/>
      <w:r/>
      <w:bookmarkStart w:id="233" w:name="_Toc296346660"/>
      <w:r/>
      <w:bookmarkStart w:id="234" w:name="_Toc312677988"/>
      <w:r/>
      <w:bookmarkStart w:id="235" w:name="_Toc303539102"/>
      <w:r/>
      <w:bookmarkStart w:id="236" w:name="_Toc300934945"/>
      <w:r/>
      <w:bookmarkStart w:id="237" w:name="_Toc296944498"/>
      <w:r/>
      <w:bookmarkStart w:id="238" w:name="_Toc304295523"/>
      <w:r/>
      <w:bookmarkStart w:id="239" w:name="_Toc296890987"/>
      <w:r/>
      <w:bookmarkStart w:id="240" w:name="_Toc297048345"/>
      <w:r/>
      <w:bookmarkStart w:id="241" w:name="_Toc292559869"/>
      <w:r>
        <w:rPr>
          <w:rFonts w:hint="eastAsia" w:ascii="宋体" w:hAnsi="宋体" w:eastAsia="宋体" w:cs="宋体"/>
          <w:szCs w:val="21"/>
          <w:highlight w:val="none"/>
        </w:rPr>
        <w:t xml:space="preserve">.5 分包</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42" w:name="_Toc296503160"/>
      <w:r/>
      <w:bookmarkStart w:id="243" w:name="_Toc296346661"/>
      <w:r/>
      <w:bookmarkStart w:id="244" w:name="_Toc297123493"/>
      <w:r/>
      <w:bookmarkStart w:id="245" w:name="_Toc296944499"/>
      <w:r/>
      <w:bookmarkStart w:id="246" w:name="_Toc297048346"/>
      <w:r/>
      <w:bookmarkStart w:id="247" w:name="_Toc300934946"/>
      <w:r/>
      <w:bookmarkStart w:id="248" w:name="_Toc296347159"/>
      <w:r/>
      <w:bookmarkStart w:id="249" w:name="_Toc296891200"/>
      <w:r/>
      <w:bookmarkStart w:id="250" w:name="_Toc292559365"/>
      <w:r/>
      <w:bookmarkStart w:id="251" w:name="_Toc304295524"/>
      <w:r/>
      <w:bookmarkStart w:id="252" w:name="_Toc292559870"/>
      <w:r/>
      <w:bookmarkStart w:id="253" w:name="_Toc297120460"/>
      <w:r/>
      <w:bookmarkStart w:id="254" w:name="_Toc297216152"/>
      <w:r/>
      <w:bookmarkStart w:id="255" w:name="_Toc296890988"/>
      <w:r/>
      <w:bookmarkStart w:id="256" w:name="_Toc303539103"/>
      <w:r/>
      <w:bookmarkStart w:id="257" w:name="_Toc312677989"/>
      <w:r/>
      <w:bookmarkStart w:id="258" w:name="_Toc318581158"/>
      <w:r>
        <w:rPr>
          <w:rFonts w:hint="eastAsia" w:ascii="宋体" w:hAnsi="宋体" w:eastAsia="宋体" w:cs="宋体"/>
          <w:szCs w:val="21"/>
          <w:highlight w:val="none"/>
        </w:rPr>
        <w:t xml:space="preserve">.5.1 分包的一般约定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20%的违约金,以及赔偿由此给发包人造成的一切损失。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Start w:id="259" w:name="_Toc296347160"/>
      <w:r/>
      <w:bookmarkStart w:id="260" w:name="_Toc300934947"/>
      <w:r/>
      <w:bookmarkStart w:id="261" w:name="_Toc297123494"/>
      <w:r/>
      <w:bookmarkStart w:id="262" w:name="_Toc296503161"/>
      <w:r/>
      <w:bookmarkStart w:id="263" w:name="_Toc296944500"/>
      <w:r/>
      <w:bookmarkStart w:id="264" w:name="_Toc296346662"/>
      <w:r/>
      <w:bookmarkStart w:id="265" w:name="_Toc297216153"/>
      <w:r/>
      <w:bookmarkStart w:id="266" w:name="_Toc297120461"/>
      <w:r/>
      <w:bookmarkStart w:id="267" w:name="_Toc296890989"/>
      <w:r/>
      <w:bookmarkStart w:id="268" w:name="_Toc296891201"/>
      <w:r/>
      <w:bookmarkStart w:id="269" w:name="_Toc304295525"/>
      <w:r/>
      <w:bookmarkStart w:id="270" w:name="_Toc297048347"/>
      <w:r/>
      <w:bookmarkStart w:id="271" w:name="_Toc303539104"/>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3</w:t>
      </w:r>
      <w:bookmarkStart w:id="272" w:name="_Toc312677990"/>
      <w:r/>
      <w:bookmarkStart w:id="273" w:name="_Toc318581159"/>
      <w:r>
        <w:rPr>
          <w:rFonts w:hint="eastAsia" w:ascii="宋体" w:hAnsi="宋体" w:eastAsia="宋体" w:cs="宋体"/>
          <w:szCs w:val="21"/>
          <w:highlight w:val="none"/>
        </w:rPr>
        <w:t xml:space="preserve">.5.2分包的确定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w:t>
      </w:r>
      <w:bookmarkEnd w:id="272"/>
      <w:bookmarkEnd w:id="273"/>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3.6 工程照管与成品、半成品保护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p>
    <w:p>
      <w:pPr>
        <w:ind w:left="0" w:firstLine="422"/>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3.7 履约担保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3.7.1承包人是否提供履约担保：</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3.7.2承包人提供履约担保的形式、金额及期限的：</w:t>
      </w:r>
      <w:r>
        <w:rPr>
          <w:rFonts w:hint="eastAsia" w:ascii="宋体" w:hAnsi="宋体" w:eastAsia="宋体" w:cs="宋体"/>
          <w:szCs w:val="21"/>
          <w:highlight w:val="none"/>
          <w:u w:val="single"/>
        </w:rPr>
        <w:t xml:space="preserve">本工程履约保证金为中标金额的10%，承包人在收到中标通知书后七日内，并在签订合同前，承包人将履约保证金按招标文件约定形式汇转至指定账户。合同须在招标文件规定时间内</w:t>
      </w:r>
      <w:r>
        <w:rPr>
          <w:rFonts w:hint="eastAsia" w:ascii="宋体" w:hAnsi="宋体" w:eastAsia="宋体" w:cs="宋体"/>
          <w:szCs w:val="21"/>
          <w:highlight w:val="none"/>
          <w:u w:val="single"/>
        </w:rPr>
        <w:t xml:space="preserve">办理和签订。发包人对承包人不能遵守招标文件约定，不能按时办理中标手续和交纳履约保证金等费用，影响或者推迟签订合同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级及以上的政府采购供应商（需在签订采购合同前提供信用管理部门备案的第三方信用报告，且信用报告通过“信用盐城网”可查实），降低履约保证金缴纳比例为5%。】 </w:t>
      </w:r>
      <w:bookmarkStart w:id="274" w:name="_Toc35120363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3.7.2.1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如以履约保函（保险）形式缴纳履约保证金，供应商可通过政府采购电子履约保函（保险）平台（www.jsdzbh.com）在线申请履约保函（保险）。</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3.7.2.2履约保证金的退还：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方式：无息退还至投标人缴纳履约保证金的账户。如为保函，在到期时自行失效。</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条件：按合同要求全部履约完成工程竣工验收合格且无违约、无农民工工资拖欠情形下一次性无息退还。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不予退还情形：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除不可抗力情况外，投标人出现下列情形之一的，其履约保证金，招标人将视情节决定不予退还或部分不予退还。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中标人无正当理由拒绝签订合同的，或者在签订合同时向采购人提出附加条件或者更改合同实质性内容要求的；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（2）中标人不履行与采购人订立的合同的；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（3）中标人所供货物不符合招标文件规定要求的；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（4）中标人采取欺骗、弄虚作假方式投标的或与其它投标人串通投标的；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（5）中标人将合同内容转包、违法分包的；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（6）中标人故意捏造事实或伪造证明材料，进行虚假恶意投诉或反映的。</w:t>
      </w:r>
      <w:r/>
    </w:p>
    <w:p>
      <w:pPr>
        <w:ind w:left="0" w:firstLine="420"/>
        <w:keepLines/>
        <w:keepNex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w:t>
      </w:r>
      <w:bookmarkStart w:id="275" w:name="_Toc292559871"/>
      <w:r/>
      <w:bookmarkStart w:id="276" w:name="_Toc296346663"/>
      <w:r/>
      <w:bookmarkStart w:id="277" w:name="_Toc296503162"/>
      <w:r/>
      <w:bookmarkStart w:id="278" w:name="_Toc297048348"/>
      <w:r/>
      <w:bookmarkStart w:id="279" w:name="_Toc292559366"/>
      <w:r/>
      <w:bookmarkStart w:id="280" w:name="_Toc296891202"/>
      <w:r/>
      <w:bookmarkStart w:id="281" w:name="_Toc296944501"/>
      <w:r/>
      <w:bookmarkStart w:id="282" w:name="_Toc296890990"/>
      <w:r/>
      <w:bookmarkStart w:id="283" w:name="_Toc297120462"/>
      <w:r/>
      <w:bookmarkStart w:id="284" w:name="_Toc267251413"/>
      <w:r/>
      <w:bookmarkStart w:id="285" w:name="_Toc296347161"/>
      <w:r>
        <w:rPr>
          <w:rFonts w:hint="eastAsia" w:ascii="宋体" w:hAnsi="宋体" w:eastAsia="宋体" w:cs="宋体"/>
          <w:b/>
          <w:szCs w:val="21"/>
          <w:highlight w:val="none"/>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eastAsia="宋体" w:cs="宋体"/>
          <w:b/>
          <w:szCs w:val="21"/>
          <w:highlight w:val="none"/>
        </w:rPr>
        <w:t xml:space="preserve">理人</w:t>
      </w:r>
      <w:bookmarkEnd w:id="274"/>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4.1监理人的一般规定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 监理人代理人的委托，依照法律法规、工程建设标准、勘察设计文件及合同，在施工阶段对工程投资、质量、进度及变更等全面控制，做好分部分项工程检验、验收及签证，对现场材料、设备进行检查、验收并签证。对合同、信息进行管理，对工程建设相关方的关系进行协调，并履行建设工程安全生产管理法定职责的服务活动。</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按发包人与监理公司所签订的《建设工程监理合同》内容规定权限为准，监理合同内容以外的权限须经发包人授权后方可行使。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由承包人提供费用包含在合同价中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4.2 监理人员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凡涉及到设计变更、开工令、停工令、复工令及与工程造价有关的所有签证等事项，需要取得发包人批准才能行使的职权。</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4.4 商定或确定</w:t>
      </w:r>
      <w:r/>
    </w:p>
    <w:p>
      <w:pPr>
        <w:ind w:left="0" w:firstLine="420"/>
        <w:pageBreakBefore w:val="0"/>
        <w:spacing w:line="420" w:lineRule="exact"/>
        <w:widowControl w:val="off"/>
        <w:rPr>
          <w:rFonts w:hint="eastAsia" w:ascii="宋体" w:hAnsi="宋体" w:eastAsia="宋体" w:cs="宋体"/>
          <w:szCs w:val="21"/>
          <w:highlight w:val="none"/>
        </w:rPr>
      </w:pPr>
      <w:r/>
      <w:bookmarkStart w:id="286"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根据监理合同约定进行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287" w:name="_Toc351203637"/>
      <w:r>
        <w:rPr>
          <w:rFonts w:hint="eastAsia" w:ascii="宋体" w:hAnsi="宋体" w:eastAsia="宋体" w:cs="宋体"/>
          <w:b/>
          <w:szCs w:val="21"/>
          <w:highlight w:val="none"/>
        </w:rPr>
        <w:t xml:space="preserve">5</w:t>
      </w:r>
      <w:bookmarkEnd w:id="286"/>
      <w:r/>
      <w:bookmarkStart w:id="288" w:name="_Toc297120463"/>
      <w:r/>
      <w:bookmarkStart w:id="289" w:name="_Toc296347162"/>
      <w:r/>
      <w:bookmarkStart w:id="290" w:name="_Toc296944502"/>
      <w:r/>
      <w:bookmarkStart w:id="291" w:name="_Toc296891203"/>
      <w:r/>
      <w:bookmarkStart w:id="292" w:name="_Toc292559872"/>
      <w:r/>
      <w:bookmarkStart w:id="293" w:name="_Toc296890991"/>
      <w:r/>
      <w:bookmarkStart w:id="294" w:name="_Toc292559367"/>
      <w:r/>
      <w:bookmarkStart w:id="295" w:name="_Toc296503163"/>
      <w:r/>
      <w:bookmarkStart w:id="296" w:name="_Toc296346664"/>
      <w:r/>
      <w:bookmarkStart w:id="297" w:name="_Toc297048349"/>
      <w:r>
        <w:rPr>
          <w:rFonts w:hint="eastAsia" w:ascii="宋体" w:hAnsi="宋体" w:eastAsia="宋体" w:cs="宋体"/>
          <w:b/>
          <w:szCs w:val="21"/>
          <w:highlight w:val="none"/>
        </w:rPr>
        <w:t xml:space="preserve">. 工程质量</w:t>
      </w:r>
      <w:bookmarkEnd w:id="28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298" w:name="_Toc303539106"/>
      <w:r/>
      <w:bookmarkStart w:id="299" w:name="_Toc297216155"/>
      <w:r/>
      <w:bookmarkStart w:id="300" w:name="_Toc297123496"/>
      <w:r/>
      <w:bookmarkStart w:id="301" w:name="_Toc304295527"/>
      <w:r/>
      <w:bookmarkStart w:id="302" w:name="_Toc300934949"/>
      <w:r/>
      <w:bookmarkStart w:id="303" w:name="_Toc318581164"/>
      <w:r/>
      <w:bookmarkStart w:id="304" w:name="_Toc312677997"/>
      <w:r>
        <w:rPr>
          <w:rFonts w:hint="eastAsia" w:ascii="宋体" w:hAnsi="宋体" w:eastAsia="宋体" w:cs="宋体"/>
          <w:szCs w:val="21"/>
          <w:highlight w:val="none"/>
        </w:rPr>
        <w:t xml:space="preserve">.1.1 特殊质量标准和要求：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支付违约金，发包人有权直接从本工程的履约保证金或工程款中扣除，同时扣除投标报价时已计</w:t>
      </w:r>
      <w:r>
        <w:rPr>
          <w:rFonts w:hint="eastAsia" w:ascii="宋体" w:hAnsi="宋体" w:eastAsia="宋体" w:cs="宋体"/>
          <w:szCs w:val="21"/>
          <w:highlight w:val="none"/>
          <w:u w:val="single"/>
        </w:rPr>
        <w:t xml:space="preserve">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计价费。由此造成的工期延误将不予顺延，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由此</w:t>
      </w:r>
      <w:r>
        <w:rPr>
          <w:rFonts w:hint="eastAsia" w:ascii="宋体" w:hAnsi="宋体" w:eastAsia="宋体" w:cs="宋体"/>
          <w:szCs w:val="21"/>
          <w:highlight w:val="none"/>
          <w:u w:val="single"/>
        </w:rPr>
        <w:t xml:space="preserve">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w:t>
      </w:r>
      <w:r>
        <w:rPr>
          <w:rFonts w:hint="eastAsia" w:ascii="宋体" w:hAnsi="宋体" w:eastAsia="宋体" w:cs="宋体"/>
          <w:szCs w:val="21"/>
          <w:highlight w:val="none"/>
          <w:u w:val="single"/>
        </w:rPr>
        <w:t xml:space="preserve">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5、确保工程通过各类主管部门的验收，如不能通过，一切整改费用由承包人承担，直至通过验收为止，同时承担合同约定的违约并赔偿发包人因此遭受的全部损失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6、发包人和监理人保留对主要设备及材料、重大构件等进行监督、驻厂监造的权利，承包人须无条件配合，且所产生的相关费用由承包人承担。对主要设备使用的培训工作由承包人负责并承担所有费用。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 隐蔽工程检查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5.3.2承包人提前通知监理人隐蔽工程检查的期限的约定：</w:t>
      </w:r>
      <w:r>
        <w:rPr>
          <w:rFonts w:hint="eastAsia" w:ascii="宋体" w:hAnsi="宋体" w:eastAsia="宋体" w:cs="宋体"/>
          <w:szCs w:val="21"/>
          <w:highlight w:val="none"/>
          <w:u w:val="single"/>
        </w:rPr>
        <w:t xml:space="preserve">施工过程中所有隐蔽工程，承包人应进行自检，并在隐蔽或中间验收前 48 </w:t>
      </w:r>
      <w:r>
        <w:rPr>
          <w:rFonts w:hint="eastAsia" w:ascii="宋体" w:hAnsi="宋体" w:eastAsia="宋体" w:cs="宋体"/>
          <w:szCs w:val="21"/>
          <w:highlight w:val="none"/>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5" w:name="_Toc351203638"/>
      <w:r>
        <w:rPr>
          <w:rFonts w:hint="eastAsia" w:ascii="宋体" w:hAnsi="宋体" w:eastAsia="宋体" w:cs="宋体"/>
          <w:b/>
          <w:szCs w:val="21"/>
          <w:highlight w:val="none"/>
        </w:rPr>
        <w:t xml:space="preserve">6. 安全文明施工与环境保护</w:t>
      </w:r>
      <w:bookmarkEnd w:id="30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6.1安全文明施工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发包人有权解除合同，扣除履约保证金，并要求承包人支付合同协议书中约定的合同总价20%的违约金。因此给发包人造成损失的，承包人需予以全部赔偿。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若承包人不能及时整改存在的问题，并影响到工程进度时，发包人有权要求承包人承担1000元—5000元/次的违约金，处以经济处罚，所发生的费用发包人有权在支付工程款时或在履约保证金中扣除。承包人拒不整改或整改后仍达不到要求的,发包人有权委托第三方代为整改,所发生的费用由承包人双倍承担,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⑥施工过程中如遇地下管线、电缆等破坏修复费用、施工过程中及保修期内未及时修复而发生的一切安全责任，均由承包人自行承担。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⑦承包人应保障施工现场过往车辆及行人的安全，对安全生产负全责。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⑨承包人应按有关规定</w:t>
      </w:r>
      <w:r>
        <w:rPr>
          <w:rFonts w:hint="eastAsia" w:ascii="宋体" w:hAnsi="宋体" w:eastAsia="宋体" w:cs="宋体"/>
          <w:szCs w:val="21"/>
          <w:highlight w:val="none"/>
          <w:u w:val="single"/>
        </w:rPr>
        <w:t xml:space="preserve">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承包人应按规定及时上报有关部门并通知发包人，同时按相关规定处理，因此遭受发包人损失的，由承包人负责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szCs w:val="21"/>
          <w:highlight w:val="none"/>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6.1.4 关于治安保卫的特别约定：由承包人在现场建立治安管理机构或联防组织，统一管理施工场地的治安保卫事项，履行合同工程的治安保卫职责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编制施工场地治安管理计划的约定：按通用条款。发包人和承包人在工程开工后3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6.1.5 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5000元/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6.1.5.2 </w:t>
      </w:r>
      <w:r>
        <w:rPr>
          <w:rFonts w:hint="eastAsia" w:ascii="宋体" w:hAnsi="宋体" w:eastAsia="宋体" w:cs="宋体"/>
          <w:szCs w:val="21"/>
          <w:highlight w:val="none"/>
          <w:u w:val="single"/>
        </w:rPr>
        <w:t xml:space="preserve">施工现场应在适当位置悬挂施工标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6.1.5.3 承包人必须确保工程安全（施工场地内及施工运输过程中），若发生安全问题，自行负责处理并承担一切责任，并同时向发包人承担合同协议书中约定的合同价的3%违约金，给发包人造成损失的，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6.1.5.4 承包人进场后，必须服从发包人和监理单位对施工场地总平面的规划，服从发</w:t>
      </w:r>
      <w:r>
        <w:rPr>
          <w:rFonts w:hint="eastAsia" w:ascii="宋体" w:hAnsi="宋体" w:eastAsia="宋体" w:cs="宋体"/>
          <w:szCs w:val="21"/>
          <w:highlight w:val="none"/>
          <w:u w:val="single"/>
        </w:rPr>
        <w:t xml:space="preserve">包人、监理单位的统一调度和指挥。如出现不服从管理和下列现象的，发包人将视情节轻重认定承包人是否违约，并根据情况要求承包人承担违约责任。并支付合同协议书中约定的合同总价1%～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6.1.5.6 严禁在施工现场焚烧垃圾,如发现一次, 承包人应按照合同协议书中约定合同总价 0.2%承担违约金。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6.1.5.7进入施工现场的所有施工人员必须戴好安全帽,如发现有一人次进入施工现场未戴安全帽,承包人应按 50 元/人次承担违约金，如一天发现 3 人以上进入施工现场未戴安全帽， 承包人应按 200 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6.1.5.8承包人不得在施工现场发生打架、斗殴、偷窃行为，发生一次，承包人应按5000元/人次承担违约金。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6.1.5.9 施工现场应在适当位置悬挂施工标识和文明施工标语，危险区域应当设置危险警示标牌和警示灯。现场维护高度设置不低于 2.5 米，按盐建城【2015】4 号文要求执行（具体要求由发包人将文件内容传承包</w:t>
      </w:r>
      <w:r>
        <w:rPr>
          <w:rFonts w:hint="eastAsia" w:ascii="宋体" w:hAnsi="宋体" w:eastAsia="宋体" w:cs="宋体"/>
          <w:szCs w:val="21"/>
          <w:highlight w:val="none"/>
          <w:u w:val="single"/>
        </w:rPr>
        <w:t xml:space="preserve">人，长度根据发包人要求执行）；施工现场车辆按盐市建管字〔2013〕2号文执行；施工道路进出口和现场内主要交通道路和物料堆放地点全部敷设硬化路面，车辆进出需要有专门的地方进行自动冲洗，施工材料、裸土须进行有效覆盖，对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6.1.5.13 施工现场应在适当位置悬挂施工标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本工程施工期间发生的一切安全事故，其责任由承包人承担，非因承包</w:t>
      </w:r>
      <w:r>
        <w:rPr>
          <w:rFonts w:hint="eastAsia" w:ascii="宋体" w:hAnsi="宋体" w:eastAsia="宋体" w:cs="宋体"/>
          <w:szCs w:val="21"/>
          <w:highlight w:val="none"/>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承包人必须遵守江苏省建设厅及盐城市建设主管部门颁布的《建设工程施工安全管理规定》和《建设工程文明施工管理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当遵守国家及省市有关环境保护的法律法规，采取措施控制施工现场的各种粉尘、废气、废水、固体废物以及噪声、振动对环境的污染和危害。若因承包人釆取措施不力，造成投诉或受到管理部门处理的，承包人承担违约金0.5万元/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在施工期间，凡影响或涉及各居民小区、工地、邻近区域出入口的，均设置减速驳。凡在施工期间，只要是双向通车的区域，其双向通行分隔均采用中型连续水马隔离墩，使用时间为整个施工期间，且施工期间发生损坏的应及时更换。每个转弯路口应考虑设置交通标识标牌、弧面镜、路灯等照明安全设施。上述费用包含在签约合同价中。结算不另行增加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承包人必须加强开放社会交通的临时道路交通组织管理，因管理不善造成交通安全事故，承包人承担违约金 1 万元/次，并承担由此产生的所有责任。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工程施工过程中遇到的施工矛盾、地方矛盾引起的工期延误不予顺延，由此产生的一切费用均由承包人承担，发包人不另行增加此项费用。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（1）承包人须按国家、地方相关法律、法规及相关管理规定要求，完成各项安全文明施工管理工作。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（4）承包人必须服从发包人统一管理，发包人可根</w:t>
      </w:r>
      <w:r>
        <w:rPr>
          <w:rFonts w:hint="eastAsia" w:ascii="宋体" w:hAnsi="宋体" w:eastAsia="宋体" w:cs="宋体"/>
          <w:szCs w:val="21"/>
          <w:highlight w:val="none"/>
          <w:u w:val="single"/>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szCs w:val="21"/>
          <w:highlight w:val="none"/>
          <w:u w:val="single"/>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p>
    <w:p>
      <w:pPr>
        <w:ind w:left="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（7）承包人考虑按中标通知书发出之日起的时间进场，接受现场不一定完全具备施工条件，套插施工，合理组织安排工期，确保按期完成。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（9）承包人须服从发包人委托的监理单位管理，材料、设备进场提供产品合格证和检验报告，每道工序完成后隐蔽前提请发包人及监理单位验收合格才能进入下一道工序。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 条所涉违约金，发包人也有权直接从应付工程中扣除或要求承包人另行支付。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6.1.6 关于安全文明施工费支付比例和支付期限的约定：</w:t>
      </w:r>
      <w:r>
        <w:rPr>
          <w:rFonts w:hint="eastAsia" w:ascii="宋体" w:hAnsi="宋体" w:eastAsia="宋体" w:cs="宋体"/>
          <w:szCs w:val="21"/>
          <w:highlight w:val="none"/>
          <w:u w:val="single"/>
        </w:rPr>
        <w:t xml:space="preserve">本工程安全文明施工费不单独支付，包含在工程款中支付。</w:t>
      </w:r>
      <w:bookmarkEnd w:id="298"/>
      <w:bookmarkEnd w:id="299"/>
      <w:bookmarkEnd w:id="300"/>
      <w:bookmarkEnd w:id="301"/>
      <w:bookmarkEnd w:id="302"/>
      <w:bookmarkEnd w:id="303"/>
      <w:bookmarkEnd w:id="304"/>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6" w:name="_Toc351203639"/>
      <w:r>
        <w:rPr>
          <w:rFonts w:hint="eastAsia" w:ascii="宋体" w:hAnsi="宋体" w:eastAsia="宋体" w:cs="宋体"/>
          <w:b/>
          <w:szCs w:val="21"/>
          <w:highlight w:val="none"/>
        </w:rPr>
        <w:t xml:space="preserve">7. 工期和进度</w:t>
      </w:r>
      <w:bookmarkEnd w:id="30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收到中标通知书三天内向发包人和监理工程师提供本工程详细的《施工组织设计》和施工总进度计划各一式四份；工程实施过程中，承包人严格按照经批准的施工组织设计组织施工，接受发包人、监理单位对进度的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w:t>
      </w:r>
      <w:r>
        <w:rPr>
          <w:rFonts w:hint="eastAsia" w:ascii="宋体" w:hAnsi="宋体" w:eastAsia="宋体" w:cs="宋体"/>
          <w:szCs w:val="21"/>
          <w:highlight w:val="none"/>
          <w:u w:val="single"/>
        </w:rPr>
        <w:t xml:space="preserve">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10000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w:t>
      </w:r>
      <w:r>
        <w:rPr>
          <w:rFonts w:hint="eastAsia" w:ascii="宋体" w:hAnsi="宋体" w:eastAsia="宋体" w:cs="宋体"/>
          <w:szCs w:val="21"/>
          <w:highlight w:val="none"/>
          <w:u w:val="single"/>
        </w:rPr>
        <w:t xml:space="preserve">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达到两个（不含）以上考核周期没按工程进度计划，发包人有权解除合同，扣除履约保证金，承包人按照合同协议书约定的合同总价的20%承担违约金并赔偿甲方因此遭受的全部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07" w:name="_Toc303539123"/>
      <w:r/>
      <w:bookmarkStart w:id="308" w:name="_Toc297216173"/>
      <w:r/>
      <w:bookmarkStart w:id="309" w:name="_Toc297123514"/>
      <w:r/>
      <w:bookmarkStart w:id="310" w:name="_Toc304295541"/>
      <w:r/>
      <w:bookmarkStart w:id="311" w:name="_Toc312678005"/>
      <w:r/>
      <w:bookmarkStart w:id="312" w:name="_Toc312677479"/>
      <w:r/>
      <w:bookmarkStart w:id="313" w:name="_Toc300934966"/>
      <w:r>
        <w:rPr>
          <w:rFonts w:hint="eastAsia" w:ascii="宋体" w:hAnsi="宋体" w:eastAsia="宋体" w:cs="宋体"/>
          <w:szCs w:val="21"/>
          <w:highlight w:val="none"/>
        </w:rPr>
        <w:t xml:space="preserve">.2 施工进度计划</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7.2.2 施工进度计划的修订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3天内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计划开工日期前3天提交开工报审表或开工报告 。实际开工时间以发包人发出的开工通知日期为准。</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开工前三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szCs w:val="21"/>
          <w:highlight w:val="none"/>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7.3.2开工通知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天内发出开工通知的，承包人有权提出价格调整要求，或者解除合同。</w:t>
      </w:r>
      <w:bookmarkEnd w:id="307"/>
      <w:bookmarkEnd w:id="308"/>
      <w:bookmarkEnd w:id="309"/>
      <w:bookmarkEnd w:id="310"/>
      <w:bookmarkEnd w:id="311"/>
      <w:bookmarkEnd w:id="312"/>
      <w:bookmarkEnd w:id="313"/>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7.4.1发包人通过监理人向承包人提供测量基准点、基准线和水准点及其书面资料的期限：</w:t>
      </w:r>
      <w:r>
        <w:rPr>
          <w:rFonts w:hint="eastAsia" w:ascii="宋体" w:hAnsi="宋体" w:eastAsia="宋体" w:cs="宋体"/>
          <w:szCs w:val="21"/>
          <w:highlight w:val="none"/>
          <w:u w:val="single"/>
        </w:rPr>
        <w:t xml:space="preserve"> 开工前现场交验</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14" w:name="_Toc297216175"/>
      <w:r/>
      <w:bookmarkStart w:id="315" w:name="_Toc312677484"/>
      <w:r/>
      <w:bookmarkStart w:id="316" w:name="_Toc312678010"/>
      <w:r/>
      <w:bookmarkStart w:id="317" w:name="_Toc303539125"/>
      <w:r/>
      <w:bookmarkStart w:id="318" w:name="_Toc300934968"/>
      <w:r/>
      <w:bookmarkStart w:id="319" w:name="_Toc297123516"/>
      <w:r/>
      <w:bookmarkStart w:id="320" w:name="_Toc304295546"/>
      <w:r>
        <w:rPr>
          <w:rFonts w:hint="eastAsia" w:ascii="宋体" w:hAnsi="宋体" w:eastAsia="宋体" w:cs="宋体"/>
          <w:szCs w:val="21"/>
          <w:highlight w:val="none"/>
        </w:rPr>
        <w:t xml:space="preserve">.5 工期延误</w:t>
      </w:r>
      <w:bookmarkEnd w:id="314"/>
      <w:bookmarkEnd w:id="315"/>
      <w:bookmarkEnd w:id="316"/>
      <w:bookmarkEnd w:id="317"/>
      <w:bookmarkEnd w:id="318"/>
      <w:bookmarkEnd w:id="319"/>
      <w:bookmarkEnd w:id="320"/>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7.5.1 因发包人原因导致工期延误</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21" w:name="_Toc312677486"/>
      <w:r/>
      <w:bookmarkStart w:id="322" w:name="_Toc312678012"/>
      <w:r/>
      <w:bookmarkStart w:id="323" w:name="_Toc318581169"/>
      <w:r/>
      <w:bookmarkStart w:id="324" w:name="_Toc304295548"/>
      <w:r/>
      <w:bookmarkStart w:id="325" w:name="_Toc297123518"/>
      <w:r/>
      <w:bookmarkStart w:id="326" w:name="_Toc297216177"/>
      <w:r/>
      <w:bookmarkStart w:id="327" w:name="_Toc303539127"/>
      <w:r/>
      <w:bookmarkStart w:id="328" w:name="_Toc300934970"/>
      <w:r>
        <w:rPr>
          <w:rFonts w:hint="eastAsia" w:ascii="宋体" w:hAnsi="宋体" w:eastAsia="宋体" w:cs="宋体"/>
          <w:szCs w:val="21"/>
          <w:highlight w:val="none"/>
        </w:rPr>
        <w:t xml:space="preserve">.5.2 因承包人原因导致工期延误</w:t>
      </w:r>
      <w:bookmarkEnd w:id="321"/>
      <w:bookmarkEnd w:id="322"/>
      <w:bookmarkEnd w:id="323"/>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因</w:t>
      </w:r>
      <w:bookmarkStart w:id="329" w:name="_Toc318581170"/>
      <w:r/>
      <w:bookmarkStart w:id="330" w:name="_Toc312677487"/>
      <w:r/>
      <w:bookmarkStart w:id="331" w:name="_Toc312678013"/>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承包人应按照投标文件承诺的工期确保工程验收，满足工程竣</w:t>
      </w:r>
      <w:r>
        <w:rPr>
          <w:rFonts w:hint="eastAsia" w:ascii="宋体" w:hAnsi="宋体" w:eastAsia="宋体" w:cs="宋体"/>
          <w:szCs w:val="21"/>
          <w:highlight w:val="none"/>
          <w:u w:val="single"/>
        </w:rPr>
        <w:t xml:space="preserve">工要求，必须在承诺工期内完成全部工程量，不得以任何借口停工怠工，如因承包人原因延误工期的（含不按期开工等情形），按每拖延一天向发包人支付人民币5000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bookmarkEnd w:id="324"/>
      <w:bookmarkEnd w:id="325"/>
      <w:bookmarkEnd w:id="326"/>
      <w:bookmarkEnd w:id="327"/>
      <w:bookmarkEnd w:id="328"/>
      <w:bookmarkEnd w:id="329"/>
      <w:bookmarkEnd w:id="330"/>
      <w:bookmarkEnd w:id="331"/>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szCs w:val="21"/>
          <w:highlight w:val="none"/>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w:t>
      </w:r>
      <w:bookmarkStart w:id="332" w:name="_Toc312678014"/>
      <w:r/>
      <w:bookmarkStart w:id="333" w:name="_Toc318581171"/>
      <w:r>
        <w:rPr>
          <w:rFonts w:hint="eastAsia" w:ascii="宋体" w:hAnsi="宋体" w:eastAsia="宋体" w:cs="宋体"/>
          <w:szCs w:val="21"/>
          <w:highlight w:val="none"/>
        </w:rPr>
        <w:t xml:space="preserve">期竣工违约金的上限：</w:t>
      </w:r>
      <w:r>
        <w:rPr>
          <w:rFonts w:hint="eastAsia" w:ascii="宋体" w:hAnsi="宋体" w:eastAsia="宋体" w:cs="宋体"/>
          <w:szCs w:val="21"/>
          <w:highlight w:val="none"/>
          <w:u w:val="single"/>
        </w:rPr>
        <w:t xml:space="preserve">  / 。</w:t>
      </w:r>
      <w:bookmarkEnd w:id="332"/>
      <w:bookmarkEnd w:id="333"/>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34" w:name="_Toc297216178"/>
      <w:r/>
      <w:bookmarkStart w:id="335" w:name="_Toc303539128"/>
      <w:r/>
      <w:bookmarkStart w:id="336" w:name="_Toc300934971"/>
      <w:r/>
      <w:bookmarkStart w:id="337" w:name="_Toc297123519"/>
      <w:r/>
      <w:bookmarkStart w:id="338" w:name="_Toc312678015"/>
      <w:r/>
      <w:bookmarkStart w:id="339" w:name="_Toc304295549"/>
      <w:r>
        <w:rPr>
          <w:rFonts w:hint="eastAsia" w:ascii="宋体" w:hAnsi="宋体" w:eastAsia="宋体" w:cs="宋体"/>
          <w:szCs w:val="21"/>
          <w:highlight w:val="none"/>
        </w:rPr>
        <w:t xml:space="preserve">.6 不</w:t>
      </w:r>
      <w:bookmarkEnd w:id="334"/>
      <w:r/>
      <w:bookmarkEnd w:id="335"/>
      <w:r/>
      <w:bookmarkEnd w:id="336"/>
      <w:r/>
      <w:bookmarkEnd w:id="337"/>
      <w:r/>
      <w:bookmarkEnd w:id="338"/>
      <w:r/>
      <w:bookmarkEnd w:id="339"/>
      <w:r>
        <w:rPr>
          <w:rFonts w:hint="eastAsia" w:ascii="宋体" w:hAnsi="宋体" w:eastAsia="宋体" w:cs="宋体"/>
          <w:szCs w:val="21"/>
          <w:highlight w:val="none"/>
        </w:rPr>
        <w:t xml:space="preserve">利物质条件</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340" w:name="_Toc297216179"/>
      <w:r/>
      <w:bookmarkStart w:id="341" w:name="_Toc312678016"/>
      <w:r/>
      <w:bookmarkStart w:id="342" w:name="_Toc303539129"/>
      <w:r/>
      <w:bookmarkStart w:id="343" w:name="_Toc304295550"/>
      <w:r/>
      <w:bookmarkStart w:id="344" w:name="_Toc318581172"/>
      <w:r/>
      <w:bookmarkStart w:id="345" w:name="_Toc297123520"/>
      <w:r/>
      <w:bookmarkStart w:id="346" w:name="_Toc300934972"/>
      <w:r>
        <w:rPr>
          <w:rFonts w:hint="eastAsia" w:ascii="宋体" w:hAnsi="宋体" w:eastAsia="宋体" w:cs="宋体"/>
          <w:szCs w:val="21"/>
          <w:highlight w:val="none"/>
        </w:rPr>
        <w:t xml:space="preserve">不利物质条件的其他情形和有关约定：执行通用条款。</w:t>
      </w:r>
      <w:bookmarkEnd w:id="340"/>
      <w:r/>
      <w:bookmarkEnd w:id="341"/>
      <w:r/>
      <w:bookmarkEnd w:id="342"/>
      <w:r/>
      <w:bookmarkEnd w:id="343"/>
      <w:r/>
      <w:bookmarkEnd w:id="344"/>
      <w:r/>
      <w:bookmarkEnd w:id="345"/>
      <w:r/>
      <w:bookmarkEnd w:id="34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47" w:name="_Toc304295551"/>
      <w:r/>
      <w:bookmarkStart w:id="348" w:name="_Toc300934973"/>
      <w:r/>
      <w:bookmarkStart w:id="349" w:name="_Toc312678017"/>
      <w:r/>
      <w:bookmarkStart w:id="350" w:name="_Toc303539130"/>
      <w:r/>
      <w:bookmarkStart w:id="351" w:name="_Toc297216180"/>
      <w:r/>
      <w:bookmarkStart w:id="352" w:name="_Toc297123521"/>
      <w:r>
        <w:rPr>
          <w:rFonts w:hint="eastAsia" w:ascii="宋体" w:hAnsi="宋体" w:eastAsia="宋体" w:cs="宋体"/>
          <w:szCs w:val="21"/>
          <w:highlight w:val="none"/>
        </w:rPr>
        <w:t xml:space="preserve">.7异常恶劣的气候条件</w:t>
      </w:r>
      <w:bookmarkEnd w:id="347"/>
      <w:bookmarkEnd w:id="348"/>
      <w:bookmarkEnd w:id="349"/>
      <w:bookmarkEnd w:id="350"/>
      <w:bookmarkEnd w:id="351"/>
      <w:bookmarkEnd w:id="352"/>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（1）持续高温：连续三日日最高气温 35℃以上；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（2）持续低温：连续三日日最低气温-10℃以下；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（3）大风天气：施工区域日风力在 6 级以上且持续时间不少于 4 小时，或阵风大于8 级；</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（4）暴雨天气：日降雨量 50mm 及以上，或降雨强度大于20mm/h。</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 提前竣工的奖励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7.9.2提前竣工的奖励：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53" w:name="_Toc351203640"/>
      <w:r>
        <w:rPr>
          <w:rFonts w:hint="eastAsia" w:ascii="宋体" w:hAnsi="宋体" w:eastAsia="宋体" w:cs="宋体"/>
          <w:b/>
          <w:szCs w:val="21"/>
          <w:highlight w:val="none"/>
        </w:rPr>
        <w:t xml:space="preserve">8. 材料与设备</w:t>
      </w:r>
      <w:bookmarkEnd w:id="353"/>
      <w:r/>
      <w:bookmarkEnd w:id="288"/>
      <w:bookmarkEnd w:id="289"/>
      <w:bookmarkEnd w:id="290"/>
      <w:bookmarkEnd w:id="291"/>
      <w:bookmarkEnd w:id="292"/>
      <w:bookmarkEnd w:id="293"/>
      <w:bookmarkEnd w:id="294"/>
      <w:bookmarkEnd w:id="295"/>
      <w:bookmarkEnd w:id="296"/>
      <w:bookmarkEnd w:id="297"/>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354" w:name="_Toc296347166"/>
      <w:r/>
      <w:bookmarkStart w:id="355" w:name="_Toc296890995"/>
      <w:r/>
      <w:bookmarkStart w:id="356" w:name="_Toc297120467"/>
      <w:r/>
      <w:bookmarkStart w:id="357" w:name="_Toc296944506"/>
      <w:r/>
      <w:bookmarkStart w:id="358" w:name="_Toc304295556"/>
      <w:r/>
      <w:bookmarkStart w:id="359" w:name="_Toc280868654"/>
      <w:r/>
      <w:bookmarkStart w:id="360" w:name="_Toc296891207"/>
      <w:r/>
      <w:bookmarkStart w:id="361" w:name="_Toc296503167"/>
      <w:r/>
      <w:bookmarkStart w:id="362" w:name="_Toc300934979"/>
      <w:r/>
      <w:bookmarkStart w:id="363" w:name="_Toc296346668"/>
      <w:r/>
      <w:bookmarkStart w:id="364" w:name="_Toc297048353"/>
      <w:r/>
      <w:bookmarkStart w:id="365" w:name="_Toc292559877"/>
      <w:r/>
      <w:bookmarkStart w:id="366" w:name="_Toc312678019"/>
      <w:r/>
      <w:bookmarkStart w:id="367" w:name="_Toc303539136"/>
      <w:r/>
      <w:bookmarkStart w:id="368" w:name="_Toc297216186"/>
      <w:r/>
      <w:bookmarkStart w:id="369" w:name="_Toc292559372"/>
      <w:r/>
      <w:bookmarkStart w:id="370" w:name="_Toc312677493"/>
      <w:r/>
      <w:bookmarkStart w:id="371" w:name="_Toc297123527"/>
      <w:r/>
      <w:bookmarkStart w:id="372" w:name="_Toc280868656"/>
      <w:r/>
      <w:bookmarkStart w:id="373" w:name="_Toc280868655"/>
      <w:r/>
      <w:bookmarkStart w:id="374" w:name="_Toc267251424"/>
      <w:r>
        <w:rPr>
          <w:rFonts w:hint="eastAsia" w:ascii="宋体" w:hAnsi="宋体" w:eastAsia="宋体" w:cs="宋体"/>
          <w:szCs w:val="21"/>
          <w:highlight w:val="none"/>
        </w:rPr>
        <w:t xml:space="preserve">.4材料与工程设备的保管与使用</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8</w:t>
      </w:r>
      <w:bookmarkStart w:id="375" w:name="_Toc292559878"/>
      <w:r/>
      <w:bookmarkStart w:id="376" w:name="_Toc292559373"/>
      <w:r/>
      <w:bookmarkStart w:id="377" w:name="_Toc303539137"/>
      <w:r/>
      <w:bookmarkStart w:id="378" w:name="_Toc300934980"/>
      <w:r/>
      <w:bookmarkStart w:id="379" w:name="_Toc296891208"/>
      <w:r/>
      <w:bookmarkStart w:id="380" w:name="_Toc297120468"/>
      <w:r/>
      <w:bookmarkStart w:id="381" w:name="_Toc304295557"/>
      <w:r/>
      <w:bookmarkStart w:id="382" w:name="_Toc296503168"/>
      <w:r/>
      <w:bookmarkStart w:id="383" w:name="_Toc296347167"/>
      <w:r/>
      <w:bookmarkStart w:id="384" w:name="_Toc296890996"/>
      <w:r/>
      <w:bookmarkStart w:id="385" w:name="_Toc296346669"/>
      <w:r/>
      <w:bookmarkStart w:id="386" w:name="_Toc297123528"/>
      <w:r/>
      <w:bookmarkStart w:id="387" w:name="_Toc318581173"/>
      <w:r/>
      <w:bookmarkStart w:id="388" w:name="_Toc296944507"/>
      <w:r/>
      <w:bookmarkStart w:id="389" w:name="_Toc297048354"/>
      <w:r/>
      <w:bookmarkStart w:id="390" w:name="_Toc297216187"/>
      <w:r/>
      <w:bookmarkStart w:id="391" w:name="_Toc312678020"/>
      <w:r/>
      <w:bookmarkStart w:id="392" w:name="_Toc312677494"/>
      <w:r>
        <w:rPr>
          <w:rFonts w:hint="eastAsia" w:ascii="宋体" w:hAnsi="宋体" w:eastAsia="宋体" w:cs="宋体"/>
          <w:szCs w:val="21"/>
          <w:highlight w:val="none"/>
        </w:rPr>
        <w:t xml:space="preserve">.4.1发包人供应的材料设备的保管费用的承担：</w:t>
      </w:r>
      <w:r>
        <w:rPr>
          <w:rFonts w:hint="eastAsia" w:ascii="宋体" w:hAnsi="宋体" w:eastAsia="宋体" w:cs="宋体"/>
          <w:szCs w:val="21"/>
          <w:highlight w:val="none"/>
          <w:u w:val="single"/>
        </w:rPr>
        <w:t xml:space="preserve">/。</w:t>
      </w:r>
      <w:bookmarkEnd w:id="375"/>
      <w:r/>
      <w:bookmarkEnd w:id="37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（1）除合同工程量清单确定的《其他项目清单计价与汇总表》中的“暂估价”的</w:t>
      </w:r>
      <w:r>
        <w:rPr>
          <w:rFonts w:hint="eastAsia" w:ascii="宋体" w:hAnsi="宋体" w:eastAsia="宋体" w:cs="宋体"/>
          <w:szCs w:val="21"/>
          <w:highlight w:val="none"/>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（2）对本合同工程量清单《其他项目清单与计价汇总表》 中确定为“暂估价”的设备材料和专业工程，发包人应根据国家发改委令第 16 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（3）如在施工过程中监管人员（发包人及监理人员等）一旦发现承包人未按发包人及设计</w:t>
      </w:r>
      <w:r>
        <w:rPr>
          <w:rFonts w:hint="eastAsia" w:ascii="宋体" w:hAnsi="宋体" w:eastAsia="宋体" w:cs="宋体"/>
          <w:szCs w:val="21"/>
          <w:highlight w:val="none"/>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（4）承包人未对建筑材料、建筑构配件、设备和商品混凝土进行检验， 或者未对涉及结构安全的试块、试件以及有关材料取样检测的，责令改正，承包人应承担1万元以上5万元以下的违约金；情节严重的，移交相关部门处理。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（7）承包人采购材料设备的约定：⑴符合施工图纸要</w:t>
      </w:r>
      <w:r>
        <w:rPr>
          <w:rFonts w:hint="eastAsia" w:ascii="宋体" w:hAnsi="宋体" w:eastAsia="宋体" w:cs="宋体"/>
          <w:szCs w:val="21"/>
          <w:highlight w:val="none"/>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本项目所有设备、材料在采购前须列出详细的采购清单，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立即退场，同时承包人承担设备实际采购价与合同价差价为基准计算最高不超过 2 倍的违约金，发包人有权在履约保证金或到期工程款中予以扣除。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 样品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8.6.1</w:t>
      </w:r>
      <w:r>
        <w:rPr>
          <w:rFonts w:hint="eastAsia" w:ascii="宋体" w:hAnsi="宋体" w:eastAsia="宋体" w:cs="宋体"/>
          <w:szCs w:val="21"/>
          <w:highlight w:val="none"/>
        </w:rPr>
        <w:tab/>
      </w:r>
      <w:r>
        <w:rPr>
          <w:rFonts w:hint="eastAsia" w:ascii="宋体" w:hAnsi="宋体" w:eastAsia="宋体" w:cs="宋体"/>
          <w:szCs w:val="21"/>
          <w:highlight w:val="none"/>
        </w:rPr>
        <w:t xml:space="preserve">样品的报送与封存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按规范要求招标文件及招标过程中的补充文件执行。发包人不因此另行支付样品费用，样品费用含在合同价中。</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 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8.8.1 承包人提供的施工设备和临时设施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承包人自行修建施工设备和临时设施，费用自理 </w:t>
      </w:r>
      <w:r>
        <w:rPr>
          <w:rFonts w:hint="eastAsia" w:ascii="宋体" w:hAnsi="宋体" w:eastAsia="宋体" w:cs="宋体"/>
          <w:szCs w:val="21"/>
          <w:highlight w:val="none"/>
        </w:rPr>
        <w:t xml:space="preserve">。</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393" w:name="_Toc351203641"/>
      <w:r>
        <w:rPr>
          <w:rFonts w:hint="eastAsia" w:ascii="宋体" w:hAnsi="宋体" w:eastAsia="宋体" w:cs="宋体"/>
          <w:szCs w:val="21"/>
          <w:highlight w:val="none"/>
        </w:rPr>
        <w:t xml:space="preserve">9</w:t>
      </w:r>
      <w:bookmarkEnd w:id="372"/>
      <w:r/>
      <w:bookmarkEnd w:id="373"/>
      <w:r/>
      <w:bookmarkEnd w:id="374"/>
      <w:r/>
      <w:bookmarkStart w:id="394" w:name="_Toc303539139"/>
      <w:r/>
      <w:bookmarkStart w:id="395" w:name="_Toc312678021"/>
      <w:r/>
      <w:bookmarkStart w:id="396" w:name="_Toc297216192"/>
      <w:r/>
      <w:bookmarkStart w:id="397" w:name="_Toc297123533"/>
      <w:r/>
      <w:bookmarkStart w:id="398" w:name="_Toc312677495"/>
      <w:r/>
      <w:bookmarkStart w:id="399" w:name="_Toc300934982"/>
      <w:r/>
      <w:bookmarkStart w:id="400" w:name="_Toc304295559"/>
      <w:r/>
      <w:bookmarkStart w:id="401" w:name="_Toc297120473"/>
      <w:r/>
      <w:bookmarkStart w:id="402" w:name="_Toc296891213"/>
      <w:r/>
      <w:bookmarkStart w:id="403" w:name="_Toc267251428"/>
      <w:r/>
      <w:bookmarkStart w:id="404" w:name="_Toc296944512"/>
      <w:r/>
      <w:bookmarkStart w:id="405" w:name="_Toc296346674"/>
      <w:r/>
      <w:bookmarkStart w:id="406" w:name="_Toc267251427"/>
      <w:r/>
      <w:bookmarkStart w:id="407" w:name="_Toc297048359"/>
      <w:r/>
      <w:bookmarkStart w:id="408" w:name="_Toc296503173"/>
      <w:r/>
      <w:bookmarkStart w:id="409" w:name="_Toc292559378"/>
      <w:r/>
      <w:bookmarkStart w:id="410" w:name="_Toc296347172"/>
      <w:r/>
      <w:bookmarkStart w:id="411" w:name="_Toc296891001"/>
      <w:r/>
      <w:bookmarkStart w:id="412" w:name="_Toc292559883"/>
      <w:r>
        <w:rPr>
          <w:rFonts w:hint="eastAsia" w:ascii="宋体" w:hAnsi="宋体" w:eastAsia="宋体" w:cs="宋体"/>
          <w:szCs w:val="21"/>
          <w:highlight w:val="none"/>
        </w:rPr>
        <w:t xml:space="preserve">. 试验与检验</w:t>
      </w:r>
      <w:bookmarkEnd w:id="393"/>
      <w:r/>
      <w:bookmarkEnd w:id="394"/>
      <w:bookmarkEnd w:id="395"/>
      <w:bookmarkEnd w:id="396"/>
      <w:bookmarkEnd w:id="397"/>
      <w:bookmarkEnd w:id="398"/>
      <w:bookmarkEnd w:id="399"/>
      <w:bookmarkEnd w:id="400"/>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13" w:name="_Toc297123534"/>
      <w:r/>
      <w:bookmarkStart w:id="414" w:name="_Toc300934983"/>
      <w:r/>
      <w:bookmarkStart w:id="415" w:name="_Toc297216193"/>
      <w:r/>
      <w:bookmarkStart w:id="416" w:name="_Toc312677496"/>
      <w:r/>
      <w:bookmarkStart w:id="417" w:name="_Toc304295560"/>
      <w:r/>
      <w:bookmarkStart w:id="418" w:name="_Toc303539140"/>
      <w:r/>
      <w:bookmarkStart w:id="419" w:name="_Toc312678022"/>
      <w:r>
        <w:rPr>
          <w:rFonts w:hint="eastAsia" w:ascii="宋体" w:hAnsi="宋体" w:eastAsia="宋体" w:cs="宋体"/>
          <w:szCs w:val="21"/>
          <w:highlight w:val="none"/>
        </w:rPr>
        <w:t xml:space="preserve">.1试验设备与试验人员</w:t>
      </w:r>
      <w:bookmarkEnd w:id="413"/>
      <w:bookmarkEnd w:id="414"/>
      <w:bookmarkEnd w:id="415"/>
      <w:bookmarkEnd w:id="416"/>
      <w:bookmarkEnd w:id="417"/>
      <w:bookmarkEnd w:id="418"/>
      <w:bookmarkEnd w:id="419"/>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20" w:name="_Toc297123535"/>
      <w:r/>
      <w:bookmarkStart w:id="421" w:name="_Toc303539141"/>
      <w:r/>
      <w:bookmarkStart w:id="422" w:name="_Toc297216194"/>
      <w:r/>
      <w:bookmarkStart w:id="423" w:name="_Toc312677497"/>
      <w:r/>
      <w:bookmarkStart w:id="424" w:name="_Toc304295561"/>
      <w:r/>
      <w:bookmarkStart w:id="425" w:name="_Toc312678023"/>
      <w:r/>
      <w:bookmarkStart w:id="426" w:name="_Toc300934984"/>
      <w:r/>
      <w:bookmarkStart w:id="427" w:name="_Toc318581174"/>
      <w:r>
        <w:rPr>
          <w:rFonts w:hint="eastAsia" w:ascii="宋体" w:hAnsi="宋体" w:eastAsia="宋体" w:cs="宋体"/>
          <w:szCs w:val="21"/>
          <w:highlight w:val="none"/>
        </w:rPr>
        <w:t xml:space="preserve">.1.2 试验设备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420"/>
      <w:r/>
      <w:bookmarkEnd w:id="421"/>
      <w:r/>
      <w:bookmarkEnd w:id="422"/>
      <w:r/>
      <w:bookmarkEnd w:id="423"/>
      <w:r/>
      <w:bookmarkEnd w:id="424"/>
      <w:r/>
      <w:bookmarkEnd w:id="425"/>
      <w:r/>
      <w:bookmarkEnd w:id="426"/>
      <w:r/>
      <w:bookmarkStart w:id="428" w:name="_Toc297216195"/>
      <w:r/>
      <w:bookmarkStart w:id="429" w:name="_Toc300934985"/>
      <w:r/>
      <w:bookmarkStart w:id="430" w:name="_Toc297123536"/>
      <w:r/>
      <w:bookmarkStart w:id="431" w:name="_Toc312678024"/>
      <w:r/>
      <w:bookmarkStart w:id="432" w:name="_Toc303539142"/>
      <w:r/>
      <w:bookmarkStart w:id="433" w:name="_Toc312677498"/>
      <w:r/>
      <w:bookmarkStart w:id="434" w:name="_Toc304295562"/>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9.4 现场工艺试验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w:t>
      </w:r>
      <w:bookmarkEnd w:id="427"/>
      <w:bookmarkEnd w:id="428"/>
      <w:bookmarkEnd w:id="429"/>
      <w:bookmarkEnd w:id="430"/>
      <w:bookmarkEnd w:id="431"/>
      <w:bookmarkEnd w:id="432"/>
      <w:bookmarkEnd w:id="433"/>
      <w:bookmarkEnd w:id="434"/>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435" w:name="_Toc351203642"/>
      <w:r>
        <w:rPr>
          <w:rFonts w:hint="eastAsia" w:ascii="宋体" w:hAnsi="宋体" w:eastAsia="宋体" w:cs="宋体"/>
          <w:szCs w:val="21"/>
          <w:highlight w:val="none"/>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36" w:name="_Toc300934989"/>
      <w:r/>
      <w:bookmarkStart w:id="437" w:name="_Toc297216199"/>
      <w:r/>
      <w:bookmarkStart w:id="438" w:name="_Toc296944532"/>
      <w:r/>
      <w:bookmarkStart w:id="439" w:name="_Toc297120493"/>
      <w:r/>
      <w:bookmarkStart w:id="440" w:name="_Toc297048379"/>
      <w:r/>
      <w:bookmarkStart w:id="441" w:name="_Toc296503193"/>
      <w:r/>
      <w:bookmarkStart w:id="442" w:name="_Toc304295566"/>
      <w:r/>
      <w:bookmarkStart w:id="443" w:name="_Toc292559903"/>
      <w:r/>
      <w:bookmarkStart w:id="444" w:name="_Toc303539146"/>
      <w:r/>
      <w:bookmarkStart w:id="445" w:name="_Toc296346694"/>
      <w:r/>
      <w:bookmarkStart w:id="446" w:name="_Toc292559398"/>
      <w:r/>
      <w:bookmarkStart w:id="447" w:name="_Toc296891021"/>
      <w:r/>
      <w:bookmarkStart w:id="448" w:name="_Toc297123540"/>
      <w:r/>
      <w:bookmarkStart w:id="449" w:name="_Toc296347192"/>
      <w:r/>
      <w:bookmarkStart w:id="450" w:name="_Toc296891233"/>
      <w:r/>
      <w:bookmarkStart w:id="451" w:name="_Toc312677499"/>
      <w:r/>
      <w:bookmarkStart w:id="452" w:name="_Toc312678025"/>
      <w:r/>
      <w:bookmarkStart w:id="453" w:name="_Toc267251437"/>
      <w:r/>
      <w:bookmarkStart w:id="454" w:name="_Toc267251441"/>
      <w:r/>
      <w:bookmarkStart w:id="455" w:name="_Toc267251440"/>
      <w:r/>
      <w:bookmarkStart w:id="456" w:name="_Toc267251435"/>
      <w:r/>
      <w:bookmarkStart w:id="457" w:name="_Toc267251439"/>
      <w:r/>
      <w:bookmarkStart w:id="458" w:name="_Toc267251433"/>
      <w:r/>
      <w:bookmarkStart w:id="459" w:name="_Toc267251442"/>
      <w:r>
        <w:rPr>
          <w:rFonts w:hint="eastAsia" w:ascii="宋体" w:hAnsi="宋体" w:eastAsia="宋体" w:cs="宋体"/>
          <w:szCs w:val="21"/>
          <w:highlight w:val="none"/>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bookmarkEnd w:id="452"/>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60" w:name="_Toc296891022"/>
      <w:r/>
      <w:bookmarkStart w:id="461" w:name="_Toc297216200"/>
      <w:r/>
      <w:bookmarkStart w:id="462" w:name="_Toc304295567"/>
      <w:r/>
      <w:bookmarkStart w:id="463" w:name="_Toc296891234"/>
      <w:r/>
      <w:bookmarkStart w:id="464" w:name="_Toc296346695"/>
      <w:r/>
      <w:bookmarkStart w:id="465" w:name="_Toc296944533"/>
      <w:r/>
      <w:bookmarkStart w:id="466" w:name="_Toc292559399"/>
      <w:r/>
      <w:bookmarkStart w:id="467" w:name="_Toc296347193"/>
      <w:r/>
      <w:bookmarkStart w:id="468" w:name="_Toc312678026"/>
      <w:r/>
      <w:bookmarkStart w:id="469" w:name="_Toc303539147"/>
      <w:r/>
      <w:bookmarkStart w:id="470" w:name="_Toc296503194"/>
      <w:r/>
      <w:bookmarkStart w:id="471" w:name="_Toc297048380"/>
      <w:r/>
      <w:bookmarkStart w:id="472" w:name="_Toc312677500"/>
      <w:r/>
      <w:bookmarkStart w:id="473" w:name="_Toc300934990"/>
      <w:r/>
      <w:bookmarkStart w:id="474" w:name="_Toc292559904"/>
      <w:r/>
      <w:bookmarkStart w:id="475" w:name="_Toc297120494"/>
      <w:r/>
      <w:bookmarkStart w:id="476" w:name="_Toc297123541"/>
      <w:r>
        <w:rPr>
          <w:rFonts w:hint="eastAsia" w:ascii="宋体" w:hAnsi="宋体" w:eastAsia="宋体" w:cs="宋体"/>
          <w:szCs w:val="21"/>
          <w:highlight w:val="none"/>
        </w:rPr>
        <w:t xml:space="preserve">0.1变更的范围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 变更估价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10.4.1 变更估价原则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承包人必须无条件服从发包人对工程的设计变更，不得以因发包人设计变更减少了工程利润为由要挟发包人追加其它费用。设计变更按发包人书面签证确认为准，否则一律不予确认。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 签证的时限要求。发生设计变更、经济签证事件时, 承包人须在事件发生 28 日内将书面变更资料（变更工程量、变更部分综合单价、拟增加的经济费用缘由、计取方式及依据）书面报送经监理方、发包人签字认可后作为结算依据，过期不予认可，责任由承包人自行承担。因不可抗力或发包人原因导致超期的，承包人可申请延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 由于承包人原因导致的工程变更，承包人无权要求签证赔偿。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 签证单的签证程序必须严格按照发包人规定执行，否则，视为无效签证单。无效签证单发包人不予承认，责任由承包人自负。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 若发包人有明确的工作指令，承包人不应以工程签证未办理</w:t>
      </w:r>
      <w:r>
        <w:rPr>
          <w:rFonts w:hint="eastAsia" w:ascii="宋体" w:hAnsi="宋体" w:eastAsia="宋体" w:cs="宋体"/>
          <w:szCs w:val="21"/>
          <w:highlight w:val="none"/>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Start w:id="477" w:name="_Toc292559907"/>
      <w:r/>
      <w:bookmarkStart w:id="478" w:name="_Toc296346698"/>
      <w:r/>
      <w:bookmarkStart w:id="479" w:name="_Toc296503197"/>
      <w:r/>
      <w:bookmarkStart w:id="480" w:name="_Toc303539150"/>
      <w:r/>
      <w:bookmarkStart w:id="481" w:name="_Toc297123544"/>
      <w:r/>
      <w:bookmarkStart w:id="482" w:name="_Toc296347196"/>
      <w:r/>
      <w:bookmarkStart w:id="483" w:name="_Toc296891025"/>
      <w:r/>
      <w:bookmarkStart w:id="484" w:name="_Toc296891237"/>
      <w:r/>
      <w:bookmarkStart w:id="485" w:name="_Toc292559402"/>
      <w:r/>
      <w:bookmarkStart w:id="486" w:name="_Toc297120497"/>
      <w:r/>
      <w:bookmarkStart w:id="487" w:name="_Toc297216203"/>
      <w:r/>
      <w:bookmarkStart w:id="488" w:name="_Toc300934993"/>
      <w:r/>
      <w:bookmarkStart w:id="489" w:name="_Toc296944536"/>
      <w:r/>
      <w:bookmarkStart w:id="490" w:name="_Toc297048383"/>
      <w:r/>
      <w:bookmarkStart w:id="491" w:name="_Toc312678029"/>
      <w:r/>
      <w:bookmarkStart w:id="492" w:name="_Toc304295570"/>
      <w:r/>
      <w:bookmarkStart w:id="493" w:name="_Toc312677503"/>
      <w:r>
        <w:rPr>
          <w:rFonts w:hint="eastAsia" w:ascii="宋体" w:hAnsi="宋体" w:eastAsia="宋体" w:cs="宋体"/>
          <w:szCs w:val="21"/>
          <w:highlight w:val="none"/>
        </w:rPr>
        <w:t xml:space="preserve">0.5承</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4" w:name="_Toc296891031"/>
      <w:r/>
      <w:bookmarkStart w:id="495" w:name="_Toc296347202"/>
      <w:r/>
      <w:bookmarkStart w:id="496" w:name="_Toc297120503"/>
      <w:r/>
      <w:bookmarkStart w:id="497" w:name="_Toc296891243"/>
      <w:r/>
      <w:bookmarkStart w:id="498" w:name="_Toc296944542"/>
      <w:r/>
      <w:bookmarkStart w:id="499" w:name="_Toc297048389"/>
      <w:r/>
      <w:bookmarkStart w:id="500" w:name="_Toc296503203"/>
      <w:r/>
      <w:bookmarkStart w:id="501" w:name="_Toc300934994"/>
      <w:r/>
      <w:bookmarkStart w:id="502" w:name="_Toc292559913"/>
      <w:r/>
      <w:bookmarkStart w:id="503" w:name="_Toc297123545"/>
      <w:r/>
      <w:bookmarkStart w:id="504" w:name="_Toc297216204"/>
      <w:r/>
      <w:bookmarkStart w:id="505" w:name="_Toc296346704"/>
      <w:r/>
      <w:bookmarkStart w:id="506" w:name="_Toc303539151"/>
      <w:r/>
      <w:bookmarkStart w:id="507" w:name="_Toc292559408"/>
      <w:r>
        <w:rPr>
          <w:rFonts w:hint="eastAsia" w:ascii="宋体" w:hAnsi="宋体" w:eastAsia="宋体" w:cs="宋体"/>
          <w:szCs w:val="21"/>
          <w:highlight w:val="none"/>
        </w:rPr>
        <w:t xml:space="preserve">包人的合理化建议</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508" w:name="_Toc296347203"/>
      <w:r/>
      <w:bookmarkStart w:id="509" w:name="_Toc296346705"/>
      <w:r/>
      <w:bookmarkStart w:id="510" w:name="_Toc300934995"/>
      <w:r/>
      <w:bookmarkStart w:id="511" w:name="_Toc312678030"/>
      <w:r/>
      <w:bookmarkStart w:id="512" w:name="_Toc297120504"/>
      <w:r/>
      <w:bookmarkStart w:id="513" w:name="_Toc304295571"/>
      <w:r/>
      <w:bookmarkStart w:id="514" w:name="_Toc303539152"/>
      <w:r/>
      <w:bookmarkStart w:id="515" w:name="_Toc297216205"/>
      <w:r/>
      <w:bookmarkStart w:id="516" w:name="_Toc312677504"/>
      <w:r/>
      <w:bookmarkStart w:id="517" w:name="_Toc318581175"/>
      <w:r/>
      <w:bookmarkStart w:id="518" w:name="_Toc292559409"/>
      <w:r/>
      <w:bookmarkStart w:id="519" w:name="_Toc297123546"/>
      <w:r/>
      <w:bookmarkStart w:id="520" w:name="_Toc296891032"/>
      <w:r/>
      <w:bookmarkStart w:id="521" w:name="_Toc296503204"/>
      <w:r/>
      <w:bookmarkStart w:id="522" w:name="_Toc296891244"/>
      <w:r/>
      <w:bookmarkStart w:id="523" w:name="_Toc297048390"/>
      <w:r/>
      <w:bookmarkStart w:id="524" w:name="_Toc296944543"/>
      <w:r/>
      <w:bookmarkStart w:id="525" w:name="_Toc292559914"/>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26" w:name="_Toc297120499"/>
      <w:r/>
      <w:bookmarkStart w:id="527" w:name="_Toc304295574"/>
      <w:r/>
      <w:bookmarkStart w:id="528" w:name="_Toc297048385"/>
      <w:r/>
      <w:bookmarkStart w:id="529" w:name="_Toc297216207"/>
      <w:r/>
      <w:bookmarkStart w:id="530" w:name="_Toc297123548"/>
      <w:r/>
      <w:bookmarkStart w:id="531" w:name="_Toc296347198"/>
      <w:r/>
      <w:bookmarkStart w:id="532" w:name="_Toc303539154"/>
      <w:r/>
      <w:bookmarkStart w:id="533" w:name="_Toc296944538"/>
      <w:r/>
      <w:bookmarkStart w:id="534" w:name="_Toc300934997"/>
      <w:r/>
      <w:bookmarkStart w:id="535" w:name="_Toc296346700"/>
      <w:r/>
      <w:bookmarkStart w:id="536" w:name="_Toc292559909"/>
      <w:r/>
      <w:bookmarkStart w:id="537" w:name="_Toc296891027"/>
      <w:r/>
      <w:bookmarkStart w:id="538" w:name="_Toc292559404"/>
      <w:r/>
      <w:bookmarkStart w:id="539" w:name="_Toc296891239"/>
      <w:r/>
      <w:bookmarkStart w:id="540" w:name="_Toc312678033"/>
      <w:r/>
      <w:bookmarkStart w:id="541" w:name="_Toc296503199"/>
      <w:r/>
      <w:bookmarkStart w:id="542" w:name="_Toc312677507"/>
      <w:r>
        <w:rPr>
          <w:rFonts w:hint="eastAsia" w:ascii="宋体" w:hAnsi="宋体" w:eastAsia="宋体" w:cs="宋体"/>
          <w:szCs w:val="21"/>
          <w:highlight w:val="none"/>
        </w:rPr>
        <w:t xml:space="preserve">0.7 暂估价</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543" w:name="_Toc312678034"/>
      <w:r/>
      <w:bookmarkStart w:id="544" w:name="_Toc312677508"/>
      <w:r/>
      <w:bookmarkStart w:id="545" w:name="_Toc318581176"/>
      <w:r>
        <w:rPr>
          <w:rFonts w:hint="eastAsia" w:ascii="宋体" w:hAnsi="宋体" w:eastAsia="宋体" w:cs="宋体"/>
          <w:szCs w:val="21"/>
          <w:highlight w:val="none"/>
        </w:rPr>
        <w:t xml:space="preserve">估价材料和工程设备的明细详见附件11：《暂估价一览表》。</w:t>
      </w:r>
      <w:bookmarkEnd w:id="543"/>
      <w:bookmarkEnd w:id="544"/>
      <w:bookmarkEnd w:id="545"/>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46" w:name="_Toc312678035"/>
      <w:r/>
      <w:bookmarkStart w:id="547" w:name="_Toc312677509"/>
      <w:r/>
      <w:bookmarkStart w:id="548" w:name="_Toc318581177"/>
      <w:r>
        <w:rPr>
          <w:rFonts w:hint="eastAsia" w:ascii="宋体" w:hAnsi="宋体" w:eastAsia="宋体" w:cs="宋体"/>
          <w:szCs w:val="21"/>
          <w:highlight w:val="none"/>
        </w:rPr>
        <w:t xml:space="preserve">0.7.1 依法必须招标的暂估价项目</w:t>
      </w:r>
      <w:bookmarkEnd w:id="546"/>
      <w:bookmarkEnd w:id="547"/>
      <w:bookmarkEnd w:id="548"/>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10.7.2 不属于依法必须招标的暂估价项目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与本工程合同条件一致</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10.8 暂列金额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49" w:name="_Toc351203643"/>
      <w:r>
        <w:rPr>
          <w:rFonts w:hint="eastAsia" w:ascii="宋体" w:hAnsi="宋体" w:eastAsia="宋体" w:cs="宋体"/>
          <w:szCs w:val="21"/>
          <w:highlight w:val="none"/>
        </w:rPr>
        <w:t xml:space="preserve">11. 价格调整</w:t>
      </w:r>
      <w:bookmarkEnd w:id="549"/>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50" w:name="_Toc296944540"/>
      <w:r/>
      <w:bookmarkStart w:id="551" w:name="_Toc296891029"/>
      <w:r/>
      <w:bookmarkStart w:id="552" w:name="_Toc292559406"/>
      <w:r/>
      <w:bookmarkStart w:id="553" w:name="_Toc292559911"/>
      <w:r/>
      <w:bookmarkStart w:id="554" w:name="_Toc296346702"/>
      <w:r/>
      <w:bookmarkStart w:id="555" w:name="_Toc304295577"/>
      <w:r/>
      <w:bookmarkStart w:id="556" w:name="_Toc296347200"/>
      <w:r/>
      <w:bookmarkStart w:id="557" w:name="_Toc297216209"/>
      <w:r/>
      <w:bookmarkStart w:id="558" w:name="_Toc296891241"/>
      <w:r/>
      <w:bookmarkStart w:id="559" w:name="_Toc297048387"/>
      <w:r/>
      <w:bookmarkStart w:id="560" w:name="_Toc297123550"/>
      <w:r/>
      <w:bookmarkStart w:id="561" w:name="_Toc312678039"/>
      <w:r/>
      <w:bookmarkStart w:id="562" w:name="_Toc296503201"/>
      <w:r/>
      <w:bookmarkStart w:id="563" w:name="_Toc300935000"/>
      <w:r/>
      <w:bookmarkStart w:id="564" w:name="_Toc297120501"/>
      <w:r/>
      <w:bookmarkStart w:id="565" w:name="_Toc303539157"/>
      <w:r>
        <w:rPr>
          <w:rFonts w:hint="eastAsia" w:ascii="宋体" w:hAnsi="宋体" w:eastAsia="宋体" w:cs="宋体"/>
          <w:szCs w:val="21"/>
          <w:highlight w:val="none"/>
        </w:rPr>
        <w:t xml:space="preserve">11.1 市场价格波动引起的调整</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否</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种方式对合同价格进行调整：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（2）关于基准价格的约定：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64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w:t>
      </w:r>
      <w:bookmarkEnd w:id="453"/>
      <w:bookmarkEnd w:id="454"/>
      <w:bookmarkEnd w:id="455"/>
      <w:bookmarkEnd w:id="456"/>
      <w:bookmarkEnd w:id="457"/>
      <w:bookmarkEnd w:id="458"/>
      <w:r/>
    </w:p>
    <w:p>
      <w:pPr>
        <w:ind w:left="0" w:firstLine="420"/>
        <w:pageBreakBefore w:val="0"/>
        <w:spacing w:line="420" w:lineRule="exact"/>
        <w:widowControl w:val="off"/>
        <w:tabs>
          <w:tab w:val="left" w:pos="79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12. 合同价格、计量与支付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12.1 合同价格形式：固定单价合同。</w:t>
      </w:r>
      <w:r/>
    </w:p>
    <w:p>
      <w:pPr>
        <w:ind w:left="0" w:firstLine="315"/>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按招标文件约定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12.1.1本工程采用“固定单价”合同，合同实施过程中除招标文件和合同约定允许调整外，其余的综合单价不作调整。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12.1.2工程结算方式为：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本招标项目工程竣工结算价=分部分项工程费用（实际数量*中标综合单价）+措施项目费用+其他项目费用+规费+税金+招标文件和合同约定可以调整的价格。</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1、因招标工程量清单缺项</w:t>
      </w:r>
      <w:r>
        <w:rPr>
          <w:rFonts w:hint="eastAsia" w:ascii="宋体" w:hAnsi="宋体" w:eastAsia="宋体" w:cs="宋体"/>
          <w:szCs w:val="21"/>
          <w:highlight w:val="none"/>
          <w:u w:val="single"/>
        </w:rPr>
        <w:t xml:space="preserve">、设计图纸（含设计变更）与招标工程量清单项目的特征描述不符、工程变更，造成增加新的工程量清单项目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ind w:left="2520" w:hanging="25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中标价（扣除预算审核价中暂列金额、专业工程暂估价、暂估材料总价及上述三项的规费和税金） </w:t>
      </w:r>
      <w:r/>
    </w:p>
    <w:p>
      <w:pPr>
        <w:numPr>
          <w:ilvl w:val="0"/>
          <w:numId w:val="1"/>
        </w:num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中标下浮率 ＝</w:t>
      </w:r>
      <w:r>
        <w:rPr>
          <w:rFonts w:hint="eastAsia" w:ascii="宋体" w:hAnsi="宋体" w:eastAsia="宋体" w:cs="宋体"/>
          <w:sz w:val="24"/>
          <w:highlight w:val="none"/>
        </w:rPr>
        <w:t xml:space="preserve">1－  </w:t>
      </w:r>
      <w:r>
        <w:rPr>
          <w:rFonts w:hint="eastAsia" w:ascii="宋体" w:hAnsi="宋体" w:eastAsia="宋体" w:cs="宋体"/>
          <w:szCs w:val="21"/>
          <w:highlight w:val="none"/>
        </w:rPr>
        <w:t xml:space="preserve">----------------------------------------------×100% </w:t>
      </w:r>
      <w:r/>
    </w:p>
    <w:p>
      <w:pPr>
        <w:ind w:left="0" w:firstLine="189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预算审核价（扣除预算审核价中暂列金额、专业工程暂估价、暂估材料 </w:t>
      </w:r>
      <w:r/>
    </w:p>
    <w:p>
      <w:pPr>
        <w:ind w:left="0" w:firstLine="315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总价及上述三项的规费和税金</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3.2单价措施项目：执行投标时的综合单价。</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3.4因分部分项工程量清单缺项或非承包人原因的工程变更，引起施工方案改变并使措施项目发生变化时，拟实施的方案经发承包双方确认后执行，并按照下列规定调整措施项目费：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3.4.1安全文明施工措施费按照实际发生的措施项目调整。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3.4.2单价措施项目变更原则同分部分项工程。</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bookmarkStart w:id="566" w:name="page84"/>
      <w:r/>
      <w:bookmarkEnd w:id="566"/>
      <w:r>
        <w:rPr>
          <w:rFonts w:hint="eastAsia" w:ascii="宋体" w:hAnsi="宋体" w:eastAsia="宋体" w:cs="宋体"/>
          <w:szCs w:val="21"/>
          <w:highlight w:val="none"/>
          <w:u w:val="single"/>
        </w:rPr>
        <w:t xml:space="preserve">6、竣工结算时若承包人完成了发包人所要求的且为合同以外的零星工作或发生非承包人责任事件的工程量按现场实际完成的工程量经发包人签证确定。</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7、双方约定合同价款不予调整的情形，包括但不仅限于下列情形：① 发包人提供的图纸如果存</w:t>
      </w:r>
      <w:r>
        <w:rPr>
          <w:rFonts w:hint="eastAsia" w:ascii="宋体" w:hAnsi="宋体" w:eastAsia="宋体" w:cs="宋体"/>
          <w:szCs w:val="21"/>
          <w:highlight w:val="none"/>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10、由于承包人管理不善，在施工中污染周围环境、施工噪音干扰他人等所引起的政府职能部门罚</w:t>
      </w:r>
      <w:bookmarkStart w:id="567" w:name="page85"/>
      <w:r/>
      <w:bookmarkEnd w:id="567"/>
      <w:r>
        <w:rPr>
          <w:rFonts w:hint="eastAsia" w:ascii="宋体" w:hAnsi="宋体" w:eastAsia="宋体" w:cs="宋体"/>
          <w:szCs w:val="21"/>
          <w:highlight w:val="none"/>
          <w:u w:val="single"/>
        </w:rPr>
        <w:t xml:space="preserve">款或停工整改或引起周围居民纠纷和索赔时，其所有发生的费用与损失由承包人，自行承担。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发包人不按进度支付民工工资的，承包人应主动联系发包人询问情况。发包人要求承包人实行农民工实名制用工管理，在施工现场要设置脸谱和指纹考勤仪，承包人应在工程项目部配置专</w:t>
      </w:r>
      <w:r>
        <w:rPr>
          <w:rFonts w:hint="eastAsia" w:ascii="宋体" w:hAnsi="宋体" w:eastAsia="宋体" w:cs="宋体"/>
          <w:szCs w:val="21"/>
          <w:highlight w:val="none"/>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68" w:name="_Toc303539161"/>
      <w:r/>
      <w:bookmarkStart w:id="569" w:name="_Toc297216213"/>
      <w:r/>
      <w:bookmarkStart w:id="570" w:name="_Toc304295581"/>
      <w:r/>
      <w:bookmarkStart w:id="571" w:name="_Toc300935004"/>
      <w:r/>
      <w:bookmarkStart w:id="572" w:name="_Toc297123554"/>
      <w:r/>
      <w:bookmarkStart w:id="573" w:name="_Toc312678042"/>
      <w:r/>
      <w:bookmarkStart w:id="574" w:name="_Toc296891035"/>
      <w:r/>
      <w:bookmarkStart w:id="575" w:name="_Toc292559412"/>
      <w:r/>
      <w:bookmarkStart w:id="576" w:name="_Toc297120507"/>
      <w:r/>
      <w:bookmarkStart w:id="577" w:name="_Toc296891247"/>
      <w:r/>
      <w:bookmarkStart w:id="578" w:name="_Toc292559917"/>
      <w:r/>
      <w:bookmarkStart w:id="579" w:name="_Toc296944546"/>
      <w:r/>
      <w:bookmarkStart w:id="580" w:name="_Toc296346708"/>
      <w:r/>
      <w:bookmarkStart w:id="581" w:name="_Toc296347206"/>
      <w:r/>
      <w:bookmarkStart w:id="582" w:name="_Toc296503207"/>
      <w:r/>
      <w:bookmarkStart w:id="583" w:name="_Toc297048393"/>
      <w:r>
        <w:rPr>
          <w:rFonts w:hint="eastAsia" w:ascii="宋体" w:hAnsi="宋体" w:eastAsia="宋体" w:cs="宋体"/>
          <w:szCs w:val="21"/>
          <w:highlight w:val="none"/>
        </w:rPr>
        <w:t xml:space="preserve">12.2 预付款</w:t>
      </w:r>
      <w:bookmarkEnd w:id="568"/>
      <w:bookmarkEnd w:id="569"/>
      <w:bookmarkEnd w:id="570"/>
      <w:bookmarkEnd w:id="571"/>
      <w:bookmarkEnd w:id="572"/>
      <w:bookmarkEnd w:id="573"/>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合同价款的 10%，含发包人打入农民工工资专用账户的保证金，发包人不另行支付农民工工资保证金。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合同签订后，工程开工前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竣工验收合格付工程款时一次性扣除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pacing w:val="-1"/>
          <w:szCs w:val="21"/>
          <w:highlight w:val="none"/>
          <w:u w:val="single"/>
        </w:rPr>
        <w:t xml:space="preserve">预付款支付之前</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同履约保证金形式。</w:t>
      </w:r>
      <w:bookmarkEnd w:id="574"/>
      <w:r/>
      <w:bookmarkEnd w:id="575"/>
      <w:r/>
      <w:bookmarkEnd w:id="576"/>
      <w:r/>
      <w:bookmarkEnd w:id="577"/>
      <w:r/>
      <w:bookmarkEnd w:id="578"/>
      <w:r/>
      <w:bookmarkEnd w:id="579"/>
      <w:r/>
      <w:bookmarkEnd w:id="580"/>
      <w:r/>
      <w:bookmarkEnd w:id="581"/>
      <w:r/>
      <w:bookmarkEnd w:id="582"/>
      <w:r/>
      <w:bookmarkEnd w:id="583"/>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12.3 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《建设工程工程量清单计价规范》（GB50500-2013）</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根据工程每周工程进度向发包人工程师提交已完工程量报表，经工程师、监理、审计单位签字后提交发包人审核和确认。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工程量按 2013 清单计量规范计算。</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12.3.5总价合同采用支付分解表计量支付的，是否适用第12.3.4 项〔总价合同的计量〕约定进行计量：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left="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584" w:name="_Toc297120511"/>
      <w:r/>
      <w:bookmarkStart w:id="585" w:name="_Toc297048397"/>
      <w:r/>
      <w:bookmarkStart w:id="586" w:name="_Toc297216215"/>
      <w:r/>
      <w:bookmarkStart w:id="587" w:name="_Toc296891251"/>
      <w:r/>
      <w:bookmarkStart w:id="588" w:name="_Toc303539163"/>
      <w:r/>
      <w:bookmarkStart w:id="589" w:name="_Toc296347210"/>
      <w:r/>
      <w:bookmarkStart w:id="590" w:name="_Toc292559921"/>
      <w:r/>
      <w:bookmarkStart w:id="591" w:name="_Toc292559416"/>
      <w:r/>
      <w:bookmarkStart w:id="592" w:name="_Toc296944550"/>
      <w:r/>
      <w:bookmarkStart w:id="593" w:name="_Toc296503211"/>
      <w:r/>
      <w:bookmarkStart w:id="594" w:name="_Toc300935006"/>
      <w:r/>
      <w:bookmarkStart w:id="595" w:name="_Toc296891039"/>
      <w:r/>
      <w:bookmarkStart w:id="596" w:name="_Toc297123556"/>
      <w:r/>
      <w:bookmarkStart w:id="597" w:name="_Toc296346712"/>
      <w:r>
        <w:rPr>
          <w:rFonts w:hint="eastAsia" w:ascii="宋体" w:hAnsi="宋体" w:eastAsia="宋体" w:cs="宋体"/>
          <w:szCs w:val="21"/>
          <w:highlight w:val="none"/>
        </w:rPr>
        <w:t xml:space="preserve">12.4.1 付款周期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工程款指合同价（即中标价）扣除暂列金额、专业工程暂估价、发包人供应材料设备价格及上述三项的规费和税金后的工程价款。具体付款幅度如下：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1、本工程施工合同签订后,支付合同总价的10%为预付款（中标人同时须提供同等金额的预付款银行保函）；</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2、按合同约定工期节点完成工程量的，且经甲方</w:t>
      </w:r>
      <w:r>
        <w:rPr>
          <w:rFonts w:hint="eastAsia" w:ascii="宋体" w:hAnsi="宋体" w:eastAsia="宋体" w:cs="宋体"/>
          <w:szCs w:val="21"/>
          <w:highlight w:val="none"/>
          <w:u w:val="single"/>
          <w:lang w:eastAsia="zh-CN"/>
        </w:rPr>
        <w:t xml:space="preserve">确认</w:t>
      </w:r>
      <w:r>
        <w:rPr>
          <w:rFonts w:hint="eastAsia" w:ascii="宋体" w:hAnsi="宋体" w:eastAsia="宋体" w:cs="宋体"/>
          <w:szCs w:val="21"/>
          <w:highlight w:val="none"/>
          <w:u w:val="single"/>
        </w:rPr>
        <w:t xml:space="preserve">总工作量达到80%的，可在2026年12月31日前付至合同价款的70%（含预付款）；</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3、工程完工后，2027年3月31日前付至合同价款的90%。</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4、工程竣工验收合格后，并经一审审计结束出具审计结果报告后，付至审计价的95%；</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5、工程竣工验收合格满一年后，并经政府审计结束出具审计结果报告后支付至审计价的97%；</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6、余款3%待质保期满后结清。</w:t>
      </w:r>
      <w:r/>
    </w:p>
    <w:p>
      <w:pPr>
        <w:ind w:left="0" w:firstLine="422"/>
        <w:jc w:val="left"/>
        <w:pageBreakBefore w:val="0"/>
        <w:spacing w:line="420" w:lineRule="exact"/>
        <w:widowControl w:val="off"/>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注：本工程为中央财政资金，如未在规定节点前完成相应工程内容，导致付款延迟，承包人自行承担相应后果；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注：按以上付款进度，无任何利息补偿。本工程价款一律通过银行非现金结算。因承包人未及时递交已完工程结算资料，而影响工程款支付的，一切后果由承包人自行负责。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本工程提交审计时，承包人应在发包人约定的时间内完成资料整理，并积极配合，要求资料齐全，计算准确不得虚报，要求与审计价差距不得超过5%。</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1、若承包人的结算报审价与最终审定价≤5%，审计费由发包人承担。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报送价与终审审核价误差率＞5%且≤10%时，超出5%部分的审计费由承包人承担；误差率＞10%时，所有审计费用均由承包人承担；误差率≥20%时，承包人除承担所有审计费用外，还将承担该项目核减额5%的违约金，发包方有权要求承包人在审计报告出具后二十日内支付，或发包人可直接从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1）承包人必须遵守“关于转发省清欠办《关于印</w:t>
      </w:r>
      <w:r>
        <w:rPr>
          <w:rFonts w:hint="eastAsia" w:ascii="宋体" w:hAnsi="宋体" w:eastAsia="宋体" w:cs="宋体"/>
          <w:szCs w:val="21"/>
          <w:highlight w:val="none"/>
          <w:u w:val="single"/>
        </w:rPr>
        <w:t xml:space="preserve">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5）承包人必须在第一时间内主动向发包人、监理单位， 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7）在履行合同过程中，承包人应遵守国家或地方的法律、法规、规章、条例、规范性文件或任何对工程有管辖权的部门的规章，并按要求支付有关费用。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9）农民工工资管理办法详见《农民工工资条例》盐建建筑〔2016〕35 号《关于进一步做好建筑施工拖欠农民工工资治理工作的通知》。 </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12.4.2 进度付款申请单的编制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根据发包人统一格式报批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12.4.3 进度付款申请单的提交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 </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根据发包人统一格式报批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12.4.4 进度款审核和支付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30 天</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 验收和工程试车</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13.1 分部分项工程验收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13.1.2 监理人不能按时进行验收时，应提前</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13.2 竣工验收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13.2.2 竣工验收程序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13.2.2.1 进行工程移交验收的条件：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（1）缺陷责任期满后施工单位根据合同约定对工程质量进行检查，确认工程质量符合有关法律、法规和工程建设强制性标准，提出工程移交报告；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（2）经监理、施工等单位共同验收，存在的问题已整改到位；</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（3）监理单位对工程进行复查，并已提出工程移交评估报告；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13.2.2.2 发包人收到工程移交验收报告 15 天内组织工程移交验收。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13.2.2.3 工程移交验收标准：工程移交验收标准为国家工程建设强制性标准、现行施工验收规范及相关标准、经审查通过的设计文件以及有关的法律、法规、规章和规范性文件规定。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13.2.2.4 工程移交验收程序及内容：</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（1）由发包人派驻的现场负责人主持移交验收；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（2）检测、施工、监理等单位分别书面汇报工程项目在缺陷责任期内的建设质量状况、工程养护、维修情况；</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（3）验收组分为三部分分别进行检查验收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①检查工程实体及外观质量；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②对工程的使用功能进行抽查、试验；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③对工程移交验收情况进行汇总讨论，形成工程移交综合验收结论，填写《工程移交验收证书》，验收组人员分别签字、单位盖章；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④当在验收过程中发现严重问题，达不到竣工验收标准时，验收组将责成责任单位立即整改，并宣布本次验收无效，重新确定时间组织工程移交验收；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⑤当在工程移交验收过程中发现一般需整改的质量问题，验收组可形成初步验收意见，填写《工程移交验收证书》，验收组人员分别签字，但各单位不加盖公章。验收组责成有关责任单位整改，并由发包人和 监理单位项目负责人组织复查，整改完毕符合要求后，加盖各单位公章；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⑥当工程移交验收组各方不能形成一致验收意见，重新确定时间组织工程移交验收。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⑦最终验收结果需经发包人书面确认，发包人对验收结果拥有最终决定权。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1、本工程施工过程中遇到的一切地方矛盾及由此发生的费用均由承包人自行负责，与发包人无涉。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2、本工程价款一律通过银行非现金结算，工程款汇入企业基本帐户，实行专款专用。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 不同意本工程合同条件；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自认合同价款比例和时间；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停工累计达2天或故意拖延施工进度或影响施工质量；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要挟发包人提高合同价款；</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要挟发包人给予某种补偿者。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13.2.2.5、关于农民工工资支付等的约定：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4）承包人必须在第一时间内主动向发包人、监理单位，提供与劳务公司签订的用工合同，或提供班组人员与施工单位签订的用工合同。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6）在履行合同过程中，承包人应遵守国家或地方的法律、法规、规章、条例、规范性文件或任何对工程有管辖的部门的规章，并按要求支付有关费用。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8）承包人必须遵守“ 关于转发省清欠办《关于印发〈江苏省建设领域农民工工资保证</w:t>
      </w:r>
      <w:r>
        <w:rPr>
          <w:rFonts w:hint="eastAsia" w:ascii="宋体" w:hAnsi="宋体" w:eastAsia="宋体" w:cs="宋体"/>
          <w:szCs w:val="21"/>
          <w:highlight w:val="none"/>
          <w:u w:val="single"/>
        </w:rPr>
        <w:t xml:space="preserve">金实施办法〉的通知》的通知 ”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农民工工资管理办法详见《农民工工资条例》》盐建建筑〔 2016〕35 号《关于进一 步做好建筑施工拖欠农民工工资治理工作的通知》。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13.2.2.6、施工过程中的排污、环保、市容、城建城管、消防、治安、人口管理等办理相关手续以及对临近居民、行人的影响等，由承包人负责协调处理，并承担相关的费用。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13.2.5 移交、接收全部与部分工程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承包人向发包人移交工程的期限： 按通用条款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发包人未按本合同约定接收全部或部分工程的，违约金的计算方法为：无。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元的违约金。拖延超过三天，发包人有权单方解除合同，扣除履约保证金，承包人应承担总合同价款20%违约金，以及赔偿由此给发包人造成的一切损失。</w:t>
      </w:r>
      <w:bookmarkEnd w:id="459"/>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98" w:name="_Toc280868708"/>
      <w:r/>
      <w:bookmarkStart w:id="599" w:name="_Toc267251474"/>
      <w:r/>
      <w:bookmarkStart w:id="600" w:name="_Toc280868709"/>
      <w:r/>
      <w:bookmarkStart w:id="601" w:name="_Toc267251476"/>
      <w:r/>
      <w:bookmarkStart w:id="602" w:name="_Toc267251472"/>
      <w:r/>
      <w:bookmarkStart w:id="603" w:name="_Toc267251470"/>
      <w:r/>
      <w:bookmarkStart w:id="604" w:name="_Toc267251471"/>
      <w:r/>
      <w:bookmarkStart w:id="605" w:name="_Toc267251473"/>
      <w:r/>
      <w:bookmarkStart w:id="606" w:name="_Toc267251475"/>
      <w:r>
        <w:rPr>
          <w:rFonts w:hint="eastAsia" w:ascii="宋体" w:hAnsi="宋体" w:eastAsia="宋体" w:cs="宋体"/>
          <w:szCs w:val="21"/>
          <w:highlight w:val="none"/>
        </w:rPr>
        <w:t xml:space="preserve">13.3 工程试车</w:t>
      </w:r>
      <w:bookmarkEnd w:id="598"/>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pacing w:val="-2"/>
          <w:szCs w:val="21"/>
          <w:highlight w:val="none"/>
          <w:u w:val="singl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13.3.3 投料试车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pacing w:val="-1"/>
          <w:szCs w:val="21"/>
          <w:highlight w:val="none"/>
          <w:u w:val="single"/>
        </w:rPr>
        <w:t xml:space="preserve">/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1）工程竣工验收前，承包人应完成场地清理（包括建筑物周围的堆积物及红线内的淤泥清运，临时生产和生活设施的拆除），并将现场清扫干净。</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通过后7天内承包人将竣工工程交付发包人，撤离除收尾工程所需的施工、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3）工程移交发包人之前，承包人负责维护。如发包人提前使用，由此造成的损坏所需的维修费用由发包人承担。</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7" w:name="_Toc351203646"/>
      <w:r>
        <w:rPr>
          <w:rFonts w:hint="eastAsia" w:ascii="宋体" w:hAnsi="宋体" w:eastAsia="宋体" w:cs="宋体"/>
          <w:b/>
          <w:szCs w:val="21"/>
          <w:highlight w:val="none"/>
        </w:rPr>
        <w:t xml:space="preserve">14. 竣工结算</w:t>
      </w:r>
      <w:bookmarkEnd w:id="60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14.2 竣工结算审核</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按付款约定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按招标文件约定的工程款支付条款约定付款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14.4 最终结清</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14.4.1 最终结清申请单</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 </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14.4.2 最终结清证书和支付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bookmarkEnd w:id="599"/>
      <w:bookmarkEnd w:id="600"/>
      <w:bookmarkEnd w:id="601"/>
      <w:bookmarkEnd w:id="602"/>
      <w:bookmarkEnd w:id="603"/>
      <w:bookmarkEnd w:id="604"/>
      <w:bookmarkEnd w:id="605"/>
      <w:bookmarkEnd w:id="606"/>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8" w:name="_Toc351203647"/>
      <w:r/>
      <w:bookmarkStart w:id="609" w:name="_Toc267251483"/>
      <w:r/>
      <w:bookmarkStart w:id="610" w:name="_Toc267251482"/>
      <w:r/>
      <w:bookmarkStart w:id="611" w:name="_Toc267251484"/>
      <w:r/>
      <w:bookmarkStart w:id="612" w:name="_Toc267251485"/>
      <w:r/>
      <w:bookmarkStart w:id="613" w:name="_Toc267251489"/>
      <w:r/>
      <w:bookmarkStart w:id="614" w:name="_Toc267251488"/>
      <w:r/>
      <w:bookmarkStart w:id="615" w:name="_Toc267251486"/>
      <w:r/>
      <w:bookmarkStart w:id="616" w:name="_Toc267251490"/>
      <w:r/>
      <w:bookmarkStart w:id="617" w:name="_Toc267251498"/>
      <w:r/>
      <w:bookmarkStart w:id="618" w:name="_Toc267251495"/>
      <w:r/>
      <w:bookmarkStart w:id="619" w:name="_Toc267251494"/>
      <w:r/>
      <w:bookmarkStart w:id="620" w:name="_Toc267251496"/>
      <w:r/>
      <w:bookmarkStart w:id="621" w:name="_Toc267251502"/>
      <w:r/>
      <w:bookmarkStart w:id="622" w:name="_Toc267251493"/>
      <w:r/>
      <w:bookmarkStart w:id="623" w:name="_Toc267251497"/>
      <w:r/>
      <w:bookmarkStart w:id="624" w:name="_Toc267251501"/>
      <w:r/>
      <w:bookmarkStart w:id="625" w:name="_Toc267251503"/>
      <w:r/>
      <w:bookmarkStart w:id="626" w:name="_Toc267251492"/>
      <w:r/>
      <w:bookmarkStart w:id="627" w:name="_Toc267251491"/>
      <w:r/>
      <w:bookmarkStart w:id="628" w:name="_Toc267251499"/>
      <w:r/>
      <w:bookmarkStart w:id="629" w:name="_Toc267251506"/>
      <w:r/>
      <w:bookmarkStart w:id="630" w:name="_Toc267251504"/>
      <w:r/>
      <w:bookmarkStart w:id="631" w:name="_Toc267251507"/>
      <w:r/>
      <w:bookmarkStart w:id="632" w:name="_Toc267251508"/>
      <w:r/>
      <w:bookmarkStart w:id="633" w:name="_Toc267251514"/>
      <w:r/>
      <w:bookmarkStart w:id="634" w:name="_Toc267251509"/>
      <w:r/>
      <w:bookmarkStart w:id="635" w:name="_Toc267251513"/>
      <w:r/>
      <w:bookmarkStart w:id="636" w:name="_Toc267251510"/>
      <w:r/>
      <w:bookmarkStart w:id="637" w:name="_Toc267251515"/>
      <w:r/>
      <w:bookmarkStart w:id="638" w:name="_Toc267251511"/>
      <w:r>
        <w:rPr>
          <w:rFonts w:hint="eastAsia" w:ascii="宋体" w:hAnsi="宋体" w:eastAsia="宋体" w:cs="宋体"/>
          <w:b/>
          <w:szCs w:val="21"/>
          <w:highlight w:val="none"/>
        </w:rPr>
        <w:t xml:space="preserve">15. 缺陷责任期与保修</w:t>
      </w:r>
      <w:bookmarkEnd w:id="60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15.2缺陷责任期</w:t>
      </w:r>
      <w:bookmarkEnd w:id="609"/>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按国家规定执行。</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15.3 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是。工程缺陷责任期根据《建设工程质量保证金管理暂行办法》规定。在缺陷责任期内，承包人应定时、不定时地对工程进行巡查，及时更换、维修破损的设施，在缺陷责任期内因承包人未能及时更换、维修破损的设施而发生的因缺陷所造成的质量、安全等一切责任均由承包人承担。发包人通知承包人对缺陷问题限期修复，如承包人不能及时修复，发包人可以指定单位修复，直接在质量保证金中扣除相关费用，承包人承担修复费2倍的违约金，从质保金中扣除。承包人未接到通知，不排除其应承担的责任。缺陷责任期满但未履行工程移交手续，一切责任仍由承包人负责。</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15.3.1 承包人提供质量保证金的方式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b/>
          <w:bCs/>
          <w:szCs w:val="21"/>
          <w:highlight w:val="none"/>
          <w:u w:val="single"/>
        </w:rPr>
        <w:t xml:space="preserve"> 3 </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的工程款；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15.3.2 质量保证金的扣留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 :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在缺陷责任期内，因承包人原因造成工程缺陷、损坏的，承包人未能及时修复的，发包人可以直接委托第三方修复，所需费用由承包人承担，缺陷责任期满将扣除修复费用、违约金（如有）部分无息退还承包人。</w:t>
      </w:r>
      <w:bookmarkEnd w:id="610"/>
      <w:bookmarkEnd w:id="611"/>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15.4保修</w:t>
      </w:r>
      <w:bookmarkEnd w:id="612"/>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15.4.1 保修责任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按国家相关规定。</w:t>
      </w:r>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15.4.3 修复通知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1、属于保修范围、内容的项目，承包人应当在接到保修通知之日起2天内派人保修。承包人不在约定期限内派人保修的，发包人可以委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613"/>
      <w:r/>
      <w:bookmarkEnd w:id="614"/>
      <w:r/>
      <w:bookmarkEnd w:id="615"/>
      <w:r/>
      <w:bookmarkEnd w:id="616"/>
      <w:r/>
      <w:bookmarkStart w:id="639" w:name="_Toc351203648"/>
      <w:r/>
      <w:bookmarkStart w:id="640" w:name="_Toc280868717"/>
      <w:r/>
      <w:bookmarkStart w:id="641" w:name="_Toc280868718"/>
      <w:r/>
      <w:r/>
    </w:p>
    <w:p>
      <w:pPr>
        <w:numPr>
          <w:ilvl w:val="0"/>
          <w:numId w:val="2"/>
        </w:num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违约</w:t>
      </w:r>
      <w:bookmarkEnd w:id="639"/>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16.1 发包人违约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16.1.2 发包人违约的责任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（1）因发包人原因未能在计划开工日期前 7 天内下达开工通知的违约责任：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 10.1 款〔变更的范围〕第（2）项约定，自行实施被取消的工作或转由他人实施的违约责任：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 </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（7）其他：发包人发出书面开工通知前，承包人不得提前备工备料，承包人擅自投入造成损失的，发包人不作任何形式的补偿或赔偿。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项目因故未能实施，中标后至可以将项目负责人解锁期间的企业管理费中的人员费用，发包人不做任何形式的补偿或赔偿。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/天</w:t>
      </w:r>
      <w:r>
        <w:rPr>
          <w:rFonts w:hint="eastAsia" w:ascii="宋体" w:hAnsi="宋体" w:eastAsia="宋体" w:cs="宋体"/>
          <w:szCs w:val="21"/>
          <w:highlight w:val="none"/>
        </w:rPr>
        <w:t xml:space="preserve">后发包人仍不纠正其违约行为并致使合同目的不能实现的，承包人有权解除合同。</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16.2 承包人违约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约的其他情形：违反合同约定进行转包或违法分包，违反合同约定采购不合格的材料和工程设备，在缺陷责任期及保修期内未能在合理期限内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承包人不得转包、不得以任何形式进行挂靠施工及违法分包。如承包人以挂靠、转包或变相挂靠转包的，发包人有权</w:t>
      </w:r>
      <w:r>
        <w:rPr>
          <w:rFonts w:hint="eastAsia" w:ascii="宋体" w:hAnsi="宋体" w:eastAsia="宋体" w:cs="宋体"/>
          <w:szCs w:val="21"/>
          <w:highlight w:val="none"/>
          <w:u w:val="single"/>
        </w:rPr>
        <w:t xml:space="preserve">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终止合同，并没收其履约保证金，承包人应承担合同总金额 30%的违约金并赔偿因此造成发包人的一切损失。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因承包人的原因导致实际进度与进度计划不符，承包人无权就改进措施提出追加合同价款，并按合同约定承担违约责任；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（5）发包人根据现场进展情况有权要求承包人增加机械、人员，所发生的费用由承包人自行承担，不服从管理的，发包人有权要求承包人承担 5000 元每次的违约金；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勘查现场，考虑地块位置的局限性及施工场地较小因素，并充分考虑工期及质量影响，项目现场矛盾由承包人自行协调解决，费用由承包人自行考虑在签约合同价中，发包人不另行签证，工期不顺延，确保质量符合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（8）无论是货物、材料还是施工如有质量问题，承包人必须按发包人或监理提出整改意见整改到位后，提请验收；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（9）工程质保期按现行相关规定执行，并从工程竣工验收合格之日起计算。在质保期内如出现产品质量问题或安装施工质量问题，责任由承包人负责；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（10）承包人须考虑保护地下设施, 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（11）对于招标文件、清单或图纸中的表述不清、有矛盾的地方，承包人在规定的时间内提出答疑，未提出答疑，施工进场时，按照发包人的解释执行；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（12）承包人报送的结算资料是复印件的，报审时携带原件核对。审核过程中，承包人保证密切配合，以确保及时、准确地完成工程结算审核工作；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在遵守地方政府规定的前提下确保工期和质量，自行处理各方关系，费用自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7天内支付</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①不同意本工程合同条件；</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②停工累计达 2 天或拖延施工进度或影响施工质量；</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③无正当理由，单方面要挟发包人提高合同价款；</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④无正当理由，单方面要挟发包人给予某种补偿；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⑤承包人未在合同签订后 15 日内完成施工许可证办理的。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⑥承包人未在合同签订后 10 日内向发包人、监理单位，提供与劳务公司（水电安装、消防、装修、室外附属工程）签订的用工合同，或提供班组人员与施工单位签订的用工合同的。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⑦因主要材料不到场而解除合同，承包人无条件退场（包括已进场的材料等一切投入），发包人不承担任何责任。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2" w:name="_Toc351203649"/>
      <w:r>
        <w:rPr>
          <w:rFonts w:hint="eastAsia" w:ascii="宋体" w:hAnsi="宋体" w:eastAsia="宋体" w:cs="宋体"/>
          <w:b/>
          <w:szCs w:val="21"/>
          <w:highlight w:val="none"/>
        </w:rPr>
        <w:t xml:space="preserve">17. 不可抗力</w:t>
      </w:r>
      <w:bookmarkEnd w:id="642"/>
      <w:r>
        <w:rPr>
          <w:rFonts w:hint="eastAsia" w:ascii="宋体" w:hAnsi="宋体" w:eastAsia="宋体" w:cs="宋体"/>
          <w:b/>
          <w:szCs w:val="21"/>
          <w:highlight w:val="none"/>
        </w:rPr>
        <w:t xml:space="preserve"> </w:t>
      </w:r>
      <w:bookmarkEnd w:id="640"/>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17.1 不可抗力的确认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政府行为、流行病、罢工等社会异常事件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17.4 因不可抗力解除合同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30 </w:t>
      </w:r>
      <w:r>
        <w:rPr>
          <w:rFonts w:hint="eastAsia" w:ascii="宋体" w:hAnsi="宋体" w:eastAsia="宋体" w:cs="宋体"/>
          <w:szCs w:val="21"/>
          <w:highlight w:val="none"/>
        </w:rPr>
        <w:t xml:space="preserve">天内完成款项的支付。</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3" w:name="_Toc351203650"/>
      <w:r>
        <w:rPr>
          <w:rFonts w:hint="eastAsia" w:ascii="宋体" w:hAnsi="宋体" w:eastAsia="宋体" w:cs="宋体"/>
          <w:b/>
          <w:szCs w:val="21"/>
          <w:highlight w:val="none"/>
        </w:rPr>
        <w:t xml:space="preserve">18. 保险</w:t>
      </w:r>
      <w:bookmarkEnd w:id="643"/>
      <w:r/>
      <w:bookmarkEnd w:id="641"/>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18.1 工程保险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承包人投保安装工程一切险并承担保险费用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18.3 其他保险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由承包人按相应规定办理，相关费用由承包人承担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18.7 通知义务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bookmarkEnd w:id="617"/>
      <w:bookmarkEnd w:id="618"/>
      <w:bookmarkEnd w:id="619"/>
      <w:bookmarkEnd w:id="620"/>
      <w:bookmarkEnd w:id="621"/>
      <w:bookmarkEnd w:id="622"/>
      <w:bookmarkEnd w:id="623"/>
      <w:bookmarkEnd w:id="624"/>
      <w:bookmarkEnd w:id="625"/>
      <w:bookmarkEnd w:id="626"/>
      <w:bookmarkEnd w:id="627"/>
      <w:bookmarkEnd w:id="628"/>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4" w:name="_Toc351203651"/>
      <w:r>
        <w:rPr>
          <w:rFonts w:hint="eastAsia" w:ascii="宋体" w:hAnsi="宋体" w:eastAsia="宋体" w:cs="宋体"/>
          <w:b/>
          <w:szCs w:val="21"/>
          <w:highlight w:val="none"/>
        </w:rPr>
        <w:t xml:space="preserve">20. 争议解决</w:t>
      </w:r>
      <w:bookmarkEnd w:id="644"/>
      <w:r/>
      <w:bookmarkEnd w:id="629"/>
      <w:bookmarkEnd w:id="630"/>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20.3 争</w:t>
      </w:r>
      <w:bookmarkEnd w:id="631"/>
      <w:r>
        <w:rPr>
          <w:rFonts w:hint="eastAsia" w:ascii="宋体" w:hAnsi="宋体" w:eastAsia="宋体" w:cs="宋体"/>
          <w:b/>
          <w:szCs w:val="21"/>
          <w:highlight w:val="none"/>
        </w:rPr>
        <w:t xml:space="preserve">议评审</w:t>
      </w:r>
      <w:r/>
    </w:p>
    <w:p>
      <w:pPr>
        <w:ind w:left="0" w:firstLine="31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20.3.1 争议评审小组的确定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20.3.2 争议评审小组的决定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20.4仲裁或诉讼</w:t>
      </w:r>
      <w:bookmarkEnd w:id="632"/>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盐城 </w:t>
      </w:r>
      <w:r>
        <w:rPr>
          <w:rFonts w:hint="eastAsia" w:ascii="宋体" w:hAnsi="宋体" w:eastAsia="宋体" w:cs="宋体"/>
          <w:szCs w:val="21"/>
          <w:highlight w:val="none"/>
        </w:rPr>
        <w:t xml:space="preserve">仲裁委员会申请仲裁；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w:t>
      </w:r>
      <w:r>
        <w:rPr>
          <w:rFonts w:hint="eastAsia" w:ascii="宋体" w:hAnsi="宋体" w:eastAsia="宋体" w:cs="宋体"/>
          <w:szCs w:val="21"/>
          <w:highlight w:val="none"/>
        </w:rPr>
        <w:t xml:space="preserve">人民法院起诉。</w:t>
      </w:r>
      <w:bookmarkEnd w:id="633"/>
      <w:r/>
      <w:bookmarkEnd w:id="634"/>
      <w:r/>
      <w:bookmarkEnd w:id="635"/>
      <w:r/>
      <w:bookmarkEnd w:id="636"/>
      <w:r/>
      <w:bookmarkEnd w:id="637"/>
      <w:r/>
      <w:bookmarkEnd w:id="63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21.通知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发包人向承包人发送的通知，以邮寄方式发出的，自邮寄之日起第3日视为送达，以电子邮件或传真发出的，自发出之时即视为送达。</w:t>
      </w:r>
      <w:r/>
    </w:p>
    <w:p>
      <w:pPr>
        <w:ind w:left="0" w:firstLine="42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ind w:left="0"/>
        <w:pageBreakBefore w:val="0"/>
        <w:spacing w:line="219" w:lineRule="auto"/>
        <w:widowControl w:val="off"/>
        <w:rPr>
          <w:rFonts w:hint="eastAsia" w:ascii="宋体" w:hAnsi="宋体" w:eastAsia="宋体" w:cs="宋体"/>
          <w:szCs w:val="21"/>
          <w:highlight w:val="none"/>
        </w:rPr>
      </w:pPr>
      <w:r>
        <w:rPr>
          <w:rFonts w:hint="eastAsia" w:ascii="宋体" w:hAnsi="宋体" w:eastAsia="宋体" w:cs="宋体"/>
          <w:spacing w:val="-5"/>
          <w:szCs w:val="21"/>
          <w:highlight w:val="none"/>
        </w:rPr>
        <w:t xml:space="preserve">发包人（盖章</w:t>
      </w:r>
      <w:r>
        <w:rPr>
          <w:rFonts w:hint="eastAsia" w:ascii="宋体" w:hAnsi="宋体" w:eastAsia="宋体" w:cs="宋体"/>
          <w:spacing w:val="-1"/>
          <w:szCs w:val="21"/>
          <w:highlight w:val="none"/>
        </w:rPr>
        <w:t xml:space="preserve">）：</w:t>
      </w:r>
      <w:r>
        <w:rPr>
          <w:rFonts w:hint="eastAsia" w:ascii="宋体" w:hAnsi="宋体" w:eastAsia="宋体" w:cs="宋体"/>
          <w:szCs w:val="21"/>
          <w:highlight w:val="none"/>
        </w:rPr>
        <w:t xml:space="preserve">                         </w:t>
      </w:r>
      <w:r>
        <w:rPr>
          <w:rFonts w:hint="eastAsia" w:ascii="宋体" w:hAnsi="宋体" w:eastAsia="宋体" w:cs="宋体"/>
          <w:spacing w:val="-5"/>
          <w:szCs w:val="21"/>
          <w:highlight w:val="none"/>
        </w:rPr>
        <w:t xml:space="preserve">承包人（盖章</w:t>
      </w:r>
      <w:r>
        <w:rPr>
          <w:rFonts w:hint="eastAsia" w:ascii="宋体" w:hAnsi="宋体" w:eastAsia="宋体" w:cs="宋体"/>
          <w:spacing w:val="-1"/>
          <w:szCs w:val="21"/>
          <w:highlight w:val="none"/>
        </w:rPr>
        <w:t xml:space="preserve">）：</w:t>
      </w:r>
      <w:r/>
    </w:p>
    <w:p>
      <w:pPr>
        <w:pStyle w:val="805"/>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pStyle w:val="805"/>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ind w:left="0"/>
        <w:pageBreakBefore w:val="0"/>
        <w:spacing w:line="220" w:lineRule="auto"/>
        <w:widowControl w:val="off"/>
        <w:rPr>
          <w:rFonts w:hint="eastAsia" w:ascii="宋体" w:hAnsi="宋体" w:eastAsia="宋体" w:cs="宋体"/>
          <w:szCs w:val="21"/>
          <w:highlight w:val="none"/>
        </w:rPr>
      </w:pPr>
      <w:r>
        <w:rPr>
          <w:rFonts w:hint="eastAsia" w:ascii="宋体" w:hAnsi="宋体" w:eastAsia="宋体" w:cs="宋体"/>
          <w:spacing w:val="-10"/>
          <w:szCs w:val="21"/>
          <w:highlight w:val="none"/>
        </w:rPr>
        <w:t xml:space="preserve">日期：</w:t>
      </w:r>
      <w:r>
        <w:rPr>
          <w:rFonts w:hint="eastAsia" w:ascii="宋体" w:hAnsi="宋体" w:eastAsia="宋体" w:cs="宋体"/>
          <w:spacing w:val="9"/>
          <w:szCs w:val="21"/>
          <w:highlight w:val="none"/>
        </w:rPr>
        <w:t xml:space="preserve">   </w:t>
      </w:r>
      <w:r>
        <w:rPr>
          <w:rFonts w:hint="eastAsia" w:ascii="宋体" w:hAnsi="宋体" w:eastAsia="宋体" w:cs="宋体"/>
          <w:spacing w:val="-10"/>
          <w:szCs w:val="21"/>
          <w:highlight w:val="none"/>
        </w:rPr>
        <w:t xml:space="preserve">年</w:t>
      </w:r>
      <w:r>
        <w:rPr>
          <w:rFonts w:hint="eastAsia" w:ascii="宋体" w:hAnsi="宋体" w:eastAsia="宋体" w:cs="宋体"/>
          <w:spacing w:val="6"/>
          <w:szCs w:val="21"/>
          <w:highlight w:val="none"/>
        </w:rPr>
        <w:t xml:space="preserve">  </w:t>
      </w:r>
      <w:r>
        <w:rPr>
          <w:rFonts w:hint="eastAsia" w:ascii="宋体" w:hAnsi="宋体" w:eastAsia="宋体" w:cs="宋体"/>
          <w:spacing w:val="-10"/>
          <w:szCs w:val="21"/>
          <w:highlight w:val="none"/>
        </w:rPr>
        <w:t xml:space="preserve">月</w:t>
      </w:r>
      <w:r>
        <w:rPr>
          <w:rFonts w:hint="eastAsia" w:ascii="宋体" w:hAnsi="宋体" w:eastAsia="宋体" w:cs="宋体"/>
          <w:spacing w:val="23"/>
          <w:szCs w:val="21"/>
          <w:highlight w:val="none"/>
        </w:rPr>
        <w:t xml:space="preserve">  </w:t>
      </w:r>
      <w:r>
        <w:rPr>
          <w:rFonts w:hint="eastAsia" w:ascii="宋体" w:hAnsi="宋体" w:eastAsia="宋体" w:cs="宋体"/>
          <w:spacing w:val="-10"/>
          <w:szCs w:val="21"/>
          <w:highlight w:val="none"/>
        </w:rPr>
        <w:t xml:space="preserve">日                        日期：</w:t>
      </w:r>
      <w:r>
        <w:rPr>
          <w:rFonts w:hint="eastAsia" w:ascii="宋体" w:hAnsi="宋体" w:eastAsia="宋体" w:cs="宋体"/>
          <w:spacing w:val="2"/>
          <w:szCs w:val="21"/>
          <w:highlight w:val="none"/>
        </w:rPr>
        <w:t xml:space="preserve">    </w:t>
      </w:r>
      <w:r>
        <w:rPr>
          <w:rFonts w:hint="eastAsia" w:ascii="宋体" w:hAnsi="宋体" w:eastAsia="宋体" w:cs="宋体"/>
          <w:spacing w:val="-10"/>
          <w:szCs w:val="21"/>
          <w:highlight w:val="none"/>
        </w:rPr>
        <w:t xml:space="preserve">年  月   日</w:t>
      </w:r>
      <w:r/>
    </w:p>
    <w:p>
      <w:pPr>
        <w:spacing w:line="360" w:lineRule="auto"/>
        <w:rPr>
          <w:rFonts w:hint="eastAsia" w:ascii="宋体" w:hAnsi="宋体" w:eastAsia="宋体" w:cs="宋体"/>
          <w:sz w:val="24"/>
          <w:highlight w:val="none"/>
        </w:rPr>
      </w:pPr>
      <w:r>
        <w:rPr>
          <w:rFonts w:hint="eastAsia" w:ascii="宋体" w:hAnsi="宋体" w:eastAsia="宋体" w:cs="宋体"/>
          <w:sz w:val="44"/>
          <w:szCs w:val="44"/>
          <w:highlight w:val="none"/>
        </w:rPr>
        <w:br w:type="page" w:clear="all"/>
      </w:r>
      <w:r>
        <w:rPr>
          <w:rFonts w:hint="eastAsia" w:ascii="宋体" w:hAnsi="宋体" w:eastAsia="宋体" w:cs="宋体"/>
          <w:sz w:val="24"/>
          <w:highlight w:val="none"/>
        </w:rPr>
        <w:t xml:space="preserve">附件</w:t>
      </w:r>
      <w:r/>
    </w:p>
    <w:p>
      <w:pPr>
        <w:pStyle w:val="822"/>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附件1：工程质量保修书</w:t>
      </w:r>
      <w:r/>
    </w:p>
    <w:p>
      <w:pPr>
        <w:rPr>
          <w:rFonts w:hint="eastAsia" w:ascii="宋体" w:hAnsi="宋体" w:eastAsia="宋体" w:cs="宋体"/>
          <w:sz w:val="24"/>
          <w:highlight w:val="none"/>
        </w:rPr>
      </w:pPr>
      <w:r>
        <w:rPr>
          <w:rFonts w:hint="eastAsia" w:ascii="宋体" w:hAnsi="宋体" w:eastAsia="宋体" w:cs="宋体"/>
          <w:sz w:val="24"/>
          <w:highlight w:val="none"/>
        </w:rPr>
        <w:t xml:space="preserve">附件2：安全生产合同</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171"/>
        <w:spacing w:before="97" w:line="222" w:lineRule="auto"/>
        <w:rPr>
          <w:rFonts w:hint="eastAsia" w:ascii="宋体" w:hAnsi="宋体" w:eastAsia="宋体" w:cs="宋体"/>
          <w:szCs w:val="21"/>
          <w:highlight w:val="none"/>
        </w:rPr>
      </w:pPr>
      <w:r>
        <w:rPr>
          <w:rFonts w:hint="eastAsia" w:ascii="宋体" w:hAnsi="宋体" w:eastAsia="宋体" w:cs="宋体"/>
          <w:spacing w:val="-12"/>
          <w:sz w:val="30"/>
          <w:szCs w:val="30"/>
          <w:highlight w:val="none"/>
        </w:rPr>
        <w:br w:type="page" w:clear="all"/>
      </w:r>
      <w:r>
        <w:rPr>
          <w:rFonts w:hint="eastAsia" w:ascii="宋体" w:hAnsi="宋体" w:eastAsia="宋体" w:cs="宋体"/>
          <w:spacing w:val="-12"/>
          <w:szCs w:val="21"/>
          <w:highlight w:val="none"/>
        </w:rPr>
        <w:t xml:space="preserve">附件</w:t>
      </w:r>
      <w:r>
        <w:rPr>
          <w:rFonts w:hint="eastAsia" w:ascii="宋体" w:hAnsi="宋体" w:eastAsia="宋体" w:cs="宋体"/>
          <w:spacing w:val="-61"/>
          <w:szCs w:val="21"/>
          <w:highlight w:val="none"/>
        </w:rPr>
        <w:t xml:space="preserve"> </w:t>
      </w:r>
      <w:r>
        <w:rPr>
          <w:rFonts w:hint="eastAsia" w:ascii="宋体" w:hAnsi="宋体" w:eastAsia="宋体" w:cs="宋体"/>
          <w:spacing w:val="-12"/>
          <w:szCs w:val="21"/>
          <w:highlight w:val="none"/>
        </w:rPr>
        <w:t xml:space="preserve">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发包人（全称）：</w:t>
      </w:r>
      <w:r>
        <w:rPr>
          <w:rFonts w:ascii="宋体" w:hAnsi="宋体" w:eastAsia="宋体" w:cs="宋体"/>
          <w:sz w:val="22"/>
          <w:szCs w:val="22"/>
          <w:highlight w:val="none"/>
        </w:rPr>
        <w:t xml:space="preserve">盐城市盐都区龙冈镇人民政府</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承包人（全称）：</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发包人和承包人根据《中华人民共和国建筑法》和《建设工程质量管理条例》，经协商一致就签订工程质量保修书。</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一、工程质量保修范围和内容</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承包人在质量保修期内，按照有关法律规定和合同约定，承担工程质量保修责任。</w:t>
      </w:r>
      <w:r/>
    </w:p>
    <w:p>
      <w:pPr>
        <w:ind w:firstLine="42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二、质量保修期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根据《建设工程质量管理条例》及有关规定，工程的质量保修期如下：</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1．地基基础工程和主体结构工程为设计文件规定的工程合理使用年限；</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2．屋面防水工程、有防水要求的卫生间、房间和外墙面的防渗为</w:t>
      </w:r>
      <w:r>
        <w:rPr>
          <w:rFonts w:hint="eastAsia" w:ascii="宋体" w:hAnsi="宋体" w:eastAsia="宋体" w:cs="宋体"/>
          <w:sz w:val="22"/>
          <w:szCs w:val="22"/>
          <w:highlight w:val="none"/>
          <w:u w:val="single"/>
        </w:rPr>
        <w:t xml:space="preserve">5</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3．装修工程为</w:t>
      </w:r>
      <w:r>
        <w:rPr>
          <w:rFonts w:hint="eastAsia" w:ascii="宋体" w:hAnsi="宋体" w:eastAsia="宋体" w:cs="宋体"/>
          <w:sz w:val="22"/>
          <w:szCs w:val="22"/>
          <w:highlight w:val="none"/>
          <w:u w:val="single"/>
        </w:rPr>
        <w:t xml:space="preserve">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4．电气管线、给排水管道、设备安装工程为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5．供热与供冷系统为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个采暖期、供冷期；</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6．住宅小区内的给排水设施、道路等配套工程为</w:t>
      </w:r>
      <w:r>
        <w:rPr>
          <w:rFonts w:hint="eastAsia" w:ascii="宋体" w:hAnsi="宋体" w:eastAsia="宋体" w:cs="宋体"/>
          <w:sz w:val="22"/>
          <w:szCs w:val="22"/>
          <w:highlight w:val="none"/>
          <w:u w:val="single"/>
        </w:rPr>
        <w:t xml:space="preserve">  2  </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7．其他项目保修期限约定如下：</w:t>
      </w:r>
      <w:r>
        <w:rPr>
          <w:rFonts w:hint="eastAsia" w:ascii="宋体" w:hAnsi="宋体" w:eastAsia="宋体" w:cs="宋体"/>
          <w:sz w:val="22"/>
          <w:szCs w:val="22"/>
          <w:highlight w:val="none"/>
          <w:u w:val="single"/>
        </w:rPr>
        <w:t xml:space="preserve">两年</w:t>
      </w:r>
      <w:r>
        <w:rPr>
          <w:rFonts w:hint="eastAsia" w:ascii="宋体" w:hAnsi="宋体" w:eastAsia="宋体" w:cs="宋体"/>
          <w:sz w:val="22"/>
          <w:szCs w:val="22"/>
          <w:highlight w:val="none"/>
        </w:rPr>
        <w:t xml:space="preserve">。</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质量保修期自工程竣工验收合格之日起计算。</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三、缺陷责任期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工程缺陷责任期为24个月，缺陷责任期自工程通过竣工验收之日起计算。单位工程先于全部工程进行验收，单位工程缺陷责任期自单位工程验收合格之日起算。</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缺陷责任期终止后，发包人无息退还剩余的质量保证金。</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四、质量保修责任</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1．属于保修范围、内容的项目，承包人应当在接到保修通知之日起2天内派人保修。承包人不在约定期限内派人保修的，发包人可以委托他人修理。</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2．发生紧急事故需抢修的，承包人在接到事故通知后，应当立即到达事故现场抢修。</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4．质量保修完成后，由发包人组织验收。</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五、保修费用</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保修费用由造成质量缺陷的责任方承担。</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六、双方约定的其他工程质量保修事项：</w:t>
      </w:r>
      <w:r>
        <w:rPr>
          <w:rFonts w:hint="eastAsia" w:ascii="宋体" w:hAnsi="宋体" w:eastAsia="宋体" w:cs="宋体"/>
          <w:sz w:val="22"/>
          <w:szCs w:val="22"/>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w:t>
      </w:r>
      <w:r>
        <w:rPr>
          <w:rFonts w:hint="eastAsia" w:ascii="宋体" w:hAnsi="宋体" w:eastAsia="宋体" w:cs="宋体"/>
          <w:sz w:val="22"/>
          <w:szCs w:val="22"/>
          <w:highlight w:val="none"/>
          <w:u w:val="single"/>
        </w:rPr>
        <w:t xml:space="preserve">              </w:t>
      </w:r>
      <w:r>
        <w:rPr>
          <w:rFonts w:hint="eastAsia" w:ascii="宋体" w:hAnsi="宋体" w:eastAsia="宋体" w:cs="宋体"/>
          <w:sz w:val="22"/>
          <w:szCs w:val="22"/>
          <w:highlight w:val="none"/>
        </w:rPr>
        <w:t xml:space="preserve">         承包人(公章)：</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u w:val="single"/>
        </w:rPr>
        <w:t xml:space="preserve">             </w:t>
      </w:r>
      <w:r>
        <w:rPr>
          <w:rFonts w:hint="eastAsia" w:ascii="宋体" w:hAnsi="宋体" w:eastAsia="宋体" w:cs="宋体"/>
          <w:sz w:val="22"/>
          <w:szCs w:val="22"/>
          <w:highlight w:val="none"/>
        </w:rPr>
        <w:t xml:space="preserve">        地  址：</w:t>
      </w:r>
      <w:r>
        <w:rPr>
          <w:rFonts w:hint="eastAsia" w:ascii="宋体" w:hAnsi="宋体" w:eastAsia="宋体" w:cs="宋体"/>
          <w:sz w:val="22"/>
          <w:szCs w:val="22"/>
          <w:highlight w:val="none"/>
          <w:u w:val="single"/>
        </w:rPr>
        <w:t xml:space="preserve">       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法定代表人(签字)：</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法定代表人(签字)：</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委托代理人(签字)：</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委托代理人(签字)：</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  话：</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电  话：</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传  真：</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传  真：</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开户银行：</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开户银行：</w:t>
      </w:r>
      <w:r>
        <w:rPr>
          <w:rFonts w:hint="eastAsia" w:ascii="宋体" w:hAnsi="宋体" w:eastAsia="宋体" w:cs="宋体"/>
          <w:sz w:val="22"/>
          <w:szCs w:val="22"/>
          <w:highlight w:val="none"/>
          <w:u w:val="single"/>
        </w:rPr>
        <w:t xml:space="preserve"> 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账  号：</w:t>
      </w:r>
      <w:r>
        <w:rPr>
          <w:rFonts w:hint="eastAsia" w:ascii="宋体" w:hAnsi="宋体" w:eastAsia="宋体" w:cs="宋体"/>
          <w:sz w:val="22"/>
          <w:szCs w:val="22"/>
          <w:highlight w:val="none"/>
          <w:u w:val="single"/>
        </w:rPr>
        <w:t xml:space="preserve">       </w:t>
      </w:r>
      <w:bookmarkStart w:id="645" w:name="OLE_LINK19"/>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账</w:t>
      </w:r>
      <w:bookmarkEnd w:id="645"/>
      <w:r>
        <w:rPr>
          <w:rFonts w:hint="eastAsia" w:ascii="宋体" w:hAnsi="宋体" w:eastAsia="宋体" w:cs="宋体"/>
          <w:sz w:val="22"/>
          <w:szCs w:val="22"/>
          <w:highlight w:val="none"/>
        </w:rPr>
        <w:t xml:space="preserve"> 号：</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邮政编码：</w:t>
      </w:r>
      <w:r>
        <w:rPr>
          <w:rFonts w:hint="eastAsia" w:ascii="宋体" w:hAnsi="宋体" w:eastAsia="宋体" w:cs="宋体"/>
          <w:sz w:val="22"/>
          <w:szCs w:val="22"/>
          <w:highlight w:val="none"/>
          <w:u w:val="single"/>
        </w:rPr>
        <w:t xml:space="preserve">              </w:t>
      </w:r>
      <w:r>
        <w:rPr>
          <w:rFonts w:hint="eastAsia" w:ascii="宋体" w:hAnsi="宋体" w:eastAsia="宋体" w:cs="宋体"/>
          <w:sz w:val="22"/>
          <w:szCs w:val="22"/>
          <w:highlight w:val="none"/>
        </w:rPr>
        <w:t xml:space="preserve">       邮政编码：</w:t>
      </w:r>
      <w:r>
        <w:rPr>
          <w:rFonts w:hint="eastAsia" w:ascii="宋体" w:hAnsi="宋体" w:eastAsia="宋体" w:cs="宋体"/>
          <w:sz w:val="22"/>
          <w:szCs w:val="22"/>
          <w:highlight w:val="none"/>
          <w:u w:val="single"/>
        </w:rPr>
        <w:t xml:space="preserve">    </w:t>
      </w:r>
      <w:r/>
    </w:p>
    <w:p>
      <w:pPr>
        <w:ind w:left="166"/>
        <w:spacing w:before="183" w:line="22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pacing w:val="-13"/>
          <w:sz w:val="24"/>
          <w:highlight w:val="none"/>
        </w:rPr>
      </w:pPr>
      <w:r>
        <w:rPr>
          <w:rFonts w:hint="eastAsia" w:ascii="宋体" w:hAnsi="宋体" w:eastAsia="宋体" w:cs="宋体"/>
          <w:sz w:val="24"/>
          <w:szCs w:val="32"/>
          <w:highlight w:val="none"/>
        </w:rPr>
        <w:br w:type="page" w:clear="all"/>
      </w:r>
      <w:r>
        <w:rPr>
          <w:rFonts w:hint="eastAsia" w:ascii="宋体" w:hAnsi="宋体" w:eastAsia="宋体" w:cs="宋体"/>
          <w:spacing w:val="-13"/>
          <w:sz w:val="24"/>
          <w:highlight w:val="none"/>
        </w:rPr>
        <w:t xml:space="preserve">附件</w:t>
      </w:r>
      <w:r>
        <w:rPr>
          <w:rFonts w:hint="eastAsia" w:ascii="宋体" w:hAnsi="宋体" w:eastAsia="宋体" w:cs="宋体"/>
          <w:spacing w:val="-37"/>
          <w:sz w:val="24"/>
          <w:highlight w:val="none"/>
        </w:rPr>
        <w:t xml:space="preserve"> </w:t>
      </w:r>
      <w:r>
        <w:rPr>
          <w:rFonts w:hint="eastAsia" w:ascii="宋体" w:hAnsi="宋体" w:eastAsia="宋体" w:cs="宋体"/>
          <w:spacing w:val="-13"/>
          <w:sz w:val="24"/>
          <w:highlight w:val="none"/>
        </w:rPr>
        <w:t xml:space="preserve">2</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安全生产合同</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甲方（发包方）：</w:t>
      </w:r>
      <w:r>
        <w:rPr>
          <w:rFonts w:hint="eastAsia" w:ascii="宋体" w:hAnsi="宋体" w:cs="宋体"/>
          <w:sz w:val="24"/>
          <w:highlight w:val="none"/>
          <w:u w:val="single"/>
          <w:lang w:bidi="en-US"/>
        </w:rPr>
        <w:t xml:space="preserve">盐城市盐都区龙冈镇人民政府</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乙方（承包方）：</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eastAsia="宋体" w:cs="宋体"/>
          <w:sz w:val="24"/>
          <w:highlight w:val="none"/>
          <w:u w:val="single"/>
          <w:lang w:eastAsia="zh-CN" w:bidi="en-US"/>
        </w:rPr>
        <w:t xml:space="preserve">龙冈镇刘垎村道路改造和人居环境提升项目</w:t>
      </w:r>
      <w:r>
        <w:rPr>
          <w:rFonts w:hint="eastAsia" w:ascii="宋体" w:hAnsi="宋体" w:eastAsia="宋体" w:cs="宋体"/>
          <w:sz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一、工程概况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工程名称：</w:t>
      </w:r>
      <w:r>
        <w:rPr>
          <w:rFonts w:hint="eastAsia" w:ascii="宋体" w:hAnsi="宋体" w:eastAsia="宋体" w:cs="宋体"/>
          <w:sz w:val="24"/>
          <w:highlight w:val="none"/>
          <w:u w:val="single"/>
          <w:lang w:eastAsia="zh-CN" w:bidi="en-US"/>
        </w:rPr>
        <w:t xml:space="preserve">龙冈镇刘垎村道路改造和人居环境提升项目</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工程地点：</w:t>
      </w:r>
      <w:r>
        <w:rPr>
          <w:rFonts w:hint="eastAsia" w:ascii="宋体" w:hAnsi="宋体" w:cs="宋体"/>
          <w:sz w:val="24"/>
          <w:highlight w:val="none"/>
          <w:u w:val="single"/>
          <w:lang w:bidi="en-US"/>
        </w:rPr>
        <w:t xml:space="preserve">盐都区龙冈镇境内</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二、合同履行期限：</w:t>
      </w:r>
      <w:r>
        <w:rPr>
          <w:rFonts w:hint="eastAsia" w:ascii="宋体" w:hAnsi="宋体" w:cs="宋体"/>
          <w:bCs/>
          <w:sz w:val="24"/>
          <w:highlight w:val="none"/>
          <w:lang w:bidi="en-US"/>
        </w:rPr>
        <w:t xml:space="preserve">60日历天</w:t>
      </w:r>
      <w:r>
        <w:rPr>
          <w:rFonts w:hint="eastAsia" w:ascii="宋体" w:hAnsi="宋体" w:eastAsia="宋体" w:cs="宋体"/>
          <w:bCs/>
          <w:sz w:val="24"/>
          <w:highlight w:val="none"/>
          <w:lang w:bidi="en-US"/>
        </w:rPr>
        <w:t xml:space="preserve">。  </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三、安全生产</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1、乙方必须学习、掌握，并执行甲方发行的有关安全生产的各项规章制度和管理方式。</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2、乙方必须执行甲方与乙方共同制定的与项目有关的总体工程施工组织设计和安全技术方案。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3、乙方必须执行三级安全教育制度，项目经理、承包项目负责人及特种作业人员必须持证上岗。</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4、乙方必须执行安全生产检查整改制度，认真开展日常和定期、不定期的安全及治安保卫工作检查，及时发现隐患，落实整改措施，不断提高安全防范能力。</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5、乙方必须接受甲方或甲方上级主管部门、政府有关部门的安全生产检查，对于甲方查处的隐患，乙方必须限期整改。</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6、乙方必须执行安全防护设施、设备验收制度。</w:t>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7、乙方自带的施工机械设备，必须符合国家标准、规定，且机械性能良好、安全防护装置齐全、灵敏、有效。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8、乙方必须按规定为作业人员配发合格的劳动防护用品。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10、乙方须承担因为乙方的原因造成事故的经济责任和法律责任。</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11、乙方有权拒绝甲方的违章指挥。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13、乙方应做好重点要害部位的治安管理工作，达到制度全、管理严、设施齐，岗位人员责任性强。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14、乙方应严格执行国家有关暂住人口管理规定，外地施工人员进驻现场必须按规定办理暂住证；人员管理必须要做到：底数清、情况明、证件齐、登记申报及时。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17、乙方必须坚持文明施工，对所承担工程区域的文明施工负责，做到工完料尽场地清。</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18、甲方应为乙方创造良好的作业环境，完全因甲方的设施、设备不良造成的事故，应由甲方负责。</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19、甲方有监督、纠正乙方人员违章、违规、违纪行为的权力，对不服管理的有权命令其停止作业。</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20、甲方有权审查乙方的安全资质和人员的安全教育情况。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四、违 约</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1、达不到约定条件的，甲方一经发现，可要求乙方立即进行改正和补充完善，乙方应按甲方要求改正和补充完善，直到符合约定条件。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2、因乙方原因达不到约定条件的，由乙方承担违约责任和经济支出。</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五、争 议</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sz w:val="24"/>
          <w:highlight w:val="none"/>
        </w:rPr>
        <w:t xml:space="preserve"> </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2、本合同争议进行调解时，可提交进行调解。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3、仲裁或诉讼合同争议的最终解决方式为下列第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种方式：</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（1）提请</w:t>
      </w:r>
      <w:r>
        <w:rPr>
          <w:rFonts w:hint="eastAsia" w:ascii="宋体" w:hAnsi="宋体" w:eastAsia="宋体" w:cs="宋体"/>
          <w:sz w:val="24"/>
          <w:highlight w:val="none"/>
          <w:u w:val="single"/>
        </w:rPr>
        <w:t xml:space="preserve">盐城</w:t>
      </w:r>
      <w:r>
        <w:rPr>
          <w:rFonts w:hint="eastAsia" w:ascii="宋体" w:hAnsi="宋体" w:eastAsia="宋体" w:cs="宋体"/>
          <w:sz w:val="24"/>
          <w:highlight w:val="none"/>
        </w:rPr>
        <w:t xml:space="preserve">仲裁委员会进行仲裁。</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（2）向工程所在地人民法院提起诉讼。由此产生的包括但不限于律师费、诉讼费、鉴定费、保全费、保全保函费用等一切费用均由违约方承担。 </w:t>
      </w:r>
      <w:r/>
    </w:p>
    <w:p>
      <w:pPr>
        <w:ind w:firstLine="482"/>
        <w:spacing w:line="360" w:lineRule="auto"/>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六、</w:t>
      </w:r>
      <w:r>
        <w:rPr>
          <w:rFonts w:hint="eastAsia" w:ascii="宋体" w:hAnsi="宋体" w:eastAsia="宋体" w:cs="宋体"/>
          <w:sz w:val="24"/>
          <w:highlight w:val="none"/>
          <w:lang w:bidi="en-US"/>
        </w:rPr>
        <w:t xml:space="preserve">本合同作为甲方与乙方签署的《</w:t>
      </w:r>
      <w:r>
        <w:rPr>
          <w:rFonts w:hint="eastAsia" w:ascii="宋体" w:hAnsi="宋体" w:cs="宋体"/>
          <w:sz w:val="24"/>
          <w:highlight w:val="none"/>
          <w:lang w:bidi="en-US"/>
        </w:rPr>
        <w:t xml:space="preserve">盐城市盐都区龙冈镇人民政府</w:t>
      </w:r>
      <w:r>
        <w:rPr>
          <w:rFonts w:hint="eastAsia" w:ascii="宋体" w:hAnsi="宋体" w:eastAsia="宋体" w:cs="宋体"/>
          <w:sz w:val="24"/>
          <w:highlight w:val="none"/>
          <w:lang w:bidi="en-US"/>
        </w:rPr>
        <w:t xml:space="preserve">承包合同》 的附件，与《</w:t>
      </w:r>
      <w:r>
        <w:rPr>
          <w:rFonts w:hint="eastAsia" w:ascii="宋体" w:hAnsi="宋体" w:cs="宋体"/>
          <w:sz w:val="24"/>
          <w:highlight w:val="none"/>
          <w:lang w:bidi="en-US"/>
        </w:rPr>
        <w:t xml:space="preserve">盐城市盐都区龙冈镇人民政府</w:t>
      </w:r>
      <w:r>
        <w:rPr>
          <w:rFonts w:hint="eastAsia" w:ascii="宋体" w:hAnsi="宋体" w:eastAsia="宋体" w:cs="宋体"/>
          <w:sz w:val="24"/>
          <w:highlight w:val="none"/>
          <w:lang w:bidi="en-US"/>
        </w:rPr>
        <w:t xml:space="preserve">承包合同》具有同样的法律效力。经协议双方法定代表人或其委托代理人签字并加盖单位公司后立即生效。</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七、</w:t>
      </w:r>
      <w:r>
        <w:rPr>
          <w:rFonts w:hint="eastAsia" w:ascii="宋体" w:hAnsi="宋体" w:eastAsia="宋体" w:cs="宋体"/>
          <w:sz w:val="24"/>
          <w:highlight w:val="none"/>
          <w:lang w:bidi="en-US"/>
        </w:rPr>
        <w:t xml:space="preserve">本合同一式陆份，甲方执叁份，乙方执贰份，监理单位执壹份。</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甲方（盖章）：                    乙方（盖章）：</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法定代表人：                         法定代表人：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（或委托代理人签字或盖章）</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（或委托代理人签字或盖章）</w:t>
      </w:r>
      <w:r>
        <w:rPr>
          <w:rFonts w:hint="eastAsia" w:ascii="宋体" w:hAnsi="宋体" w:eastAsia="宋体" w:cs="宋体"/>
          <w:sz w:val="24"/>
          <w:highlight w:val="none"/>
          <w:u w:val="singl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日期：                               日期：</w:t>
      </w:r>
      <w:r/>
    </w:p>
    <w:p>
      <w:pPr>
        <w:pStyle w:val="798"/>
        <w:rPr>
          <w:rFonts w:hint="eastAsia"/>
          <w:highlight w:val="none"/>
          <w:lang w:bidi="en-US"/>
        </w:rPr>
      </w:pPr>
      <w:r>
        <w:rPr>
          <w:rFonts w:hint="eastAsia"/>
          <w:highlight w:val="none"/>
          <w:lang w:bidi="en-US"/>
        </w:rPr>
        <w:br w:type="page" w:clear="all"/>
      </w:r>
      <w:r/>
    </w:p>
    <w:p>
      <w:pPr>
        <w:pStyle w:val="822"/>
        <w:numPr>
          <w:ilvl w:val="0"/>
          <w:numId w:val="3"/>
        </w:numPr>
        <w:jc w:val="center"/>
        <w:spacing w:before="120" w:beforeAutospacing="0" w:after="120" w:afterAutospacing="0" w:line="0" w:lineRule="atLeast"/>
        <w:rPr>
          <w:rFonts w:hint="eastAsia" w:ascii="黑体" w:hAnsi="宋体" w:eastAsia="黑体" w:cs="黑体"/>
          <w:sz w:val="44"/>
          <w:szCs w:val="44"/>
          <w:highlight w:val="none"/>
        </w:rPr>
        <w:outlineLvl w:val="0"/>
      </w:pPr>
      <w:r>
        <w:rPr>
          <w:rFonts w:hint="eastAsia" w:ascii="黑体" w:hAnsi="宋体" w:eastAsia="黑体" w:cs="黑体"/>
          <w:sz w:val="44"/>
          <w:szCs w:val="44"/>
          <w:highlight w:val="none"/>
        </w:rPr>
        <w:t xml:space="preserve">采购需求</w:t>
      </w:r>
      <w:bookmarkEnd w:id="162"/>
      <w:r/>
      <w:bookmarkEnd w:id="163"/>
      <w:r/>
      <w:bookmarkEnd w:id="164"/>
      <w:r/>
      <w:bookmarkEnd w:id="165"/>
      <w:r/>
      <w:bookmarkEnd w:id="166"/>
      <w:r/>
      <w:bookmarkStart w:id="646" w:name="_Toc49090575"/>
      <w:r/>
      <w:bookmarkEnd w:id="646"/>
      <w:r/>
      <w:bookmarkStart w:id="647" w:name="_Toc26554093"/>
      <w:r/>
      <w:bookmarkEnd w:id="647"/>
      <w:r/>
      <w:r/>
    </w:p>
    <w:p>
      <w:pPr>
        <w:ind w:firstLine="498"/>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一、项目基本情况</w:t>
      </w:r>
      <w:r/>
    </w:p>
    <w:p>
      <w:pPr>
        <w:ind w:firstLine="48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color w:val="000000"/>
          <w:highlight w:val="none"/>
        </w:rPr>
        <w:t xml:space="preserve">1.项目名称：</w:t>
      </w:r>
      <w:r>
        <w:rPr>
          <w:rFonts w:hint="eastAsia" w:ascii="宋体" w:hAnsi="宋体" w:eastAsia="宋体" w:cs="宋体"/>
          <w:color w:val="000000"/>
          <w:highlight w:val="none"/>
          <w:lang w:eastAsia="zh-CN"/>
        </w:rPr>
        <w:t xml:space="preserve">龙冈镇刘垎村道路改造和人居环境提升项目</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.采购方式：竞争性磋商</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3.采购需求：</w:t>
      </w:r>
      <w:r>
        <w:rPr>
          <w:rFonts w:hint="eastAsia" w:ascii="宋体" w:hAnsi="宋体" w:eastAsia="宋体" w:cs="宋体"/>
          <w:color w:val="000000"/>
          <w:highlight w:val="none"/>
          <w:lang w:eastAsia="zh-CN"/>
        </w:rPr>
        <w:t xml:space="preserve">龙冈镇刘垎村道路改造和人居环境提升项目</w:t>
      </w:r>
      <w:r>
        <w:rPr>
          <w:rFonts w:hint="eastAsia" w:ascii="宋体" w:hAnsi="宋体" w:eastAsia="宋体" w:cs="宋体"/>
          <w:color w:val="000000"/>
          <w:highlight w:val="none"/>
        </w:rPr>
        <w:t xml:space="preserve">的施工，具体招标内容详见工程量清单和施工图纸。</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4.合同履行期限：60日历天，具体开工日期以采购人的书面通知为准。</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r>
        <w:rPr>
          <w:rFonts w:ascii="宋体" w:hAnsi="宋体" w:eastAsia="宋体" w:cs="宋体"/>
          <w:color w:val="000000"/>
          <w:highlight w:val="none"/>
        </w:rPr>
        <w:t xml:space="preserve">.质量要求：合格。</w:t>
      </w:r>
      <w:r/>
    </w:p>
    <w:p>
      <w:pPr>
        <w:ind w:firstLine="480"/>
        <w:keepLines w:val="0"/>
        <w:keepNext w:val="0"/>
        <w:pageBreakBefore w:val="0"/>
        <w:spacing w:line="360" w:lineRule="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w:t>
      </w:r>
      <w:r>
        <w:rPr>
          <w:rFonts w:ascii="宋体" w:hAnsi="宋体" w:eastAsia="宋体" w:cs="宋体"/>
          <w:color w:val="000000"/>
          <w:highlight w:val="none"/>
        </w:rPr>
        <w:t xml:space="preserve">.安全目标：无安全生产责任事故。</w:t>
      </w:r>
      <w:r/>
    </w:p>
    <w:p>
      <w:pPr>
        <w:ind w:firstLine="480"/>
        <w:keepLines w:val="0"/>
        <w:keepNext w:val="0"/>
        <w:pageBreakBefore w:val="0"/>
        <w:spacing w:line="360" w:lineRule="auto"/>
        <w:widowControl/>
        <w:rPr>
          <w:rFonts w:hint="eastAsia" w:ascii="黑体" w:hAnsi="宋体" w:eastAsia="黑体" w:cs="黑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w:t>
      </w:r>
      <w:r>
        <w:rPr>
          <w:rFonts w:ascii="宋体" w:hAnsi="宋体" w:eastAsia="宋体" w:cs="宋体"/>
          <w:color w:val="000000"/>
          <w:highlight w:val="none"/>
        </w:rPr>
        <w:t xml:space="preserve">.缺陷责任期：工程交工验收合格后2年。</w:t>
      </w:r>
      <w:r/>
    </w:p>
    <w:p>
      <w:pPr>
        <w:contextualSpacing/>
        <w:ind w:firstLine="482"/>
        <w:keepLines w:val="0"/>
        <w:keepNext w:val="0"/>
        <w:pageBreakBefore w:val="0"/>
        <w:spacing w:line="360" w:lineRule="auto"/>
        <w:rPr>
          <w:rFonts w:hint="eastAsia" w:ascii="宋体" w:hAnsi="宋体" w:eastAsia="宋体" w:cs="宋体"/>
          <w:b/>
          <w:szCs w:val="21"/>
          <w:highlight w:val="none"/>
        </w:rPr>
        <w:outlineLvl w:val="1"/>
      </w:pPr>
      <w:r/>
      <w:bookmarkStart w:id="648" w:name="_Toc152045548"/>
      <w:r/>
      <w:bookmarkStart w:id="649" w:name="_Toc144974516"/>
      <w:r/>
      <w:bookmarkStart w:id="650" w:name="_Toc152042324"/>
      <w:r/>
      <w:bookmarkStart w:id="651" w:name="_Toc300834969"/>
      <w:r/>
      <w:bookmarkStart w:id="652" w:name="_Toc247527573"/>
      <w:r/>
      <w:bookmarkStart w:id="653" w:name="_Toc247513972"/>
      <w:r>
        <w:rPr>
          <w:rFonts w:hint="eastAsia" w:ascii="宋体" w:hAnsi="宋体" w:eastAsia="宋体" w:cs="宋体"/>
          <w:b/>
          <w:szCs w:val="21"/>
          <w:highlight w:val="none"/>
        </w:rPr>
        <w:t xml:space="preserve">二、踏勘现场</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1.各磋商投标人应在递交磋商响应文件截止日前至工程实施现场进行现场踏勘，如因未踏勘现场造成的一切后果自负。</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2.磋商投标人踏勘现场发生的费用自理，自行承担在踏勘现场中所发生的人员伤亡和财产损失。</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r/>
    </w:p>
    <w:p>
      <w:pPr>
        <w:ind w:firstLine="422"/>
        <w:keepLines w:val="0"/>
        <w:keepNext w:val="0"/>
        <w:pageBreakBefore w:val="0"/>
        <w:spacing w:line="360" w:lineRule="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三、投标报价要求</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1.投标人应按招标人提供的“招标工程量清单”的要求填写价格清单。</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3.投标人需自行勘查现场，结合招标人的施工工艺要求，以及现场施工难度，进行投标报价，投标报价需包含按照招标人工艺要求进行施工的所有费用。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4.投标人须考虑现场情况，部分材料可能需要人工二次倒运，投标人须将此费用考虑在投标综合报价中。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8.工程必须确保安全，投标人自行承担工程施工过程中的工程质量、任何状况下的安全责任。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9.本工程施工过程中遇到的地方矛盾、与其他施工单位的矛盾协调、环保，城管，环卫，附近居民等相关矛盾协调，均由投标人自行解决，并不支付任何额外费用。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10.本项目施工用水、用电由投标人自行解决，投标人投标报价时应将施工用水、用电充分考虑到投标报价的综合单价中，结算时，此部分费用不再另行计取。</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11.本项目具体开工时间以招标人通知为准，投标人不得以项目开始实施时间太迟为由要求招标人调整价格，投标人投标时应将此风险充分考虑到投标报价中。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12.工程量现场实测计量，招标人保留增加或减少工作量的权利，合同价相应调整，但投标的综合单价不变。</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13.材料进场前投标人必须送样品给招标人确认，经招标人确认后方可实施。如施工时提供的样品不能满足招标人要求，招标人有权要求更换。</w:t>
      </w:r>
      <w:r/>
    </w:p>
    <w:p>
      <w:pPr>
        <w:ind w:firstLine="422"/>
        <w:keepLines w:val="0"/>
        <w:keepNext w:val="0"/>
        <w:pageBreakBefore w:val="0"/>
        <w:spacing w:line="360" w:lineRule="auto"/>
        <w:widowControl/>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四、投标报价的方式</w:t>
      </w:r>
      <w:bookmarkEnd w:id="648"/>
      <w:bookmarkEnd w:id="649"/>
      <w:bookmarkEnd w:id="650"/>
      <w:bookmarkEnd w:id="651"/>
      <w:bookmarkEnd w:id="652"/>
      <w:bookmarkEnd w:id="653"/>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2.投标报价的计价方法</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本工程投标报价采用“工程量清单计价”法（工程量计算规则依据《建设工程量清单计价规范》（GB50500-2013）、《 市 政 工 程 工 程 量 计 算 规 范 》（ GB50857-2013 ）及其工程量计算规范）。投标人应根据采购人提供的招标工程量清单计算工程项目的综合单价和合价。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3.投标报价文件编制的依据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3.1 招标人提供的招标文件、招标工程量清单及其补充通知；</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3.2 招标人设定的最高限价；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3.3《建设工程量清单计价规范》(GB50500-2013) 、《 市 政 工 程 工 程 量 计 算 规 范 》（ GB50857-2013 ）及其工程量计算规范； </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3.4 有关的施工规范与工程验收规范；</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3.5 施工现场情况、工程特点及投标人拟采用的施工组织设计和施工方案；</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3.6 投标人的企业定额；</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3.7 投标人可同时参考2014年《江苏省建筑与装饰工程计价定额》、2014年《江苏省安装工程计价定额》、《江苏省市政工程计价定额》（2014版）、《江苏省建设工程费用定额（2014年）》及江苏省关于营改增的计价文件等最高限价（预算）的编制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4.投标报价文件编制的要求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4.1招标人提供的施工图纸、招标工程量清单应与招标文件一起参照阅读；</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4.2工程质量、材料、施工等特殊要求详见招标文件和清单等；</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4.3本工程使用预拌砂浆；</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4.4本工程混凝土使用商品混凝土，是否泵送由投标人自行考虑，结算时不因输送方式不同而调整综合单价；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4.5本工程中伸缩缝、沉降缝由投标单位自行在综合单价中考虑，结算时不调整综合单价；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4.6施工现场外露部分防尘遮挡可能防尘费用不够的部分由投标人在报价中考虑，不另行结算；</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4.7工程量清单中未明确的做法、施工及技术要求，各投标人应结合施工图纸进行报价；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4.8涉及混凝土的模板的制作、安装、搭设、拆除等费用在对应的分部分项工程量清单单价中考虑，不再单独列模板清单项计取；</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4.9拆除沥青混凝土路面及基层、水泥混凝土路面及基层残值请投标人自行考虑报价；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4.10井盖占地费用投标人综合考虑在报价中，结算不增加相关费用；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4.11施工前,施工单位应对照物探测量成果对地下管线进行复核,防止出现漏测的管线。物探无法测量的管线,应提前联系权属单位。所发生的费用投标人综合考虑在报价中，结算不增加相关费用；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4.12施工时应对现状管线采取保护措施避让,尤其存在燃气、电力等管线的管段,应注意安全距离。所发生的费用投标人综合考虑在报价中，结算不增加相关费用；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4.13关于沿线地上、地下建筑物、构筑物、管线、管道、井等的保护，除清单已考虑部分，其他由投标人在投标报价中综合考虑，结算不增加相关费用。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4.14围挡搭设要求道路改造施工需封闭，具体要求：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a、高度不低于2.5m,钢骨架+彩钢板+人工草皮+宣传语，满足建设单位的创卫要求;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b、围挡拆除、回收由施工单位自行负责;</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c、含基础等一切相关费用。</w:t>
      </w:r>
      <w:r/>
    </w:p>
    <w:p>
      <w:pPr>
        <w:ind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五、最高限价（预算）的编制</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1.最高限价：详见投标须知前附表，招标人拒绝高于最高限价的投标报价。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2.最高限价确定的依据：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bookmarkStart w:id="654" w:name="EB8b95e4dd9e80494e85f00682aba7f2c4"/>
      <w:r>
        <w:rPr>
          <w:rFonts w:hint="eastAsia" w:asciiTheme="minorEastAsia" w:hAnsiTheme="minorEastAsia" w:eastAsiaTheme="minorEastAsia" w:cstheme="minorEastAsia"/>
          <w:sz w:val="22"/>
          <w:szCs w:val="22"/>
          <w:highlight w:val="none"/>
        </w:rPr>
        <w:t xml:space="preserve">本项目按照施工图纸、招标文件（含工程量清单）</w:t>
      </w:r>
      <w:r>
        <w:rPr>
          <w:rFonts w:hint="eastAsia" w:asciiTheme="minorEastAsia" w:hAnsiTheme="minorEastAsia" w:eastAsiaTheme="minorEastAsia" w:cstheme="minorEastAsia"/>
          <w:sz w:val="22"/>
          <w:szCs w:val="22"/>
          <w:highlight w:val="none"/>
        </w:rPr>
        <w:t xml:space="preserve">、《建设工程工程量清单计价规范》（GB50500-2013）、《房屋建筑与装饰工程工程量计算规范》（GB50854-2013）、《市政工程工程量计算规范》（GB50857-2013）、《通用安装工程工程量计算规范》（GB50856-2013）、《园林绿化工程工程量计算规范》(GB50858-2013)……（以下简称《工程量计算规范》）；《江苏省建筑与装饰工程计价定额》（2014版）、《江苏省市政工程计价定额》（2014版）、《江苏省安装工程计价定额》（2014版）、《江苏园林定额》(2007版)、《江苏省城</w:t>
      </w:r>
      <w:r>
        <w:rPr>
          <w:rFonts w:hint="eastAsia" w:asciiTheme="minorEastAsia" w:hAnsiTheme="minorEastAsia" w:eastAsiaTheme="minorEastAsia" w:cstheme="minorEastAsia"/>
          <w:sz w:val="22"/>
          <w:szCs w:val="22"/>
          <w:highlight w:val="none"/>
        </w:rPr>
        <w:t xml:space="preserve">市园林绿化养护管理定额》(2017版)、2009版《江苏省房屋修缮工程计价表》（2009版）……（以下简称《计价定额》）、《江苏省建设工程费用定额》（2014年）（以下简称《计价定额》）、《盐城工程造价》2026年第8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根据苏建价[2016]154号文件的规定，本项目招标文件及合同计税方法均采用增值税一般计税方法，招标文件及合同中的建材信息价及建材市场参考价均为除税价。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单位工程费用计费程序如下：</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1）分部分项工程量清单费用   人工费+材料费+施工机具使用费+管理费+利润；</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  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人工费                 计价定额人工消耗量×人工单价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材料费                 计价定额材料消耗量×除税材料单价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施工机具使用费         计价定额机械消耗量×除税机械单价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管理费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利  润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2）措施项目费用        单价措施费+总价措施费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单价措施费             除税综合单价×清单工程量</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总价措施费 （分部分项工程费+单价措施项目费-除税工程设备费）×费率或以项计</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3）其他项目费用 详见工程量清单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4）规 费（分部分项工程费用+措施项目费用+其他项目费用-除税工程设备费）×费率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①环境保护税（暂按招标工程量清单中的费率计取，结算时按环保和税务部门的规定执行）。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②社会保险费（执行《费用定额》苏建价[2016]154号规定的费率）。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③住房公积金（执行《费用定额》及苏建价[2016]154号规定的费率）。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5）税      金（分部分项工程量清单费用+措施项目费用+其他项目费用+规费-除税甲供材料和甲供设备费/1.01）×9%</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6）工程造价  分部分项工程量清单费用+措施项目费用+其他项目费用+规费-除税甲供材料和甲供设备费/1.01+税金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说明：</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（一）分部分项工程费用部分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（1）工程类别：按《费用定额》中的“工程类别划分”执行。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（2）工程量按《建设工程工程量清单计价规范》、《工程量计算规范》、《费用定额》、《计价定额》及施工图纸等计算。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（3）人工工资单价参照苏建函价[2025]273号文执行。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材料单价执行《盐城工程造价》2026年第8期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（5）机械单价中燃料费按《盐城工程造价》2026年第8期建设工程材料信息价、市场参考价。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（6）企业管理费按《费用定额》结合苏建价[2016]154号文中的“工程费用取费标准及有关规定”对应的取费标准计取。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（7）利润率：按《费用定额》结合苏建价[2016]154号文中的“工程费用取费标准及有关规定”对应的取费标准计取。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（8）风险费率：招标人在预算价编制时不考虑风险费率，但投标人可按（人工费+除税材料费+除税机械费+管理费+利润-除税工程设备费）的适当比例和相关规定自行考虑。</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（二）措施项目部分：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（1）单价措施项目：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详见招标工程量清单。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（2）总价措施项目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1）通用的总价措施项目费：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1.1安全文明施工措施费：该费用为不可竞争费，在预算价编制和投标报价中应根据文件规定足额计取。</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1.2夜间施工费：招标人在编制预算价时不计取，投标人可根据招标人的工期要求及施工组织设计自行考虑。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1.3非夜间施工照明费：招标人在编制预算价时不计取，投标人可根据招标人的工期要求及施工组织设计自行考虑。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1.4二次搬运费：招标人在编制预算价时不计取，投标人可根据招标人的工期要求及施工组织设计自行考虑。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1.5冬雨季施工增加费：招标人在编制预算价时不计取，投标人可根据招标人的工期要求及施工组织设计自行考虑。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1.6地上地下设施、建筑物的临时保护设施费：招标人在编制预算价时不计取，投标人可根据施工现场实际情况及施工组织设计自行考虑。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1.7已完工程及设备保护费：招标人在编制预算价时不计取，投标人可根据施工组织设计自行计取。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1.8临时设施费：招标人在编制预算价时按费用定额对应类别的中值计取。投标人可根据招标人的工期要求及施工组织设计自行计取。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1.9赶工措施费：招标人在编制预算价时不计取，投标人可根据招标人的工期要求及施工组织设计自行计取。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1.10工程按质论价费：招标人在编制预算价时不计取。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1.11特殊条件下施工增加费：招标人在编制预算价时不计取。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  1.12建筑工人实名制费用：招标人在编制预算价时按费用定额对应类别的中值计取。投标人可根据招标人的工期要求及施工组织设计自行计取。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1.13智慧工地费用：招标人在编制预算价时不计取。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1.14垃圾清运费用：本工程施工过程中所产生的垃圾应由本工程承包人负责清运，各投标人须在投标报价中自行考虑。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1.15施工临时用电、用水均由承包人自行解决来源并现场单独挂表计量，费用由承包人负责。</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（三）其他项目费用：</w:t>
      </w:r>
      <w:bookmarkEnd w:id="654"/>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（1）暂列金额、暂估价：按采购人《其他项目清单与计价汇总表》执行。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（2）计日工：由承发包双方在施工合同中约定，招标时暂不考虑此项费用。</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（3）总承包服务费：本工程不计总承包服务费。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（4）其余详见《其他项目清单与计价汇总表》。</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（四）规 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（1）环境保护税：按盐市建价字[2018]29号文。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（2）社会保险费和住房公积金：《费用定额》及苏建价[2016]154号中的标准执行。</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（五）税 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税金是指根据建筑服务销售价格，按规定税率计算的增值税销项税额。并以除税工程造价为计取基础，费率为9%。</w:t>
      </w:r>
      <w:r/>
    </w:p>
    <w:p>
      <w:pPr>
        <w:pStyle w:val="1001"/>
        <w:ind w:firstLine="482"/>
        <w:keepLines w:val="0"/>
        <w:keepNext w:val="0"/>
        <w:pageBreakBefore w:val="0"/>
        <w:spacing w:line="360" w:lineRule="auto"/>
        <w:rPr>
          <w:rFonts w:hint="eastAsia" w:asciiTheme="minorEastAsia" w:hAnsiTheme="minorEastAsia" w:eastAsiaTheme="minorEastAsia" w:cstheme="minorEastAsia"/>
          <w:b/>
          <w:sz w:val="22"/>
          <w:szCs w:val="22"/>
          <w:highlight w:val="none"/>
        </w:rPr>
      </w:pPr>
      <w:r/>
      <w:bookmarkStart w:id="655" w:name="_Toc203032704"/>
      <w:r>
        <w:rPr>
          <w:rFonts w:hint="eastAsia" w:asciiTheme="minorEastAsia" w:hAnsiTheme="minorEastAsia" w:eastAsiaTheme="minorEastAsia" w:cstheme="minorEastAsia"/>
          <w:b/>
          <w:sz w:val="22"/>
          <w:szCs w:val="22"/>
          <w:highlight w:val="none"/>
        </w:rPr>
        <w:t xml:space="preserve">六、报价、计价说明</w:t>
      </w:r>
      <w:bookmarkEnd w:id="655"/>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1.投标报价应包含完成本竞争性磋商文件中的全部内容所需的所有费用。</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2.磋商供应商应充分了解施工场地的位置、周边环境、道路、装卸、保管、安装限制以及影响投标报价的其他要素，结合市场情况进行投标报价。</w:t>
      </w:r>
      <w:r/>
    </w:p>
    <w:p>
      <w:pPr>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w:t>
      </w:r>
      <w:r>
        <w:rPr>
          <w:rFonts w:hint="eastAsia" w:asciiTheme="minorEastAsia" w:hAnsiTheme="minorEastAsia" w:eastAsiaTheme="minorEastAsia" w:cstheme="minorEastAsia"/>
          <w:sz w:val="22"/>
          <w:szCs w:val="22"/>
          <w:highlight w:val="none"/>
          <w:shd w:val="clear" w:color="auto" w:fill="ffffff"/>
        </w:rPr>
        <w:t xml:space="preserve">投标报价方式：本项目投标报价采用“工程量清单计价法”（工程量计算规则依据《建设工程工程量清单计价规范》（GB50500-2013）、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对采购人提供的工程量清单如有异议（包括对工程量清单中漏项的疑问），应在</w:t>
      </w:r>
      <w:r>
        <w:rPr>
          <w:rFonts w:hint="eastAsia" w:asciiTheme="minorEastAsia" w:hAnsiTheme="minorEastAsia" w:eastAsiaTheme="minorEastAsia" w:cstheme="minorEastAsia"/>
          <w:sz w:val="22"/>
          <w:szCs w:val="22"/>
          <w:highlight w:val="none"/>
        </w:rPr>
        <w:t xml:space="preserve">提交首次响应文件截止时间五日前</w:t>
      </w:r>
      <w:r>
        <w:rPr>
          <w:rFonts w:hint="eastAsia" w:asciiTheme="minorEastAsia" w:hAnsiTheme="minorEastAsia" w:eastAsiaTheme="minorEastAsia" w:cstheme="minorEastAsia"/>
          <w:sz w:val="22"/>
          <w:szCs w:val="22"/>
          <w:highlight w:val="none"/>
          <w:shd w:val="clear" w:color="auto" w:fill="ffffff"/>
        </w:rPr>
        <w:t xml:space="preserve">向</w:t>
      </w:r>
      <w:r>
        <w:rPr>
          <w:rFonts w:hint="eastAsia" w:asciiTheme="minorEastAsia" w:hAnsiTheme="minorEastAsia" w:eastAsiaTheme="minorEastAsia" w:cstheme="minorEastAsia"/>
          <w:sz w:val="22"/>
          <w:szCs w:val="22"/>
          <w:highlight w:val="none"/>
        </w:rPr>
        <w:t xml:space="preserve">采购人或采购代理机构提出</w:t>
      </w:r>
      <w:r>
        <w:rPr>
          <w:rFonts w:hint="eastAsia" w:asciiTheme="minorEastAsia" w:hAnsiTheme="minorEastAsia" w:eastAsiaTheme="minorEastAsia" w:cstheme="minorEastAsia"/>
          <w:sz w:val="22"/>
          <w:szCs w:val="22"/>
          <w:highlight w:val="none"/>
          <w:shd w:val="clear" w:color="auto" w:fill="ffffff"/>
        </w:rPr>
        <w:t xml:space="preserve">。各</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keepLines w:val="0"/>
        <w:keepNext w:val="0"/>
        <w:pageBreakBefore w:val="0"/>
        <w:spacing w:line="360" w:lineRule="auto"/>
        <w:rPr>
          <w:rFonts w:hint="eastAsia" w:asciiTheme="minorEastAsia" w:hAnsiTheme="minorEastAsia" w:eastAsiaTheme="minorEastAsia" w:cstheme="minorEastAsia"/>
          <w:sz w:val="22"/>
          <w:szCs w:val="22"/>
          <w:highlight w:val="none"/>
          <w:shd w:val="clear" w:color="auto" w:fill="ffffff"/>
        </w:rPr>
      </w:pPr>
      <w:r>
        <w:rPr>
          <w:rFonts w:hint="eastAsia" w:asciiTheme="minorEastAsia" w:hAnsiTheme="minorEastAsia" w:eastAsiaTheme="minorEastAsia" w:cstheme="minorEastAsia"/>
          <w:sz w:val="22"/>
          <w:szCs w:val="22"/>
          <w:highlight w:val="none"/>
          <w:shd w:val="clear" w:color="auto" w:fill="ffffff"/>
        </w:rPr>
        <w:t xml:space="preserve">4.合同定价方式</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shd w:val="clear" w:color="auto" w:fill="ffffff"/>
        </w:rPr>
        <w:t xml:space="preserve">本工程采用单价合同。本工程实行《建设工程工程量清单计价规范》（GB50500-2013）、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招标，建设工程合同采用单价合同，以体现风险共担的原则。由采购人提供工程量清单，</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以工程量清单及图纸为基础填报相应的单价并计算合价。采购人要求</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5.投标报价的要求</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5.1采购人提供工程量清单应与</w:t>
      </w:r>
      <w:r>
        <w:rPr>
          <w:rFonts w:hint="eastAsia" w:asciiTheme="minorEastAsia" w:hAnsiTheme="minorEastAsia" w:eastAsiaTheme="minorEastAsia" w:cstheme="minorEastAsia"/>
          <w:sz w:val="22"/>
          <w:szCs w:val="22"/>
          <w:highlight w:val="none"/>
          <w:shd w:val="clear" w:color="auto" w:fill="ffffff"/>
        </w:rPr>
        <w:t xml:space="preserve">竞争性磋商</w:t>
      </w:r>
      <w:r>
        <w:rPr>
          <w:rFonts w:hint="eastAsia" w:asciiTheme="minorEastAsia" w:hAnsiTheme="minorEastAsia" w:eastAsiaTheme="minorEastAsia" w:cstheme="minorEastAsia"/>
          <w:sz w:val="22"/>
          <w:szCs w:val="22"/>
          <w:highlight w:val="none"/>
        </w:rPr>
        <w:t xml:space="preserve">文件一起参照阅读；</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001"/>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01"/>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Cs/>
          <w:sz w:val="22"/>
          <w:szCs w:val="22"/>
          <w:highlight w:val="none"/>
        </w:rPr>
        <w:t xml:space="preserve">5.5供应商报价时应充分考虑法定节假日施工队伍组建难度、赶工难度（含订货）等风险因素，并将费用综合考虑进报价中，结算时采购人不另计。如因成交供应商原因造成不能按期竣工，将严格对照合同约定进行考核。</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5.6 如磋商供应商在投标时承诺质量标准达到合格以上等级的，应在投标报价时足额考虑创优所增加的施工成本，相关费用采购人不再另行支付；</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5.7综合单价的组成：完成一个规定清单项目所需的人工费、材料费和工程设备费、施工机具使用费和企业管理费与利润，以及一定范围内的风险费用；</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5.8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5.9 规费和税金应按招标工程量清单中的规定标准执行；</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5.10分部分项工程和单价措施项目清单与计价表中列明的所有需要填写的单价和合价，磋商供应商均应填写，未填写单价和合价，视为此项费用已包含在工程量清单的其他单价和合价中。当竣事结算时，此项目不得重新组价予以调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5.11投标总价应当与分部分项工程费、措施项目费、其他项目费和规费、税金的合计金额一致。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
          <w:sz w:val="22"/>
          <w:szCs w:val="22"/>
          <w:highlight w:val="none"/>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sz w:val="22"/>
          <w:szCs w:val="22"/>
          <w:highlight w:val="none"/>
        </w:rPr>
        <w:t xml:space="preserve">5.14供应商最后报价为响应文件中已标价工程量清单总价下浮后得到（各清单项的数量不变，单价同比例下浮，其中暂列金额、暂估价、甲供材及其规费费率和税金费率不下浮）。</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0"/>
          <w:szCs w:val="22"/>
          <w:highlight w:val="none"/>
        </w:rPr>
      </w:pPr>
      <w:r>
        <w:rPr>
          <w:rFonts w:hint="eastAsia" w:asciiTheme="minorEastAsia" w:hAnsiTheme="minorEastAsia" w:eastAsiaTheme="minorEastAsia" w:cstheme="minorEastAsia"/>
          <w:sz w:val="20"/>
          <w:szCs w:val="22"/>
          <w:highlight w:val="none"/>
        </w:rPr>
      </w:r>
      <w:r/>
    </w:p>
    <w:p>
      <w:pPr>
        <w:contextualSpacing/>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outlineLvl w:val="1"/>
      </w:pPr>
      <w:r>
        <w:rPr>
          <w:rFonts w:hint="eastAsia" w:asciiTheme="minorEastAsia" w:hAnsiTheme="minorEastAsia" w:eastAsiaTheme="minorEastAsia" w:cstheme="minorEastAsia"/>
          <w:b/>
          <w:sz w:val="22"/>
          <w:szCs w:val="22"/>
          <w:highlight w:val="none"/>
        </w:rPr>
        <w:t xml:space="preserve">七、图纸、招标清单下载链接: https://pan.baidu.com/s/1SxJAow7FIHAxjsob7fiR8Q?pwd=pr7f 提取码: pr7f。</w:t>
      </w:r>
      <w:r/>
    </w:p>
    <w:p>
      <w:pPr>
        <w:pStyle w:val="998"/>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6" w:name="_Toc203032705"/>
      <w:r/>
      <w:bookmarkStart w:id="657" w:name="_Toc166856201"/>
      <w:r>
        <w:rPr>
          <w:rFonts w:hint="eastAsia" w:asciiTheme="minorEastAsia" w:hAnsiTheme="minorEastAsia" w:eastAsiaTheme="minorEastAsia" w:cstheme="minorEastAsia"/>
          <w:b/>
          <w:sz w:val="22"/>
          <w:szCs w:val="22"/>
          <w:highlight w:val="none"/>
        </w:rPr>
        <w:t xml:space="preserve">八、工程及材料技术要求</w:t>
      </w:r>
      <w:bookmarkEnd w:id="656"/>
      <w:r/>
      <w:bookmarkEnd w:id="657"/>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1.工程质量应达到的等级：达到国标验收规范合格要求。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2.材料进场、垃圾外运时需注意对业主方道路、道板及绿化的保护，如有损坏，成交人应恢复原样，相关维修费由成交人自理。</w:t>
      </w:r>
      <w:r/>
    </w:p>
    <w:p>
      <w:pPr>
        <w:pStyle w:val="998"/>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8" w:name="_Toc195778616"/>
      <w:r>
        <w:rPr>
          <w:rFonts w:hint="eastAsia" w:asciiTheme="minorEastAsia" w:hAnsiTheme="minorEastAsia" w:eastAsiaTheme="minorEastAsia" w:cstheme="minorEastAsia"/>
          <w:b/>
          <w:sz w:val="22"/>
          <w:szCs w:val="22"/>
          <w:highlight w:val="none"/>
        </w:rPr>
        <w:t xml:space="preserve">九、类似业绩</w:t>
      </w:r>
      <w:bookmarkEnd w:id="658"/>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供应商需要具备丰富的类似项目承接经验，确保本项目的顺利实施，自2023年10月1日以来（以合同签订日期为准），供应商具有类似业绩的优先。</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十、体系认证</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需具备良好的质量管理体系规范日常管理与服务，本项目施工环境达到国家相关部门标准，积极保障员工健康和安全，以保障本项目的顺利实施，具有有效期内的质量管理体系认证证书、环境管理体系认证证书、职业健康安全管理体系认证证书的优先。</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十一、人员配备</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根据项目施工相关要求，按岗位进行足额人员配置：</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1、拟投入本项目的项目负责人具有建设工程类职称的优先。 </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2、拟投入本项目的成员具有资料员证书的优先。</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3、拟投入本项目的成员具有专职安全员证书的优先。</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4、拟投入本项目的成员具有质量员证书的优先。</w:t>
      </w:r>
      <w:r/>
    </w:p>
    <w:p>
      <w:pPr>
        <w:pStyle w:val="798"/>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5、拟投入本项目的成员具有施工员证书的优先。</w:t>
      </w:r>
      <w:r/>
    </w:p>
    <w:p>
      <w:pPr>
        <w:pStyle w:val="1001"/>
        <w:ind w:left="0" w:firstLine="480"/>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bookmarkStart w:id="659" w:name="_Toc195778617"/>
      <w:r>
        <w:rPr>
          <w:rFonts w:hint="eastAsia" w:asciiTheme="minorEastAsia" w:hAnsiTheme="minorEastAsia" w:eastAsiaTheme="minorEastAsia" w:cstheme="minorEastAsia"/>
          <w:b/>
          <w:bCs/>
          <w:sz w:val="22"/>
          <w:szCs w:val="22"/>
          <w:highlight w:val="none"/>
        </w:rPr>
        <w:t xml:space="preserve">十二、投标人投标时应提供以下方案</w:t>
      </w:r>
      <w:bookmarkEnd w:id="659"/>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投标人应根据采购需求和本项目实际，制订相应的方案：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1.施工准备方案、目标控制方案及技术措施方案至少包含以下内容：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①施工准备方案：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（2）施工场地规划与临时设施布置须符合国家及地方的法律法规、行业标准，满足施工生产的基本需求，优先考虑施工安全，设置安全防护设施，保证人员和设备安全。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②施工项目目标控制方案：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（2）进度目标控制，至少</w:t>
      </w:r>
      <w:r>
        <w:rPr>
          <w:rFonts w:hint="eastAsia" w:asciiTheme="minorEastAsia" w:hAnsiTheme="minorEastAsia" w:eastAsiaTheme="minorEastAsia" w:cstheme="minorEastAsia"/>
          <w:sz w:val="22"/>
          <w:szCs w:val="22"/>
          <w:highlight w:val="none"/>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安全目标控制，以杜绝重伤及以上安全事故，特别是沟槽坍塌、交通事故、触电与机械伤害、混凝土作业安全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w:t>
      </w:r>
      <w:r>
        <w:rPr>
          <w:rFonts w:hint="eastAsia" w:asciiTheme="minorEastAsia" w:hAnsiTheme="minorEastAsia" w:eastAsiaTheme="minorEastAsia" w:cstheme="minorEastAsia"/>
          <w:sz w:val="22"/>
          <w:szCs w:val="22"/>
          <w:highlight w:val="none"/>
        </w:rPr>
        <w:t xml:space="preserve">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③技术措施方案：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（1）关键施工技术方案及工艺标准，至少包含管道疏通及检测施工方案、混泥土道路施工方案、雨水工程施工方案。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2.工程进度计划与保证措施至少包含以下内容：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①对施工进度的关键因素分析方案内容至少包含：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②保证措施和人员分工的合理性方案内容至少包含：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（1）人员保障：明确各工序负责人，合理调配人力，在关键工序（如混凝土浇筑、设备安装）增加施工人员，加快施工速度。人员到位率100%，缺勤率≤3%。</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（2）材料保障：主要材料储备量≥3天施工用量，备用材料储备率100%；材料短缺响应时间≤2 小时，补货到位时间≤24 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（3）工序衔接：制定详细的工序交接清单，合理安排各工序施工顺序。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（4）进度监控：工序交接清单编制完整率100%，交接验收合格率100%；上一工序完成后，下一工序进场间隔≤8小时。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（5）应急处理：针对恶劣天气（暴雨、台风等），提前48小时制定应对方案；安全事故发生后，响应时间≤1小时，处理完成时间≤72小时（一般事故），最大限度减少工期延误（延误≤2天）。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③实施计划、工期进度安排方案：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总体施工进度计划表（横道图或网络图）</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（1）明确目标和范围：确定计划的目标和范围，确保所有参与方都清楚理解。</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（2）制定详细步骤：将目标分解为具体的目标和行动，制定每个步骤的时间表和责任人。</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（3）资源配置：根据计划的需求，合理配置人力、物力和财力资源。</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（4）沟通与协调：建立有效的沟通机制，确保团队成员与相关方之间信息畅通，协调各方行动。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④工期进度安排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至少包含（1）前期准备阶段；（2）工程施工阶段；（3）清理验收阶段等的时间及工序进度计划。计划中必须明确各关键节点的开始和完成时间。计划编制完成率100%，关键节点按时完成率≥95%。</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3.安全管理方案和措施方案至少包含以下内容：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①安全管理方案内容至少包含：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建立安全生产教育培训制度、安全检查制度、隐患排查整改制度、临时用电管理制度、应急管理制度等，规范施工安全管理流程。制度备案完成时间≤项目开工后3天，各项安全记录留存率100%。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②安全管理制度方案内容至少包含：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安全生产责任制度及考核办法；安全教育培训制度；安全检查及隐患排查制度；事故报告与应急处理制度；特种作业管理制度等。</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③安全保证措施方案内容至少包含：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（2）各施工环节安全控制：至少包含坍塌、中毒窒息、触电、交通事故、汛期内涝等环节的安全控制。各环节安全控制措施落实率100%。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4.质量管理方案和措施方案至少包含以下内容：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①质量管理方案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（1）质量目标：质量符合国家及行业相关标准，一次验收合格。工程质量验收合格率100%，优良率≥85%，重大质量缺陷发生率0%，材料进场检验合格率100%。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②具体质量措施</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（2）施工前质量准备：组织施工人员进行详细的技术交底。检查基层条件是否达标。技术交底覆盖率100%，交底记录签字率100%，基层条件达标率100%。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（3）各工序质量控制：各施工环节的质量控制。各工序自检合格率100%，专检合格率100%，未验收合格不得进入下道工序。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（4）质量检查与验收：每道工序完成后，施工班组先进行自检，自检合格后报质量检查员复检，验收合格签字确认后方可进入下道工序。工序验收记录完整率100%，签字确认率100%。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5.文明施工及环境保护方案至少包含以下内容：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②人员管理：施工人员统一佩戴安全帽，佩戴率100%；合理安排施工时间，尽量减少噪声，减少对周边环境的影响。教育工人遵守采购人相关规定，举止文明，禁止喧哗。工人违规次数≤1次/周。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③卫生管理：施工现场设置临时垃圾桶，及时清理施工垃圾和生活垃圾，做到日产日清，集中运至指定地点处理。严禁垃圾从屋面抛掷。垃圾日清率100%。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④工序衔接与成品保护：各工序施工完成后，做到"工完场清"，场清率100%；材料垂直运输或水平运输过程中，采取严密防护措施，防止粉尘飞扬，防护措施落实率100%。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6.缺陷责任期内的服务方案至少包含以下内容：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②响应机制：至少包含接到采购人通知后，2小时内做出响应，明确处理时间；对于紧急缺陷，4小时内到达现场处理。响应及时率100%，紧急缺陷4小时到场率100%，一般缺陷24小时内到场率100%。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p>
    <w:p>
      <w:pPr>
        <w:ind w:left="0" w:firstLine="440"/>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sz w:val="22"/>
          <w:szCs w:val="22"/>
          <w:highlight w:val="none"/>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p>
    <w:p>
      <w:pPr>
        <w:contextualSpacing/>
        <w:ind w:firstLine="482"/>
        <w:spacing w:before="156" w:after="156" w:line="440" w:lineRule="exact"/>
        <w:rPr>
          <w:rFonts w:hint="eastAsia" w:ascii="宋体" w:hAnsi="宋体" w:eastAsia="宋体" w:cs="宋体"/>
          <w:b/>
          <w:sz w:val="24"/>
          <w:highlight w:val="none"/>
        </w:rPr>
        <w:outlineLvl w:val="1"/>
      </w:pPr>
      <w:r>
        <w:rPr>
          <w:rFonts w:hint="eastAsia" w:ascii="宋体" w:hAnsi="宋体" w:eastAsia="宋体" w:cs="宋体"/>
          <w:b/>
          <w:szCs w:val="21"/>
          <w:highlight w:val="none"/>
        </w:rPr>
        <w:t xml:space="preserve">七、采购标的对应的中小企业划分标准所属行业一览表</w:t>
      </w:r>
      <w:r/>
    </w:p>
    <w:tbl>
      <w:tblPr>
        <w:tblStyle w:val="797"/>
        <w:tblW w:w="81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tcW w:w="940"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序号</w:t>
            </w:r>
            <w:r/>
          </w:p>
        </w:tc>
        <w:tc>
          <w:tcPr>
            <w:tcW w:w="4458"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采购标的</w:t>
            </w:r>
            <w:r/>
          </w:p>
        </w:tc>
        <w:tc>
          <w:tcPr>
            <w:tcW w:w="2801"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p>
        </w:tc>
      </w:tr>
      <w:tr>
        <w:trPr>
          <w:cantSplit/>
          <w:jc w:val="center"/>
          <w:tblCellSpacing w:w="0" w:type="dxa"/>
          <w:trHeight w:val="417"/>
        </w:trPr>
        <w:tc>
          <w:tcPr>
            <w:tcW w:w="940"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1</w:t>
            </w:r>
            <w:r/>
          </w:p>
        </w:tc>
        <w:tc>
          <w:tcPr>
            <w:tcW w:w="4458"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highlight w:val="none"/>
              </w:rPr>
              <w:t xml:space="preserve"> </w:t>
            </w:r>
            <w:r>
              <w:rPr>
                <w:rFonts w:hint="eastAsia" w:ascii="宋体" w:hAnsi="宋体" w:eastAsia="宋体" w:cs="宋体"/>
                <w:highlight w:val="none"/>
                <w:lang w:eastAsia="zh-CN"/>
              </w:rPr>
              <w:t xml:space="preserve">龙冈镇刘垎村道路改造和人居环境提升项目</w:t>
            </w:r>
            <w:r/>
          </w:p>
        </w:tc>
        <w:tc>
          <w:tcPr>
            <w:tcW w:w="2801" w:type="dxa"/>
            <w:vAlign w:val="center"/>
            <w:textDirection w:val="lrTb"/>
            <w:noWrap w:val="false"/>
          </w:tcPr>
          <w:p>
            <w:pPr>
              <w:pStyle w:val="822"/>
              <w:jc w:val="center"/>
              <w:spacing w:beforeAutospacing="0" w:afterAutospacing="0" w:line="0" w:lineRule="atLeast"/>
              <w:rPr>
                <w:rFonts w:hint="eastAsia" w:ascii="宋体" w:hAnsi="宋体" w:eastAsia="宋体" w:cs="宋体"/>
                <w:highlight w:val="none"/>
              </w:rPr>
            </w:pPr>
            <w:r>
              <w:rPr>
                <w:b/>
                <w:bCs/>
                <w:highlight w:val="none"/>
              </w:rPr>
              <w:t xml:space="preserve"> </w:t>
            </w:r>
            <w:r>
              <w:rPr>
                <w:rFonts w:hint="eastAsia"/>
                <w:b/>
                <w:bCs/>
                <w:highlight w:val="none"/>
              </w:rPr>
              <w:t xml:space="preserve">建筑业</w:t>
            </w:r>
            <w:r>
              <w:rPr>
                <w:rFonts w:hint="eastAsia" w:ascii="宋体" w:hAnsi="宋体" w:eastAsia="宋体" w:cs="宋体"/>
                <w:highlight w:val="none"/>
              </w:rPr>
              <w:t xml:space="preserve"> </w:t>
            </w:r>
            <w:r/>
          </w:p>
        </w:tc>
      </w:tr>
    </w:tbl>
    <w:p>
      <w:pPr>
        <w:rPr>
          <w:highlight w:val="none"/>
        </w:rPr>
      </w:pPr>
      <w:r>
        <w:rPr>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highlight w:val="none"/>
        </w:rPr>
      </w:pPr>
      <w:r/>
      <w:bookmarkStart w:id="660" w:name="_Toc6274"/>
      <w:r/>
      <w:bookmarkStart w:id="661" w:name="_Toc120614281"/>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评审方法与评审标准</w:t>
      </w:r>
      <w:bookmarkEnd w:id="660"/>
      <w:r/>
      <w:bookmarkEnd w:id="661"/>
      <w:r/>
      <w:r/>
    </w:p>
    <w:p>
      <w:pPr>
        <w:pStyle w:val="822"/>
        <w:jc w:val="both"/>
        <w:spacing w:beforeAutospacing="0" w:afterAutospacing="0"/>
        <w:rPr>
          <w:highlight w:val="none"/>
        </w:rPr>
      </w:pPr>
      <w:r>
        <w:rPr>
          <w:highlight w:val="none"/>
        </w:rPr>
        <w:t xml:space="preserve"> </w:t>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一、定标原则</w:t>
      </w:r>
      <w:r/>
    </w:p>
    <w:p>
      <w:pPr>
        <w:pStyle w:val="980"/>
        <w:ind w:firstLine="600"/>
        <w:rPr>
          <w:rFonts w:hint="eastAsia" w:ascii="宋体" w:hAnsi="宋体" w:eastAsia="宋体" w:cs="宋体"/>
          <w:highlight w:val="none"/>
        </w:rPr>
      </w:pPr>
      <w:r>
        <w:rPr>
          <w:rFonts w:hint="eastAsia" w:ascii="宋体" w:hAnsi="宋体" w:eastAsia="宋体" w:cs="宋体"/>
          <w:highlight w:val="none"/>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highlight w:val="none"/>
        </w:rPr>
        <w:t xml:space="preserve">第二十一条第三款情形的，可以推荐2家成交候选供应商。评审得分相同的，按照最后报价由低到高的顺序推荐。评审得分且最后报价相同的，按照技术指标优劣顺序推荐。</w:t>
      </w:r>
      <w:r/>
    </w:p>
    <w:p>
      <w:pPr>
        <w:pStyle w:val="822"/>
        <w:ind w:firstLine="442"/>
        <w:spacing w:beforeAutospacing="0" w:afterAutospacing="0" w:line="460" w:lineRule="exact"/>
        <w:rPr>
          <w:rFonts w:hint="eastAsia" w:ascii="宋体" w:hAnsi="宋体" w:eastAsia="宋体" w:cs="宋体"/>
          <w:highlight w:val="none"/>
        </w:rPr>
      </w:pPr>
      <w:r>
        <w:rPr>
          <w:rFonts w:hint="eastAsia" w:ascii="宋体" w:hAnsi="宋体" w:eastAsia="宋体" w:cs="宋体"/>
          <w:b/>
          <w:highlight w:val="none"/>
        </w:rPr>
        <w:t xml:space="preserve">政府采购政策功能落实</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1、小微型企业</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（2）供应商需按照采购文件的要求提供相应的《中小企业声明函》。</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3、监狱和戒毒企业</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5、严格执行政府采购关于支持</w:t>
      </w:r>
      <w:r>
        <w:rPr>
          <w:rFonts w:hint="eastAsia" w:ascii="宋体" w:hAnsi="宋体" w:eastAsia="宋体" w:cs="宋体"/>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6、供应商对于投标产品的商品包装、快递包装应按照“财办库〔2020〕123号《关于印发《商品包装政府采购需求标准（试行）》、《快递包装政府采购需求标准（试行）》的通知》”执行。</w:t>
      </w:r>
      <w:r/>
    </w:p>
    <w:p>
      <w:pPr>
        <w:pStyle w:val="822"/>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7、本文件中若涉及到数据中心采购，应按照《&lt;绿色数据中心政府采购需求标准（试行）&gt;的通知》（财库〔2023〕7号）执行。</w:t>
      </w:r>
      <w:r/>
    </w:p>
    <w:p>
      <w:pPr>
        <w:pStyle w:val="822"/>
        <w:ind w:firstLine="480"/>
        <w:spacing w:beforeAutospacing="0" w:afterAutospacing="0" w:line="460" w:lineRule="exact"/>
        <w:rPr>
          <w:rFonts w:hint="eastAsia" w:ascii="宋体" w:hAnsi="宋体" w:eastAsia="宋体" w:cs="宋体"/>
          <w:b/>
          <w:bCs/>
          <w:highlight w:val="none"/>
        </w:rPr>
      </w:pPr>
      <w:r>
        <w:rPr>
          <w:rFonts w:hint="eastAsia" w:ascii="宋体" w:hAnsi="宋体" w:eastAsia="宋体" w:cs="宋体"/>
          <w:highlight w:val="none"/>
        </w:rPr>
        <w:t xml:space="preserve">8、</w:t>
      </w:r>
      <w:r>
        <w:rPr>
          <w:rFonts w:hint="eastAsia" w:ascii="宋体" w:hAnsi="宋体" w:eastAsia="宋体" w:cs="宋体"/>
          <w:b/>
          <w:bCs/>
          <w:highlight w:val="none"/>
        </w:rPr>
        <w:t xml:space="preserve">评标委员会认为投标人的报价明显低于其他通过符合性审查投标人的报价，有可能影响产品质量或者不能诚信履约的，应当启动异常低价投标（响应）审查，审查的情形和具体要求如下：</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（一）评审过程中出现下列情形之一的，评标委员会应当启动异常低价投标审查程序：</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3.投标（响应）报价低于采购项目最高限价45%的，即投标（响应）报价&lt;采购项目最高限价×45%；</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4.评审委员会基于专业判断，认为供应商报价过低，有可能影响产品质量或者不能诚信履约的其他情形。</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提醒：采购人可以结合具体项目实际情况，提高上述第1项至第3项中启动异常低价投标（响应）审查的数值标准，但是最高不得超过65%。</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相关法律法规对供应商报价有规定的，从其规定。</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2"/>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2"/>
        <w:ind w:firstLine="482"/>
        <w:spacing w:beforeAutospacing="0" w:afterAutospacing="0" w:line="460" w:lineRule="exact"/>
        <w:rPr>
          <w:rFonts w:hint="eastAsia" w:ascii="宋体" w:hAnsi="宋体" w:eastAsia="宋体" w:cs="宋体"/>
          <w:b/>
          <w:highlight w:val="none"/>
        </w:rPr>
      </w:pPr>
      <w:r>
        <w:rPr>
          <w:rFonts w:hint="eastAsia" w:ascii="宋体" w:hAnsi="宋体" w:eastAsia="宋体" w:cs="宋体"/>
          <w:b/>
          <w:highlight w:val="none"/>
        </w:rPr>
        <w:t xml:space="preserve">二、评审方法与评审标准</w:t>
      </w:r>
      <w:r/>
    </w:p>
    <w:p>
      <w:pPr>
        <w:ind w:firstLine="480"/>
        <w:jc w:val="left"/>
        <w:spacing w:line="560" w:lineRule="exact"/>
        <w:widowControl/>
        <w:rPr>
          <w:rFonts w:hint="eastAsia" w:ascii="宋体" w:hAnsi="宋体" w:eastAsia="宋体" w:cs="宋体"/>
          <w:sz w:val="24"/>
          <w:highlight w:val="none"/>
        </w:rPr>
      </w:pPr>
      <w:r>
        <w:rPr>
          <w:rFonts w:hint="eastAsia" w:asciiTheme="minorEastAsia" w:hAnsiTheme="minorEastAsia" w:cstheme="minorEastAsia"/>
          <w:sz w:val="24"/>
          <w:szCs w:val="20"/>
          <w:highlight w:val="none"/>
        </w:rPr>
        <w:t xml:space="preserve">本项目评分总分值为100分。</w:t>
      </w:r>
      <w:r/>
    </w:p>
    <w:tbl>
      <w:tblPr>
        <w:tblStyle w:val="825"/>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rFonts w:ascii="宋体" w:hAnsi="宋体" w:eastAsia="宋体" w:cs="宋体"/>
                <w:b/>
                <w:color w:val="000000"/>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w:t>
            </w:r>
            <w:r/>
          </w:p>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企业业绩（</w:t>
            </w: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应商自202</w:t>
            </w: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年1</w:t>
            </w:r>
            <w:r>
              <w:rPr>
                <w:rFonts w:hint="eastAsia" w:ascii="宋体" w:hAnsi="宋体" w:eastAsia="宋体" w:cs="宋体"/>
                <w:color w:val="auto"/>
                <w:highlight w:val="none"/>
              </w:rPr>
              <w:t xml:space="preserve">0</w:t>
            </w:r>
            <w:r>
              <w:rPr>
                <w:rFonts w:ascii="宋体" w:hAnsi="宋体" w:eastAsia="宋体" w:cs="宋体"/>
                <w:color w:val="auto"/>
                <w:highlight w:val="none"/>
              </w:rPr>
              <w:t xml:space="preserve">月1日以来承担过一个类似项目业绩，有一</w:t>
            </w:r>
            <w:r>
              <w:rPr>
                <w:rFonts w:hint="eastAsia" w:ascii="宋体" w:hAnsi="宋体" w:eastAsia="宋体" w:cs="宋体"/>
                <w:color w:val="auto"/>
                <w:highlight w:val="none"/>
              </w:rPr>
              <w:t xml:space="preserve">个</w:t>
            </w:r>
            <w:r>
              <w:rPr>
                <w:rFonts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每增加一个得2分，</w:t>
            </w:r>
            <w:r>
              <w:rPr>
                <w:rFonts w:ascii="宋体" w:hAnsi="宋体" w:eastAsia="宋体" w:cs="宋体"/>
                <w:color w:val="auto"/>
                <w:highlight w:val="none"/>
              </w:rPr>
              <w:t xml:space="preserve">本项最高得</w:t>
            </w: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注：1、业绩时间以交（竣）工验收证明时间为准，提供</w:t>
            </w:r>
            <w:r>
              <w:rPr>
                <w:rFonts w:ascii="宋体" w:hAnsi="宋体" w:eastAsia="宋体" w:cs="宋体"/>
                <w:b/>
                <w:color w:val="000000"/>
                <w:highlight w:val="none"/>
              </w:rPr>
              <w:t xml:space="preserve">成交确认书或中标通知书</w:t>
            </w:r>
            <w:r>
              <w:rPr>
                <w:rFonts w:ascii="宋体" w:hAnsi="宋体" w:eastAsia="宋体" w:cs="宋体"/>
                <w:color w:val="000000"/>
                <w:highlight w:val="none"/>
              </w:rPr>
              <w:t xml:space="preserve">（非招标项目不需提供，但须提供业主出具的加盖单位公章的直接发包证明）、</w:t>
            </w:r>
            <w:r>
              <w:rPr>
                <w:rFonts w:ascii="宋体" w:hAnsi="宋体" w:eastAsia="宋体" w:cs="宋体"/>
                <w:b/>
                <w:color w:val="000000"/>
                <w:highlight w:val="none"/>
              </w:rPr>
              <w:t xml:space="preserve">施工合同、交</w:t>
            </w:r>
            <w:r>
              <w:rPr>
                <w:rFonts w:hint="eastAsia" w:ascii="宋体" w:hAnsi="宋体" w:eastAsia="宋体" w:cs="宋体"/>
                <w:b/>
                <w:color w:val="000000"/>
                <w:highlight w:val="none"/>
              </w:rPr>
              <w:t xml:space="preserve">工或</w:t>
            </w:r>
            <w:r>
              <w:rPr>
                <w:rFonts w:ascii="宋体" w:hAnsi="宋体" w:eastAsia="宋体" w:cs="宋体"/>
                <w:b/>
                <w:color w:val="000000"/>
                <w:highlight w:val="none"/>
              </w:rPr>
              <w:t xml:space="preserve">竣工验收证明原件彩色扫描件并加盖CA电子公章（所提供材料无法证明相关工作内容，供应商可出具业主证明材料并加盖CA电子公章，格式自拟。）</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企业管理（3分）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投标人具有有效且通过年检的质量管理体系认证证书、环境管理体系认证证书、职业健康安全管理体系认证证书，每提供1个得1分，最高得3分。 </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注：投标时提供上述证书的原件扫描件，同时须提供上述证书在中国国家认证认可监督管理委员会网站http://www.cnca.gov.cn/查询页面完整截图，</w:t>
            </w:r>
            <w:r>
              <w:rPr>
                <w:rFonts w:ascii="宋体" w:hAnsi="宋体" w:eastAsia="宋体" w:cs="宋体"/>
                <w:color w:val="000000"/>
                <w:highlight w:val="none"/>
              </w:rPr>
              <w:t xml:space="preserve">并加盖CA电子公章</w:t>
            </w:r>
            <w:r>
              <w:rPr>
                <w:rFonts w:hint="eastAsia" w:ascii="宋体" w:hAnsi="宋体" w:eastAsia="宋体" w:cs="宋体"/>
                <w:color w:val="000000"/>
                <w:highlight w:val="none"/>
              </w:rPr>
              <w:t xml:space="preserve">，投标人应当确保证书开标当天处于有效期内，否则不予认可。不提供不得分。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人员配备（6分）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1、拟投入本项目的项目负责人具有</w:t>
            </w:r>
            <w:r>
              <w:rPr>
                <w:rFonts w:ascii="宋体" w:hAnsi="宋体" w:eastAsia="宋体" w:cs="宋体"/>
                <w:color w:val="000000"/>
                <w:highlight w:val="none"/>
              </w:rPr>
              <w:t xml:space="preserve">建设工程类中级职称得 </w:t>
            </w:r>
            <w:r>
              <w:rPr>
                <w:rFonts w:hint="eastAsia" w:ascii="宋体" w:hAnsi="宋体" w:eastAsia="宋体" w:cs="宋体"/>
                <w:color w:val="000000"/>
                <w:highlight w:val="none"/>
              </w:rPr>
              <w:t xml:space="preserve">1</w:t>
            </w:r>
            <w:r>
              <w:rPr>
                <w:rFonts w:ascii="宋体" w:hAnsi="宋体" w:eastAsia="宋体" w:cs="宋体"/>
                <w:color w:val="000000"/>
                <w:highlight w:val="none"/>
              </w:rPr>
              <w:t xml:space="preserve"> 分，高级及以上职称得 </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 分，</w:t>
            </w:r>
            <w:r>
              <w:rPr>
                <w:rFonts w:hint="eastAsia" w:ascii="宋体" w:hAnsi="宋体" w:eastAsia="宋体" w:cs="宋体"/>
                <w:color w:val="000000"/>
                <w:highlight w:val="none"/>
              </w:rPr>
              <w:t xml:space="preserve">此项最高</w:t>
            </w:r>
            <w:r>
              <w:rPr>
                <w:rFonts w:ascii="宋体" w:hAnsi="宋体" w:eastAsia="宋体" w:cs="宋体"/>
                <w:color w:val="000000"/>
                <w:highlight w:val="none"/>
              </w:rPr>
              <w:t xml:space="preserve"> </w:t>
            </w: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 分</w:t>
            </w:r>
            <w:r>
              <w:rPr>
                <w:rFonts w:hint="eastAsia" w:ascii="宋体" w:hAnsi="宋体" w:eastAsia="宋体" w:cs="宋体"/>
                <w:color w:val="000000"/>
                <w:highlight w:val="none"/>
              </w:rPr>
              <w:t xml:space="preserve">。 </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2、拟投入本项目的成员具有资料员证书的得1分，此项最高1分。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3、拟投入本项目的成员具有专职安全员证书的得1分，此项最高1分。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4、拟投入本项目的成员具有质量员证书的得1分，此项最高1分。</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5、拟投入本项目的成员具有施工员证书的得1分，此项最高1分。</w:t>
            </w:r>
            <w:r/>
          </w:p>
          <w:p>
            <w:pPr>
              <w:spacing w:line="400" w:lineRule="exact"/>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w:t>
            </w:r>
            <w:r>
              <w:rPr>
                <w:rFonts w:hint="eastAsia" w:ascii="宋体" w:hAnsi="宋体" w:eastAsia="宋体" w:cs="宋体"/>
                <w:b/>
                <w:bCs/>
                <w:color w:val="000000"/>
                <w:highlight w:val="none"/>
              </w:rPr>
              <w:t xml:space="preserve">上述人员不得重复计分，投标时提供人员证书彩色扫描件，以及对应人员</w:t>
            </w:r>
            <w:r>
              <w:rPr>
                <w:rFonts w:ascii="宋体" w:hAnsi="宋体" w:eastAsia="宋体" w:cs="宋体"/>
                <w:b/>
                <w:bCs/>
                <w:color w:val="000000"/>
                <w:highlight w:val="none"/>
              </w:rPr>
              <w:t xml:space="preserve">从2026年8月开始至投标截止之日当月内至少1个月在本单位缴纳养老保险缴费记录证明（退休人员提供在本单位相关证明）</w:t>
            </w:r>
            <w:r>
              <w:rPr>
                <w:rFonts w:hint="eastAsia" w:ascii="宋体" w:hAnsi="宋体" w:eastAsia="宋体" w:cs="宋体"/>
                <w:b/>
                <w:bCs/>
                <w:color w:val="000000"/>
                <w:highlight w:val="none"/>
              </w:rPr>
              <w:t xml:space="preserve">并</w:t>
            </w:r>
            <w:r>
              <w:rPr>
                <w:rFonts w:ascii="宋体" w:hAnsi="宋体" w:eastAsia="宋体" w:cs="宋体"/>
                <w:b/>
                <w:bCs/>
                <w:color w:val="000000"/>
                <w:highlight w:val="none"/>
              </w:rPr>
              <w:t xml:space="preserve">加盖CA电子公章。</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项目实施方案（</w:t>
            </w:r>
            <w:r>
              <w:rPr>
                <w:rFonts w:hint="eastAsia" w:ascii="宋体" w:hAnsi="宋体" w:eastAsia="宋体" w:cs="宋体"/>
                <w:color w:val="000000"/>
                <w:highlight w:val="none"/>
                <w:lang w:val="en-US" w:eastAsia="zh-CN"/>
              </w:rPr>
              <w:t xml:space="preserve">51</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1.施工准备方案、目标控制方案及技术措施方案（10分）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施工准备方案、目标控制方案及技术措施”要求提供至少包含：①施工准备方案；②施工项目目标控制；③技术措施方案；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2.工程进度计划与保证措施（10分）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3.安全管理方案和措施（10分）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安全管理方案和措施”要求提供至少包含：①安全管理方案；②安全管理制度；③安全保证措施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4.质量管理方案和措施（</w:t>
            </w:r>
            <w:r>
              <w:rPr>
                <w:rFonts w:hint="eastAsia"/>
                <w:highlight w:val="none"/>
                <w:lang w:val="en-US" w:eastAsia="zh-CN"/>
              </w:rPr>
              <w:t xml:space="preserve">10</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供应商根据本项目第四章中“质量管理方案和措施”要求提供至少包含：①确定质量方针和目标；②具体质量措施等方面内容进行综合评定：优于项目需求的得</w:t>
            </w:r>
            <w:r>
              <w:rPr>
                <w:rFonts w:hint="eastAsia"/>
                <w:highlight w:val="none"/>
                <w:lang w:val="en-US" w:eastAsia="zh-CN"/>
              </w:rPr>
              <w:t xml:space="preserve">10</w:t>
            </w:r>
            <w:r>
              <w:rPr>
                <w:rFonts w:hint="eastAsia"/>
                <w:highlight w:val="none"/>
              </w:rPr>
              <w:t xml:space="preserve">分；满足项目需求的得</w:t>
            </w:r>
            <w:r>
              <w:rPr>
                <w:rFonts w:hint="eastAsia"/>
                <w:highlight w:val="none"/>
                <w:lang w:val="en-US" w:eastAsia="zh-CN"/>
              </w:rPr>
              <w:t xml:space="preserve">8</w:t>
            </w:r>
            <w:r>
              <w:rPr>
                <w:rFonts w:hint="eastAsia"/>
                <w:highlight w:val="none"/>
              </w:rPr>
              <w:t xml:space="preserve">分；基本满足项目需求、存在少量瑕疵的得</w:t>
            </w:r>
            <w:r>
              <w:rPr>
                <w:rFonts w:hint="eastAsia"/>
                <w:highlight w:val="none"/>
                <w:lang w:val="en-US" w:eastAsia="zh-CN"/>
              </w:rPr>
              <w:t xml:space="preserve">6</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5.文明施工及环境保护方案（</w:t>
            </w:r>
            <w:r>
              <w:rPr>
                <w:rFonts w:hint="eastAsia"/>
                <w:highlight w:val="none"/>
                <w:lang w:val="en-US" w:eastAsia="zh-CN"/>
              </w:rPr>
              <w:t xml:space="preserve">6</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供应商根据本项目第四章中“文明施工及环境保护方案”要求提供至少包含：①现场管理；②人员管理；③卫生管理；④工序衔接与成品保护等方面内容。进行综合评定：优于项目需求的得</w:t>
            </w:r>
            <w:r>
              <w:rPr>
                <w:rFonts w:hint="eastAsia"/>
                <w:highlight w:val="none"/>
                <w:lang w:val="en-US" w:eastAsia="zh-CN"/>
              </w:rPr>
              <w:t xml:space="preserve">6</w:t>
            </w:r>
            <w:r>
              <w:rPr>
                <w:rFonts w:hint="eastAsia"/>
                <w:highlight w:val="none"/>
              </w:rPr>
              <w:t xml:space="preserve">分；满足项目需求的得</w:t>
            </w:r>
            <w:r>
              <w:rPr>
                <w:rFonts w:hint="eastAsia"/>
                <w:highlight w:val="none"/>
                <w:lang w:val="en-US" w:eastAsia="zh-CN"/>
              </w:rPr>
              <w:t xml:space="preserve">4</w:t>
            </w:r>
            <w:r>
              <w:rPr>
                <w:rFonts w:hint="eastAsia"/>
                <w:highlight w:val="none"/>
              </w:rPr>
              <w:t xml:space="preserve">分；基本满足项目需求、存在少量瑕疵的得</w:t>
            </w:r>
            <w:r>
              <w:rPr>
                <w:rFonts w:hint="eastAsia"/>
                <w:highlight w:val="none"/>
                <w:lang w:val="en-US" w:eastAsia="zh-CN"/>
              </w:rPr>
              <w:t xml:space="preserve">2</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6.缺陷责任期内的服务方案（</w:t>
            </w:r>
            <w:r>
              <w:rPr>
                <w:rFonts w:hint="eastAsia"/>
                <w:highlight w:val="none"/>
                <w:lang w:val="en-US" w:eastAsia="zh-CN"/>
              </w:rPr>
              <w:t xml:space="preserve">5</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供应商根据本项目第四章中“缺陷责任期内的服务方案”要求提供至少包含：①服务内容；②响应机制；③问题处理流程；④保障措施等方面内容。进行综合评定：优于项目需求的得</w:t>
            </w:r>
            <w:r>
              <w:rPr>
                <w:rFonts w:hint="eastAsia"/>
                <w:highlight w:val="none"/>
                <w:lang w:val="en-US" w:eastAsia="zh-CN"/>
              </w:rPr>
              <w:t xml:space="preserve">5</w:t>
            </w:r>
            <w:r>
              <w:rPr>
                <w:rFonts w:hint="eastAsia"/>
                <w:highlight w:val="none"/>
              </w:rPr>
              <w:t xml:space="preserve">分；满足项目需求的得</w:t>
            </w:r>
            <w:r>
              <w:rPr>
                <w:rFonts w:hint="eastAsia"/>
                <w:highlight w:val="none"/>
                <w:lang w:val="en-US" w:eastAsia="zh-CN"/>
              </w:rPr>
              <w:t xml:space="preserve">3</w:t>
            </w:r>
            <w:r>
              <w:rPr>
                <w:rFonts w:hint="eastAsia"/>
                <w:highlight w:val="none"/>
              </w:rPr>
              <w:t xml:space="preserve">分；基本满足项目需求、存在少量瑕疵的得</w:t>
            </w:r>
            <w:r>
              <w:rPr>
                <w:rFonts w:hint="eastAsia"/>
                <w:highlight w:val="none"/>
                <w:lang w:val="en-US" w:eastAsia="zh-CN"/>
              </w:rPr>
              <w:t xml:space="preserve">1</w:t>
            </w:r>
            <w:r>
              <w:rPr>
                <w:rFonts w:hint="eastAsia"/>
                <w:highlight w:val="none"/>
              </w:rPr>
              <w:t xml:space="preserve">分；不满足或无此项内容的本项不得分。</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注：</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1.供应商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符合。具体由评审委员会评审。</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2.方案总页数不得超过100页，否则本项内容不得分。</w:t>
            </w:r>
            <w:r/>
          </w:p>
        </w:tc>
      </w:tr>
    </w:tbl>
    <w:p>
      <w:pPr>
        <w:jc w:val="center"/>
        <w:spacing w:before="240" w:after="24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 </w:t>
      </w:r>
      <w:r/>
    </w:p>
    <w:p>
      <w:pPr>
        <w:pStyle w:val="822"/>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2"/>
        <w:jc w:val="both"/>
        <w:spacing w:beforeAutospacing="0" w:afterAutospacing="0"/>
        <w:rPr>
          <w:rFonts w:hint="eastAsia" w:ascii="黑体" w:hAnsi="宋体" w:eastAsia="黑体" w:cs="黑体"/>
          <w:sz w:val="44"/>
          <w:szCs w:val="44"/>
          <w:highlight w:val="none"/>
        </w:rPr>
      </w:pPr>
      <w:r>
        <w:rPr>
          <w:rFonts w:hint="eastAsia" w:ascii="仿宋" w:hAnsi="仿宋" w:eastAsia="仿宋" w:cs="仿宋"/>
          <w:highlight w:val="none"/>
        </w:rPr>
        <w:t xml:space="preserve"> </w:t>
      </w:r>
      <w:r/>
    </w:p>
    <w:p>
      <w:pPr>
        <w:rPr>
          <w:rFonts w:hint="eastAsia" w:ascii="黑体" w:hAnsi="宋体" w:eastAsia="黑体" w:cs="黑体"/>
          <w:sz w:val="44"/>
          <w:szCs w:val="44"/>
          <w:highlight w:val="none"/>
        </w:rPr>
      </w:pPr>
      <w:r/>
      <w:bookmarkStart w:id="662" w:name="_Toc21664"/>
      <w:r>
        <w:rPr>
          <w:rFonts w:hint="eastAsia" w:ascii="黑体" w:hAnsi="宋体" w:eastAsia="黑体" w:cs="黑体"/>
          <w:sz w:val="44"/>
          <w:szCs w:val="44"/>
          <w:highlight w:val="none"/>
        </w:rPr>
        <w:br w:type="page" w:clear="all"/>
      </w:r>
      <w:r/>
    </w:p>
    <w:p>
      <w:pPr>
        <w:pStyle w:val="822"/>
        <w:jc w:val="center"/>
        <w:keepNext/>
        <w:spacing w:beforeAutospacing="0" w:afterAutospacing="0"/>
        <w:rPr>
          <w:highlight w:val="none"/>
        </w:rPr>
        <w:outlineLvl w:val="0"/>
      </w:pPr>
      <w:r>
        <w:rPr>
          <w:rFonts w:hint="eastAsia" w:ascii="黑体" w:hAnsi="宋体" w:eastAsia="黑体" w:cs="黑体"/>
          <w:sz w:val="44"/>
          <w:szCs w:val="44"/>
          <w:highlight w:val="none"/>
        </w:rPr>
        <w:t xml:space="preserve">第六章  响应文件格式</w:t>
      </w:r>
      <w:bookmarkEnd w:id="662"/>
      <w:r>
        <w:rPr>
          <w:rFonts w:hint="eastAsia" w:ascii="黑体" w:hAnsi="宋体" w:eastAsia="黑体" w:cs="黑体"/>
          <w:sz w:val="44"/>
          <w:szCs w:val="44"/>
          <w:highlight w:val="none"/>
        </w:rPr>
        <w:t xml:space="preserve"> </w:t>
      </w:r>
      <w:r/>
    </w:p>
    <w:p>
      <w:pPr>
        <w:pStyle w:val="822"/>
        <w:jc w:val="center"/>
        <w:spacing w:beforeAutospacing="0" w:afterAutospacing="0"/>
        <w:rPr>
          <w:rFonts w:hint="eastAsia" w:ascii="宋体" w:hAnsi="宋体" w:eastAsia="宋体" w:cs="宋体"/>
          <w:b/>
          <w:sz w:val="72"/>
          <w:szCs w:val="72"/>
          <w:highlight w:val="none"/>
        </w:rPr>
      </w:pPr>
      <w:r/>
      <w:bookmarkStart w:id="663" w:name="_Toc49090576"/>
      <w:r/>
      <w:bookmarkEnd w:id="663"/>
      <w:r/>
      <w:bookmarkStart w:id="664" w:name="_Toc120614282"/>
      <w:r/>
      <w:bookmarkEnd w:id="664"/>
      <w:r/>
      <w:bookmarkStart w:id="665" w:name="_Toc26554094"/>
      <w:r/>
      <w:bookmarkStart w:id="666" w:name="_Hlt26671244"/>
      <w:r/>
      <w:bookmarkStart w:id="667" w:name="_Hlt26955039"/>
      <w:r/>
      <w:r/>
    </w:p>
    <w:p>
      <w:pPr>
        <w:pStyle w:val="822"/>
        <w:jc w:val="center"/>
        <w:spacing w:beforeAutospacing="0" w:afterAutospacing="0"/>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22"/>
        <w:jc w:val="center"/>
        <w:spacing w:beforeAutospacing="0" w:afterAutospacing="0"/>
        <w:rPr>
          <w:highlight w:val="none"/>
        </w:rPr>
      </w:pPr>
      <w:r>
        <w:rPr>
          <w:rFonts w:hint="eastAsia" w:ascii="宋体" w:hAnsi="宋体" w:eastAsia="宋体" w:cs="宋体"/>
          <w:b/>
          <w:sz w:val="72"/>
          <w:szCs w:val="72"/>
          <w:highlight w:val="none"/>
        </w:rPr>
        <w:t xml:space="preserve">响  应  文  件</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目名 称：</w:t>
      </w:r>
      <w:r>
        <w:rPr>
          <w:rFonts w:hint="eastAsia" w:ascii="宋体" w:hAnsi="宋体" w:eastAsia="宋体" w:cs="宋体"/>
          <w:b/>
          <w:sz w:val="36"/>
          <w:szCs w:val="36"/>
          <w:highlight w:val="none"/>
          <w:u w:val="single"/>
        </w:rPr>
        <w:t xml:space="preserve">               </w:t>
      </w:r>
      <w:r/>
    </w:p>
    <w:p>
      <w:pPr>
        <w:pStyle w:val="822"/>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目编 号：</w:t>
      </w:r>
      <w:r>
        <w:rPr>
          <w:rFonts w:hint="eastAsia" w:ascii="宋体" w:hAnsi="宋体" w:eastAsia="宋体" w:cs="宋体"/>
          <w:b/>
          <w:sz w:val="36"/>
          <w:szCs w:val="36"/>
          <w:highlight w:val="none"/>
          <w:u w:val="single"/>
        </w:rPr>
        <w:t xml:space="preserve">               </w:t>
      </w:r>
      <w:r/>
    </w:p>
    <w:p>
      <w:pPr>
        <w:pStyle w:val="822"/>
        <w:jc w:val="both"/>
        <w:spacing w:beforeAutospacing="0" w:afterAutospacing="0" w:line="480" w:lineRule="auto"/>
        <w:rPr>
          <w:rFonts w:eastAsia="宋体"/>
          <w:highlight w:val="none"/>
        </w:rPr>
        <w:outlineLvl w:val="1"/>
      </w:pPr>
      <w:r>
        <w:rPr>
          <w:rFonts w:hint="eastAsia" w:ascii="宋体" w:hAnsi="宋体" w:eastAsia="宋体" w:cs="宋体"/>
          <w:b/>
          <w:sz w:val="36"/>
          <w:szCs w:val="36"/>
          <w:highlight w:val="none"/>
        </w:rPr>
        <w:t xml:space="preserve">供应商名称 ：</w:t>
      </w:r>
      <w:r>
        <w:rPr>
          <w:rFonts w:hint="eastAsia" w:ascii="宋体" w:hAnsi="宋体" w:eastAsia="宋体" w:cs="宋体"/>
          <w:b/>
          <w:sz w:val="36"/>
          <w:szCs w:val="36"/>
          <w:highlight w:val="none"/>
          <w:u w:val="single"/>
        </w:rPr>
        <w:t xml:space="preserve">（加盖CA电子公章）        </w:t>
      </w:r>
      <w:r/>
    </w:p>
    <w:p>
      <w:pPr>
        <w:pStyle w:val="822"/>
        <w:jc w:val="both"/>
        <w:spacing w:beforeAutospacing="0" w:afterAutospacing="0" w:line="480" w:lineRule="auto"/>
        <w:rPr>
          <w:rFonts w:eastAsia="宋体"/>
          <w:highlight w:val="none"/>
        </w:rPr>
      </w:pPr>
      <w:r>
        <w:rPr>
          <w:rFonts w:hint="eastAsia" w:ascii="宋体" w:hAnsi="宋体" w:eastAsia="宋体" w:cs="宋体"/>
          <w:b/>
          <w:sz w:val="36"/>
          <w:szCs w:val="36"/>
          <w:highlight w:val="none"/>
        </w:rPr>
        <w:t xml:space="preserve">日   期 ：</w:t>
      </w:r>
      <w:r>
        <w:rPr>
          <w:rFonts w:hint="eastAsia" w:ascii="宋体" w:hAnsi="宋体" w:eastAsia="宋体" w:cs="宋体"/>
          <w:b/>
          <w:sz w:val="36"/>
          <w:szCs w:val="36"/>
          <w:highlight w:val="none"/>
          <w:u w:val="single"/>
        </w:rPr>
        <w:t xml:space="preserve">                </w:t>
      </w:r>
      <w:r/>
    </w:p>
    <w:p>
      <w:pPr>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22"/>
        <w:jc w:val="center"/>
        <w:spacing w:beforeAutospacing="0" w:afterAutospacing="0" w:line="0" w:lineRule="atLeas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响应文件目录</w:t>
      </w:r>
      <w:r/>
    </w:p>
    <w:p>
      <w:pPr>
        <w:pStyle w:val="822"/>
        <w:jc w:val="center"/>
        <w:spacing w:beforeAutospacing="0" w:afterAutospacing="0" w:line="0" w:lineRule="atLeast"/>
        <w:rPr>
          <w:highlight w:val="none"/>
        </w:rPr>
      </w:pPr>
      <w:r>
        <w:rPr>
          <w:highlight w:val="none"/>
        </w:rPr>
        <w:t xml:space="preserve"> </w:t>
      </w:r>
      <w:r/>
    </w:p>
    <w:p>
      <w:pPr>
        <w:pStyle w:val="822"/>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一、法人或者其他组织的营业执照等证明文件，自然人的身份证明</w:t>
      </w:r>
      <w:r/>
    </w:p>
    <w:p>
      <w:pPr>
        <w:pStyle w:val="822"/>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    二、</w:t>
      </w:r>
      <w:r>
        <w:rPr>
          <w:rFonts w:hint="eastAsia" w:asciiTheme="minorEastAsia" w:hAnsiTheme="minorEastAsia" w:cstheme="minorEastAsia"/>
          <w:iCs/>
          <w:highlight w:val="none"/>
          <w:u w:val="single"/>
          <w:lang w:val="en-US" w:eastAsia="zh-CN"/>
        </w:rPr>
        <w:t xml:space="preserve">上一年度</w:t>
      </w:r>
      <w:r>
        <w:rPr>
          <w:rFonts w:hint="eastAsia" w:asciiTheme="minorEastAsia" w:hAnsiTheme="minorEastAsia" w:cstheme="minorEastAsia"/>
          <w:iCs/>
          <w:highlight w:val="none"/>
          <w:u w:val="single"/>
        </w:rPr>
        <w:t xml:space="preserve">的财务状况报告（至少提供资产负债表、利润表、现金流量表，磋商供应商成立不满一年无需提供）</w:t>
      </w:r>
      <w:r/>
    </w:p>
    <w:p>
      <w:pPr>
        <w:pStyle w:val="822"/>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三、具备履行合同所必需的设备和专业技术能力的书面声明</w:t>
      </w:r>
      <w:r/>
    </w:p>
    <w:p>
      <w:pPr>
        <w:pStyle w:val="822"/>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2"/>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五、参加政府采购活动前 3 年内在经营活动中没有重大违法记录的书面声明</w:t>
      </w:r>
      <w:r/>
    </w:p>
    <w:p>
      <w:pPr>
        <w:pStyle w:val="822"/>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六、特定资格要求的证明文件（如果本项目设置特定资格要求，则需要提供）</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（1）投标人有效的资质证书；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（2）投标人有效的安全生产许可证；</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（3）投标项目负责人有效的安全生产考核合格证（B 类）；</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（4）投标项目负责人有效的建造师注册证书；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（5）投标申请人代理人及投标承诺的项目负责人均为本单位的正式职工，投标时提供从2026年8月开始至投标截止之日当月内至少1个月在本单位缴纳养老保险缴费记录证明（退休人员提供在本单位相关证明）。</w:t>
      </w:r>
      <w:r/>
    </w:p>
    <w:p>
      <w:pPr>
        <w:ind w:firstLine="482"/>
        <w:spacing w:line="479" w:lineRule="atLeast"/>
        <w:rPr>
          <w:rFonts w:hint="eastAsia" w:asciiTheme="minorEastAsia" w:hAnsiTheme="minorEastAsia" w:cstheme="minorEastAsia"/>
          <w:i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（6）项目负责人无在岗项目承诺书</w:t>
      </w:r>
      <w:r/>
    </w:p>
    <w:p>
      <w:pPr>
        <w:pStyle w:val="822"/>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七、法人授权书</w:t>
      </w:r>
      <w:r/>
    </w:p>
    <w:p>
      <w:pPr>
        <w:pStyle w:val="822"/>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八、磋商响应函</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九、中小企业声明函</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十、残疾人福利性单位声明函</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十一、已标价的工程量清单报价表</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十二、技术要求响应及偏离表</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十三、商务要求响应及偏离表</w:t>
      </w:r>
      <w:r/>
    </w:p>
    <w:p>
      <w:pPr>
        <w:pStyle w:val="822"/>
        <w:ind w:left="480"/>
        <w:jc w:val="both"/>
        <w:spacing w:beforeAutospacing="0" w:afterAutospacing="0" w:line="440" w:lineRule="exact"/>
        <w:rPr>
          <w:rFonts w:hint="eastAsia" w:asciiTheme="minorEastAsia" w:hAnsiTheme="minorEastAsia" w:cstheme="minorEastAsia"/>
          <w:i/>
          <w:highlight w:val="none"/>
          <w:u w:val="single"/>
        </w:rPr>
      </w:pPr>
      <w:r>
        <w:rPr>
          <w:rFonts w:hint="eastAsia" w:asciiTheme="minorEastAsia" w:hAnsiTheme="minorEastAsia" w:cstheme="minorEastAsia"/>
          <w:i/>
          <w:highlight w:val="none"/>
          <w:u w:val="single"/>
        </w:rPr>
        <w:t xml:space="preserve">十四、磋商报价表</w:t>
      </w:r>
      <w:r/>
    </w:p>
    <w:p>
      <w:pPr>
        <w:ind w:firstLine="480"/>
        <w:spacing w:before="50" w:after="50" w:line="440" w:lineRule="exact"/>
        <w:widowControl/>
        <w:rPr>
          <w:rFonts w:hint="default" w:asciiTheme="minorEastAsia" w:hAnsiTheme="minorEastAsia" w:eastAsiaTheme="minorEastAsia" w:cstheme="minorEastAsia"/>
          <w:iCs/>
          <w:sz w:val="24"/>
          <w:highlight w:val="none"/>
          <w:lang w:val="en-US" w:eastAsia="zh-CN"/>
        </w:rPr>
      </w:pPr>
      <w:r>
        <w:rPr>
          <w:rFonts w:hint="eastAsia" w:asciiTheme="minorEastAsia" w:hAnsiTheme="minorEastAsia" w:cstheme="minorEastAsia"/>
          <w:iCs/>
          <w:sz w:val="24"/>
          <w:highlight w:val="none"/>
        </w:rPr>
        <w:t xml:space="preserve">十五、</w:t>
      </w:r>
      <w:r>
        <w:rPr>
          <w:rFonts w:hint="eastAsia" w:asciiTheme="minorEastAsia" w:hAnsiTheme="minorEastAsia" w:cstheme="minorEastAsia"/>
          <w:iCs/>
          <w:sz w:val="24"/>
          <w:highlight w:val="none"/>
          <w:lang w:val="en-US" w:eastAsia="zh-CN"/>
        </w:rPr>
        <w:t xml:space="preserve">实施方案</w:t>
      </w:r>
      <w:r/>
    </w:p>
    <w:p>
      <w:pPr>
        <w:pStyle w:val="822"/>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十六、盐都区政府采购事前信用承诺书</w:t>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798"/>
        <w:rPr>
          <w:rFonts w:hint="eastAsia"/>
        </w:rPr>
      </w:pPr>
      <w:r>
        <w:rPr>
          <w:rFonts w:hint="eastAsia"/>
        </w:rPr>
      </w:r>
      <w:r/>
    </w:p>
    <w:p>
      <w:pPr>
        <w:pStyle w:val="822"/>
        <w:jc w:val="both"/>
        <w:spacing w:beforeAutospacing="0" w:afterAutospacing="0"/>
        <w:rPr>
          <w:rFonts w:eastAsia="黑体"/>
          <w:highlight w:val="none"/>
        </w:rPr>
      </w:pPr>
      <w:r>
        <w:rPr>
          <w:rFonts w:hint="eastAsia" w:ascii="黑体" w:hAnsi="宋体" w:eastAsia="黑体" w:cs="黑体"/>
          <w:i/>
          <w:sz w:val="32"/>
          <w:szCs w:val="32"/>
          <w:highlight w:val="none"/>
          <w:u w:val="single"/>
        </w:rPr>
        <w:t xml:space="preserve">二、上一年度的财务状况报告</w:t>
      </w:r>
      <w:r/>
    </w:p>
    <w:p>
      <w:pPr>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（至少提供资产负债表、利润表、现金流量表，磋商供应商成立不满一年无需提供）</w:t>
      </w:r>
      <w:r/>
    </w:p>
    <w:p>
      <w:pPr>
        <w:pStyle w:val="798"/>
        <w:rPr>
          <w:rFonts w:hint="eastAsia"/>
        </w:rPr>
      </w:pPr>
      <w:r>
        <w:rPr>
          <w:rFonts w:hint="eastAsia"/>
        </w:rPr>
      </w:r>
      <w:r/>
    </w:p>
    <w:p>
      <w:pPr>
        <w:pStyle w:val="822"/>
        <w:jc w:val="both"/>
        <w:spacing w:beforeAutospacing="0" w:afterAutospacing="0"/>
        <w:rPr>
          <w:highlight w:val="none"/>
        </w:rPr>
        <w:outlineLvl w:val="1"/>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822"/>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2"/>
        <w:ind w:firstLine="492"/>
        <w:jc w:val="both"/>
        <w:spacing w:beforeAutospacing="0" w:afterAutospacing="0" w:line="480" w:lineRule="auto"/>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92"/>
        <w:jc w:val="both"/>
        <w:spacing w:beforeAutospacing="0" w:afterAutospacing="0" w:line="480" w:lineRule="auto"/>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ind w:firstLine="420"/>
        <w:rPr>
          <w:rFonts w:hint="eastAsia" w:ascii="黑体" w:hAnsi="宋体" w:eastAsia="黑体" w:cs="黑体"/>
          <w:i/>
          <w:sz w:val="32"/>
          <w:szCs w:val="32"/>
          <w:highlight w:val="none"/>
          <w:u w:val="singl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22"/>
        <w:jc w:val="center"/>
        <w:spacing w:beforeAutospacing="0" w:afterAutospacing="0"/>
        <w:rPr>
          <w:rFonts w:hint="eastAsia" w:ascii="黑体" w:hAnsi="宋体" w:eastAsia="黑体" w:cs="黑体"/>
          <w:i/>
          <w:sz w:val="32"/>
          <w:szCs w:val="32"/>
          <w:highlight w:val="none"/>
          <w:u w:val="single"/>
        </w:rPr>
        <w:outlineLvl w:val="1"/>
      </w:pPr>
      <w:r>
        <w:rPr>
          <w:rFonts w:hint="eastAsia" w:ascii="黑体" w:hAnsi="宋体" w:eastAsia="黑体" w:cs="黑体"/>
          <w:i/>
          <w:sz w:val="32"/>
          <w:szCs w:val="32"/>
          <w:highlight w:val="none"/>
          <w:u w:val="single"/>
        </w:rPr>
      </w:r>
      <w:r/>
    </w:p>
    <w:p>
      <w:pPr>
        <w:pStyle w:val="822"/>
        <w:jc w:val="both"/>
        <w:spacing w:beforeAutospacing="0" w:afterAutospacing="0"/>
        <w:rPr>
          <w:highlight w:val="none"/>
        </w:rPr>
        <w:outlineLvl w:val="1"/>
      </w:pPr>
      <w:r>
        <w:rPr>
          <w:rFonts w:hint="eastAsia" w:ascii="黑体" w:hAnsi="宋体" w:eastAsia="黑体" w:cs="黑体"/>
          <w:i/>
          <w:sz w:val="32"/>
          <w:szCs w:val="32"/>
          <w:highlight w:val="none"/>
          <w:u w:val="single"/>
        </w:rPr>
        <w:t xml:space="preserve">四、依法缴纳税收和社会保障资金的相关材料</w:t>
      </w:r>
      <w:r/>
    </w:p>
    <w:p>
      <w:pPr>
        <w:pStyle w:val="822"/>
        <w:ind w:firstLine="480"/>
        <w:jc w:val="both"/>
        <w:spacing w:beforeAutospacing="0" w:afterAutospacing="0" w:line="360" w:lineRule="auto"/>
        <w:rPr>
          <w:highlight w:val="none"/>
        </w:rPr>
      </w:pPr>
      <w:r>
        <w:rPr>
          <w:rFonts w:hint="eastAsia" w:ascii="宋体" w:hAnsi="宋体" w:eastAsia="宋体" w:cs="宋体"/>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2"/>
        <w:jc w:val="both"/>
        <w:spacing w:beforeAutospacing="0" w:afterAutospacing="0" w:line="0" w:lineRule="atLeast"/>
        <w:rPr>
          <w:highlight w:val="none"/>
        </w:rPr>
      </w:pPr>
      <w:r>
        <w:rPr>
          <w:rFonts w:hint="eastAsia" w:ascii="宋体" w:hAnsi="宋体" w:eastAsia="宋体" w:cs="宋体"/>
          <w:highlight w:val="none"/>
        </w:rPr>
        <w:t xml:space="preserve">                                     </w:t>
      </w:r>
      <w:r/>
    </w:p>
    <w:p>
      <w:pPr>
        <w:pStyle w:val="822"/>
        <w:jc w:val="both"/>
        <w:spacing w:beforeAutospacing="0" w:afterAutospacing="0"/>
        <w:rPr>
          <w:highlight w:val="none"/>
        </w:rPr>
      </w:pPr>
      <w:r>
        <w:rPr>
          <w:highlight w:val="none"/>
        </w:rPr>
        <w:t xml:space="preserve"> </w:t>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p>
    <w:p>
      <w:pPr>
        <w:pStyle w:val="822"/>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822"/>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22"/>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22"/>
        <w:jc w:val="center"/>
        <w:spacing w:beforeAutospacing="0" w:afterAutospacing="0" w:line="0" w:lineRule="atLeast"/>
        <w:rPr>
          <w:highlight w:val="none"/>
        </w:rPr>
      </w:pPr>
      <w:r>
        <w:rPr>
          <w:rFonts w:hint="eastAsia" w:ascii="宋体" w:hAnsi="宋体" w:eastAsia="宋体" w:cs="宋体"/>
          <w:b/>
          <w:sz w:val="44"/>
          <w:szCs w:val="44"/>
          <w:highlight w:val="none"/>
        </w:rPr>
        <w:t xml:space="preserve">声  明</w:t>
      </w:r>
      <w:r/>
    </w:p>
    <w:p>
      <w:pPr>
        <w:pStyle w:val="822"/>
        <w:jc w:val="both"/>
        <w:spacing w:beforeAutospacing="0" w:afterAutospacing="0" w:line="0" w:lineRule="atLeast"/>
        <w:rPr>
          <w:rFonts w:hint="eastAsia" w:ascii="宋体" w:hAnsi="宋体" w:eastAsia="宋体" w:cs="宋体"/>
          <w:b/>
          <w:highlight w:val="none"/>
        </w:rPr>
      </w:pPr>
      <w:r>
        <w:rPr>
          <w:rFonts w:hint="eastAsia" w:ascii="宋体" w:hAnsi="宋体" w:eastAsia="宋体" w:cs="宋体"/>
          <w:b/>
          <w:highlight w:val="none"/>
        </w:rPr>
        <w:t xml:space="preserve">   </w:t>
      </w:r>
      <w:r/>
    </w:p>
    <w:p>
      <w:pPr>
        <w:pStyle w:val="822"/>
        <w:ind w:firstLine="480"/>
        <w:jc w:val="both"/>
        <w:spacing w:beforeAutospacing="0" w:afterAutospacing="0" w:line="360" w:lineRule="auto"/>
        <w:rPr>
          <w:highlight w:val="none"/>
        </w:rPr>
      </w:pP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2"/>
        <w:jc w:val="both"/>
        <w:spacing w:beforeAutospacing="0" w:afterAutospacing="0"/>
        <w:rPr>
          <w:highlight w:val="none"/>
        </w:rPr>
      </w:pPr>
      <w:r>
        <w:rPr>
          <w:highlight w:val="none"/>
        </w:rPr>
        <w:t xml:space="preserve"> </w:t>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p>
    <w:p>
      <w:pPr>
        <w:pStyle w:val="822"/>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六、特定资格要求的证明文件</w:t>
      </w:r>
      <w:r/>
    </w:p>
    <w:p>
      <w:pPr>
        <w:pStyle w:val="822"/>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2"/>
        <w:jc w:val="both"/>
        <w:spacing w:beforeAutospacing="0" w:afterAutospacing="0" w:line="0" w:lineRule="atLeast"/>
        <w:rPr>
          <w:highlight w:val="none"/>
        </w:rPr>
      </w:pPr>
      <w:r>
        <w:rPr>
          <w:rFonts w:hint="eastAsia" w:ascii="宋体" w:hAnsi="宋体" w:eastAsia="宋体" w:cs="宋体"/>
          <w:highlight w:val="none"/>
        </w:rPr>
        <w:t xml:space="preserve">如果本项目申请人的特定资格要求中要求提供的，必须提供。</w:t>
      </w:r>
      <w:r/>
    </w:p>
    <w:p>
      <w:pPr>
        <w:jc w:val="center"/>
        <w:widowControl/>
        <w:rPr>
          <w:highlight w:val="none"/>
        </w:rPr>
      </w:pPr>
      <w:r/>
      <w:bookmarkStart w:id="668" w:name="_Toc120614284"/>
      <w:r>
        <w:rPr>
          <w:rFonts w:hint="eastAsia" w:ascii="宋体" w:hAnsi="宋体" w:eastAsia="宋体" w:cs="宋体"/>
          <w:i/>
          <w:color w:val="000000"/>
          <w:sz w:val="32"/>
          <w:highlight w:val="none"/>
          <w:u w:val="single"/>
        </w:rPr>
        <w:t xml:space="preserve">项目负责人（项目经理）无在岗承诺书格式</w:t>
      </w:r>
      <w:r>
        <w:rPr>
          <w:rFonts w:hint="eastAsia" w:ascii="宋体" w:hAnsi="宋体" w:eastAsia="宋体" w:cs="宋体"/>
          <w:color w:val="000000"/>
          <w:sz w:val="28"/>
          <w:szCs w:val="28"/>
          <w:highlight w:val="none"/>
          <w:lang w:bidi="ar"/>
        </w:rPr>
        <w:t xml:space="preserve">：</w:t>
      </w:r>
      <w:r/>
    </w:p>
    <w:p>
      <w:pPr>
        <w:jc w:val="center"/>
        <w:widowControl/>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r>
      <w:r/>
    </w:p>
    <w:p>
      <w:pPr>
        <w:jc w:val="center"/>
        <w:widowControl/>
        <w:rPr>
          <w:sz w:val="32"/>
          <w:szCs w:val="32"/>
          <w:highlight w:val="none"/>
        </w:rPr>
      </w:pPr>
      <w:r>
        <w:rPr>
          <w:rFonts w:hint="eastAsia" w:ascii="宋体" w:hAnsi="宋体" w:eastAsia="宋体" w:cs="宋体"/>
          <w:b/>
          <w:bCs/>
          <w:color w:val="000000"/>
          <w:sz w:val="32"/>
          <w:szCs w:val="32"/>
          <w:highlight w:val="none"/>
          <w:lang w:bidi="ar"/>
        </w:rPr>
        <w:t xml:space="preserve">无在岗项目承诺书</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致：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（招标人）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我单位自愿参加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（项目及标段名称） 项目的投标活动，并郑重承诺：（以下两种情况自行勾选，若未勾选视为无在岗项目）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□1、本项目拟投入的项目经理无在岗项目。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ind w:firstLine="525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投标人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盖章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294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法定代表人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或其授权的代理人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（签章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567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年 月 日 </w:t>
      </w:r>
      <w:r/>
    </w:p>
    <w:p>
      <w:pPr>
        <w:jc w:val="left"/>
        <w:widowControl/>
        <w:rPr>
          <w:szCs w:val="21"/>
          <w:highlight w:val="none"/>
        </w:rPr>
      </w:pPr>
      <w:r>
        <w:rPr>
          <w:rFonts w:hint="eastAsia" w:ascii="宋体" w:hAnsi="宋体" w:eastAsia="宋体" w:cs="宋体"/>
          <w:color w:val="000000"/>
          <w:szCs w:val="21"/>
          <w:highlight w:val="none"/>
          <w:lang w:bidi="ar"/>
        </w:rPr>
        <w:t xml:space="preserve">注：在岗情况，按下列原则认定： </w:t>
      </w:r>
      <w:r/>
    </w:p>
    <w:p>
      <w:pPr>
        <w:jc w:val="left"/>
        <w:widowControl/>
        <w:rPr>
          <w:szCs w:val="21"/>
          <w:highlight w:val="none"/>
        </w:rPr>
      </w:pPr>
      <w:r>
        <w:rPr>
          <w:rFonts w:hint="eastAsia" w:ascii="宋体" w:hAnsi="宋体" w:eastAsia="宋体" w:cs="宋体"/>
          <w:color w:val="000000"/>
          <w:szCs w:val="21"/>
          <w:highlight w:val="none"/>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widowControl/>
        <w:rPr>
          <w:szCs w:val="21"/>
          <w:highlight w:val="none"/>
        </w:rPr>
      </w:pPr>
      <w:r>
        <w:rPr>
          <w:rFonts w:hint="eastAsia" w:ascii="宋体" w:hAnsi="宋体" w:eastAsia="宋体" w:cs="宋体"/>
          <w:color w:val="000000"/>
          <w:szCs w:val="21"/>
          <w:highlight w:val="none"/>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1）工程已经完工，经项目质量监督机构核验合格，主要人员基本完成职责，非投标人原因尚未进行交工验收的； </w:t>
      </w:r>
      <w:r/>
    </w:p>
    <w:p>
      <w:pPr>
        <w:jc w:val="left"/>
        <w:widowControl/>
        <w:rPr>
          <w:szCs w:val="21"/>
          <w:highlight w:val="none"/>
        </w:rPr>
      </w:pPr>
      <w:r>
        <w:rPr>
          <w:rFonts w:hint="eastAsia" w:ascii="宋体" w:hAnsi="宋体" w:eastAsia="宋体" w:cs="宋体"/>
          <w:color w:val="000000"/>
          <w:szCs w:val="21"/>
          <w:highlight w:val="none"/>
          <w:lang w:bidi="ar"/>
        </w:rPr>
        <w:t xml:space="preserve">2）工程中标后半年内非中标人原因无法开工或停工半年以上无法复工等情况。</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p>
    <w:p>
      <w:pPr>
        <w:pStyle w:val="822"/>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七、法人授权书</w:t>
      </w:r>
      <w:r/>
    </w:p>
    <w:p>
      <w:pPr>
        <w:pStyle w:val="822"/>
        <w:ind w:firstLine="480"/>
        <w:jc w:val="both"/>
        <w:spacing w:beforeAutospacing="0" w:afterAutospacing="0" w:line="480" w:lineRule="exact"/>
        <w:tabs>
          <w:tab w:val="left" w:pos="360" w:leader="none"/>
        </w:tabs>
        <w:rPr>
          <w:rFonts w:ascii="Times New Roman" w:hAnsi="Times New Roman"/>
          <w:highlight w:val="none"/>
        </w:rPr>
      </w:pPr>
      <w:r>
        <w:rPr>
          <w:rFonts w:ascii="Times New Roman" w:hAnsi="Times New Roman"/>
          <w:highlight w:val="none"/>
        </w:rPr>
      </w:r>
      <w:r/>
    </w:p>
    <w:p>
      <w:pPr>
        <w:pStyle w:val="822"/>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本授权书声明：____________（供应商名称）授权________________（被授权人的姓名）为我方就JSZC-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822"/>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本授权书于______年____月____日起生效，特此声明。</w:t>
      </w:r>
      <w:r/>
    </w:p>
    <w:p>
      <w:pPr>
        <w:pStyle w:val="822"/>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822"/>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822"/>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822"/>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p>
    <w:p>
      <w:pPr>
        <w:pStyle w:val="822"/>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日期：</w:t>
      </w:r>
      <w:bookmarkStart w:id="669" w:name="_Hlt26671380"/>
      <w:r/>
      <w:bookmarkStart w:id="670" w:name="_格式3__银行出具的资信证明"/>
      <w:r/>
      <w:bookmarkStart w:id="671" w:name="_Hlt26955070"/>
      <w:r>
        <w:rPr>
          <w:rFonts w:ascii="Times New Roman" w:hAnsi="Times New Roman"/>
          <w:highlight w:val="none"/>
          <w:u w:val="single"/>
        </w:rPr>
        <w:t xml:space="preserve">                                         </w:t>
      </w:r>
      <w:r/>
    </w:p>
    <w:p>
      <w:pPr>
        <w:pStyle w:val="822"/>
        <w:ind w:firstLine="480"/>
        <w:jc w:val="both"/>
        <w:spacing w:beforeAutospacing="0" w:afterAutospacing="0"/>
        <w:tabs>
          <w:tab w:val="left" w:pos="360" w:leader="none"/>
        </w:tabs>
        <w:rPr>
          <w:highlight w:val="none"/>
        </w:rPr>
      </w:pPr>
      <w:r>
        <w:rPr>
          <w:highlight w:val="none"/>
        </w:rPr>
        <w:t xml:space="preserve"> </w:t>
      </w:r>
      <w:r/>
    </w:p>
    <w:p>
      <w:pPr>
        <w:pStyle w:val="822"/>
        <w:ind w:firstLine="480"/>
        <w:jc w:val="both"/>
        <w:spacing w:beforeAutospacing="0" w:afterAutospacing="0"/>
        <w:tabs>
          <w:tab w:val="left" w:pos="360" w:leader="none"/>
        </w:tabs>
        <w:rPr>
          <w:highlight w:val="none"/>
        </w:rPr>
      </w:pPr>
      <w:r>
        <w:rPr>
          <w:highlight w:val="none"/>
        </w:rPr>
        <w:t xml:space="preserve"> </w:t>
      </w:r>
      <w:r/>
    </w:p>
    <w:p>
      <w:pPr>
        <w:pStyle w:val="822"/>
        <w:ind w:firstLine="420"/>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center"/>
        <w:keepLines/>
        <w:keepNext/>
        <w:spacing w:before="260" w:beforeAutospacing="0" w:after="260" w:afterAutospacing="0" w:line="415" w:lineRule="auto"/>
        <w:rPr>
          <w:highlight w:val="none"/>
        </w:rPr>
        <w:outlineLvl w:val="1"/>
      </w:pPr>
      <w:r>
        <w:rPr>
          <w:rFonts w:hint="eastAsia" w:ascii="宋体" w:hAnsi="宋体" w:eastAsia="宋体" w:cs="宋体"/>
          <w:b/>
          <w:highlight w:val="none"/>
        </w:rPr>
        <w:br w:type="page" w:clear="all"/>
      </w:r>
      <w:r>
        <w:rPr>
          <w:rFonts w:hint="eastAsia" w:ascii="黑体" w:hAnsi="宋体" w:eastAsia="黑体" w:cs="黑体"/>
          <w:b/>
          <w:i/>
          <w:sz w:val="32"/>
          <w:szCs w:val="32"/>
          <w:highlight w:val="none"/>
          <w:u w:val="single"/>
        </w:rPr>
        <w:t xml:space="preserve">八、磋商响应函</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致：盐城市盐都区龙冈镇人民政府根据贵方的</w:t>
      </w:r>
      <w:r>
        <w:rPr>
          <w:rFonts w:hint="eastAsia" w:ascii="宋体" w:hAnsi="宋体" w:eastAsia="宋体" w:cs="宋体"/>
          <w:highlight w:val="none"/>
          <w:lang w:eastAsia="zh-CN"/>
        </w:rPr>
        <w:t xml:space="preserve">JSZC-320903-CSXC-C2026-0051</w:t>
      </w:r>
      <w:r>
        <w:rPr>
          <w:rFonts w:hint="eastAsia" w:ascii="宋体" w:hAnsi="宋体" w:eastAsia="宋体" w:cs="宋体"/>
          <w:highlight w:val="none"/>
        </w:rPr>
        <w:t xml:space="preserve">号磋商文件，正式授权下述签字人______(姓名)代表我方______________（供应商的名称），全权处理本次项目磋商的有关事宜。</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据此函，__________签字人兹宣布同意如下：</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1.按磋商文件规定的各项要求，向买方提供所需货物、服务（包含与货物相关的服务及与服务相关的货物）。</w:t>
      </w:r>
      <w:r/>
    </w:p>
    <w:p>
      <w:pPr>
        <w:pStyle w:val="822"/>
        <w:ind w:firstLine="480"/>
        <w:spacing w:beforeAutospacing="0" w:afterAutospacing="0" w:line="440" w:lineRule="exact"/>
        <w:rPr>
          <w:highlight w:val="none"/>
        </w:rPr>
        <w:outlineLvl w:val="2"/>
      </w:pPr>
      <w:r>
        <w:rPr>
          <w:rFonts w:hint="eastAsia" w:ascii="宋体" w:hAnsi="宋体" w:eastAsia="宋体" w:cs="宋体"/>
          <w:highlight w:val="none"/>
        </w:rPr>
        <w:t xml:space="preserve">2.我们完全理解贵方不一定将合同授予最低报价的供应商。</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3.我们已详细审核全部磋商文件及其有效补充文件，我们知道必须放弃提出含糊不清或误解问题的权利。</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4.我们同意从规定的开标日期起遵循本响应文件，并在规定的磋商有效期期满之前均具有约束力。</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5.同意向贵方提供贵方可能另外要求的与磋商有关的任何证据或资料，并保证我方已提供和将要提供的文件是真实的、准确的。</w:t>
      </w:r>
      <w:r/>
    </w:p>
    <w:p>
      <w:pPr>
        <w:pStyle w:val="822"/>
        <w:ind w:firstLine="480"/>
        <w:spacing w:beforeAutospacing="0" w:afterAutospacing="0" w:line="440" w:lineRule="exact"/>
        <w:rPr>
          <w:highlight w:val="none"/>
        </w:rPr>
      </w:pPr>
      <w:r>
        <w:rPr>
          <w:rFonts w:hint="eastAsia" w:ascii="宋体" w:hAnsi="宋体" w:eastAsia="宋体" w:cs="宋体"/>
          <w:highlight w:val="none"/>
        </w:rPr>
        <w:t xml:space="preserve">6.一旦我方成交,我方将根据磋商文件的规定，严格履行合同的责任和义务,并保证在磋商文件规定的时间完成项目，交付买方验收、使用。</w:t>
      </w:r>
      <w:r/>
    </w:p>
    <w:p>
      <w:pPr>
        <w:pStyle w:val="822"/>
        <w:ind w:left="425"/>
        <w:spacing w:beforeAutospacing="0" w:afterAutospacing="0" w:line="440" w:lineRule="exact"/>
        <w:rPr>
          <w:highlight w:val="none"/>
        </w:rPr>
        <w:outlineLvl w:val="2"/>
      </w:pPr>
      <w:r>
        <w:rPr>
          <w:rFonts w:hint="eastAsia" w:ascii="宋体" w:hAnsi="宋体" w:eastAsia="宋体" w:cs="宋体"/>
          <w:highlight w:val="none"/>
        </w:rPr>
        <w:t xml:space="preserve">7.我方与本磋商有关的正式通讯地址为：</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地          址：</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邮          编：</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电          话：</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传          真：</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供  应  商  开  户   行：</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账          号： </w:t>
      </w:r>
      <w:r/>
    </w:p>
    <w:p>
      <w:pPr>
        <w:pStyle w:val="822"/>
        <w:ind w:left="420" w:firstLine="480"/>
        <w:spacing w:beforeAutospacing="0" w:afterAutospacing="0" w:line="440" w:lineRule="exact"/>
        <w:rPr>
          <w:highlight w:val="none"/>
        </w:rPr>
      </w:pPr>
      <w:r>
        <w:rPr>
          <w:rFonts w:hint="eastAsia" w:ascii="宋体" w:hAnsi="宋体" w:eastAsia="宋体" w:cs="宋体"/>
          <w:highlight w:val="none"/>
        </w:rPr>
        <w:t xml:space="preserve">日          期：________年____月____日</w:t>
      </w:r>
      <w:r/>
    </w:p>
    <w:p>
      <w:pPr>
        <w:rPr>
          <w:highlight w:val="none"/>
        </w:rPr>
      </w:pPr>
      <w:r>
        <w:rPr>
          <w:highlight w:val="none"/>
        </w:rPr>
        <w:br w:type="page" w:clear="all"/>
      </w:r>
      <w:r/>
    </w:p>
    <w:p>
      <w:pPr>
        <w:pStyle w:val="822"/>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t xml:space="preserve">九、中小企业声明函（工程）</w:t>
      </w:r>
      <w:r/>
    </w:p>
    <w:p>
      <w:pPr>
        <w:pStyle w:val="822"/>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号）的规定，本公司参加盐城市盐都区龙冈镇人民政府组织的，采购编号为     的    （项目名称）的采购活动，工程的施工单位全部为符合政策要求的中小企业承接。具体情况如下：</w:t>
      </w:r>
      <w:r/>
    </w:p>
    <w:p>
      <w:pPr>
        <w:numPr>
          <w:ilvl w:val="0"/>
          <w:numId w:val="4"/>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4"/>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822"/>
        <w:ind w:right="720"/>
        <w:jc w:val="both"/>
        <w:spacing w:beforeAutospacing="0" w:afterAutospacing="0" w:line="0" w:lineRule="atLeast"/>
        <w:rPr>
          <w:highlight w:val="none"/>
        </w:rPr>
      </w:pPr>
      <w:r>
        <w:rPr>
          <w:highlight w:val="none"/>
        </w:rPr>
        <w:t xml:space="preserve"> </w:t>
      </w:r>
      <w:r/>
    </w:p>
    <w:p>
      <w:pPr>
        <w:pStyle w:val="822"/>
        <w:ind w:right="180" w:firstLine="360"/>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p>
    <w:p>
      <w:pPr>
        <w:pStyle w:val="822"/>
        <w:ind w:right="480" w:firstLine="5400"/>
        <w:jc w:val="both"/>
        <w:spacing w:beforeAutospacing="0" w:afterAutospacing="0" w:line="0" w:lineRule="atLeast"/>
        <w:rPr>
          <w:highlight w:val="none"/>
        </w:rPr>
      </w:pPr>
      <w:r>
        <w:rPr>
          <w:rFonts w:hint="eastAsia" w:ascii="宋体" w:hAnsi="宋体" w:eastAsia="宋体" w:cs="宋体"/>
          <w:highlight w:val="none"/>
        </w:rPr>
        <w:t xml:space="preserve">日  期：</w:t>
      </w:r>
      <w:r/>
    </w:p>
    <w:p>
      <w:pPr>
        <w:pStyle w:val="822"/>
        <w:ind w:firstLine="240"/>
        <w:jc w:val="both"/>
        <w:spacing w:beforeAutospacing="0" w:afterAutospacing="0" w:line="0" w:lineRule="atLeast"/>
        <w:rPr>
          <w:highlight w:val="none"/>
        </w:rPr>
      </w:pPr>
      <w:r>
        <w:rPr>
          <w:highlight w:val="none"/>
        </w:rPr>
        <w:t xml:space="preserve"> </w:t>
      </w:r>
      <w:r/>
    </w:p>
    <w:p>
      <w:pPr>
        <w:pStyle w:val="822"/>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822"/>
        <w:ind w:firstLine="480"/>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822"/>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xml:space="preserve"> 十、残疾人福利性单位声明函</w:t>
      </w:r>
      <w:r/>
    </w:p>
    <w:p>
      <w:pPr>
        <w:pStyle w:val="822"/>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pStyle w:val="822"/>
        <w:ind w:firstLine="480"/>
        <w:jc w:val="both"/>
        <w:spacing w:beforeAutospacing="0" w:afterAutospacing="0" w:line="440" w:lineRule="exact"/>
        <w:rPr>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项目（分包号：**）采购活动提供本单位制造的货物，或者提供其他残疾人福利性单位制造的货物（不包括使用非残疾人福利性单位注册商标的货物）。</w:t>
      </w:r>
      <w:r/>
    </w:p>
    <w:p>
      <w:pPr>
        <w:pStyle w:val="822"/>
        <w:ind w:firstLine="480"/>
        <w:jc w:val="both"/>
        <w:spacing w:beforeAutospacing="0" w:afterAutospacing="0" w:line="440" w:lineRule="exact"/>
        <w:rPr>
          <w:highlight w:val="none"/>
        </w:rPr>
      </w:pPr>
      <w:r>
        <w:rPr>
          <w:rFonts w:hint="eastAsia" w:ascii="宋体" w:hAnsi="宋体" w:eastAsia="宋体" w:cs="宋体"/>
          <w:highlight w:val="none"/>
        </w:rPr>
        <w:t xml:space="preserve">本单位对上述声明的真实性负责。如有虚假，将依法承担相应责任。</w:t>
      </w:r>
      <w:r/>
    </w:p>
    <w:p>
      <w:pPr>
        <w:pStyle w:val="822"/>
        <w:ind w:firstLine="480"/>
        <w:jc w:val="both"/>
        <w:spacing w:beforeAutospacing="0" w:afterAutospacing="0" w:line="440" w:lineRule="exact"/>
        <w:rPr>
          <w:highlight w:val="none"/>
        </w:rPr>
      </w:pPr>
      <w:r>
        <w:rPr>
          <w:highlight w:val="none"/>
        </w:rPr>
        <w:t xml:space="preserve"> </w:t>
      </w:r>
      <w:r/>
    </w:p>
    <w:p>
      <w:pPr>
        <w:pStyle w:val="822"/>
        <w:ind w:firstLine="480"/>
        <w:jc w:val="both"/>
        <w:spacing w:beforeAutospacing="0" w:afterAutospacing="0" w:line="440" w:lineRule="exact"/>
        <w:rPr>
          <w:highlight w:val="none"/>
        </w:rPr>
      </w:pPr>
      <w:r>
        <w:rPr>
          <w:rFonts w:hint="eastAsia" w:ascii="宋体" w:hAnsi="宋体" w:eastAsia="宋体" w:cs="宋体"/>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22"/>
        <w:ind w:firstLine="624"/>
        <w:jc w:val="both"/>
        <w:spacing w:beforeAutospacing="0" w:afterAutospacing="0" w:line="440" w:lineRule="exact"/>
        <w:rPr>
          <w:highlight w:val="none"/>
        </w:rPr>
      </w:pPr>
      <w:r>
        <w:rPr>
          <w:highlight w:val="none"/>
        </w:rPr>
        <w:t xml:space="preserve"> </w:t>
      </w:r>
      <w:r/>
    </w:p>
    <w:p>
      <w:pPr>
        <w:pStyle w:val="822"/>
        <w:ind w:right="1560" w:firstLine="624"/>
        <w:jc w:val="center"/>
        <w:spacing w:beforeAutospacing="0" w:afterAutospacing="0" w:line="440" w:lineRule="exact"/>
        <w:tabs>
          <w:tab w:val="left" w:pos="4864" w:leader="none"/>
        </w:tabs>
        <w:rPr>
          <w:highlight w:val="none"/>
        </w:rPr>
      </w:pPr>
      <w:r>
        <w:rPr>
          <w:rFonts w:ascii="仿宋_GB2312" w:eastAsia="仿宋_GB2312" w:cs="仿宋_GB2312"/>
          <w:sz w:val="30"/>
          <w:szCs w:val="30"/>
          <w:highlight w:val="none"/>
        </w:rPr>
        <w:t xml:space="preserve">           </w:t>
      </w:r>
      <w:r>
        <w:rPr>
          <w:rFonts w:hint="eastAsia" w:ascii="宋体" w:hAnsi="宋体" w:eastAsia="宋体" w:cs="宋体"/>
          <w:highlight w:val="none"/>
        </w:rPr>
        <w:t xml:space="preserve">供应商全称（加盖CA电子公章）：</w:t>
      </w:r>
      <w:r/>
    </w:p>
    <w:p>
      <w:pPr>
        <w:pStyle w:val="822"/>
        <w:ind w:right="1560" w:firstLine="480"/>
        <w:jc w:val="center"/>
        <w:spacing w:beforeAutospacing="0" w:afterAutospacing="0" w:line="440" w:lineRule="exact"/>
        <w:tabs>
          <w:tab w:val="left" w:pos="4864" w:leader="none"/>
        </w:tabs>
        <w:rPr>
          <w:highlight w:val="none"/>
        </w:rPr>
      </w:pPr>
      <w:r>
        <w:rPr>
          <w:rFonts w:hint="eastAsia" w:ascii="宋体" w:hAnsi="宋体" w:eastAsia="宋体" w:cs="宋体"/>
          <w:highlight w:val="none"/>
        </w:rPr>
        <w:t xml:space="preserve">                       日  期：</w:t>
      </w:r>
      <w:r/>
    </w:p>
    <w:p>
      <w:pPr>
        <w:rPr>
          <w:highlight w:val="none"/>
        </w:rPr>
      </w:pPr>
      <w:r>
        <w:rPr>
          <w:highlight w:val="none"/>
        </w:rPr>
        <w:br w:type="page" w:clear="all"/>
      </w:r>
      <w:r/>
    </w:p>
    <w:p>
      <w:pPr>
        <w:pStyle w:val="822"/>
        <w:jc w:val="center"/>
        <w:spacing w:beforeAutospacing="0" w:afterAutospacing="0" w:line="0" w:lineRule="atLeast"/>
        <w:rPr>
          <w:highlight w:val="none"/>
        </w:rPr>
        <w:outlineLvl w:val="1"/>
      </w:pPr>
      <w:r>
        <w:rPr>
          <w:rFonts w:hint="eastAsia" w:ascii="黑体" w:hAnsi="宋体" w:eastAsia="黑体" w:cs="黑体"/>
          <w:b/>
          <w:sz w:val="32"/>
          <w:szCs w:val="32"/>
          <w:highlight w:val="none"/>
        </w:rPr>
        <w:t xml:space="preserve">十一、已标价的工程量清单报价表</w:t>
      </w:r>
      <w:r/>
    </w:p>
    <w:p>
      <w:pPr>
        <w:pStyle w:val="805"/>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p>
    <w:p>
      <w:pPr>
        <w:pStyle w:val="805"/>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pStyle w:val="805"/>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p>
    <w:p>
      <w:pPr>
        <w:pStyle w:val="822"/>
        <w:jc w:val="both"/>
        <w:spacing w:beforeAutospacing="0" w:afterAutospacing="0" w:line="440" w:lineRule="exact"/>
        <w:rPr>
          <w:highlight w:val="none"/>
        </w:rPr>
      </w:pPr>
      <w:r>
        <w:rPr>
          <w:highlight w:val="none"/>
        </w:rPr>
        <w:t xml:space="preserve"> </w:t>
      </w:r>
      <w:r/>
    </w:p>
    <w:p>
      <w:pPr>
        <w:pStyle w:val="822"/>
        <w:jc w:val="both"/>
        <w:spacing w:beforeAutospacing="0" w:afterAutospacing="0" w:line="0" w:lineRule="atLeast"/>
        <w:rPr>
          <w:highlight w:val="none"/>
        </w:rPr>
      </w:pPr>
      <w:r>
        <w:rPr>
          <w:highlight w:val="none"/>
        </w:rPr>
        <w:t xml:space="preserve"> </w:t>
      </w:r>
      <w:r/>
    </w:p>
    <w:p>
      <w:pPr>
        <w:pStyle w:val="822"/>
        <w:jc w:val="both"/>
        <w:spacing w:beforeAutospacing="0" w:afterAutospacing="0"/>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pStyle w:val="822"/>
        <w:jc w:val="center"/>
        <w:spacing w:beforeAutospacing="0" w:afterAutospacing="0"/>
        <w:rPr>
          <w:highlight w:val="none"/>
        </w:rPr>
        <w:outlineLvl w:val="1"/>
      </w:pPr>
      <w:r>
        <w:rPr>
          <w:rFonts w:hint="eastAsia" w:ascii="黑体" w:hAnsi="宋体" w:eastAsia="黑体" w:cs="黑体"/>
          <w:b/>
          <w:sz w:val="32"/>
          <w:szCs w:val="32"/>
          <w:highlight w:val="none"/>
        </w:rPr>
        <w:t xml:space="preserve">十二、技术要求响应及偏离表</w:t>
      </w:r>
      <w:r/>
    </w:p>
    <w:tbl>
      <w:tblPr>
        <w:tblStyle w:val="79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证明</w:t>
            </w:r>
            <w:r/>
          </w:p>
          <w:p>
            <w:pPr>
              <w:pStyle w:val="822"/>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bl>
    <w:p>
      <w:pPr>
        <w:pStyle w:val="822"/>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rPr>
          <w:rFonts w:hint="eastAsia" w:ascii="黑体" w:hAnsi="宋体" w:eastAsia="黑体" w:cs="黑体"/>
          <w:b/>
          <w:sz w:val="32"/>
          <w:szCs w:val="32"/>
          <w:highlight w:val="none"/>
        </w:rPr>
      </w:pPr>
      <w:r/>
      <w:bookmarkStart w:id="672" w:name="_Hlt26955054"/>
      <w:r>
        <w:rPr>
          <w:rFonts w:hint="eastAsia" w:ascii="黑体" w:hAnsi="宋体" w:eastAsia="黑体" w:cs="黑体"/>
          <w:b/>
          <w:sz w:val="32"/>
          <w:szCs w:val="32"/>
          <w:highlight w:val="none"/>
        </w:rPr>
        <w:br w:type="page" w:clear="all"/>
      </w:r>
      <w:r/>
    </w:p>
    <w:p>
      <w:pPr>
        <w:pStyle w:val="822"/>
        <w:jc w:val="center"/>
        <w:spacing w:beforeAutospacing="0" w:afterAutospacing="0"/>
        <w:rPr>
          <w:highlight w:val="none"/>
        </w:rPr>
        <w:outlineLvl w:val="1"/>
      </w:pPr>
      <w:r>
        <w:rPr>
          <w:rFonts w:hint="eastAsia" w:ascii="黑体" w:hAnsi="宋体" w:eastAsia="黑体" w:cs="黑体"/>
          <w:b/>
          <w:sz w:val="32"/>
          <w:szCs w:val="32"/>
          <w:highlight w:val="none"/>
        </w:rPr>
        <w:t xml:space="preserve">十三、商务要求响应及偏离表</w:t>
      </w:r>
      <w:r/>
    </w:p>
    <w:tbl>
      <w:tblPr>
        <w:tblStyle w:val="79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bookmarkStart w:id="673" w:name="_Hlt26671343"/>
            <w:r/>
            <w:bookmarkStart w:id="674" w:name="_Hlt24879081"/>
            <w:r/>
            <w:bookmarkStart w:id="675" w:name="_Hlt26955064"/>
            <w:r/>
            <w:bookmarkStart w:id="676" w:name="_Hlt26671372"/>
            <w:r/>
            <w:bookmarkStart w:id="677" w:name="_Hlt26955056"/>
            <w:r/>
            <w:bookmarkStart w:id="678" w:name="_Hlt26609391"/>
            <w:r/>
            <w:bookmarkStart w:id="679" w:name="_Hlt26782999"/>
            <w:r/>
            <w:bookmarkStart w:id="680" w:name="_Hlt26580838"/>
            <w:r>
              <w:rPr>
                <w:rFonts w:hint="eastAsia" w:ascii="宋体" w:hAnsi="宋体" w:eastAsia="宋体" w:cs="宋体"/>
                <w:highlight w:val="none"/>
              </w:rPr>
              <w:t xml:space="preserve">序号</w:t>
            </w:r>
            <w:bookmarkEnd w:id="673"/>
            <w:r/>
            <w:bookmarkEnd w:id="674"/>
            <w:r/>
            <w:bookmarkEnd w:id="675"/>
            <w:r/>
            <w:bookmarkEnd w:id="676"/>
            <w:r/>
            <w:bookmarkEnd w:id="677"/>
            <w:r/>
            <w:bookmarkEnd w:id="678"/>
            <w:r/>
            <w:bookmarkEnd w:id="679"/>
            <w:r/>
            <w:bookmarkEnd w:id="68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证明</w:t>
            </w:r>
            <w:r/>
          </w:p>
          <w:p>
            <w:pPr>
              <w:pStyle w:val="822"/>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highlight w:val="none"/>
              </w:rPr>
            </w:pPr>
            <w:r>
              <w:rPr>
                <w:highlight w:val="none"/>
              </w:rPr>
              <w:t xml:space="preserve"> </w:t>
            </w:r>
            <w:r/>
          </w:p>
        </w:tc>
      </w:tr>
    </w:tbl>
    <w:p>
      <w:pPr>
        <w:pStyle w:val="822"/>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22"/>
        <w:jc w:val="both"/>
        <w:spacing w:beforeAutospacing="0" w:afterAutospacing="0" w:line="480" w:lineRule="auto"/>
        <w:rPr>
          <w:highlight w:val="none"/>
        </w:rPr>
      </w:pPr>
      <w:r>
        <w:rPr>
          <w:highlight w:val="none"/>
        </w:rPr>
        <w:t xml:space="preserve"> </w:t>
      </w:r>
      <w:r/>
    </w:p>
    <w:p>
      <w:pPr>
        <w:pStyle w:val="822"/>
        <w:jc w:val="both"/>
        <w:spacing w:beforeAutospacing="0" w:afterAutospacing="0" w:line="480" w:lineRule="auto"/>
        <w:rPr>
          <w:highlight w:val="none"/>
        </w:rPr>
      </w:pPr>
      <w:r>
        <w:rPr>
          <w:highlight w:val="none"/>
        </w:rPr>
        <w:t xml:space="preserve"> </w:t>
      </w:r>
      <w:r/>
    </w:p>
    <w:p>
      <w:pPr>
        <w:pStyle w:val="822"/>
        <w:jc w:val="center"/>
        <w:spacing w:beforeAutospacing="0" w:afterAutospacing="0"/>
        <w:rPr>
          <w:highlight w:val="none"/>
        </w:rPr>
      </w:pPr>
      <w:r/>
      <w:bookmarkStart w:id="681" w:name="_Hlt26671374"/>
      <w:r/>
      <w:bookmarkStart w:id="682" w:name="_Toc462564146"/>
      <w:r/>
      <w:bookmarkStart w:id="683" w:name="_Hlt26609389"/>
      <w:r/>
      <w:bookmarkStart w:id="684" w:name="_格式2__法定代表人授权书"/>
      <w:r/>
      <w:bookmarkStart w:id="685" w:name="_Hlt26955066"/>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r>
      <w:r/>
    </w:p>
    <w:p>
      <w:pPr>
        <w:pStyle w:val="822"/>
        <w:jc w:val="center"/>
        <w:spacing w:beforeAutospacing="0" w:afterAutospacing="0"/>
        <w:rPr>
          <w:highlight w:val="none"/>
        </w:rPr>
      </w:pPr>
      <w:r>
        <w:rPr>
          <w:highlight w:val="none"/>
        </w:rPr>
      </w:r>
      <w:r/>
    </w:p>
    <w:p>
      <w:pPr>
        <w:pStyle w:val="822"/>
        <w:jc w:val="center"/>
        <w:spacing w:beforeAutospacing="0" w:afterAutospacing="0"/>
        <w:rPr>
          <w:highlight w:val="none"/>
        </w:rPr>
      </w:pPr>
      <w:r>
        <w:rPr>
          <w:highlight w:val="none"/>
        </w:rPr>
      </w:r>
      <w:r/>
    </w:p>
    <w:p>
      <w:pPr>
        <w:pStyle w:val="822"/>
        <w:jc w:val="center"/>
        <w:spacing w:beforeAutospacing="0" w:afterAutospacing="0"/>
        <w:rPr>
          <w:highlight w:val="none"/>
        </w:rPr>
      </w:pPr>
      <w:r>
        <w:rPr>
          <w:highlight w:val="none"/>
        </w:rPr>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center"/>
        <w:spacing w:beforeAutospacing="0" w:afterAutospacing="0"/>
        <w:rPr>
          <w:highlight w:val="none"/>
        </w:rPr>
      </w:pPr>
      <w:r>
        <w:rPr>
          <w:highlight w:val="none"/>
        </w:rPr>
        <w:t xml:space="preserve"> </w:t>
      </w:r>
      <w:r/>
    </w:p>
    <w:p>
      <w:pPr>
        <w:pStyle w:val="822"/>
        <w:jc w:val="both"/>
        <w:spacing w:beforeAutospacing="0" w:afterAutospacing="0"/>
        <w:rPr>
          <w:highlight w:val="none"/>
        </w:rPr>
      </w:pPr>
      <w:r>
        <w:rPr>
          <w:highlight w:val="none"/>
        </w:rPr>
        <w:t xml:space="preserve"> </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822"/>
        <w:jc w:val="center"/>
        <w:spacing w:beforeAutospacing="0" w:afterAutospacing="0"/>
        <w:rPr>
          <w:highlight w:val="none"/>
        </w:rPr>
        <w:outlineLvl w:val="1"/>
      </w:pPr>
      <w:r>
        <w:rPr>
          <w:rFonts w:hint="eastAsia" w:ascii="黑体" w:hAnsi="宋体" w:eastAsia="黑体" w:cs="黑体"/>
          <w:b/>
          <w:i/>
          <w:sz w:val="32"/>
          <w:szCs w:val="32"/>
          <w:highlight w:val="none"/>
          <w:u w:val="single"/>
        </w:rPr>
        <w:t xml:space="preserve">十四、磋商报价表</w:t>
      </w:r>
      <w:r/>
    </w:p>
    <w:p>
      <w:pPr>
        <w:pStyle w:val="822"/>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2"/>
        <w:ind w:firstLine="480"/>
        <w:jc w:val="both"/>
        <w:spacing w:beforeAutospacing="0" w:afterAutospacing="0"/>
        <w:rPr>
          <w:highlight w:val="none"/>
        </w:rPr>
      </w:pPr>
      <w:r>
        <w:rPr>
          <w:rFonts w:hint="eastAsia" w:ascii="宋体" w:hAnsi="宋体" w:eastAsia="宋体" w:cs="宋体"/>
          <w:highlight w:val="none"/>
        </w:rPr>
        <w:t xml:space="preserve">投标人全称（加盖CA电子签章）：</w:t>
      </w:r>
      <w:r/>
    </w:p>
    <w:p>
      <w:pPr>
        <w:pStyle w:val="822"/>
        <w:ind w:firstLine="480"/>
        <w:jc w:val="both"/>
        <w:spacing w:beforeAutospacing="0" w:afterAutospacing="0"/>
        <w:rPr>
          <w:highlight w:val="none"/>
        </w:rPr>
      </w:pPr>
      <w:r>
        <w:rPr>
          <w:rFonts w:hint="eastAsia" w:ascii="宋体" w:hAnsi="宋体" w:eastAsia="宋体" w:cs="宋体"/>
          <w:highlight w:val="none"/>
        </w:rPr>
        <w:t xml:space="preserve">项目名称：</w:t>
      </w:r>
      <w:r/>
    </w:p>
    <w:p>
      <w:pPr>
        <w:pStyle w:val="822"/>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项目编号：</w:t>
      </w:r>
      <w:r/>
    </w:p>
    <w:p>
      <w:pPr>
        <w:ind w:firstLine="482"/>
        <w:spacing w:line="6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56"/>
        <w:gridCol w:w="2825"/>
        <w:gridCol w:w="2841"/>
      </w:tblGrid>
      <w:tr>
        <w:trPr/>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项目名称</w:t>
            </w:r>
            <w:r/>
          </w:p>
        </w:tc>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项目内容</w:t>
            </w:r>
            <w:r/>
          </w:p>
        </w:tc>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总价（小写）</w:t>
            </w:r>
            <w:r/>
          </w:p>
        </w:tc>
      </w:tr>
      <w:tr>
        <w:trPr/>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龙冈镇刘垎村道路改造和人居环境提升项目</w:t>
            </w:r>
            <w:r/>
          </w:p>
        </w:tc>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szCs w:val="22"/>
                <w:highlight w:val="none"/>
                <w:lang w:eastAsia="en-US"/>
              </w:rPr>
              <w:t xml:space="preserve">详见</w:t>
            </w:r>
            <w:r>
              <w:rPr>
                <w:rFonts w:hint="eastAsia" w:ascii="宋体" w:hAnsi="宋体" w:eastAsia="宋体" w:cs="宋体"/>
                <w:szCs w:val="22"/>
                <w:highlight w:val="none"/>
              </w:rPr>
              <w:t xml:space="preserve">响应</w:t>
            </w:r>
            <w:r>
              <w:rPr>
                <w:rFonts w:hint="eastAsia" w:ascii="宋体" w:hAnsi="宋体" w:eastAsia="宋体" w:cs="宋体"/>
                <w:szCs w:val="22"/>
                <w:highlight w:val="none"/>
                <w:lang w:eastAsia="en-US"/>
              </w:rPr>
              <w:t xml:space="preserve">文件</w:t>
            </w:r>
            <w:r/>
          </w:p>
        </w:tc>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r>
        <w:trPr/>
        <w:tc>
          <w:tcPr>
            <w:tcW w:w="299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总价（大写）：</w:t>
            </w:r>
            <w:r/>
          </w:p>
        </w:tc>
        <w:tc>
          <w:tcPr>
            <w:gridSpan w:val="2"/>
            <w:tcW w:w="5980" w:type="dxa"/>
            <w:textDirection w:val="lrTb"/>
            <w:noWrap w:val="false"/>
          </w:tcPr>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98"/>
        <w:rPr>
          <w:rFonts w:hint="eastAsia"/>
          <w:highlight w:val="none"/>
        </w:rPr>
      </w:pPr>
      <w:r>
        <w:rPr>
          <w:rFonts w:hint="eastAsia"/>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rFonts w:hint="eastAsia" w:ascii="宋体" w:hAnsi="宋体" w:eastAsia="宋体" w:cs="宋体"/>
          <w:sz w:val="24"/>
          <w:highlight w:val="none"/>
        </w:rPr>
        <w:t xml:space="preserve">      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822"/>
        <w:widowControl/>
        <w:rPr>
          <w:highlight w:val="none"/>
        </w:rPr>
      </w:pPr>
      <w:r>
        <w:rPr>
          <w:highlight w:val="none"/>
        </w:rPr>
        <w:t xml:space="preserve"> </w:t>
      </w:r>
      <w:r/>
    </w:p>
    <w:p>
      <w:pPr>
        <w:pStyle w:val="822"/>
        <w:widowControl/>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十五、项目实施方案</w:t>
      </w:r>
      <w:r/>
    </w:p>
    <w:p>
      <w:pPr>
        <w:pStyle w:val="822"/>
        <w:ind w:firstLine="2640"/>
        <w:jc w:val="both"/>
        <w:spacing w:beforeAutospacing="0" w:afterAutospacing="0"/>
        <w:tabs>
          <w:tab w:val="left" w:pos="2160" w:leader="none"/>
        </w:tabs>
        <w:rPr>
          <w:highlight w:val="none"/>
        </w:rPr>
      </w:pPr>
      <w:r>
        <w:rPr>
          <w:rFonts w:ascii="宋体" w:hAnsi="宋体" w:eastAsia="宋体" w:cs="宋体"/>
          <w:color w:val="000000"/>
          <w:highlight w:val="none"/>
        </w:rPr>
        <w:t xml:space="preserve">（按招标文件评标办法编制）</w:t>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十六、盐都区政府采购事前信用承诺书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32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22"/>
        <w:jc w:val="center"/>
        <w:spacing w:beforeAutospacing="0" w:afterAutospacing="0"/>
        <w:rPr>
          <w:rFonts w:hint="eastAsia" w:ascii="宋体" w:hAnsi="宋体" w:eastAsia="宋体" w:cs="宋体"/>
          <w:b/>
          <w:sz w:val="32"/>
          <w:szCs w:val="32"/>
          <w:highlight w:val="none"/>
        </w:rPr>
        <w:outlineLvl w:val="2"/>
      </w:pPr>
      <w:r>
        <w:rPr>
          <w:rFonts w:hint="eastAsia" w:ascii="宋体" w:hAnsi="宋体" w:eastAsia="宋体" w:cs="宋体"/>
          <w:b/>
          <w:sz w:val="32"/>
          <w:szCs w:val="32"/>
          <w:highlight w:val="none"/>
        </w:rPr>
        <w:t xml:space="preserve">质疑函范本</w:t>
      </w:r>
      <w:r/>
    </w:p>
    <w:p>
      <w:pPr>
        <w:pStyle w:val="822"/>
        <w:jc w:val="both"/>
        <w:spacing w:before="290"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一、质疑供应商基本信息</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二、质疑项目基本情况</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磋商文件获取日期：</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三、质疑事项具体内容</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p>
    <w:p>
      <w:pPr>
        <w:pStyle w:val="822"/>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质疑事项2</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w:t>
      </w:r>
      <w:r/>
    </w:p>
    <w:p>
      <w:pPr>
        <w:pStyle w:val="822"/>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四、与质疑事项相关的质疑请求</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签字(签章)：                 公章：               日期：    </w:t>
      </w:r>
      <w:r/>
    </w:p>
    <w:p>
      <w:pPr>
        <w:pStyle w:val="822"/>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质疑函制作说明：</w:t>
      </w:r>
      <w:r/>
    </w:p>
    <w:p>
      <w:pPr>
        <w:pStyle w:val="822"/>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1.供应商提出质疑时，应提交质疑函和必要的证明材料。</w:t>
      </w:r>
      <w:r/>
    </w:p>
    <w:p>
      <w:pPr>
        <w:pStyle w:val="822"/>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p>
    <w:p>
      <w:pPr>
        <w:pStyle w:val="822"/>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p>
    <w:p>
      <w:pPr>
        <w:pStyle w:val="822"/>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5.质疑函的质疑请求应与质疑事项相关。</w:t>
      </w:r>
      <w:r/>
    </w:p>
    <w:p>
      <w:pPr>
        <w:pStyle w:val="822"/>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2"/>
        <w:ind w:firstLine="42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pStyle w:val="822"/>
        <w:ind w:firstLine="420"/>
        <w:jc w:val="both"/>
        <w:spacing w:beforeAutospacing="0" w:afterAutospacing="0"/>
        <w:rPr>
          <w:highlight w:val="none"/>
        </w:rPr>
      </w:pPr>
      <w:r>
        <w:rPr>
          <w:highlight w:val="none"/>
        </w:rPr>
        <w:t xml:space="preserve"> </w:t>
      </w:r>
      <w:bookmarkEnd w:id="11"/>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7"/>
      <w:r/>
      <w:bookmarkEnd w:id="168"/>
      <w:r/>
      <w:bookmarkEnd w:id="665"/>
      <w:r/>
      <w:bookmarkEnd w:id="666"/>
      <w:r/>
      <w:bookmarkEnd w:id="667"/>
      <w:r/>
      <w:bookmarkEnd w:id="668"/>
      <w:r/>
      <w:bookmarkEnd w:id="669"/>
      <w:r/>
      <w:bookmarkEnd w:id="670"/>
      <w:r/>
      <w:bookmarkEnd w:id="671"/>
      <w:r/>
      <w:bookmarkEnd w:id="672"/>
      <w:r/>
      <w:bookmarkEnd w:id="681"/>
      <w:r/>
      <w:bookmarkEnd w:id="682"/>
      <w:r/>
      <w:bookmarkEnd w:id="683"/>
      <w:r/>
      <w:bookmarkEnd w:id="684"/>
      <w:r/>
      <w:bookmarkEnd w:id="685"/>
      <w:r/>
      <w:r/>
    </w:p>
    <w:p>
      <w:pPr>
        <w:rPr>
          <w:highlight w:val="none"/>
        </w:rPr>
      </w:pPr>
      <w:r>
        <w:rPr>
          <w:highlight w:val="none"/>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Garamond">
    <w:panose1 w:val="02020404030301010803"/>
  </w:font>
  <w:font w:name="Calibri">
    <w:panose1 w:val="020F050202020403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round/>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50</w:t>
                    </w:r>
                    <w:r>
                      <w:rPr>
                        <w:rFonts w:hint="eastAsia"/>
                        <w:sz w:val="18"/>
                      </w:rPr>
                      <w:fldChar w:fldCharType="end"/>
                    </w:r>
                    <w:r/>
                  </w:p>
                </w:txbxContent>
              </v:textbox>
            </v:shape>
          </w:pict>
        </mc:Fallback>
      </mc:AlternateContent>
    </w:r>
    <w:r/>
  </w:p>
  <w:p>
    <w:pPr>
      <w:pStyle w:val="813"/>
      <w:tabs>
        <w:tab w:val="left" w:pos="3615" w:leader="none"/>
      </w:tabs>
      <w:pBdr>
        <w:bottom w:val="none" w:color="auto" w:sz="0" w:space="0"/>
      </w:pBd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2546985</wp:posOffset>
              </wp:positionH>
              <wp:positionV relativeFrom="paragraph">
                <wp:posOffset>-279400</wp:posOffset>
              </wp:positionV>
              <wp:extent cx="617855" cy="23114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617855" cy="2311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00.5pt;mso-position-horizontal:absolute;mso-position-vertical-relative:text;margin-top:-22.0pt;mso-position-vertical:absolute;width:48.6pt;height:18.2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25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2204720</wp:posOffset>
              </wp:positionH>
              <wp:positionV relativeFrom="paragraph">
                <wp:posOffset>-215900</wp:posOffset>
              </wp:positionV>
              <wp:extent cx="494030" cy="18415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94030" cy="184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173.6pt;mso-position-horizontal:absolute;mso-position-vertical-relative:text;margin-top:-17.0pt;mso-position-vertical:absolute;width:38.9pt;height:14.5pt;mso-wrap-distance-left:9.0pt;mso-wrap-distance-top:0.0pt;mso-wrap-distance-right:9.0pt;mso-wrap-distance-bottom:0.0pt;v-text-anchor:top;visibility:visible;" filled="f" stroked="f" strokeweight="0.50pt">
              <v:textbox inset="0,0,0,0">
                <w:txbxContent>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6"/>
    <w:link w:val="787"/>
    <w:uiPriority w:val="9"/>
    <w:rPr>
      <w:rFonts w:ascii="Arial" w:hAnsi="Arial" w:eastAsia="Arial" w:cs="Arial"/>
      <w:sz w:val="40"/>
      <w:szCs w:val="40"/>
    </w:rPr>
  </w:style>
  <w:style w:type="character" w:styleId="15">
    <w:name w:val="Heading 2 Char"/>
    <w:basedOn w:val="796"/>
    <w:link w:val="788"/>
    <w:uiPriority w:val="9"/>
    <w:rPr>
      <w:rFonts w:ascii="Arial" w:hAnsi="Arial" w:eastAsia="Arial" w:cs="Arial"/>
      <w:sz w:val="34"/>
    </w:rPr>
  </w:style>
  <w:style w:type="character" w:styleId="17">
    <w:name w:val="Heading 3 Char"/>
    <w:basedOn w:val="796"/>
    <w:link w:val="789"/>
    <w:uiPriority w:val="9"/>
    <w:rPr>
      <w:rFonts w:ascii="Arial" w:hAnsi="Arial" w:eastAsia="Arial" w:cs="Arial"/>
      <w:sz w:val="30"/>
      <w:szCs w:val="30"/>
    </w:rPr>
  </w:style>
  <w:style w:type="character" w:styleId="19">
    <w:name w:val="Heading 4 Char"/>
    <w:basedOn w:val="796"/>
    <w:link w:val="790"/>
    <w:uiPriority w:val="9"/>
    <w:rPr>
      <w:rFonts w:ascii="Arial" w:hAnsi="Arial" w:eastAsia="Arial" w:cs="Arial"/>
      <w:b/>
      <w:bCs/>
      <w:sz w:val="26"/>
      <w:szCs w:val="26"/>
    </w:rPr>
  </w:style>
  <w:style w:type="character" w:styleId="21">
    <w:name w:val="Heading 5 Char"/>
    <w:basedOn w:val="796"/>
    <w:link w:val="791"/>
    <w:uiPriority w:val="9"/>
    <w:rPr>
      <w:rFonts w:ascii="Arial" w:hAnsi="Arial" w:eastAsia="Arial" w:cs="Arial"/>
      <w:b/>
      <w:bCs/>
      <w:sz w:val="24"/>
      <w:szCs w:val="24"/>
    </w:rPr>
  </w:style>
  <w:style w:type="character" w:styleId="23">
    <w:name w:val="Heading 6 Char"/>
    <w:basedOn w:val="796"/>
    <w:link w:val="792"/>
    <w:uiPriority w:val="9"/>
    <w:rPr>
      <w:rFonts w:ascii="Arial" w:hAnsi="Arial" w:eastAsia="Arial" w:cs="Arial"/>
      <w:b/>
      <w:bCs/>
      <w:sz w:val="22"/>
      <w:szCs w:val="22"/>
    </w:rPr>
  </w:style>
  <w:style w:type="character" w:styleId="25">
    <w:name w:val="Heading 7 Char"/>
    <w:basedOn w:val="796"/>
    <w:link w:val="793"/>
    <w:uiPriority w:val="9"/>
    <w:rPr>
      <w:rFonts w:ascii="Arial" w:hAnsi="Arial" w:eastAsia="Arial" w:cs="Arial"/>
      <w:b/>
      <w:bCs/>
      <w:i/>
      <w:iCs/>
      <w:sz w:val="22"/>
      <w:szCs w:val="22"/>
    </w:rPr>
  </w:style>
  <w:style w:type="character" w:styleId="27">
    <w:name w:val="Heading 8 Char"/>
    <w:basedOn w:val="796"/>
    <w:link w:val="794"/>
    <w:uiPriority w:val="9"/>
    <w:rPr>
      <w:rFonts w:ascii="Arial" w:hAnsi="Arial" w:eastAsia="Arial" w:cs="Arial"/>
      <w:i/>
      <w:iCs/>
      <w:sz w:val="22"/>
      <w:szCs w:val="22"/>
    </w:rPr>
  </w:style>
  <w:style w:type="character" w:styleId="29">
    <w:name w:val="Heading 9 Char"/>
    <w:basedOn w:val="796"/>
    <w:link w:val="795"/>
    <w:uiPriority w:val="9"/>
    <w:rPr>
      <w:rFonts w:ascii="Arial" w:hAnsi="Arial" w:eastAsia="Arial" w:cs="Arial"/>
      <w:i/>
      <w:iCs/>
      <w:sz w:val="21"/>
      <w:szCs w:val="21"/>
    </w:rPr>
  </w:style>
  <w:style w:type="character" w:styleId="34">
    <w:name w:val="Title Char"/>
    <w:basedOn w:val="796"/>
    <w:link w:val="823"/>
    <w:uiPriority w:val="10"/>
    <w:rPr>
      <w:sz w:val="48"/>
      <w:szCs w:val="48"/>
    </w:rPr>
  </w:style>
  <w:style w:type="character" w:styleId="36">
    <w:name w:val="Subtitle Char"/>
    <w:basedOn w:val="796"/>
    <w:link w:val="816"/>
    <w:uiPriority w:val="11"/>
    <w:rPr>
      <w:sz w:val="24"/>
      <w:szCs w:val="24"/>
    </w:rPr>
  </w:style>
  <w:style w:type="character" w:styleId="38">
    <w:name w:val="Quote Char"/>
    <w:link w:val="842"/>
    <w:uiPriority w:val="29"/>
    <w:rPr>
      <w:i/>
    </w:rPr>
  </w:style>
  <w:style w:type="character" w:styleId="40">
    <w:name w:val="Intense Quote Char"/>
    <w:link w:val="844"/>
    <w:uiPriority w:val="30"/>
    <w:rPr>
      <w:i/>
    </w:rPr>
  </w:style>
  <w:style w:type="character" w:styleId="175">
    <w:name w:val="Footnote Text Char"/>
    <w:link w:val="817"/>
    <w:uiPriority w:val="99"/>
    <w:rPr>
      <w:sz w:val="18"/>
    </w:rPr>
  </w:style>
  <w:style w:type="character" w:styleId="178">
    <w:name w:val="Endnote Text Char"/>
    <w:link w:val="811"/>
    <w:uiPriority w:val="99"/>
    <w:rPr>
      <w:sz w:val="20"/>
    </w:rPr>
  </w:style>
  <w:style w:type="paragraph" w:styleId="786" w:default="1">
    <w:name w:val="Normal"/>
    <w:next w:val="79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87">
    <w:name w:val="Heading 1"/>
    <w:basedOn w:val="786"/>
    <w:link w:val="830"/>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88">
    <w:name w:val="Heading 2"/>
    <w:basedOn w:val="786"/>
    <w:next w:val="786"/>
    <w:link w:val="831"/>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89">
    <w:name w:val="Heading 3"/>
    <w:basedOn w:val="786"/>
    <w:next w:val="786"/>
    <w:link w:val="832"/>
    <w:uiPriority w:val="0"/>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33"/>
    <w:uiPriority w:val="0"/>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34"/>
    <w:uiPriority w:val="0"/>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35"/>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37"/>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38"/>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Body Text First Indent 2"/>
    <w:basedOn w:val="799"/>
    <w:uiPriority w:val="0"/>
    <w:qFormat/>
    <w:pPr>
      <w:ind w:left="420" w:firstLine="200"/>
      <w:spacing w:after="120" w:line="240" w:lineRule="auto"/>
    </w:pPr>
    <w:rPr>
      <w:sz w:val="21"/>
    </w:rPr>
  </w:style>
  <w:style w:type="paragraph" w:styleId="799">
    <w:name w:val="Body Text Indent"/>
    <w:basedOn w:val="786"/>
    <w:uiPriority w:val="0"/>
    <w:qFormat/>
    <w:pPr>
      <w:ind w:firstLine="720"/>
      <w:spacing w:line="520" w:lineRule="exact"/>
    </w:pPr>
    <w:rPr>
      <w:rFonts w:ascii="仿宋_GB2312" w:hAnsi="宋体" w:eastAsia="仿宋_GB2312"/>
      <w:sz w:val="30"/>
    </w:rPr>
  </w:style>
  <w:style w:type="paragraph" w:styleId="800">
    <w:name w:val="toc 7"/>
    <w:basedOn w:val="786"/>
    <w:next w:val="786"/>
    <w:uiPriority w:val="39"/>
    <w:unhideWhenUsed/>
    <w:pPr>
      <w:ind w:left="1701"/>
      <w:spacing w:after="57"/>
    </w:pPr>
  </w:style>
  <w:style w:type="paragraph" w:styleId="801">
    <w:name w:val="Note Heading"/>
    <w:basedOn w:val="786"/>
    <w:next w:val="786"/>
    <w:uiPriority w:val="0"/>
    <w:qFormat/>
    <w:rPr>
      <w:rFonts w:ascii="Verdana" w:hAnsi="Verdana"/>
      <w:szCs w:val="20"/>
    </w:rPr>
  </w:style>
  <w:style w:type="paragraph" w:styleId="802">
    <w:name w:val="Normal Indent"/>
    <w:basedOn w:val="786"/>
    <w:uiPriority w:val="99"/>
    <w:qFormat/>
    <w:pPr>
      <w:ind w:firstLine="420"/>
      <w:jc w:val="left"/>
      <w:widowControl/>
    </w:pPr>
    <w:rPr>
      <w:rFonts w:eastAsia="楷体_GB2312" w:cs="黑体"/>
      <w:sz w:val="24"/>
    </w:rPr>
  </w:style>
  <w:style w:type="paragraph" w:styleId="803">
    <w:name w:val="Caption"/>
    <w:basedOn w:val="786"/>
    <w:next w:val="7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4">
    <w:name w:val="annotation text"/>
    <w:basedOn w:val="786"/>
    <w:uiPriority w:val="0"/>
    <w:qFormat/>
    <w:pPr>
      <w:jc w:val="left"/>
    </w:pPr>
  </w:style>
  <w:style w:type="paragraph" w:styleId="805">
    <w:name w:val="Body Text"/>
    <w:basedOn w:val="786"/>
    <w:link w:val="993"/>
    <w:uiPriority w:val="0"/>
    <w:qFormat/>
    <w:pPr>
      <w:spacing w:line="420" w:lineRule="exact"/>
    </w:pPr>
    <w:rPr>
      <w:rFonts w:ascii="仿宋_GB2312" w:hAnsi="宋体" w:eastAsia="仿宋_GB2312"/>
      <w:sz w:val="28"/>
    </w:rPr>
  </w:style>
  <w:style w:type="paragraph" w:styleId="806">
    <w:name w:val="Block Text"/>
    <w:basedOn w:val="786"/>
    <w:uiPriority w:val="99"/>
    <w:qFormat/>
    <w:pPr>
      <w:ind w:left="560" w:right="-512"/>
    </w:pPr>
    <w:rPr>
      <w:rFonts w:ascii="幼圆" w:hAnsi="Calibri" w:eastAsia="幼圆" w:cs="Garamond"/>
      <w:sz w:val="24"/>
    </w:rPr>
  </w:style>
  <w:style w:type="paragraph" w:styleId="807">
    <w:name w:val="toc 5"/>
    <w:basedOn w:val="786"/>
    <w:next w:val="786"/>
    <w:uiPriority w:val="39"/>
    <w:unhideWhenUsed/>
    <w:qFormat/>
    <w:pPr>
      <w:ind w:left="1134"/>
      <w:spacing w:after="57"/>
    </w:pPr>
  </w:style>
  <w:style w:type="paragraph" w:styleId="808">
    <w:name w:val="toc 3"/>
    <w:basedOn w:val="786"/>
    <w:next w:val="786"/>
    <w:uiPriority w:val="39"/>
    <w:unhideWhenUsed/>
    <w:qFormat/>
    <w:pPr>
      <w:ind w:left="567"/>
      <w:spacing w:after="57"/>
    </w:pPr>
  </w:style>
  <w:style w:type="paragraph" w:styleId="809">
    <w:name w:val="toc 8"/>
    <w:basedOn w:val="786"/>
    <w:next w:val="786"/>
    <w:uiPriority w:val="39"/>
    <w:unhideWhenUsed/>
    <w:pPr>
      <w:ind w:left="1984"/>
      <w:spacing w:after="57"/>
    </w:pPr>
  </w:style>
  <w:style w:type="paragraph" w:styleId="810">
    <w:name w:val="Body Text Indent 2"/>
    <w:basedOn w:val="786"/>
    <w:uiPriority w:val="0"/>
    <w:qFormat/>
    <w:pPr>
      <w:ind w:firstLine="600"/>
      <w:spacing w:line="480" w:lineRule="exact"/>
    </w:pPr>
    <w:rPr>
      <w:rFonts w:ascii="仿宋_GB2312" w:hAnsi="宋体" w:eastAsia="仿宋_GB2312"/>
      <w:sz w:val="30"/>
    </w:rPr>
  </w:style>
  <w:style w:type="paragraph" w:styleId="811">
    <w:name w:val="endnote text"/>
    <w:basedOn w:val="786"/>
    <w:link w:val="975"/>
    <w:uiPriority w:val="99"/>
    <w:semiHidden/>
    <w:unhideWhenUsed/>
    <w:qFormat/>
    <w:rPr>
      <w:sz w:val="20"/>
    </w:rPr>
  </w:style>
  <w:style w:type="paragraph" w:styleId="812">
    <w:name w:val="Footer"/>
    <w:basedOn w:val="786"/>
    <w:link w:val="979"/>
    <w:uiPriority w:val="0"/>
    <w:qFormat/>
    <w:pPr>
      <w:jc w:val="left"/>
      <w:tabs>
        <w:tab w:val="center" w:pos="4153" w:leader="none"/>
        <w:tab w:val="right" w:pos="8306" w:leader="none"/>
      </w:tabs>
    </w:pPr>
    <w:rPr>
      <w:sz w:val="18"/>
      <w:szCs w:val="18"/>
    </w:rPr>
  </w:style>
  <w:style w:type="paragraph" w:styleId="813">
    <w:name w:val="Header"/>
    <w:basedOn w:val="786"/>
    <w:link w:val="978"/>
    <w:uiPriority w:val="0"/>
    <w:qFormat/>
    <w:pPr>
      <w:jc w:val="center"/>
      <w:tabs>
        <w:tab w:val="center" w:pos="4153" w:leader="none"/>
        <w:tab w:val="right" w:pos="8306" w:leader="none"/>
      </w:tabs>
      <w:pBdr>
        <w:bottom w:val="single" w:color="auto" w:sz="6" w:space="1"/>
      </w:pBdr>
    </w:pPr>
    <w:rPr>
      <w:sz w:val="18"/>
      <w:szCs w:val="18"/>
    </w:rPr>
  </w:style>
  <w:style w:type="paragraph" w:styleId="814">
    <w:name w:val="toc 1"/>
    <w:basedOn w:val="786"/>
    <w:next w:val="786"/>
    <w:uiPriority w:val="0"/>
    <w:qFormat/>
  </w:style>
  <w:style w:type="paragraph" w:styleId="815">
    <w:name w:val="toc 4"/>
    <w:basedOn w:val="786"/>
    <w:next w:val="786"/>
    <w:uiPriority w:val="39"/>
    <w:unhideWhenUsed/>
    <w:qFormat/>
    <w:pPr>
      <w:ind w:left="850"/>
      <w:spacing w:after="57"/>
    </w:pPr>
  </w:style>
  <w:style w:type="paragraph" w:styleId="816">
    <w:name w:val="Subtitle"/>
    <w:basedOn w:val="786"/>
    <w:next w:val="786"/>
    <w:link w:val="841"/>
    <w:uiPriority w:val="11"/>
    <w:qFormat/>
    <w:pPr>
      <w:spacing w:before="200" w:after="200"/>
    </w:pPr>
    <w:rPr>
      <w:sz w:val="24"/>
    </w:rPr>
  </w:style>
  <w:style w:type="paragraph" w:styleId="817">
    <w:name w:val="footnote text"/>
    <w:basedOn w:val="786"/>
    <w:link w:val="974"/>
    <w:uiPriority w:val="99"/>
    <w:semiHidden/>
    <w:unhideWhenUsed/>
    <w:qFormat/>
    <w:pPr>
      <w:spacing w:after="40"/>
    </w:pPr>
    <w:rPr>
      <w:sz w:val="18"/>
    </w:rPr>
  </w:style>
  <w:style w:type="paragraph" w:styleId="818">
    <w:name w:val="toc 6"/>
    <w:basedOn w:val="786"/>
    <w:next w:val="786"/>
    <w:uiPriority w:val="39"/>
    <w:unhideWhenUsed/>
    <w:qFormat/>
    <w:pPr>
      <w:ind w:left="1417"/>
      <w:spacing w:after="57"/>
    </w:pPr>
  </w:style>
  <w:style w:type="paragraph" w:styleId="819">
    <w:name w:val="table of figures"/>
    <w:basedOn w:val="786"/>
    <w:next w:val="786"/>
    <w:uiPriority w:val="99"/>
    <w:unhideWhenUsed/>
  </w:style>
  <w:style w:type="paragraph" w:styleId="820">
    <w:name w:val="toc 2"/>
    <w:next w:val="786"/>
    <w:uiPriority w:val="0"/>
    <w:qFormat/>
    <w:pPr>
      <w:ind w:left="420"/>
      <w:jc w:val="both"/>
      <w:widowControl w:val="off"/>
    </w:pPr>
    <w:rPr>
      <w:rFonts w:ascii="宋体" w:hAnsi="Times New Roman" w:eastAsia="宋体" w:cs="Times New Roman"/>
      <w:b/>
      <w:sz w:val="28"/>
      <w:lang w:val="en-US" w:eastAsia="zh-CN" w:bidi="ar-SA"/>
    </w:rPr>
  </w:style>
  <w:style w:type="paragraph" w:styleId="821">
    <w:name w:val="toc 9"/>
    <w:basedOn w:val="786"/>
    <w:next w:val="786"/>
    <w:uiPriority w:val="39"/>
    <w:unhideWhenUsed/>
    <w:qFormat/>
    <w:pPr>
      <w:ind w:left="2268"/>
      <w:spacing w:after="57"/>
    </w:pPr>
  </w:style>
  <w:style w:type="paragraph" w:styleId="822">
    <w:name w:val="Normal (Web)"/>
    <w:basedOn w:val="786"/>
    <w:uiPriority w:val="0"/>
    <w:qFormat/>
    <w:pPr>
      <w:jc w:val="left"/>
      <w:spacing w:beforeAutospacing="1" w:afterAutospacing="1"/>
    </w:pPr>
    <w:rPr>
      <w:rFonts w:cs="Times New Roman"/>
      <w:sz w:val="24"/>
    </w:rPr>
  </w:style>
  <w:style w:type="paragraph" w:styleId="823">
    <w:name w:val="Title"/>
    <w:basedOn w:val="786"/>
    <w:next w:val="786"/>
    <w:link w:val="840"/>
    <w:uiPriority w:val="10"/>
    <w:qFormat/>
    <w:pPr>
      <w:contextualSpacing/>
      <w:spacing w:before="300" w:after="200"/>
    </w:pPr>
    <w:rPr>
      <w:sz w:val="48"/>
      <w:szCs w:val="48"/>
    </w:rPr>
  </w:style>
  <w:style w:type="paragraph" w:styleId="824">
    <w:name w:val="Body Text First Indent"/>
    <w:basedOn w:val="805"/>
    <w:link w:val="994"/>
    <w:uiPriority w:val="99"/>
    <w:qFormat/>
    <w:pPr>
      <w:ind w:firstLine="200"/>
      <w:spacing w:line="360" w:lineRule="auto"/>
    </w:pPr>
    <w:rPr>
      <w:rFonts w:hAnsi="Arial" w:cs="Arial"/>
      <w:sz w:val="30"/>
      <w:szCs w:val="30"/>
      <w:lang w:eastAsia="en-US"/>
    </w:rPr>
  </w:style>
  <w:style w:type="table" w:styleId="82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6"/>
    <w:uiPriority w:val="0"/>
    <w:qFormat/>
    <w:rPr>
      <w:b/>
    </w:rPr>
  </w:style>
  <w:style w:type="character" w:styleId="827">
    <w:name w:val="endnote reference"/>
    <w:basedOn w:val="796"/>
    <w:uiPriority w:val="99"/>
    <w:semiHidden/>
    <w:unhideWhenUsed/>
    <w:qFormat/>
    <w:rPr>
      <w:vertAlign w:val="superscript"/>
    </w:rPr>
  </w:style>
  <w:style w:type="character" w:styleId="828">
    <w:name w:val="Hyperlink"/>
    <w:basedOn w:val="796"/>
    <w:uiPriority w:val="0"/>
    <w:qFormat/>
    <w:rPr>
      <w:color w:val="0000ff"/>
      <w:u w:val="single"/>
    </w:rPr>
  </w:style>
  <w:style w:type="character" w:styleId="829">
    <w:name w:val="footnote reference"/>
    <w:basedOn w:val="796"/>
    <w:uiPriority w:val="99"/>
    <w:unhideWhenUsed/>
    <w:qFormat/>
    <w:rPr>
      <w:vertAlign w:val="superscript"/>
    </w:rPr>
  </w:style>
  <w:style w:type="character" w:styleId="830" w:customStyle="1">
    <w:name w:val="标题 1 字符"/>
    <w:basedOn w:val="796"/>
    <w:link w:val="787"/>
    <w:uiPriority w:val="9"/>
    <w:qFormat/>
    <w:rPr>
      <w:rFonts w:ascii="Arial" w:hAnsi="Arial" w:eastAsia="Arial" w:cs="Arial"/>
      <w:sz w:val="40"/>
      <w:szCs w:val="40"/>
    </w:rPr>
  </w:style>
  <w:style w:type="character" w:styleId="831" w:customStyle="1">
    <w:name w:val="标题 2 字符"/>
    <w:basedOn w:val="796"/>
    <w:link w:val="788"/>
    <w:uiPriority w:val="9"/>
    <w:qFormat/>
    <w:rPr>
      <w:rFonts w:ascii="Arial" w:hAnsi="Arial" w:eastAsia="Arial" w:cs="Arial"/>
      <w:sz w:val="34"/>
    </w:rPr>
  </w:style>
  <w:style w:type="character" w:styleId="832" w:customStyle="1">
    <w:name w:val="标题 3 字符"/>
    <w:basedOn w:val="796"/>
    <w:link w:val="789"/>
    <w:uiPriority w:val="9"/>
    <w:qFormat/>
    <w:rPr>
      <w:rFonts w:ascii="Arial" w:hAnsi="Arial" w:eastAsia="Arial" w:cs="Arial"/>
      <w:sz w:val="30"/>
      <w:szCs w:val="30"/>
    </w:rPr>
  </w:style>
  <w:style w:type="character" w:styleId="833" w:customStyle="1">
    <w:name w:val="标题 4 字符"/>
    <w:basedOn w:val="796"/>
    <w:link w:val="790"/>
    <w:uiPriority w:val="9"/>
    <w:qFormat/>
    <w:rPr>
      <w:rFonts w:ascii="Arial" w:hAnsi="Arial" w:eastAsia="Arial" w:cs="Arial"/>
      <w:b/>
      <w:bCs/>
      <w:sz w:val="26"/>
      <w:szCs w:val="26"/>
    </w:rPr>
  </w:style>
  <w:style w:type="character" w:styleId="834" w:customStyle="1">
    <w:name w:val="标题 5 字符"/>
    <w:basedOn w:val="796"/>
    <w:link w:val="791"/>
    <w:uiPriority w:val="9"/>
    <w:qFormat/>
    <w:rPr>
      <w:rFonts w:ascii="Arial" w:hAnsi="Arial" w:eastAsia="Arial" w:cs="Arial"/>
      <w:b/>
      <w:bCs/>
      <w:sz w:val="24"/>
      <w:szCs w:val="24"/>
    </w:rPr>
  </w:style>
  <w:style w:type="character" w:styleId="835" w:customStyle="1">
    <w:name w:val="标题 6 字符"/>
    <w:basedOn w:val="796"/>
    <w:link w:val="792"/>
    <w:uiPriority w:val="9"/>
    <w:qFormat/>
    <w:rPr>
      <w:rFonts w:ascii="Arial" w:hAnsi="Arial" w:eastAsia="Arial" w:cs="Arial"/>
      <w:b/>
      <w:bCs/>
      <w:sz w:val="22"/>
      <w:szCs w:val="22"/>
    </w:rPr>
  </w:style>
  <w:style w:type="character" w:styleId="836" w:customStyle="1">
    <w:name w:val="标题 7 字符"/>
    <w:basedOn w:val="796"/>
    <w:link w:val="793"/>
    <w:uiPriority w:val="9"/>
    <w:qFormat/>
    <w:rPr>
      <w:rFonts w:ascii="Arial" w:hAnsi="Arial" w:eastAsia="Arial" w:cs="Arial"/>
      <w:b/>
      <w:bCs/>
      <w:i/>
      <w:iCs/>
      <w:sz w:val="22"/>
      <w:szCs w:val="22"/>
    </w:rPr>
  </w:style>
  <w:style w:type="character" w:styleId="837" w:customStyle="1">
    <w:name w:val="标题 8 字符"/>
    <w:basedOn w:val="796"/>
    <w:link w:val="794"/>
    <w:uiPriority w:val="9"/>
    <w:qFormat/>
    <w:rPr>
      <w:rFonts w:ascii="Arial" w:hAnsi="Arial" w:eastAsia="Arial" w:cs="Arial"/>
      <w:i/>
      <w:iCs/>
      <w:sz w:val="22"/>
      <w:szCs w:val="22"/>
    </w:rPr>
  </w:style>
  <w:style w:type="character" w:styleId="838" w:customStyle="1">
    <w:name w:val="标题 9 字符"/>
    <w:basedOn w:val="796"/>
    <w:link w:val="795"/>
    <w:uiPriority w:val="9"/>
    <w:qFormat/>
    <w:rPr>
      <w:rFonts w:ascii="Arial" w:hAnsi="Arial" w:eastAsia="Arial" w:cs="Arial"/>
      <w:i/>
      <w:iCs/>
      <w:sz w:val="21"/>
      <w:szCs w:val="21"/>
    </w:r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字符"/>
    <w:basedOn w:val="796"/>
    <w:link w:val="823"/>
    <w:uiPriority w:val="10"/>
    <w:qFormat/>
    <w:rPr>
      <w:sz w:val="48"/>
      <w:szCs w:val="48"/>
    </w:rPr>
  </w:style>
  <w:style w:type="character" w:styleId="841" w:customStyle="1">
    <w:name w:val="副标题 字符"/>
    <w:basedOn w:val="796"/>
    <w:link w:val="816"/>
    <w:uiPriority w:val="11"/>
    <w:qFormat/>
    <w:rPr>
      <w:sz w:val="24"/>
      <w:szCs w:val="24"/>
    </w:rPr>
  </w:style>
  <w:style w:type="paragraph" w:styleId="842">
    <w:name w:val="Quote"/>
    <w:basedOn w:val="786"/>
    <w:next w:val="786"/>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86"/>
    <w:next w:val="786"/>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Header Char"/>
    <w:basedOn w:val="796"/>
    <w:uiPriority w:val="99"/>
    <w:qFormat/>
  </w:style>
  <w:style w:type="character" w:styleId="847" w:customStyle="1">
    <w:name w:val="Footer Char"/>
    <w:basedOn w:val="796"/>
    <w:uiPriority w:val="99"/>
    <w:qFormat/>
  </w:style>
  <w:style w:type="character" w:styleId="848" w:customStyle="1">
    <w:name w:val="Caption Char"/>
    <w:uiPriority w:val="99"/>
    <w:qFormat/>
  </w:style>
  <w:style w:type="table" w:styleId="849"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0"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8"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9"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0"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1" w:customStyle="1">
    <w:name w:val="Grid Table 4 - Accent 5"/>
    <w:basedOn w:val="7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2"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3"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5"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6"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7"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8"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9"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0"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basedOn w:val="7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2"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3"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4"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5" w:customStyle="1">
    <w:name w:val="Grid Table 6 Colorful - Accent 5"/>
    <w:basedOn w:val="7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6"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7"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9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9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9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basedOn w:val="7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3"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6" w:customStyle="1">
    <w:name w:val="List Table 2 - Accent 5"/>
    <w:basedOn w:val="7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7"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79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7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1"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basedOn w:val="7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basedOn w:val="7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basedOn w:val="79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1"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2"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3"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4" w:customStyle="1">
    <w:name w:val="List Table 6 Colorful - Accent 5"/>
    <w:basedOn w:val="79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5"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6" w:customStyle="1">
    <w:name w:val="List Table 7 Colorful"/>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9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9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9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9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9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9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5"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6"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8"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9"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basedOn w:val="7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Bordered &amp; Lined - Accent 5"/>
    <w:basedOn w:val="7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9"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0"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1"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2" w:customStyle="1">
    <w:name w:val="Bordered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3"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4" w:customStyle="1">
    <w:name w:val="脚注文本 字符"/>
    <w:link w:val="817"/>
    <w:uiPriority w:val="99"/>
    <w:qFormat/>
    <w:rPr>
      <w:sz w:val="18"/>
    </w:rPr>
  </w:style>
  <w:style w:type="character" w:styleId="975" w:customStyle="1">
    <w:name w:val="尾注文本 字符"/>
    <w:link w:val="811"/>
    <w:uiPriority w:val="99"/>
    <w:qFormat/>
    <w:rPr>
      <w:sz w:val="20"/>
    </w:rPr>
  </w:style>
  <w:style w:type="paragraph" w:styleId="976" w:customStyle="1">
    <w:name w:val="TOC Heading"/>
    <w:uiPriority w:val="39"/>
    <w:unhideWhenUsed/>
    <w:qFormat/>
    <w:rPr>
      <w:rFonts w:ascii="Times New Roman" w:hAnsi="Times New Roman" w:eastAsia="宋体" w:cs="Times New Roman"/>
      <w:lang w:val="en-US" w:eastAsia="zh-CN" w:bidi="ar-SA"/>
    </w:rPr>
  </w:style>
  <w:style w:type="paragraph" w:styleId="977" w:customStyle="1">
    <w:name w:val="Default"/>
    <w:basedOn w:val="786"/>
    <w:uiPriority w:val="0"/>
    <w:semiHidden/>
    <w:qFormat/>
    <w:pPr>
      <w:jc w:val="left"/>
    </w:pPr>
    <w:rPr>
      <w:rFonts w:ascii="宋体" w:hAnsi="Calibri" w:cs="宋体"/>
      <w:color w:val="000000"/>
      <w:sz w:val="24"/>
    </w:rPr>
  </w:style>
  <w:style w:type="character" w:styleId="978" w:customStyle="1">
    <w:name w:val="页眉 字符"/>
    <w:basedOn w:val="796"/>
    <w:link w:val="813"/>
    <w:uiPriority w:val="0"/>
    <w:qFormat/>
    <w:rPr>
      <w:rFonts w:asciiTheme="minorHAnsi" w:hAnsiTheme="minorHAnsi" w:eastAsiaTheme="minorEastAsia" w:cstheme="minorBidi"/>
      <w:sz w:val="18"/>
      <w:szCs w:val="18"/>
    </w:rPr>
  </w:style>
  <w:style w:type="character" w:styleId="979" w:customStyle="1">
    <w:name w:val="页脚 字符"/>
    <w:basedOn w:val="796"/>
    <w:link w:val="812"/>
    <w:uiPriority w:val="0"/>
    <w:qFormat/>
    <w:rPr>
      <w:rFonts w:asciiTheme="minorHAnsi" w:hAnsiTheme="minorHAnsi" w:eastAsiaTheme="minorEastAsia" w:cstheme="minorBidi"/>
      <w:sz w:val="18"/>
      <w:szCs w:val="18"/>
    </w:rPr>
  </w:style>
  <w:style w:type="paragraph" w:styleId="980" w:customStyle="1">
    <w:name w:val="普通正文"/>
    <w:basedOn w:val="786"/>
    <w:uiPriority w:val="0"/>
    <w:qFormat/>
    <w:pPr>
      <w:ind w:firstLine="480"/>
      <w:jc w:val="left"/>
      <w:spacing w:before="120" w:after="120" w:line="360" w:lineRule="auto"/>
    </w:pPr>
    <w:rPr>
      <w:rFonts w:ascii="Arial" w:hAnsi="Arial" w:eastAsia="等线" w:cs="Arial"/>
      <w:sz w:val="24"/>
    </w:rPr>
  </w:style>
  <w:style w:type="paragraph" w:styleId="981" w:customStyle="1">
    <w:name w:val="正文首行缩进 21"/>
    <w:basedOn w:val="982"/>
    <w:uiPriority w:val="0"/>
    <w:qFormat/>
    <w:pPr>
      <w:ind w:firstLine="420"/>
    </w:pPr>
  </w:style>
  <w:style w:type="paragraph" w:styleId="982" w:customStyle="1">
    <w:name w:val="正文文本缩进1"/>
    <w:basedOn w:val="786"/>
    <w:uiPriority w:val="0"/>
    <w:qFormat/>
    <w:pPr>
      <w:ind w:left="420"/>
      <w:spacing w:after="120"/>
    </w:pPr>
  </w:style>
  <w:style w:type="paragraph" w:styleId="983" w:customStyle="1">
    <w:name w:val="[Normal]"/>
    <w:uiPriority w:val="0"/>
    <w:qFormat/>
    <w:rPr>
      <w:rFonts w:ascii="方正仿宋简体" w:hAnsi="方正仿宋简体" w:eastAsia="方正仿宋简体" w:cs="Courier New"/>
      <w:sz w:val="24"/>
      <w:szCs w:val="22"/>
      <w:lang w:val="zh-CN" w:eastAsia="zh-CN" w:bidi="ar-SA"/>
    </w:rPr>
  </w:style>
  <w:style w:type="paragraph" w:styleId="984" w:customStyle="1">
    <w:name w:val="页脚1"/>
    <w:uiPriority w:val="99"/>
    <w:qFormat/>
    <w:pPr>
      <w:widowControl w:val="off"/>
      <w:tabs>
        <w:tab w:val="center" w:pos="4153" w:leader="none"/>
        <w:tab w:val="right" w:pos="8306" w:leader="none"/>
      </w:tabs>
    </w:pPr>
    <w:rPr>
      <w:rFonts w:ascii="Calibri" w:hAnsi="Calibri" w:eastAsia="宋体" w:cs="Times New Roman"/>
      <w:sz w:val="18"/>
      <w:lang w:val="en-US" w:eastAsia="zh-CN" w:bidi="ar-SA"/>
    </w:rPr>
  </w:style>
  <w:style w:type="character" w:styleId="985" w:customStyle="1">
    <w:name w:val="NormalCharacter"/>
    <w:uiPriority w:val="0"/>
    <w:qFormat/>
  </w:style>
  <w:style w:type="paragraph" w:styleId="986" w:customStyle="1">
    <w:name w:val="Table Paragraph"/>
    <w:basedOn w:val="786"/>
    <w:uiPriority w:val="1"/>
    <w:qFormat/>
    <w:pPr>
      <w:jc w:val="left"/>
    </w:pPr>
    <w:rPr>
      <w:rFonts w:ascii="宋体" w:hAnsi="宋体" w:cs="宋体"/>
      <w:sz w:val="22"/>
      <w:szCs w:val="22"/>
      <w:lang w:val="zh-CN"/>
    </w:rPr>
  </w:style>
  <w:style w:type="paragraph" w:styleId="987">
    <w:name w:val="List Paragraph"/>
    <w:basedOn w:val="786"/>
    <w:uiPriority w:val="1"/>
    <w:qFormat/>
    <w:pPr>
      <w:ind w:firstLine="420"/>
    </w:pPr>
    <w:rPr>
      <w:szCs w:val="21"/>
    </w:rPr>
  </w:style>
  <w:style w:type="paragraph" w:styleId="988" w:customStyle="1">
    <w:name w:val="一级条标题"/>
    <w:basedOn w:val="989"/>
    <w:next w:val="990"/>
    <w:uiPriority w:val="0"/>
    <w:qFormat/>
    <w:pPr>
      <w:outlineLvl w:val="2"/>
    </w:pPr>
    <w:rPr>
      <w:rFonts w:ascii="Calibri"/>
    </w:rPr>
  </w:style>
  <w:style w:type="paragraph" w:styleId="989" w:customStyle="1">
    <w:name w:val="章标题"/>
    <w:next w:val="786"/>
    <w:uiPriority w:val="0"/>
    <w:qFormat/>
    <w:pPr>
      <w:jc w:val="both"/>
      <w:outlineLvl w:val="1"/>
    </w:pPr>
    <w:rPr>
      <w:rFonts w:ascii="黑体" w:hAnsi="Calibri" w:eastAsia="黑体" w:cs="黑体"/>
      <w:sz w:val="21"/>
      <w:szCs w:val="21"/>
      <w:lang w:val="en-US" w:eastAsia="zh-CN" w:bidi="ar-SA"/>
    </w:rPr>
  </w:style>
  <w:style w:type="paragraph" w:styleId="990" w:customStyle="1">
    <w:name w:val="段"/>
    <w:next w:val="991"/>
    <w:uiPriority w:val="0"/>
    <w:qFormat/>
    <w:pPr>
      <w:ind w:firstLine="200"/>
      <w:jc w:val="both"/>
    </w:pPr>
    <w:rPr>
      <w:rFonts w:ascii="宋体" w:hAnsi="Calibri" w:eastAsia="宋体" w:cs="宋体"/>
      <w:sz w:val="21"/>
      <w:szCs w:val="21"/>
      <w:lang w:val="en-US" w:eastAsia="zh-CN" w:bidi="ar-SA"/>
    </w:rPr>
  </w:style>
  <w:style w:type="paragraph" w:styleId="991" w:customStyle="1">
    <w:name w:val="正文 A"/>
    <w:next w:val="990"/>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992" w:customStyle="1">
    <w:name w:val="Table Text"/>
    <w:basedOn w:val="786"/>
    <w:uiPriority w:val="0"/>
    <w:semiHidden/>
    <w:qFormat/>
    <w:rPr>
      <w:rFonts w:ascii="宋体" w:hAnsi="宋体" w:eastAsia="宋体" w:cs="宋体"/>
      <w:szCs w:val="21"/>
      <w:lang w:eastAsia="en-US"/>
    </w:rPr>
  </w:style>
  <w:style w:type="character" w:styleId="993" w:customStyle="1">
    <w:name w:val="正文文本 字符"/>
    <w:basedOn w:val="796"/>
    <w:link w:val="805"/>
    <w:uiPriority w:val="0"/>
    <w:qFormat/>
    <w:rPr>
      <w:rFonts w:ascii="仿宋_GB2312" w:hAnsi="宋体" w:eastAsia="仿宋_GB2312" w:cstheme="minorBidi"/>
      <w:sz w:val="28"/>
      <w:szCs w:val="24"/>
    </w:rPr>
  </w:style>
  <w:style w:type="character" w:styleId="994" w:customStyle="1">
    <w:name w:val="正文文本首行缩进 字符"/>
    <w:basedOn w:val="993"/>
    <w:link w:val="824"/>
    <w:uiPriority w:val="99"/>
    <w:qFormat/>
    <w:rPr>
      <w:rFonts w:ascii="仿宋_GB2312" w:hAnsi="Arial" w:eastAsia="仿宋_GB2312" w:cs="Arial"/>
      <w:sz w:val="30"/>
      <w:szCs w:val="30"/>
      <w:lang w:eastAsia="en-US"/>
    </w:rPr>
  </w:style>
  <w:style w:type="table" w:styleId="995" w:customStyle="1">
    <w:name w:val="Table Normal"/>
    <w:uiPriority w:val="0"/>
    <w:unhideWhenUsed/>
    <w:qFormat/>
    <w:tblPr>
      <w:tblCellMar>
        <w:left w:w="0" w:type="dxa"/>
        <w:top w:w="0" w:type="dxa"/>
        <w:right w:w="0" w:type="dxa"/>
        <w:bottom w:w="0" w:type="dxa"/>
      </w:tblCellMar>
    </w:tblPr>
  </w:style>
  <w:style w:type="paragraph" w:styleId="996" w:customStyle="1">
    <w:name w:val="_Style 5"/>
    <w:basedOn w:val="787"/>
    <w:next w:val="786"/>
    <w:uiPriority w:val="0"/>
    <w:qFormat/>
    <w:pPr>
      <w:spacing w:before="100" w:after="100" w:line="578" w:lineRule="auto"/>
      <w:outlineLvl w:val="9"/>
    </w:pPr>
  </w:style>
  <w:style w:type="paragraph" w:styleId="997" w:customStyle="1">
    <w:name w:val="_Style 2"/>
    <w:basedOn w:val="787"/>
    <w:next w:val="786"/>
    <w:uiPriority w:val="0"/>
    <w:qFormat/>
    <w:pPr>
      <w:spacing w:before="100" w:after="100" w:line="578" w:lineRule="auto"/>
      <w:outlineLvl w:val="9"/>
    </w:pPr>
  </w:style>
  <w:style w:type="paragraph" w:styleId="998" w:customStyle="1">
    <w:name w:val="列出段落3"/>
    <w:basedOn w:val="786"/>
    <w:uiPriority w:val="0"/>
    <w:qFormat/>
    <w:pPr>
      <w:ind w:firstLine="420"/>
    </w:pPr>
    <w:rPr>
      <w:rFonts w:ascii="Calibri" w:hAnsi="Calibri" w:eastAsia="宋体" w:cs="Times New Roman"/>
      <w:szCs w:val="20"/>
    </w:rPr>
  </w:style>
  <w:style w:type="paragraph" w:styleId="999" w:customStyle="1">
    <w:name w:val="正文1"/>
    <w:basedOn w:val="1000"/>
    <w:next w:val="786"/>
    <w:uiPriority w:val="0"/>
    <w:qFormat/>
    <w:pPr>
      <w:tabs>
        <w:tab w:val="right" w:pos="8268" w:leader="dot"/>
      </w:tabs>
    </w:pPr>
    <w:rPr>
      <w:rFonts w:ascii="Helvetica" w:hAnsi="Helvetica" w:eastAsia="Arial Unicode MS" w:cs="Arial Unicode MS"/>
      <w:color w:val="000000"/>
      <w:sz w:val="22"/>
      <w:szCs w:val="22"/>
    </w:rPr>
  </w:style>
  <w:style w:type="paragraph" w:styleId="1000" w:customStyle="1">
    <w:name w:val="目录 31"/>
    <w:basedOn w:val="786"/>
    <w:next w:val="786"/>
    <w:uiPriority w:val="0"/>
    <w:qFormat/>
    <w:pPr>
      <w:ind w:left="840" w:firstLine="482"/>
      <w:spacing w:line="460" w:lineRule="exact"/>
      <w:tabs>
        <w:tab w:val="right" w:pos="8268" w:leader="dot"/>
      </w:tabs>
    </w:pPr>
    <w:rPr>
      <w:rFonts w:ascii="宋体" w:hAnsi="宋体" w:eastAsia="宋体" w:cs="Times New Roman"/>
    </w:rPr>
  </w:style>
  <w:style w:type="paragraph" w:styleId="1001" w:customStyle="1">
    <w:name w:val="列出段落2"/>
    <w:basedOn w:val="786"/>
    <w:uiPriority w:val="0"/>
    <w:qFormat/>
    <w:pPr>
      <w:ind w:firstLine="420"/>
    </w:pPr>
    <w:rPr>
      <w:rFonts w:ascii="Calibri" w:hAnsi="Calibri" w:eastAsia="宋体" w:cs="Times New Roman"/>
    </w:rPr>
  </w:style>
  <w:style w:type="paragraph" w:styleId="1002" w:customStyle="1">
    <w:name w:val="批注文字1"/>
    <w:basedOn w:val="786"/>
    <w:uiPriority w:val="99"/>
    <w:qFormat/>
    <w:pPr>
      <w:jc w:val="left"/>
    </w:pPr>
    <w:rPr>
      <w:rFonts w:ascii="Calibri" w:hAnsi="Calibri" w:eastAsia="宋体" w:cs="Times New Roman"/>
      <w:sz w:val="20"/>
    </w:rPr>
  </w:style>
  <w:style w:type="paragraph" w:styleId="1003" w:customStyle="1">
    <w:name w:val="普通(网站)11"/>
    <w:basedOn w:val="786"/>
    <w:uiPriority w:val="99"/>
    <w:qFormat/>
    <w:pPr>
      <w:jc w:val="left"/>
      <w:spacing w:beforeAutospacing="1" w:afterAutospacing="1"/>
    </w:pPr>
    <w:rPr>
      <w:rFonts w:ascii="Calibri" w:hAnsi="Calibri" w:eastAsia="宋体" w:cs="Times New Roman"/>
      <w:sz w:val="24"/>
    </w:rPr>
  </w:style>
  <w:style w:type="numbering" w:styleId="126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formulas xmlns="http://www.yonyou.com/formula"/>
</file>

<file path=customXml/item2.xml><?xml version="1.0" encoding="utf-8"?>
<relations xmlns="http://www.yonyou.com/relation"/>
</file>

<file path=customXml/item3.xml><?xml version="1.0" encoding="utf-8"?>
<dataSourceCollection xmlns="http://www.yonyou.com/datasource"/>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5"/>
  </customShpExts>
</s:customData>
</file>

<file path=customXml/itemProps1.xml><?xml version="1.0" encoding="utf-8"?>
<ds:datastoreItem xmlns:ds="http://schemas.openxmlformats.org/officeDocument/2006/customXml" ds:itemID="{23BD3C1D-EBCD-42F9-8C6F-F1C8C0249955}"/>
</file>

<file path=customXml/itemProps2.xml><?xml version="1.0" encoding="utf-8"?>
<ds:datastoreItem xmlns:ds="http://schemas.openxmlformats.org/officeDocument/2006/customXml" ds:itemID="{57CC328F-50A7-40DD-AE0D-6AD6E955B691}"/>
</file>

<file path=customXml/itemProps3.xml><?xml version="1.0" encoding="utf-8"?>
<ds:datastoreItem xmlns:ds="http://schemas.openxmlformats.org/officeDocument/2006/customXml" ds:itemID="{77C9E712-C2DF-4451-9607-C499CA129BBC}"/>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董静</cp:lastModifiedBy>
  <cp:revision>214</cp:revision>
  <dcterms:created xsi:type="dcterms:W3CDTF">2014-10-29T12:08:00Z</dcterms:created>
  <dcterms:modified xsi:type="dcterms:W3CDTF">2026-10-28T05:07:50Z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21C38A46E8164925937763E3EDAEB3E1_13</vt:lpwstr>
  </property>
  <property fmtid="{D5CDD505-2E9C-101B-9397-08002B2CF9AE}" pid="4" name="KSOTemplateDocerSaveRecord">
    <vt:lpwstr>eyJoZGlkIjoiOGQ4MmI4ODcwOWMwYWIxODIyODFhNjcyZDY0NzVjOGQiLCJ1c2VySWQiOiI4ODIyMjY4NDYifQ==</vt:lpwstr>
  </property>
</Properties>
</file>