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FB110D">
      <w:pPr>
        <w:spacing w:line="360" w:lineRule="auto"/>
        <w:jc w:val="right"/>
        <w:rPr>
          <w:rFonts w:ascii="宋体" w:hAnsi="宋体"/>
          <w:sz w:val="28"/>
        </w:rPr>
      </w:pPr>
      <w:bookmarkStart w:id="0" w:name="_Hlk69393945"/>
      <w:bookmarkStart w:id="1" w:name="_Toc528771312"/>
      <w:bookmarkStart w:id="2" w:name="_Toc27744861"/>
    </w:p>
    <w:p w14:paraId="73742059">
      <w:pPr>
        <w:spacing w:line="360" w:lineRule="auto"/>
        <w:jc w:val="right"/>
        <w:rPr>
          <w:rFonts w:hint="eastAsia" w:ascii="宋体" w:hAnsi="宋体"/>
          <w:b/>
          <w:bCs/>
          <w:sz w:val="36"/>
          <w:highlight w:val="none"/>
        </w:rPr>
      </w:pPr>
      <w:r>
        <w:rPr>
          <w:rFonts w:hint="eastAsia" w:ascii="宋体" w:hAnsi="宋体"/>
          <w:b/>
          <w:bCs/>
          <w:sz w:val="36"/>
          <w:highlight w:val="none"/>
        </w:rPr>
        <w:t>编号：JSZC-321002-JHRA-C2026-0030</w:t>
      </w:r>
    </w:p>
    <w:p w14:paraId="6BF64CD6"/>
    <w:p w14:paraId="1A4AAA9E">
      <w:pPr>
        <w:pStyle w:val="49"/>
        <w:outlineLvl w:val="9"/>
      </w:pPr>
    </w:p>
    <w:p w14:paraId="785CAB69">
      <w:pPr>
        <w:spacing w:line="360" w:lineRule="auto"/>
        <w:jc w:val="center"/>
        <w:rPr>
          <w:rFonts w:ascii="宋体" w:hAnsi="宋体"/>
          <w:b/>
          <w:bCs/>
          <w:sz w:val="36"/>
        </w:rPr>
      </w:pPr>
      <w:r>
        <w:rPr>
          <w:rFonts w:hint="eastAsia" w:ascii="宋体" w:hAnsi="宋体"/>
          <w:b/>
          <w:bCs/>
          <w:sz w:val="36"/>
        </w:rPr>
        <w:t>扬州市广陵区湾头镇派出所摩托化机动队伍及专职警务辅助力量项目竞争性磋商文件</w:t>
      </w:r>
    </w:p>
    <w:p w14:paraId="38DCAEFC">
      <w:pPr>
        <w:rPr>
          <w:rFonts w:ascii="宋体" w:hAnsi="宋体"/>
          <w:sz w:val="36"/>
        </w:rPr>
      </w:pPr>
    </w:p>
    <w:p w14:paraId="2F61CBE8">
      <w:pPr>
        <w:pStyle w:val="19"/>
        <w:rPr>
          <w:rFonts w:ascii="宋体" w:hAnsi="宋体"/>
          <w:sz w:val="36"/>
        </w:rPr>
      </w:pPr>
    </w:p>
    <w:p w14:paraId="1BF97536">
      <w:pPr>
        <w:rPr>
          <w:rFonts w:ascii="宋体" w:hAnsi="宋体"/>
          <w:sz w:val="36"/>
        </w:rPr>
      </w:pPr>
    </w:p>
    <w:p w14:paraId="7DF519FA">
      <w:pPr>
        <w:pStyle w:val="49"/>
        <w:outlineLvl w:val="9"/>
        <w:rPr>
          <w:rFonts w:ascii="宋体" w:hAnsi="宋体"/>
          <w:sz w:val="36"/>
        </w:rPr>
      </w:pPr>
    </w:p>
    <w:p w14:paraId="00A15189">
      <w:pPr>
        <w:rPr>
          <w:rFonts w:ascii="宋体" w:hAnsi="宋体"/>
          <w:sz w:val="36"/>
        </w:rPr>
      </w:pPr>
    </w:p>
    <w:p w14:paraId="515C4750">
      <w:pPr>
        <w:pStyle w:val="49"/>
        <w:outlineLvl w:val="9"/>
        <w:rPr>
          <w:rFonts w:ascii="宋体" w:hAnsi="宋体"/>
          <w:sz w:val="36"/>
        </w:rPr>
      </w:pPr>
    </w:p>
    <w:p w14:paraId="4115AADF">
      <w:pPr>
        <w:rPr>
          <w:rFonts w:ascii="宋体" w:hAnsi="宋体"/>
          <w:sz w:val="36"/>
        </w:rPr>
      </w:pPr>
    </w:p>
    <w:p w14:paraId="06329493">
      <w:pPr>
        <w:pStyle w:val="2"/>
        <w:outlineLvl w:val="9"/>
      </w:pPr>
    </w:p>
    <w:p w14:paraId="5213627F">
      <w:pPr>
        <w:rPr>
          <w:rFonts w:ascii="宋体" w:hAnsi="宋体"/>
          <w:sz w:val="36"/>
        </w:rPr>
      </w:pPr>
    </w:p>
    <w:p w14:paraId="5EF8BC75">
      <w:pPr>
        <w:pStyle w:val="49"/>
        <w:outlineLvl w:val="9"/>
      </w:pPr>
    </w:p>
    <w:p w14:paraId="719D2FD9">
      <w:pPr>
        <w:rPr>
          <w:rFonts w:ascii="宋体" w:hAnsi="宋体"/>
          <w:sz w:val="36"/>
        </w:rPr>
      </w:pPr>
    </w:p>
    <w:p w14:paraId="293269F1">
      <w:pPr>
        <w:jc w:val="center"/>
        <w:rPr>
          <w:rFonts w:ascii="宋体" w:hAnsi="宋体"/>
          <w:b/>
          <w:bCs/>
          <w:sz w:val="36"/>
        </w:rPr>
      </w:pPr>
      <w:r>
        <w:rPr>
          <w:rFonts w:hint="eastAsia" w:ascii="宋体" w:hAnsi="宋体"/>
          <w:b/>
          <w:bCs/>
          <w:sz w:val="36"/>
        </w:rPr>
        <w:t>捷宏润安工程顾问有限公司扬州分公司</w:t>
      </w:r>
    </w:p>
    <w:p w14:paraId="3DDCE96B">
      <w:pPr>
        <w:pStyle w:val="30"/>
      </w:pPr>
    </w:p>
    <w:p w14:paraId="7B27394A">
      <w:pPr>
        <w:jc w:val="center"/>
        <w:rPr>
          <w:rFonts w:ascii="宋体" w:hAnsi="宋体"/>
          <w:b/>
          <w:bCs/>
          <w:sz w:val="36"/>
          <w:highlight w:val="none"/>
        </w:rPr>
      </w:pPr>
      <w:r>
        <w:rPr>
          <w:rFonts w:hint="eastAsia" w:ascii="宋体" w:hAnsi="宋体"/>
          <w:b/>
          <w:bCs/>
          <w:sz w:val="36"/>
          <w:highlight w:val="none"/>
        </w:rPr>
        <w:t>2026年</w:t>
      </w:r>
      <w:r>
        <w:rPr>
          <w:rFonts w:hint="eastAsia" w:ascii="宋体" w:hAnsi="宋体"/>
          <w:b/>
          <w:bCs/>
          <w:sz w:val="36"/>
          <w:highlight w:val="none"/>
          <w:lang w:val="en-US" w:eastAsia="zh-CN"/>
        </w:rPr>
        <w:t>10</w:t>
      </w:r>
      <w:r>
        <w:rPr>
          <w:rFonts w:hint="eastAsia" w:ascii="宋体" w:hAnsi="宋体"/>
          <w:b/>
          <w:bCs/>
          <w:sz w:val="36"/>
          <w:highlight w:val="none"/>
        </w:rPr>
        <w:t>月</w:t>
      </w:r>
      <w:r>
        <w:rPr>
          <w:rFonts w:hint="eastAsia" w:ascii="宋体" w:hAnsi="宋体"/>
          <w:b/>
          <w:bCs/>
          <w:sz w:val="36"/>
          <w:highlight w:val="none"/>
          <w:lang w:val="en-US" w:eastAsia="zh-CN"/>
        </w:rPr>
        <w:t>23</w:t>
      </w:r>
      <w:r>
        <w:rPr>
          <w:rFonts w:hint="eastAsia" w:ascii="宋体" w:hAnsi="宋体"/>
          <w:b/>
          <w:bCs/>
          <w:sz w:val="36"/>
          <w:highlight w:val="none"/>
        </w:rPr>
        <w:t>日</w:t>
      </w:r>
    </w:p>
    <w:p w14:paraId="074C22E0">
      <w:pPr>
        <w:spacing w:line="360" w:lineRule="auto"/>
        <w:jc w:val="center"/>
      </w:pPr>
    </w:p>
    <w:p w14:paraId="43F5DD8F">
      <w:pPr>
        <w:spacing w:line="360" w:lineRule="auto"/>
        <w:jc w:val="center"/>
        <w:rPr>
          <w:rFonts w:ascii="宋体" w:hAnsi="宋体"/>
          <w:sz w:val="32"/>
        </w:rPr>
      </w:pPr>
    </w:p>
    <w:p w14:paraId="3B6959E1">
      <w:pPr>
        <w:spacing w:line="360" w:lineRule="auto"/>
        <w:jc w:val="center"/>
        <w:rPr>
          <w:rFonts w:ascii="宋体" w:hAnsi="宋体"/>
          <w:sz w:val="32"/>
        </w:rPr>
        <w:sectPr>
          <w:headerReference r:id="rId5" w:type="first"/>
          <w:headerReference r:id="rId3" w:type="default"/>
          <w:footerReference r:id="rId6" w:type="default"/>
          <w:headerReference r:id="rId4" w:type="even"/>
          <w:footerReference r:id="rId7" w:type="even"/>
          <w:pgSz w:w="11906" w:h="16838"/>
          <w:pgMar w:top="1134" w:right="851" w:bottom="1134" w:left="851" w:header="851" w:footer="992" w:gutter="0"/>
          <w:pgNumType w:start="1"/>
          <w:cols w:space="720" w:num="1"/>
          <w:titlePg/>
          <w:docGrid w:linePitch="360" w:charSpace="0"/>
        </w:sectPr>
      </w:pPr>
    </w:p>
    <w:p w14:paraId="3C209644">
      <w:pPr>
        <w:tabs>
          <w:tab w:val="left" w:pos="2300"/>
          <w:tab w:val="center" w:pos="5162"/>
        </w:tabs>
        <w:spacing w:line="360" w:lineRule="auto"/>
        <w:jc w:val="left"/>
        <w:rPr>
          <w:rFonts w:ascii="宋体" w:hAnsi="宋体"/>
          <w:sz w:val="32"/>
        </w:rPr>
      </w:pPr>
    </w:p>
    <w:p w14:paraId="5DC72D45">
      <w:pPr>
        <w:tabs>
          <w:tab w:val="left" w:pos="2300"/>
          <w:tab w:val="center" w:pos="5162"/>
        </w:tabs>
        <w:spacing w:line="360" w:lineRule="auto"/>
        <w:jc w:val="left"/>
        <w:rPr>
          <w:rFonts w:ascii="宋体" w:hAnsi="宋体"/>
          <w:sz w:val="32"/>
        </w:rPr>
      </w:pPr>
      <w:r>
        <w:rPr>
          <w:rFonts w:hint="eastAsia" w:ascii="宋体" w:hAnsi="宋体"/>
          <w:sz w:val="32"/>
        </w:rPr>
        <w:tab/>
      </w:r>
      <w:r>
        <w:rPr>
          <w:rFonts w:hint="eastAsia" w:ascii="宋体" w:hAnsi="宋体"/>
          <w:sz w:val="32"/>
        </w:rPr>
        <w:tab/>
      </w:r>
      <w:r>
        <w:rPr>
          <w:rFonts w:hint="eastAsia" w:ascii="宋体" w:hAnsi="宋体"/>
          <w:sz w:val="32"/>
        </w:rPr>
        <w:t>目</w:t>
      </w:r>
      <w:r>
        <w:rPr>
          <w:rFonts w:ascii="宋体" w:hAnsi="宋体"/>
          <w:sz w:val="32"/>
        </w:rPr>
        <w:t xml:space="preserve"> 录</w:t>
      </w:r>
    </w:p>
    <w:p w14:paraId="2EDD7E32">
      <w:pPr>
        <w:spacing w:line="360" w:lineRule="auto"/>
        <w:rPr>
          <w:rFonts w:ascii="宋体" w:hAnsi="宋体"/>
          <w:sz w:val="28"/>
        </w:rPr>
      </w:pPr>
      <w:r>
        <w:rPr>
          <w:rFonts w:ascii="宋体" w:hAnsi="宋体"/>
          <w:sz w:val="28"/>
        </w:rPr>
        <w:fldChar w:fldCharType="begin"/>
      </w:r>
      <w:r>
        <w:rPr>
          <w:rFonts w:ascii="宋体" w:hAnsi="宋体"/>
          <w:sz w:val="28"/>
        </w:rPr>
        <w:instrText xml:space="preserve">TOC \o "1-3" \h \u </w:instrText>
      </w:r>
      <w:r>
        <w:rPr>
          <w:rFonts w:ascii="宋体" w:hAnsi="宋体"/>
          <w:sz w:val="28"/>
        </w:rPr>
        <w:fldChar w:fldCharType="separate"/>
      </w:r>
    </w:p>
    <w:p w14:paraId="5508D9B5">
      <w:pPr>
        <w:pStyle w:val="244"/>
        <w:tabs>
          <w:tab w:val="right" w:leader="dot" w:pos="8306"/>
        </w:tabs>
        <w:spacing w:line="360" w:lineRule="auto"/>
        <w:ind w:firstLine="420"/>
        <w:rPr>
          <w:rFonts w:ascii="宋体" w:hAnsi="宋体" w:cs="宋体"/>
          <w:sz w:val="24"/>
          <w:szCs w:val="28"/>
        </w:rPr>
      </w:pPr>
      <w:r>
        <w:fldChar w:fldCharType="begin"/>
      </w:r>
      <w:r>
        <w:instrText xml:space="preserve"> HYPERLINK \l "_Toc20510" </w:instrText>
      </w:r>
      <w:r>
        <w:fldChar w:fldCharType="separate"/>
      </w:r>
      <w:r>
        <w:rPr>
          <w:rFonts w:hint="eastAsia" w:ascii="宋体" w:hAnsi="宋体" w:cs="宋体"/>
          <w:sz w:val="24"/>
          <w:szCs w:val="44"/>
        </w:rPr>
        <w:t>第一章 竞争性磋商采购公告</w:t>
      </w:r>
      <w:r>
        <w:rPr>
          <w:rFonts w:hint="eastAsia" w:ascii="宋体" w:hAnsi="宋体" w:cs="宋体"/>
          <w:sz w:val="24"/>
          <w:szCs w:val="28"/>
        </w:rPr>
        <w:tab/>
      </w:r>
      <w:r>
        <w:rPr>
          <w:rFonts w:hint="eastAsia" w:ascii="宋体" w:hAnsi="宋体" w:cs="宋体"/>
          <w:sz w:val="24"/>
          <w:szCs w:val="28"/>
        </w:rPr>
        <w:fldChar w:fldCharType="begin"/>
      </w:r>
      <w:r>
        <w:rPr>
          <w:rFonts w:hint="eastAsia" w:ascii="宋体" w:hAnsi="宋体" w:cs="宋体"/>
          <w:sz w:val="24"/>
          <w:szCs w:val="28"/>
        </w:rPr>
        <w:instrText xml:space="preserve"> PAGEREF _Toc20510 \h </w:instrText>
      </w:r>
      <w:r>
        <w:rPr>
          <w:rFonts w:hint="eastAsia" w:ascii="宋体" w:hAnsi="宋体" w:cs="宋体"/>
          <w:sz w:val="24"/>
          <w:szCs w:val="28"/>
        </w:rPr>
        <w:fldChar w:fldCharType="separate"/>
      </w:r>
      <w:r>
        <w:rPr>
          <w:rFonts w:hint="eastAsia" w:ascii="宋体" w:hAnsi="宋体" w:cs="宋体"/>
          <w:sz w:val="24"/>
          <w:szCs w:val="28"/>
        </w:rPr>
        <w:t>2</w:t>
      </w:r>
      <w:r>
        <w:rPr>
          <w:rFonts w:hint="eastAsia" w:ascii="宋体" w:hAnsi="宋体" w:cs="宋体"/>
          <w:sz w:val="24"/>
          <w:szCs w:val="28"/>
        </w:rPr>
        <w:fldChar w:fldCharType="end"/>
      </w:r>
      <w:r>
        <w:rPr>
          <w:rFonts w:hint="eastAsia" w:ascii="宋体" w:hAnsi="宋体" w:cs="宋体"/>
          <w:sz w:val="24"/>
          <w:szCs w:val="28"/>
        </w:rPr>
        <w:fldChar w:fldCharType="end"/>
      </w:r>
    </w:p>
    <w:p w14:paraId="10EF92BB">
      <w:pPr>
        <w:pStyle w:val="244"/>
        <w:tabs>
          <w:tab w:val="right" w:leader="dot" w:pos="8306"/>
        </w:tabs>
        <w:spacing w:line="360" w:lineRule="auto"/>
        <w:ind w:firstLine="420"/>
        <w:rPr>
          <w:rFonts w:ascii="宋体" w:hAnsi="宋体" w:cs="宋体"/>
          <w:sz w:val="24"/>
          <w:szCs w:val="28"/>
        </w:rPr>
      </w:pPr>
      <w:r>
        <w:fldChar w:fldCharType="begin"/>
      </w:r>
      <w:r>
        <w:instrText xml:space="preserve"> HYPERLINK \l "_Toc18344" </w:instrText>
      </w:r>
      <w:r>
        <w:fldChar w:fldCharType="separate"/>
      </w:r>
      <w:r>
        <w:rPr>
          <w:rFonts w:hint="eastAsia" w:ascii="宋体" w:hAnsi="宋体" w:cs="宋体"/>
          <w:sz w:val="24"/>
          <w:szCs w:val="28"/>
        </w:rPr>
        <w:t>第二章 磋商须知</w:t>
      </w:r>
      <w:r>
        <w:rPr>
          <w:rFonts w:hint="eastAsia" w:ascii="宋体" w:hAnsi="宋体" w:cs="宋体"/>
          <w:sz w:val="24"/>
          <w:szCs w:val="28"/>
        </w:rPr>
        <w:tab/>
      </w:r>
      <w:r>
        <w:rPr>
          <w:rFonts w:hint="eastAsia" w:ascii="宋体" w:hAnsi="宋体" w:cs="宋体"/>
          <w:sz w:val="24"/>
          <w:szCs w:val="28"/>
        </w:rPr>
        <w:t>5</w:t>
      </w:r>
      <w:r>
        <w:rPr>
          <w:rFonts w:hint="eastAsia" w:ascii="宋体" w:hAnsi="宋体" w:cs="宋体"/>
          <w:sz w:val="24"/>
          <w:szCs w:val="28"/>
        </w:rPr>
        <w:fldChar w:fldCharType="end"/>
      </w:r>
    </w:p>
    <w:p w14:paraId="132BB362">
      <w:pPr>
        <w:pStyle w:val="244"/>
        <w:tabs>
          <w:tab w:val="right" w:leader="dot" w:pos="8306"/>
        </w:tabs>
        <w:spacing w:line="360" w:lineRule="auto"/>
        <w:ind w:firstLine="420"/>
        <w:rPr>
          <w:rFonts w:ascii="宋体" w:hAnsi="宋体" w:cs="宋体"/>
          <w:sz w:val="24"/>
          <w:szCs w:val="28"/>
        </w:rPr>
      </w:pPr>
      <w:r>
        <w:fldChar w:fldCharType="begin"/>
      </w:r>
      <w:r>
        <w:instrText xml:space="preserve"> HYPERLINK \l "_Toc5763" </w:instrText>
      </w:r>
      <w:r>
        <w:fldChar w:fldCharType="separate"/>
      </w:r>
      <w:r>
        <w:rPr>
          <w:rFonts w:hint="eastAsia" w:ascii="宋体" w:hAnsi="宋体" w:cs="宋体"/>
          <w:sz w:val="24"/>
          <w:szCs w:val="28"/>
        </w:rPr>
        <w:t>第三章 合同条款及格式</w:t>
      </w:r>
      <w:r>
        <w:rPr>
          <w:rFonts w:hint="eastAsia" w:ascii="宋体" w:hAnsi="宋体" w:cs="宋体"/>
          <w:sz w:val="24"/>
          <w:szCs w:val="28"/>
        </w:rPr>
        <w:tab/>
      </w:r>
      <w:r>
        <w:rPr>
          <w:rFonts w:hint="eastAsia" w:ascii="宋体" w:hAnsi="宋体" w:cs="宋体"/>
          <w:sz w:val="24"/>
          <w:szCs w:val="28"/>
        </w:rPr>
        <w:fldChar w:fldCharType="begin"/>
      </w:r>
      <w:r>
        <w:rPr>
          <w:rFonts w:hint="eastAsia" w:ascii="宋体" w:hAnsi="宋体" w:cs="宋体"/>
          <w:sz w:val="24"/>
          <w:szCs w:val="28"/>
        </w:rPr>
        <w:instrText xml:space="preserve"> PAGEREF _Toc5763 \h </w:instrText>
      </w:r>
      <w:r>
        <w:rPr>
          <w:rFonts w:hint="eastAsia" w:ascii="宋体" w:hAnsi="宋体" w:cs="宋体"/>
          <w:sz w:val="24"/>
          <w:szCs w:val="28"/>
        </w:rPr>
        <w:fldChar w:fldCharType="separate"/>
      </w:r>
      <w:r>
        <w:rPr>
          <w:rFonts w:hint="eastAsia" w:ascii="宋体" w:hAnsi="宋体" w:cs="宋体"/>
          <w:sz w:val="24"/>
          <w:szCs w:val="28"/>
        </w:rPr>
        <w:t>14</w:t>
      </w:r>
      <w:r>
        <w:rPr>
          <w:rFonts w:hint="eastAsia" w:ascii="宋体" w:hAnsi="宋体" w:cs="宋体"/>
          <w:sz w:val="24"/>
          <w:szCs w:val="28"/>
        </w:rPr>
        <w:fldChar w:fldCharType="end"/>
      </w:r>
      <w:r>
        <w:rPr>
          <w:rFonts w:hint="eastAsia" w:ascii="宋体" w:hAnsi="宋体" w:cs="宋体"/>
          <w:sz w:val="24"/>
          <w:szCs w:val="28"/>
        </w:rPr>
        <w:fldChar w:fldCharType="end"/>
      </w:r>
    </w:p>
    <w:p w14:paraId="349C4EE6">
      <w:pPr>
        <w:pStyle w:val="244"/>
        <w:tabs>
          <w:tab w:val="right" w:leader="dot" w:pos="8306"/>
        </w:tabs>
        <w:spacing w:line="360" w:lineRule="auto"/>
        <w:ind w:firstLine="420"/>
        <w:rPr>
          <w:rFonts w:ascii="宋体" w:hAnsi="宋体" w:cs="宋体"/>
          <w:sz w:val="24"/>
          <w:szCs w:val="28"/>
        </w:rPr>
      </w:pPr>
      <w:r>
        <w:fldChar w:fldCharType="begin"/>
      </w:r>
      <w:r>
        <w:instrText xml:space="preserve"> HYPERLINK \l "_Toc10399" </w:instrText>
      </w:r>
      <w:r>
        <w:fldChar w:fldCharType="separate"/>
      </w:r>
      <w:r>
        <w:rPr>
          <w:rFonts w:hint="eastAsia" w:ascii="宋体" w:hAnsi="宋体" w:cs="宋体"/>
          <w:sz w:val="24"/>
          <w:szCs w:val="28"/>
        </w:rPr>
        <w:t>第四章 项目需求</w:t>
      </w:r>
      <w:r>
        <w:rPr>
          <w:rFonts w:hint="eastAsia" w:ascii="宋体" w:hAnsi="宋体" w:cs="宋体"/>
          <w:sz w:val="24"/>
          <w:szCs w:val="28"/>
        </w:rPr>
        <w:tab/>
      </w:r>
      <w:r>
        <w:rPr>
          <w:rFonts w:hint="eastAsia" w:ascii="宋体" w:hAnsi="宋体" w:cs="宋体"/>
          <w:sz w:val="24"/>
          <w:szCs w:val="28"/>
        </w:rPr>
        <w:t>3</w:t>
      </w:r>
      <w:r>
        <w:rPr>
          <w:rFonts w:hint="eastAsia" w:ascii="宋体" w:hAnsi="宋体" w:cs="宋体"/>
          <w:sz w:val="24"/>
          <w:szCs w:val="28"/>
        </w:rPr>
        <w:fldChar w:fldCharType="end"/>
      </w:r>
      <w:r>
        <w:rPr>
          <w:rFonts w:hint="eastAsia" w:ascii="宋体" w:hAnsi="宋体" w:cs="宋体"/>
          <w:sz w:val="24"/>
          <w:szCs w:val="28"/>
        </w:rPr>
        <w:t>6</w:t>
      </w:r>
    </w:p>
    <w:p w14:paraId="6AD179A7">
      <w:pPr>
        <w:pStyle w:val="244"/>
        <w:tabs>
          <w:tab w:val="right" w:leader="dot" w:pos="8306"/>
        </w:tabs>
        <w:spacing w:line="360" w:lineRule="auto"/>
        <w:ind w:firstLine="420"/>
        <w:rPr>
          <w:rFonts w:ascii="宋体" w:hAnsi="宋体" w:cs="宋体"/>
          <w:sz w:val="24"/>
          <w:szCs w:val="28"/>
        </w:rPr>
      </w:pPr>
      <w:r>
        <w:fldChar w:fldCharType="begin"/>
      </w:r>
      <w:r>
        <w:instrText xml:space="preserve"> HYPERLINK \l "_Toc18715" </w:instrText>
      </w:r>
      <w:r>
        <w:fldChar w:fldCharType="separate"/>
      </w:r>
      <w:r>
        <w:rPr>
          <w:rFonts w:hint="eastAsia" w:ascii="宋体" w:hAnsi="宋体" w:cs="宋体"/>
          <w:sz w:val="24"/>
          <w:szCs w:val="28"/>
        </w:rPr>
        <w:t>第五章 评审方法及评审标准</w:t>
      </w:r>
      <w:r>
        <w:rPr>
          <w:rFonts w:hint="eastAsia" w:ascii="宋体" w:hAnsi="宋体" w:cs="宋体"/>
          <w:sz w:val="24"/>
          <w:szCs w:val="28"/>
        </w:rPr>
        <w:tab/>
      </w:r>
      <w:r>
        <w:rPr>
          <w:rFonts w:hint="eastAsia" w:ascii="宋体" w:hAnsi="宋体" w:cs="宋体"/>
          <w:sz w:val="24"/>
          <w:szCs w:val="28"/>
        </w:rPr>
        <w:fldChar w:fldCharType="end"/>
      </w:r>
      <w:r>
        <w:rPr>
          <w:rFonts w:hint="eastAsia" w:ascii="宋体" w:hAnsi="宋体" w:cs="宋体"/>
          <w:sz w:val="24"/>
          <w:szCs w:val="28"/>
        </w:rPr>
        <w:t>40</w:t>
      </w:r>
    </w:p>
    <w:p w14:paraId="600A7033">
      <w:pPr>
        <w:pStyle w:val="244"/>
        <w:tabs>
          <w:tab w:val="right" w:leader="dot" w:pos="8306"/>
        </w:tabs>
        <w:spacing w:line="360" w:lineRule="auto"/>
        <w:ind w:firstLine="420"/>
        <w:rPr>
          <w:rFonts w:ascii="宋体" w:hAnsi="宋体" w:cs="宋体"/>
          <w:sz w:val="24"/>
          <w:szCs w:val="28"/>
        </w:rPr>
      </w:pPr>
      <w:r>
        <w:fldChar w:fldCharType="begin"/>
      </w:r>
      <w:r>
        <w:instrText xml:space="preserve"> HYPERLINK \l "_Toc2401" </w:instrText>
      </w:r>
      <w:r>
        <w:fldChar w:fldCharType="separate"/>
      </w:r>
      <w:r>
        <w:rPr>
          <w:rFonts w:hint="eastAsia" w:ascii="宋体" w:hAnsi="宋体" w:cs="宋体"/>
          <w:sz w:val="24"/>
          <w:szCs w:val="28"/>
        </w:rPr>
        <w:t>第六章 竞争性磋商响应文件格式</w:t>
      </w:r>
      <w:r>
        <w:rPr>
          <w:rFonts w:hint="eastAsia" w:ascii="宋体" w:hAnsi="宋体" w:cs="宋体"/>
          <w:sz w:val="24"/>
          <w:szCs w:val="28"/>
        </w:rPr>
        <w:tab/>
      </w:r>
      <w:r>
        <w:rPr>
          <w:rFonts w:hint="eastAsia" w:ascii="宋体" w:hAnsi="宋体" w:cs="宋体"/>
          <w:sz w:val="24"/>
          <w:szCs w:val="28"/>
        </w:rPr>
        <w:t>4</w:t>
      </w:r>
      <w:r>
        <w:rPr>
          <w:rFonts w:hint="eastAsia" w:ascii="宋体" w:hAnsi="宋体" w:cs="宋体"/>
          <w:sz w:val="24"/>
          <w:szCs w:val="28"/>
        </w:rPr>
        <w:fldChar w:fldCharType="end"/>
      </w:r>
      <w:r>
        <w:rPr>
          <w:rFonts w:hint="eastAsia" w:ascii="宋体" w:hAnsi="宋体" w:cs="宋体"/>
          <w:sz w:val="24"/>
          <w:szCs w:val="28"/>
        </w:rPr>
        <w:t>2</w:t>
      </w:r>
    </w:p>
    <w:p w14:paraId="7A202794">
      <w:pPr>
        <w:spacing w:line="360" w:lineRule="auto"/>
        <w:rPr>
          <w:rFonts w:ascii="宋体" w:hAnsi="宋体"/>
          <w:sz w:val="28"/>
        </w:rPr>
      </w:pPr>
      <w:r>
        <w:rPr>
          <w:rFonts w:ascii="宋体" w:hAnsi="宋体"/>
          <w:sz w:val="28"/>
        </w:rPr>
        <w:fldChar w:fldCharType="end"/>
      </w:r>
    </w:p>
    <w:p w14:paraId="1E5DFDFD">
      <w:pPr>
        <w:spacing w:line="360" w:lineRule="auto"/>
      </w:pPr>
    </w:p>
    <w:p w14:paraId="79B475C3">
      <w:pPr>
        <w:pStyle w:val="50"/>
        <w:spacing w:line="360" w:lineRule="auto"/>
        <w:jc w:val="center"/>
        <w:rPr>
          <w:rFonts w:ascii="宋体" w:hAnsi="宋体"/>
          <w:szCs w:val="36"/>
        </w:rPr>
        <w:sectPr>
          <w:footerReference r:id="rId9" w:type="first"/>
          <w:footerReference r:id="rId8" w:type="default"/>
          <w:pgSz w:w="11906" w:h="16838"/>
          <w:pgMar w:top="1134" w:right="851" w:bottom="1134" w:left="851" w:header="851" w:footer="992" w:gutter="0"/>
          <w:pgNumType w:start="1"/>
          <w:cols w:space="720" w:num="1"/>
          <w:docGrid w:linePitch="360" w:charSpace="0"/>
        </w:sectPr>
      </w:pPr>
      <w:bookmarkStart w:id="3" w:name="_Toc20510"/>
      <w:bookmarkStart w:id="4" w:name="_Toc109304962"/>
    </w:p>
    <w:p w14:paraId="3F6134A4">
      <w:pPr>
        <w:pStyle w:val="50"/>
        <w:spacing w:before="0" w:after="0" w:line="360" w:lineRule="auto"/>
        <w:jc w:val="center"/>
        <w:rPr>
          <w:rFonts w:ascii="宋体" w:hAnsi="宋体"/>
          <w:sz w:val="36"/>
        </w:rPr>
      </w:pPr>
      <w:r>
        <w:rPr>
          <w:rFonts w:hint="eastAsia" w:ascii="宋体" w:hAnsi="宋体"/>
          <w:sz w:val="36"/>
        </w:rPr>
        <w:t>第一章 竞争性磋商采购公告</w:t>
      </w:r>
      <w:bookmarkEnd w:id="3"/>
      <w:bookmarkEnd w:id="4"/>
    </w:p>
    <w:p w14:paraId="74853F52">
      <w:pPr>
        <w:widowControl/>
        <w:spacing w:line="360" w:lineRule="auto"/>
        <w:ind w:firstLine="480"/>
        <w:jc w:val="left"/>
        <w:rPr>
          <w:rFonts w:ascii="宋体" w:hAnsi="宋体" w:cs="宋体"/>
          <w:szCs w:val="21"/>
        </w:rPr>
      </w:pPr>
      <w:r>
        <w:rPr>
          <w:rFonts w:hint="eastAsia" w:ascii="宋体" w:hAnsi="宋体" w:cs="宋体"/>
          <w:szCs w:val="21"/>
        </w:rPr>
        <w:t>受扬州市广陵新城管理委员会的委托，捷宏润安工程顾问有限公司扬州分公司就扬州市广陵区湾头镇派出所摩托化机动队伍及专职警务辅助力量项目实施政府采购，本次采购采用竞争性磋商方式，欢迎符合条件的供应商参加磋商。</w:t>
      </w:r>
    </w:p>
    <w:p w14:paraId="52F9A8A4">
      <w:pPr>
        <w:pBdr>
          <w:top w:val="single" w:color="000000" w:sz="4" w:space="1"/>
          <w:left w:val="single" w:color="000000" w:sz="4" w:space="4"/>
          <w:bottom w:val="single" w:color="000000" w:sz="4" w:space="1"/>
          <w:right w:val="single" w:color="000000" w:sz="4" w:space="4"/>
        </w:pBdr>
        <w:spacing w:line="360" w:lineRule="auto"/>
        <w:rPr>
          <w:rFonts w:ascii="宋体" w:hAnsi="宋体" w:cs="宋体"/>
          <w:szCs w:val="21"/>
          <w:u w:val="single"/>
        </w:rPr>
      </w:pPr>
      <w:r>
        <w:rPr>
          <w:rFonts w:hint="eastAsia" w:ascii="宋体" w:hAnsi="宋体" w:cs="宋体"/>
          <w:b/>
          <w:szCs w:val="21"/>
        </w:rPr>
        <w:t>项目概况：</w:t>
      </w:r>
    </w:p>
    <w:p w14:paraId="43E89541">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s="宋体"/>
          <w:szCs w:val="21"/>
          <w:highlight w:val="none"/>
        </w:rPr>
      </w:pPr>
      <w:r>
        <w:rPr>
          <w:rFonts w:hint="eastAsia" w:ascii="宋体" w:hAnsi="宋体" w:cs="宋体"/>
          <w:szCs w:val="21"/>
          <w:u w:val="single"/>
        </w:rPr>
        <w:t>扬州市广陵区湾头镇派出所摩托化机动队伍及专职警务辅助力量项目</w:t>
      </w:r>
      <w:r>
        <w:rPr>
          <w:rFonts w:hint="eastAsia" w:ascii="宋体" w:hAnsi="宋体" w:cs="宋体"/>
          <w:szCs w:val="21"/>
        </w:rPr>
        <w:t>采购项目的潜在供应商</w:t>
      </w:r>
      <w:r>
        <w:rPr>
          <w:rFonts w:hint="eastAsia" w:ascii="宋体" w:hAnsi="宋体" w:cs="宋体"/>
          <w:szCs w:val="21"/>
          <w:u w:val="single"/>
        </w:rPr>
        <w:t>可在</w:t>
      </w:r>
      <w:r>
        <w:rPr>
          <w:rFonts w:hint="eastAsia" w:ascii="宋体" w:hAnsi="宋体" w:cs="宋体"/>
          <w:color w:val="000000"/>
          <w:szCs w:val="21"/>
          <w:u w:val="single"/>
        </w:rPr>
        <w:t>“扬州市广陵区政府采购网”、</w:t>
      </w:r>
      <w:r>
        <w:rPr>
          <w:rFonts w:hint="eastAsia" w:ascii="宋体" w:hAnsi="宋体" w:cs="宋体"/>
          <w:szCs w:val="21"/>
          <w:u w:val="single"/>
        </w:rPr>
        <w:t>“扬州市政府采购网”、“江苏省政府采购网”、“中国政府采购网”自行免费下载</w:t>
      </w:r>
      <w:r>
        <w:rPr>
          <w:rFonts w:hint="eastAsia" w:ascii="宋体" w:hAnsi="宋体" w:cs="宋体"/>
          <w:szCs w:val="21"/>
        </w:rPr>
        <w:t>采购文件，并</w:t>
      </w:r>
      <w:r>
        <w:rPr>
          <w:rFonts w:hint="eastAsia" w:ascii="宋体" w:hAnsi="宋体" w:cs="宋体"/>
          <w:szCs w:val="21"/>
          <w:highlight w:val="none"/>
        </w:rPr>
        <w:t>于</w:t>
      </w:r>
      <w:r>
        <w:rPr>
          <w:rFonts w:hint="eastAsia" w:ascii="宋体" w:hAnsi="宋体" w:cs="宋体"/>
          <w:bCs/>
          <w:szCs w:val="21"/>
          <w:highlight w:val="none"/>
          <w:u w:val="single"/>
        </w:rPr>
        <w:t>2026年</w:t>
      </w:r>
      <w:r>
        <w:rPr>
          <w:rFonts w:hint="eastAsia" w:ascii="宋体" w:hAnsi="宋体" w:cs="宋体"/>
          <w:bCs/>
          <w:szCs w:val="21"/>
          <w:highlight w:val="none"/>
          <w:u w:val="single"/>
          <w:lang w:val="en-US" w:eastAsia="zh-CN"/>
        </w:rPr>
        <w:t>11</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05</w:t>
      </w:r>
      <w:r>
        <w:rPr>
          <w:rFonts w:hint="eastAsia" w:ascii="宋体" w:hAnsi="宋体" w:cs="宋体"/>
          <w:bCs/>
          <w:szCs w:val="21"/>
          <w:highlight w:val="none"/>
          <w:u w:val="single"/>
        </w:rPr>
        <w:t>日</w:t>
      </w:r>
      <w:r>
        <w:rPr>
          <w:rFonts w:hint="eastAsia" w:ascii="宋体" w:hAnsi="宋体" w:cs="宋体"/>
          <w:bCs/>
          <w:szCs w:val="21"/>
          <w:highlight w:val="none"/>
          <w:u w:val="single"/>
          <w:lang w:eastAsia="zh-CN"/>
        </w:rPr>
        <w:t>下午</w:t>
      </w:r>
      <w:r>
        <w:rPr>
          <w:rFonts w:hint="eastAsia" w:ascii="宋体" w:hAnsi="宋体" w:cs="宋体"/>
          <w:bCs/>
          <w:szCs w:val="21"/>
          <w:highlight w:val="none"/>
          <w:u w:val="single"/>
          <w:lang w:val="en-US" w:eastAsia="zh-CN"/>
        </w:rPr>
        <w:t>14</w:t>
      </w:r>
      <w:r>
        <w:rPr>
          <w:rFonts w:hint="eastAsia" w:ascii="宋体" w:hAnsi="宋体" w:cs="宋体"/>
          <w:bCs/>
          <w:szCs w:val="21"/>
          <w:highlight w:val="none"/>
          <w:u w:val="single"/>
        </w:rPr>
        <w:t>点</w:t>
      </w:r>
      <w:r>
        <w:rPr>
          <w:rFonts w:hint="eastAsia" w:ascii="宋体" w:hAnsi="宋体" w:cs="宋体"/>
          <w:bCs/>
          <w:szCs w:val="21"/>
          <w:highlight w:val="none"/>
          <w:u w:val="single"/>
          <w:lang w:val="en-US" w:eastAsia="zh-CN"/>
        </w:rPr>
        <w:t>30</w:t>
      </w:r>
      <w:r>
        <w:rPr>
          <w:rFonts w:hint="eastAsia" w:ascii="宋体" w:hAnsi="宋体" w:cs="宋体"/>
          <w:bCs/>
          <w:szCs w:val="21"/>
          <w:highlight w:val="none"/>
          <w:u w:val="single"/>
        </w:rPr>
        <w:t>分</w:t>
      </w:r>
      <w:r>
        <w:rPr>
          <w:rFonts w:hint="eastAsia" w:ascii="宋体" w:hAnsi="宋体" w:cs="宋体"/>
          <w:bCs/>
          <w:szCs w:val="21"/>
          <w:highlight w:val="none"/>
        </w:rPr>
        <w:t>（北京时间）前提交响应文件</w:t>
      </w:r>
      <w:r>
        <w:rPr>
          <w:rFonts w:hint="eastAsia" w:ascii="宋体" w:hAnsi="宋体" w:cs="宋体"/>
          <w:szCs w:val="21"/>
          <w:highlight w:val="none"/>
        </w:rPr>
        <w:t>。</w:t>
      </w:r>
    </w:p>
    <w:p w14:paraId="48C24374">
      <w:pPr>
        <w:pStyle w:val="245"/>
        <w:spacing w:before="0" w:after="0" w:line="360" w:lineRule="auto"/>
        <w:rPr>
          <w:rFonts w:ascii="宋体" w:hAnsi="宋体" w:cs="宋体"/>
          <w:bCs w:val="0"/>
          <w:sz w:val="21"/>
          <w:szCs w:val="21"/>
          <w:highlight w:val="none"/>
        </w:rPr>
      </w:pPr>
      <w:bookmarkStart w:id="5" w:name="_Toc23549"/>
      <w:bookmarkStart w:id="6" w:name="_Toc109304963"/>
      <w:r>
        <w:rPr>
          <w:rFonts w:hint="eastAsia" w:ascii="宋体" w:hAnsi="宋体" w:cs="宋体"/>
          <w:bCs w:val="0"/>
          <w:sz w:val="21"/>
          <w:szCs w:val="21"/>
          <w:highlight w:val="none"/>
        </w:rPr>
        <w:t>一、项目基本情况</w:t>
      </w:r>
      <w:bookmarkEnd w:id="5"/>
      <w:bookmarkEnd w:id="6"/>
    </w:p>
    <w:p w14:paraId="25F74157">
      <w:pPr>
        <w:spacing w:line="360" w:lineRule="auto"/>
        <w:ind w:firstLine="420"/>
        <w:rPr>
          <w:rFonts w:ascii="宋体" w:hAnsi="宋体" w:cs="宋体"/>
          <w:szCs w:val="21"/>
          <w:highlight w:val="none"/>
        </w:rPr>
      </w:pPr>
      <w:r>
        <w:rPr>
          <w:rFonts w:hint="eastAsia" w:ascii="宋体" w:hAnsi="宋体" w:cs="宋体"/>
          <w:szCs w:val="21"/>
          <w:highlight w:val="none"/>
        </w:rPr>
        <w:t>1.项目编号：</w:t>
      </w:r>
      <w:r>
        <w:rPr>
          <w:rFonts w:ascii="Segoe UI" w:hAnsi="Segoe UI" w:eastAsia="Segoe UI" w:cs="Segoe UI"/>
          <w:i w:val="0"/>
          <w:iCs w:val="0"/>
          <w:caps w:val="0"/>
          <w:spacing w:val="0"/>
          <w:sz w:val="21"/>
          <w:szCs w:val="21"/>
          <w:shd w:val="clear" w:fill="FFFFFF"/>
        </w:rPr>
        <w:t>JSZC-321002-JHRA-C2026-0030</w:t>
      </w:r>
    </w:p>
    <w:p w14:paraId="503A9F99">
      <w:pPr>
        <w:spacing w:line="360" w:lineRule="auto"/>
        <w:ind w:firstLine="420"/>
        <w:rPr>
          <w:rFonts w:ascii="宋体" w:hAnsi="宋体" w:cs="宋体"/>
          <w:szCs w:val="21"/>
          <w:highlight w:val="none"/>
        </w:rPr>
      </w:pPr>
      <w:r>
        <w:rPr>
          <w:rFonts w:hint="eastAsia" w:ascii="宋体" w:hAnsi="宋体" w:cs="宋体"/>
          <w:szCs w:val="21"/>
          <w:highlight w:val="none"/>
        </w:rPr>
        <w:t>2.项目名称：扬州市广陵区湾头镇派出所摩托化机动队伍及专职警务辅助力量项目</w:t>
      </w:r>
    </w:p>
    <w:p w14:paraId="7BCC76EF">
      <w:pPr>
        <w:spacing w:line="360" w:lineRule="auto"/>
        <w:ind w:firstLine="420"/>
        <w:rPr>
          <w:rFonts w:ascii="宋体" w:hAnsi="宋体" w:cs="宋体"/>
          <w:szCs w:val="21"/>
          <w:highlight w:val="none"/>
        </w:rPr>
      </w:pPr>
      <w:r>
        <w:rPr>
          <w:rFonts w:hint="eastAsia" w:ascii="宋体" w:hAnsi="宋体" w:cs="宋体"/>
          <w:szCs w:val="21"/>
          <w:highlight w:val="none"/>
        </w:rPr>
        <w:t>3.采购方式：竞争性磋商</w:t>
      </w:r>
    </w:p>
    <w:p w14:paraId="29F78C7B">
      <w:pPr>
        <w:spacing w:line="360" w:lineRule="auto"/>
        <w:ind w:firstLine="420"/>
        <w:rPr>
          <w:rFonts w:ascii="宋体" w:hAnsi="宋体" w:cs="宋体"/>
          <w:szCs w:val="21"/>
          <w:highlight w:val="none"/>
        </w:rPr>
      </w:pPr>
      <w:r>
        <w:rPr>
          <w:rFonts w:hint="eastAsia" w:ascii="宋体" w:hAnsi="宋体" w:cs="宋体"/>
          <w:szCs w:val="21"/>
          <w:highlight w:val="none"/>
        </w:rPr>
        <w:t>4.预算金额：180.8万元</w:t>
      </w:r>
    </w:p>
    <w:p w14:paraId="3DC8AF4A">
      <w:pPr>
        <w:pStyle w:val="82"/>
        <w:spacing w:line="360" w:lineRule="auto"/>
        <w:ind w:firstLine="420"/>
        <w:rPr>
          <w:rFonts w:hAnsi="宋体" w:cs="宋体"/>
          <w:sz w:val="21"/>
          <w:szCs w:val="21"/>
        </w:rPr>
      </w:pPr>
      <w:r>
        <w:rPr>
          <w:rFonts w:hint="eastAsia" w:hAnsi="宋体" w:cs="宋体"/>
          <w:sz w:val="21"/>
          <w:szCs w:val="21"/>
          <w:highlight w:val="none"/>
        </w:rPr>
        <w:t>5.本项目设定最高限价，最高限价为180.8万元，最后</w:t>
      </w:r>
      <w:r>
        <w:rPr>
          <w:rFonts w:hint="eastAsia" w:hAnsi="宋体" w:cs="宋体"/>
          <w:sz w:val="21"/>
          <w:szCs w:val="21"/>
        </w:rPr>
        <w:t>报价超过最高限价的为无效报价，按照无效响应处理。</w:t>
      </w:r>
    </w:p>
    <w:p w14:paraId="3D65B5EC">
      <w:pPr>
        <w:spacing w:line="360" w:lineRule="auto"/>
        <w:ind w:firstLine="420"/>
        <w:rPr>
          <w:rFonts w:ascii="宋体" w:hAnsi="宋体" w:cs="宋体"/>
          <w:szCs w:val="21"/>
        </w:rPr>
      </w:pPr>
      <w:r>
        <w:rPr>
          <w:rFonts w:hint="eastAsia" w:ascii="宋体" w:hAnsi="宋体" w:cs="宋体"/>
          <w:szCs w:val="21"/>
        </w:rPr>
        <w:t>6.采购需求：详见采购文件第四章</w:t>
      </w:r>
    </w:p>
    <w:p w14:paraId="43E7DDDB">
      <w:pPr>
        <w:spacing w:line="360" w:lineRule="auto"/>
        <w:ind w:firstLine="420"/>
        <w:rPr>
          <w:rFonts w:ascii="宋体" w:hAnsi="宋体" w:cs="宋体"/>
          <w:szCs w:val="21"/>
          <w:u w:val="single"/>
        </w:rPr>
      </w:pPr>
      <w:r>
        <w:rPr>
          <w:rFonts w:hint="eastAsia" w:ascii="宋体" w:hAnsi="宋体" w:cs="宋体"/>
          <w:szCs w:val="21"/>
        </w:rPr>
        <w:t>7.合同履行期限：一年。</w:t>
      </w:r>
    </w:p>
    <w:p w14:paraId="41FCDDD6">
      <w:pPr>
        <w:spacing w:line="360" w:lineRule="auto"/>
        <w:ind w:firstLine="420"/>
        <w:rPr>
          <w:rFonts w:ascii="宋体" w:hAnsi="宋体" w:cs="宋体"/>
          <w:szCs w:val="21"/>
        </w:rPr>
      </w:pPr>
      <w:r>
        <w:rPr>
          <w:rFonts w:hint="eastAsia" w:ascii="宋体" w:hAnsi="宋体" w:cs="宋体"/>
          <w:szCs w:val="21"/>
        </w:rPr>
        <w:t>8.本项目</w:t>
      </w:r>
      <w:r>
        <w:rPr>
          <w:rFonts w:hint="eastAsia" w:ascii="宋体" w:hAnsi="宋体" w:cs="宋体"/>
          <w:szCs w:val="21"/>
          <w:u w:val="single"/>
        </w:rPr>
        <w:t>不接受</w:t>
      </w:r>
      <w:r>
        <w:rPr>
          <w:rFonts w:hint="eastAsia" w:ascii="宋体" w:hAnsi="宋体" w:cs="宋体"/>
          <w:szCs w:val="21"/>
        </w:rPr>
        <w:t>联合体响应。</w:t>
      </w:r>
    </w:p>
    <w:p w14:paraId="74E70035">
      <w:pPr>
        <w:pStyle w:val="245"/>
        <w:spacing w:before="0" w:after="0" w:line="360" w:lineRule="auto"/>
        <w:rPr>
          <w:rFonts w:ascii="宋体" w:hAnsi="宋体" w:cs="宋体"/>
          <w:bCs w:val="0"/>
          <w:sz w:val="21"/>
          <w:szCs w:val="21"/>
        </w:rPr>
      </w:pPr>
      <w:bookmarkStart w:id="7" w:name="_Toc4751"/>
      <w:bookmarkStart w:id="8" w:name="_Toc109304964"/>
      <w:r>
        <w:rPr>
          <w:rFonts w:hint="eastAsia" w:ascii="宋体" w:hAnsi="宋体" w:cs="宋体"/>
          <w:bCs w:val="0"/>
          <w:sz w:val="21"/>
          <w:szCs w:val="21"/>
        </w:rPr>
        <w:t>二、申请人的资格要求：</w:t>
      </w:r>
      <w:bookmarkEnd w:id="7"/>
      <w:bookmarkEnd w:id="8"/>
    </w:p>
    <w:p w14:paraId="696BBA34">
      <w:pPr>
        <w:spacing w:line="360" w:lineRule="auto"/>
        <w:ind w:firstLine="420"/>
        <w:rPr>
          <w:rFonts w:ascii="宋体" w:hAnsi="宋体" w:cs="宋体"/>
          <w:szCs w:val="21"/>
        </w:rPr>
      </w:pPr>
      <w:r>
        <w:rPr>
          <w:rFonts w:hint="eastAsia" w:ascii="宋体" w:hAnsi="宋体" w:cs="宋体"/>
          <w:szCs w:val="21"/>
        </w:rPr>
        <w:t>1.满足《中华人民共和国政府采购法》第二十二条规定，并提供下列材料：</w:t>
      </w:r>
    </w:p>
    <w:p w14:paraId="4F689B2C">
      <w:pPr>
        <w:spacing w:line="360" w:lineRule="auto"/>
        <w:ind w:firstLine="420"/>
        <w:rPr>
          <w:rFonts w:ascii="宋体" w:hAnsi="宋体" w:cs="宋体"/>
          <w:i/>
          <w:iCs/>
          <w:szCs w:val="21"/>
          <w:u w:val="single"/>
        </w:rPr>
      </w:pPr>
      <w:bookmarkStart w:id="9" w:name="_Hlk192856222"/>
      <w:r>
        <w:rPr>
          <w:rFonts w:hint="eastAsia" w:ascii="宋体" w:hAnsi="宋体" w:cs="宋体"/>
          <w:i/>
          <w:iCs/>
          <w:szCs w:val="21"/>
          <w:u w:val="single"/>
        </w:rPr>
        <w:t>1.1法人或者其他组织的营业执照等证明文件，自然人的身份证明；</w:t>
      </w:r>
    </w:p>
    <w:p w14:paraId="65B47093">
      <w:pPr>
        <w:spacing w:line="360" w:lineRule="auto"/>
        <w:ind w:firstLine="420"/>
        <w:rPr>
          <w:rFonts w:ascii="宋体" w:hAnsi="宋体" w:cs="宋体"/>
          <w:i/>
          <w:iCs/>
          <w:szCs w:val="21"/>
          <w:u w:val="single"/>
        </w:rPr>
      </w:pPr>
      <w:r>
        <w:rPr>
          <w:rFonts w:hint="eastAsia" w:ascii="宋体" w:hAnsi="宋体" w:cs="宋体"/>
          <w:i/>
          <w:iCs/>
          <w:szCs w:val="21"/>
          <w:u w:val="single"/>
        </w:rPr>
        <w:t>1.2</w:t>
      </w:r>
      <w:bookmarkStart w:id="10" w:name="_Hlk192854521"/>
      <w:r>
        <w:rPr>
          <w:rFonts w:hint="eastAsia" w:ascii="宋体" w:hAnsi="宋体" w:cs="宋体"/>
          <w:i/>
          <w:iCs/>
          <w:szCs w:val="21"/>
          <w:u w:val="single"/>
        </w:rPr>
        <w:t>上一年度的财务状况报告(成立不满一年无需提供)</w:t>
      </w:r>
      <w:bookmarkEnd w:id="10"/>
      <w:r>
        <w:rPr>
          <w:rFonts w:hint="eastAsia" w:ascii="宋体" w:hAnsi="宋体" w:cs="宋体"/>
          <w:i/>
          <w:iCs/>
          <w:szCs w:val="21"/>
          <w:u w:val="single"/>
        </w:rPr>
        <w:t>；</w:t>
      </w:r>
    </w:p>
    <w:p w14:paraId="789762AA">
      <w:pPr>
        <w:spacing w:line="360" w:lineRule="auto"/>
        <w:ind w:firstLine="420"/>
        <w:rPr>
          <w:rFonts w:ascii="宋体" w:hAnsi="宋体" w:cs="宋体"/>
          <w:i/>
          <w:iCs/>
          <w:szCs w:val="21"/>
          <w:u w:val="single"/>
        </w:rPr>
      </w:pPr>
      <w:r>
        <w:rPr>
          <w:rFonts w:hint="eastAsia" w:ascii="宋体" w:hAnsi="宋体" w:cs="宋体"/>
          <w:i/>
          <w:iCs/>
          <w:szCs w:val="21"/>
          <w:u w:val="single"/>
        </w:rPr>
        <w:t>1.3</w:t>
      </w:r>
      <w:bookmarkStart w:id="11" w:name="_Hlk192854529"/>
      <w:r>
        <w:rPr>
          <w:rFonts w:hint="eastAsia" w:ascii="宋体" w:hAnsi="宋体" w:cs="宋体"/>
          <w:i/>
          <w:iCs/>
          <w:szCs w:val="21"/>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bookmarkEnd w:id="11"/>
      <w:r>
        <w:rPr>
          <w:rFonts w:hint="eastAsia" w:ascii="宋体" w:hAnsi="宋体" w:cs="宋体"/>
          <w:i/>
          <w:iCs/>
          <w:szCs w:val="21"/>
          <w:u w:val="single"/>
        </w:rPr>
        <w:t>；</w:t>
      </w:r>
    </w:p>
    <w:p w14:paraId="5DAF01F7">
      <w:pPr>
        <w:spacing w:line="360" w:lineRule="auto"/>
        <w:ind w:firstLine="420"/>
        <w:rPr>
          <w:rFonts w:ascii="宋体" w:hAnsi="宋体" w:cs="宋体"/>
          <w:i/>
          <w:iCs/>
          <w:szCs w:val="21"/>
          <w:u w:val="single"/>
        </w:rPr>
      </w:pPr>
      <w:r>
        <w:rPr>
          <w:rFonts w:hint="eastAsia" w:ascii="宋体" w:hAnsi="宋体" w:cs="宋体"/>
          <w:i/>
          <w:iCs/>
          <w:szCs w:val="21"/>
          <w:u w:val="single"/>
        </w:rPr>
        <w:t>1.4</w:t>
      </w:r>
      <w:bookmarkStart w:id="12" w:name="_Hlk192854540"/>
      <w:r>
        <w:rPr>
          <w:rFonts w:hint="eastAsia" w:ascii="宋体" w:hAnsi="宋体" w:cs="宋体"/>
          <w:i/>
          <w:iCs/>
          <w:szCs w:val="21"/>
          <w:u w:val="single"/>
        </w:rPr>
        <w:t>具备履行合同所必需的设备和专业技术能力的书面声明</w:t>
      </w:r>
      <w:bookmarkEnd w:id="12"/>
      <w:r>
        <w:rPr>
          <w:rFonts w:hint="eastAsia" w:ascii="宋体" w:hAnsi="宋体" w:cs="宋体"/>
          <w:i/>
          <w:iCs/>
          <w:szCs w:val="21"/>
          <w:u w:val="single"/>
        </w:rPr>
        <w:t>；</w:t>
      </w:r>
    </w:p>
    <w:p w14:paraId="356A7902">
      <w:pPr>
        <w:spacing w:line="360" w:lineRule="auto"/>
        <w:ind w:firstLine="420"/>
        <w:rPr>
          <w:rFonts w:ascii="宋体" w:hAnsi="宋体" w:cs="宋体"/>
          <w:i/>
          <w:iCs/>
          <w:szCs w:val="21"/>
          <w:u w:val="single"/>
        </w:rPr>
      </w:pPr>
      <w:r>
        <w:rPr>
          <w:rFonts w:hint="eastAsia" w:ascii="宋体" w:hAnsi="宋体" w:cs="宋体"/>
          <w:i/>
          <w:iCs/>
          <w:szCs w:val="21"/>
          <w:u w:val="single"/>
        </w:rPr>
        <w:t>1.5</w:t>
      </w:r>
      <w:bookmarkStart w:id="13" w:name="_Hlk192854549"/>
      <w:r>
        <w:rPr>
          <w:rFonts w:hint="eastAsia" w:ascii="宋体" w:hAnsi="宋体" w:cs="宋体"/>
          <w:i/>
          <w:iCs/>
          <w:szCs w:val="21"/>
          <w:u w:val="single"/>
        </w:rPr>
        <w:t>参加政府采购活动前3年内在经营活动中没有重大违法记录的书面声明</w:t>
      </w:r>
      <w:bookmarkEnd w:id="13"/>
      <w:r>
        <w:rPr>
          <w:rFonts w:hint="eastAsia" w:ascii="宋体" w:hAnsi="宋体" w:cs="宋体"/>
          <w:i/>
          <w:iCs/>
          <w:szCs w:val="21"/>
          <w:u w:val="single"/>
        </w:rPr>
        <w:t>；</w:t>
      </w:r>
    </w:p>
    <w:p w14:paraId="0706B6E3">
      <w:pPr>
        <w:spacing w:line="360" w:lineRule="auto"/>
        <w:ind w:firstLine="420"/>
        <w:rPr>
          <w:rFonts w:ascii="宋体" w:hAnsi="宋体" w:cs="宋体"/>
          <w:i/>
          <w:iCs/>
          <w:szCs w:val="21"/>
          <w:u w:val="single"/>
        </w:rPr>
      </w:pPr>
      <w:r>
        <w:rPr>
          <w:rFonts w:hint="eastAsia" w:ascii="宋体" w:hAnsi="宋体" w:cs="宋体"/>
          <w:i/>
          <w:iCs/>
          <w:szCs w:val="21"/>
          <w:u w:val="single"/>
        </w:rPr>
        <w:t>1.6</w:t>
      </w:r>
      <w:bookmarkStart w:id="14" w:name="_Hlk192854560"/>
      <w:r>
        <w:rPr>
          <w:rFonts w:hint="eastAsia" w:ascii="宋体" w:hAnsi="宋体" w:cs="宋体"/>
          <w:i/>
          <w:iCs/>
          <w:szCs w:val="21"/>
          <w:u w:val="single"/>
        </w:rPr>
        <w:t>供应商信用承诺函</w:t>
      </w:r>
      <w:bookmarkEnd w:id="14"/>
      <w:r>
        <w:rPr>
          <w:rFonts w:hint="eastAsia" w:ascii="宋体" w:hAnsi="宋体" w:cs="宋体"/>
          <w:i/>
          <w:iCs/>
          <w:szCs w:val="21"/>
          <w:u w:val="single"/>
        </w:rPr>
        <w:t>；</w:t>
      </w:r>
    </w:p>
    <w:p w14:paraId="0E575BD8">
      <w:pPr>
        <w:spacing w:line="360" w:lineRule="auto"/>
        <w:ind w:firstLine="420"/>
        <w:rPr>
          <w:rFonts w:ascii="宋体" w:hAnsi="宋体" w:cs="宋体"/>
          <w:szCs w:val="21"/>
        </w:rPr>
      </w:pPr>
      <w:r>
        <w:rPr>
          <w:rFonts w:hint="eastAsia" w:ascii="宋体" w:hAnsi="宋体" w:cs="宋体"/>
          <w:i/>
          <w:iCs/>
          <w:szCs w:val="21"/>
          <w:u w:val="single"/>
        </w:rPr>
        <w:t>1.7未被“信用中国”网站(mwmw.creditchina.gov.cn)、“中国政府采购网"(ww.ccgp.gov.cn)列入失信被执行人、重大税收违法案件当事人名单、政府采购严重违法失信行为记录名单及其他不符合《中华人民共和国政府采购法》第二十二条规定条件的信用记录</w:t>
      </w:r>
      <w:r>
        <w:rPr>
          <w:rFonts w:hint="eastAsia" w:asciiTheme="minorEastAsia" w:hAnsiTheme="minorEastAsia" w:eastAsiaTheme="minorEastAsia" w:cstheme="minorEastAsia"/>
          <w:i/>
          <w:iCs/>
          <w:szCs w:val="21"/>
          <w:u w:val="single"/>
        </w:rPr>
        <w:t>。</w:t>
      </w:r>
    </w:p>
    <w:p w14:paraId="0E86A961">
      <w:pPr>
        <w:spacing w:line="360" w:lineRule="auto"/>
        <w:ind w:firstLine="420"/>
        <w:rPr>
          <w:rFonts w:ascii="宋体" w:hAnsi="宋体" w:cs="宋体"/>
          <w:szCs w:val="21"/>
          <w:highlight w:val="none"/>
        </w:rPr>
      </w:pPr>
      <w:r>
        <w:rPr>
          <w:rFonts w:hint="eastAsia" w:ascii="宋体" w:hAnsi="宋体" w:cs="宋体"/>
          <w:szCs w:val="21"/>
        </w:rPr>
        <w:t>2.落实政府采购政策需满足的资格要求：</w:t>
      </w:r>
      <w:r>
        <w:rPr>
          <w:rFonts w:hint="eastAsia" w:ascii="宋体" w:hAnsi="宋体" w:cs="宋体"/>
          <w:i/>
          <w:szCs w:val="21"/>
          <w:u w:val="single"/>
        </w:rPr>
        <w:t>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cs="宋体"/>
          <w:szCs w:val="21"/>
        </w:rPr>
        <w:t>。</w:t>
      </w:r>
    </w:p>
    <w:p w14:paraId="77B4E1B4">
      <w:pPr>
        <w:spacing w:line="360" w:lineRule="auto"/>
        <w:ind w:firstLine="419"/>
        <w:rPr>
          <w:rFonts w:ascii="宋体" w:hAnsi="宋体" w:cs="宋体"/>
          <w:i/>
          <w:iCs/>
          <w:szCs w:val="21"/>
          <w:highlight w:val="none"/>
          <w:u w:val="single"/>
        </w:rPr>
      </w:pPr>
      <w:r>
        <w:rPr>
          <w:rFonts w:hint="eastAsia" w:ascii="宋体" w:hAnsi="宋体" w:cs="宋体"/>
          <w:szCs w:val="21"/>
          <w:highlight w:val="none"/>
        </w:rPr>
        <w:t>3.本项目的特定资格要求：</w:t>
      </w:r>
      <w:r>
        <w:rPr>
          <w:rFonts w:hint="eastAsia" w:ascii="宋体" w:hAnsi="宋体" w:cs="宋体"/>
          <w:i/>
          <w:iCs/>
          <w:szCs w:val="21"/>
          <w:highlight w:val="none"/>
          <w:u w:val="single"/>
        </w:rPr>
        <w:t>投标人具备公安主管部门颁发的有效的保安服务许可证（原件扫描上传）</w:t>
      </w:r>
    </w:p>
    <w:bookmarkEnd w:id="9"/>
    <w:p w14:paraId="03AC3981">
      <w:pPr>
        <w:pStyle w:val="245"/>
        <w:spacing w:before="0" w:after="0" w:line="360" w:lineRule="auto"/>
        <w:rPr>
          <w:rFonts w:ascii="宋体" w:hAnsi="宋体" w:cs="宋体"/>
          <w:bCs w:val="0"/>
          <w:sz w:val="21"/>
          <w:szCs w:val="21"/>
        </w:rPr>
      </w:pPr>
      <w:bookmarkStart w:id="15" w:name="_Toc109304965"/>
      <w:bookmarkStart w:id="16" w:name="_Toc6264"/>
      <w:r>
        <w:rPr>
          <w:rFonts w:hint="eastAsia" w:ascii="宋体" w:hAnsi="宋体" w:cs="宋体"/>
          <w:bCs w:val="0"/>
          <w:sz w:val="21"/>
          <w:szCs w:val="21"/>
        </w:rPr>
        <w:t>三、获取采购文件</w:t>
      </w:r>
      <w:bookmarkEnd w:id="15"/>
      <w:bookmarkEnd w:id="16"/>
    </w:p>
    <w:p w14:paraId="7BCA32F7">
      <w:pPr>
        <w:spacing w:line="360" w:lineRule="auto"/>
        <w:ind w:firstLine="420"/>
        <w:rPr>
          <w:rFonts w:ascii="宋体" w:hAnsi="宋体" w:cs="宋体"/>
        </w:rPr>
      </w:pPr>
      <w:r>
        <w:rPr>
          <w:rFonts w:hint="eastAsia" w:ascii="宋体" w:hAnsi="宋体" w:cs="宋体"/>
          <w:szCs w:val="21"/>
        </w:rPr>
        <w:t>1.时间：</w:t>
      </w:r>
      <w:r>
        <w:rPr>
          <w:rFonts w:hint="eastAsia" w:ascii="宋体" w:hAnsi="宋体" w:cs="宋体"/>
        </w:rPr>
        <w:t>自磋商公告发布之日起5个工作日。5个工作日后仍可下载采购文件，但不作为供应商权益受到损害的证明材料和依据。</w:t>
      </w:r>
    </w:p>
    <w:p w14:paraId="5A6FD979">
      <w:pPr>
        <w:spacing w:line="360" w:lineRule="auto"/>
        <w:ind w:firstLine="422"/>
        <w:rPr>
          <w:rFonts w:ascii="宋体" w:hAnsi="宋体"/>
          <w:b/>
          <w:bCs/>
          <w:sz w:val="24"/>
          <w:szCs w:val="24"/>
        </w:rPr>
      </w:pPr>
      <w:bookmarkStart w:id="17" w:name="_Toc109304966"/>
      <w:bookmarkStart w:id="18" w:name="_Toc8529"/>
      <w:r>
        <w:rPr>
          <w:rFonts w:hint="eastAsia" w:ascii="宋体" w:hAnsi="宋体" w:cs="宋体"/>
          <w:b/>
          <w:bCs/>
        </w:rPr>
        <w:t>2.获取方式：</w:t>
      </w:r>
      <w:r>
        <w:rPr>
          <w:rFonts w:hint="eastAsia" w:ascii="宋体" w:hAnsi="宋体"/>
          <w:b/>
          <w:bCs/>
          <w:szCs w:val="21"/>
        </w:rPr>
        <w:t>本项目采用网上注册登记方式。</w:t>
      </w:r>
    </w:p>
    <w:p w14:paraId="709D00AE">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3.潜在供应商访问政府采购管理交易系统（苏采云）的网络地址和方法：</w:t>
      </w:r>
    </w:p>
    <w:p w14:paraId="176DA34C">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DDE8681">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（2）“CA数字证书”的获取：供应商需办理CA锁，“苏采云”系统目前仅支持“苏采云”系统下的政务CA，省内各地区办理的“苏采云”系统下的政务CA全省通用。</w:t>
      </w:r>
    </w:p>
    <w:p w14:paraId="3994D603">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（3）“CA数字证书”的办理材料以及供应商操作手册详见：</w:t>
      </w:r>
    </w:p>
    <w:p w14:paraId="40A17646">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http://zfcg.yangzhou.gov.cn/zfcg/xzzx/202309/4d7de1f7865f4a2894fc22bc452f94d8.shtml。</w:t>
      </w:r>
    </w:p>
    <w:p w14:paraId="5B2A01B9">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（4）潜在供应商访问“苏采云”系统的网络地址和方法：“苏采云”系统的网址：http://jszfcg.jsczt.cn/。</w:t>
      </w:r>
    </w:p>
    <w:p w14:paraId="7F66A5A9">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（5）采购文件（后缀名为“.kedt”）、供应商操作手册及政府采购客户端工具也可通过“苏采云”系统--已报名项目--报名详情页面内相应链接进行下载。</w:t>
      </w:r>
    </w:p>
    <w:p w14:paraId="59F79889">
      <w:pPr>
        <w:spacing w:line="360" w:lineRule="auto"/>
        <w:ind w:firstLine="422"/>
        <w:rPr>
          <w:rFonts w:ascii="宋体" w:hAnsi="宋体" w:cs="宋体"/>
          <w:b/>
          <w:szCs w:val="21"/>
          <w:shd w:val="clear" w:color="auto" w:fill="FFFFFF"/>
        </w:rPr>
      </w:pPr>
      <w:r>
        <w:rPr>
          <w:rFonts w:hint="eastAsia" w:ascii="宋体" w:hAnsi="宋体" w:cs="宋体"/>
          <w:b/>
          <w:szCs w:val="21"/>
          <w:shd w:val="clear" w:color="auto" w:fill="FFFFFF"/>
        </w:rPr>
        <w:t>（6）招标代理机构（采购代理机构）将数据电文形式的采购文件加载至“苏采云”系统，供潜在供应商下载或者查阅。     </w:t>
      </w:r>
    </w:p>
    <w:p w14:paraId="2C8AE504">
      <w:pPr>
        <w:spacing w:line="360" w:lineRule="auto"/>
        <w:ind w:firstLine="422"/>
        <w:rPr>
          <w:rFonts w:ascii="宋体" w:hAnsi="宋体" w:cs="宋体"/>
          <w:szCs w:val="21"/>
          <w:u w:val="single"/>
        </w:rPr>
      </w:pPr>
      <w:r>
        <w:rPr>
          <w:rFonts w:hint="eastAsia" w:ascii="宋体" w:hAnsi="宋体" w:cs="宋体"/>
          <w:b/>
          <w:szCs w:val="21"/>
          <w:shd w:val="clear" w:color="auto" w:fill="FFFFFF"/>
        </w:rPr>
        <w:t>（7）苏采云系统使用谷歌浏览器参与不见面开标。</w:t>
      </w:r>
    </w:p>
    <w:p w14:paraId="708576AE">
      <w:pPr>
        <w:pStyle w:val="245"/>
        <w:spacing w:before="0" w:after="0" w:line="360" w:lineRule="auto"/>
        <w:rPr>
          <w:rFonts w:ascii="宋体" w:hAnsi="宋体" w:cs="宋体"/>
          <w:bCs w:val="0"/>
          <w:sz w:val="21"/>
          <w:szCs w:val="21"/>
          <w:highlight w:val="none"/>
        </w:rPr>
      </w:pPr>
      <w:r>
        <w:rPr>
          <w:rFonts w:hint="eastAsia" w:ascii="宋体" w:hAnsi="宋体" w:cs="宋体"/>
          <w:bCs w:val="0"/>
          <w:sz w:val="21"/>
          <w:szCs w:val="21"/>
        </w:rPr>
        <w:t>四、响应文件提</w:t>
      </w:r>
      <w:r>
        <w:rPr>
          <w:rFonts w:hint="eastAsia" w:ascii="宋体" w:hAnsi="宋体" w:cs="宋体"/>
          <w:bCs w:val="0"/>
          <w:sz w:val="21"/>
          <w:szCs w:val="21"/>
          <w:highlight w:val="none"/>
        </w:rPr>
        <w:t>交</w:t>
      </w:r>
      <w:bookmarkEnd w:id="17"/>
      <w:bookmarkEnd w:id="18"/>
    </w:p>
    <w:p w14:paraId="7725DBB1">
      <w:pPr>
        <w:spacing w:line="360" w:lineRule="auto"/>
        <w:ind w:firstLine="420"/>
        <w:rPr>
          <w:rFonts w:ascii="宋体" w:hAnsi="宋体" w:cs="宋体"/>
          <w:bCs/>
          <w:szCs w:val="21"/>
          <w:highlight w:val="none"/>
          <w:u w:val="single"/>
        </w:rPr>
      </w:pPr>
      <w:r>
        <w:rPr>
          <w:rFonts w:hint="eastAsia" w:ascii="宋体" w:hAnsi="宋体" w:cs="宋体"/>
          <w:szCs w:val="21"/>
          <w:highlight w:val="none"/>
        </w:rPr>
        <w:t>1.截止时间：</w:t>
      </w:r>
      <w:r>
        <w:rPr>
          <w:rFonts w:hint="eastAsia" w:ascii="宋体" w:hAnsi="宋体" w:cs="宋体"/>
          <w:bCs/>
          <w:szCs w:val="21"/>
          <w:highlight w:val="none"/>
          <w:u w:val="single"/>
        </w:rPr>
        <w:t>2026年</w:t>
      </w:r>
      <w:r>
        <w:rPr>
          <w:rFonts w:hint="eastAsia" w:ascii="宋体" w:hAnsi="宋体" w:cs="宋体"/>
          <w:bCs/>
          <w:szCs w:val="21"/>
          <w:highlight w:val="none"/>
          <w:u w:val="single"/>
          <w:lang w:val="en-US" w:eastAsia="zh-CN"/>
        </w:rPr>
        <w:t>11</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05</w:t>
      </w:r>
      <w:r>
        <w:rPr>
          <w:rFonts w:hint="eastAsia" w:ascii="宋体" w:hAnsi="宋体" w:cs="宋体"/>
          <w:bCs/>
          <w:szCs w:val="21"/>
          <w:highlight w:val="none"/>
          <w:u w:val="single"/>
        </w:rPr>
        <w:t>日</w:t>
      </w:r>
      <w:r>
        <w:rPr>
          <w:rFonts w:hint="eastAsia" w:ascii="宋体" w:hAnsi="宋体" w:cs="宋体"/>
          <w:bCs/>
          <w:szCs w:val="21"/>
          <w:highlight w:val="none"/>
          <w:u w:val="single"/>
          <w:lang w:eastAsia="zh-CN"/>
        </w:rPr>
        <w:t>下午</w:t>
      </w:r>
      <w:r>
        <w:rPr>
          <w:rFonts w:hint="eastAsia" w:ascii="宋体" w:hAnsi="宋体" w:cs="宋体"/>
          <w:bCs/>
          <w:szCs w:val="21"/>
          <w:highlight w:val="none"/>
          <w:u w:val="single"/>
          <w:lang w:val="en-US" w:eastAsia="zh-CN"/>
        </w:rPr>
        <w:t>14</w:t>
      </w:r>
      <w:r>
        <w:rPr>
          <w:rFonts w:hint="eastAsia" w:ascii="宋体" w:hAnsi="宋体" w:cs="宋体"/>
          <w:bCs/>
          <w:szCs w:val="21"/>
          <w:highlight w:val="none"/>
          <w:u w:val="single"/>
        </w:rPr>
        <w:t>点</w:t>
      </w:r>
      <w:r>
        <w:rPr>
          <w:rFonts w:hint="eastAsia" w:ascii="宋体" w:hAnsi="宋体" w:cs="宋体"/>
          <w:bCs/>
          <w:szCs w:val="21"/>
          <w:highlight w:val="none"/>
          <w:u w:val="single"/>
          <w:lang w:val="en-US" w:eastAsia="zh-CN"/>
        </w:rPr>
        <w:t>30</w:t>
      </w:r>
      <w:r>
        <w:rPr>
          <w:rFonts w:hint="eastAsia" w:ascii="宋体" w:hAnsi="宋体" w:cs="宋体"/>
          <w:bCs/>
          <w:szCs w:val="21"/>
          <w:highlight w:val="none"/>
          <w:u w:val="single"/>
        </w:rPr>
        <w:t>分</w:t>
      </w:r>
      <w:r>
        <w:rPr>
          <w:rFonts w:hint="eastAsia" w:ascii="宋体" w:hAnsi="宋体" w:cs="宋体"/>
          <w:bCs/>
          <w:szCs w:val="21"/>
          <w:highlight w:val="none"/>
        </w:rPr>
        <w:t>（北京时间）</w:t>
      </w:r>
    </w:p>
    <w:p w14:paraId="63B3572F">
      <w:pPr>
        <w:spacing w:line="360" w:lineRule="auto"/>
        <w:ind w:firstLine="422"/>
        <w:rPr>
          <w:rFonts w:ascii="宋体" w:hAnsi="宋体" w:cs="宋体"/>
          <w:b/>
          <w:bCs/>
          <w:szCs w:val="21"/>
          <w:highlight w:val="none"/>
          <w:u w:val="single"/>
        </w:rPr>
      </w:pPr>
      <w:r>
        <w:rPr>
          <w:rFonts w:hint="eastAsia" w:ascii="宋体" w:hAnsi="宋体" w:cs="宋体"/>
          <w:b/>
          <w:bCs/>
          <w:szCs w:val="21"/>
          <w:highlight w:val="none"/>
        </w:rPr>
        <w:t>2.响应地点：“苏采云”系统（网址： http://jszfcg.jsczt.cn/）</w:t>
      </w:r>
      <w:r>
        <w:rPr>
          <w:rFonts w:hint="eastAsia" w:ascii="宋体" w:hAnsi="宋体" w:cs="宋体"/>
          <w:b/>
          <w:szCs w:val="21"/>
          <w:highlight w:val="none"/>
        </w:rPr>
        <w:t>“开标大厅”</w:t>
      </w:r>
    </w:p>
    <w:p w14:paraId="330DFE1F">
      <w:pPr>
        <w:pStyle w:val="245"/>
        <w:spacing w:before="0" w:after="0" w:line="360" w:lineRule="auto"/>
        <w:rPr>
          <w:rFonts w:ascii="宋体" w:hAnsi="宋体" w:cs="宋体"/>
          <w:bCs w:val="0"/>
          <w:sz w:val="21"/>
          <w:szCs w:val="21"/>
          <w:highlight w:val="none"/>
        </w:rPr>
      </w:pPr>
      <w:bookmarkStart w:id="19" w:name="_Toc109304967"/>
      <w:bookmarkStart w:id="20" w:name="_Toc12476"/>
      <w:r>
        <w:rPr>
          <w:rFonts w:hint="eastAsia" w:ascii="宋体" w:hAnsi="宋体" w:cs="宋体"/>
          <w:bCs w:val="0"/>
          <w:sz w:val="21"/>
          <w:szCs w:val="21"/>
          <w:highlight w:val="none"/>
        </w:rPr>
        <w:t>五、开启</w:t>
      </w:r>
      <w:bookmarkEnd w:id="19"/>
      <w:bookmarkEnd w:id="20"/>
    </w:p>
    <w:p w14:paraId="562930AB">
      <w:pPr>
        <w:spacing w:line="360" w:lineRule="auto"/>
        <w:ind w:firstLine="420"/>
        <w:rPr>
          <w:rFonts w:ascii="宋体" w:hAnsi="宋体" w:cs="宋体"/>
          <w:bCs/>
          <w:szCs w:val="21"/>
        </w:rPr>
      </w:pPr>
      <w:r>
        <w:rPr>
          <w:rFonts w:hint="eastAsia" w:ascii="宋体" w:hAnsi="宋体" w:cs="宋体"/>
          <w:szCs w:val="21"/>
          <w:highlight w:val="none"/>
        </w:rPr>
        <w:t>1.时间：</w:t>
      </w:r>
      <w:r>
        <w:rPr>
          <w:rFonts w:hint="eastAsia" w:ascii="宋体" w:hAnsi="宋体" w:cs="宋体"/>
          <w:bCs/>
          <w:szCs w:val="21"/>
          <w:highlight w:val="none"/>
          <w:u w:val="single"/>
        </w:rPr>
        <w:t>2026年</w:t>
      </w:r>
      <w:r>
        <w:rPr>
          <w:rFonts w:hint="eastAsia" w:ascii="宋体" w:hAnsi="宋体" w:cs="宋体"/>
          <w:bCs/>
          <w:szCs w:val="21"/>
          <w:highlight w:val="none"/>
          <w:u w:val="single"/>
          <w:lang w:val="en-US" w:eastAsia="zh-CN"/>
        </w:rPr>
        <w:t>11</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05</w:t>
      </w:r>
      <w:r>
        <w:rPr>
          <w:rFonts w:hint="eastAsia" w:ascii="宋体" w:hAnsi="宋体" w:cs="宋体"/>
          <w:bCs/>
          <w:szCs w:val="21"/>
          <w:highlight w:val="none"/>
          <w:u w:val="single"/>
        </w:rPr>
        <w:t>日</w:t>
      </w:r>
      <w:r>
        <w:rPr>
          <w:rFonts w:hint="eastAsia" w:ascii="宋体" w:hAnsi="宋体" w:cs="宋体"/>
          <w:bCs/>
          <w:szCs w:val="21"/>
          <w:highlight w:val="none"/>
          <w:u w:val="single"/>
          <w:lang w:eastAsia="zh-CN"/>
        </w:rPr>
        <w:t>下午</w:t>
      </w:r>
      <w:r>
        <w:rPr>
          <w:rFonts w:hint="eastAsia" w:ascii="宋体" w:hAnsi="宋体" w:cs="宋体"/>
          <w:bCs/>
          <w:szCs w:val="21"/>
          <w:highlight w:val="none"/>
          <w:u w:val="single"/>
          <w:lang w:val="en-US" w:eastAsia="zh-CN"/>
        </w:rPr>
        <w:t>14</w:t>
      </w:r>
      <w:r>
        <w:rPr>
          <w:rFonts w:hint="eastAsia" w:ascii="宋体" w:hAnsi="宋体" w:cs="宋体"/>
          <w:bCs/>
          <w:szCs w:val="21"/>
          <w:highlight w:val="none"/>
          <w:u w:val="single"/>
        </w:rPr>
        <w:t>点</w:t>
      </w:r>
      <w:r>
        <w:rPr>
          <w:rFonts w:hint="eastAsia" w:ascii="宋体" w:hAnsi="宋体" w:cs="宋体"/>
          <w:bCs/>
          <w:szCs w:val="21"/>
          <w:highlight w:val="none"/>
          <w:u w:val="single"/>
          <w:lang w:val="en-US" w:eastAsia="zh-CN"/>
        </w:rPr>
        <w:t>30</w:t>
      </w:r>
      <w:r>
        <w:rPr>
          <w:rFonts w:hint="eastAsia" w:ascii="宋体" w:hAnsi="宋体" w:cs="宋体"/>
          <w:bCs/>
          <w:szCs w:val="21"/>
          <w:highlight w:val="none"/>
          <w:u w:val="single"/>
        </w:rPr>
        <w:t>分</w:t>
      </w:r>
      <w:r>
        <w:rPr>
          <w:rFonts w:hint="eastAsia" w:ascii="宋体" w:hAnsi="宋体" w:cs="宋体"/>
          <w:bCs/>
          <w:szCs w:val="21"/>
          <w:highlight w:val="none"/>
        </w:rPr>
        <w:t>（北京时间）</w:t>
      </w:r>
    </w:p>
    <w:p w14:paraId="0F70E598">
      <w:pPr>
        <w:spacing w:line="360" w:lineRule="auto"/>
        <w:ind w:firstLine="422"/>
        <w:rPr>
          <w:rFonts w:ascii="宋体" w:hAnsi="宋体" w:cs="宋体"/>
          <w:b/>
          <w:szCs w:val="21"/>
        </w:rPr>
      </w:pPr>
      <w:r>
        <w:rPr>
          <w:rFonts w:hint="eastAsia" w:ascii="宋体" w:hAnsi="宋体" w:cs="宋体"/>
          <w:b/>
          <w:szCs w:val="21"/>
        </w:rPr>
        <w:t>2.开启地点：“苏采云”系统（网址： http://jszfcg.jsczt.cn/）“开标大厅”</w:t>
      </w:r>
    </w:p>
    <w:p w14:paraId="299CCEC0">
      <w:pPr>
        <w:pStyle w:val="245"/>
        <w:spacing w:before="0" w:after="0" w:line="360" w:lineRule="auto"/>
        <w:rPr>
          <w:rFonts w:ascii="宋体" w:hAnsi="宋体" w:cs="宋体"/>
          <w:bCs w:val="0"/>
          <w:sz w:val="21"/>
          <w:szCs w:val="21"/>
        </w:rPr>
      </w:pPr>
      <w:bookmarkStart w:id="21" w:name="_Toc22404"/>
      <w:bookmarkStart w:id="22" w:name="_Toc109304968"/>
      <w:r>
        <w:rPr>
          <w:rFonts w:hint="eastAsia" w:ascii="宋体" w:hAnsi="宋体" w:cs="宋体"/>
          <w:bCs w:val="0"/>
          <w:sz w:val="21"/>
          <w:szCs w:val="21"/>
        </w:rPr>
        <w:t>六、公告期限</w:t>
      </w:r>
      <w:bookmarkEnd w:id="21"/>
      <w:bookmarkEnd w:id="22"/>
    </w:p>
    <w:p w14:paraId="29402C96">
      <w:pPr>
        <w:spacing w:line="360" w:lineRule="auto"/>
        <w:ind w:firstLine="422"/>
        <w:rPr>
          <w:rFonts w:ascii="宋体" w:hAnsi="宋体" w:cs="宋体"/>
          <w:b/>
          <w:bCs/>
          <w:szCs w:val="21"/>
        </w:rPr>
      </w:pPr>
      <w:r>
        <w:rPr>
          <w:rFonts w:hint="eastAsia" w:ascii="宋体" w:hAnsi="宋体" w:cs="宋体"/>
          <w:b/>
          <w:bCs/>
          <w:szCs w:val="21"/>
        </w:rPr>
        <w:t>自本公告发布之日起3个工作日。</w:t>
      </w:r>
    </w:p>
    <w:p w14:paraId="60D11827">
      <w:pPr>
        <w:pStyle w:val="245"/>
        <w:spacing w:before="0" w:after="0" w:line="360" w:lineRule="auto"/>
        <w:rPr>
          <w:rFonts w:ascii="宋体" w:hAnsi="宋体" w:cs="宋体"/>
          <w:sz w:val="21"/>
          <w:szCs w:val="21"/>
        </w:rPr>
      </w:pPr>
      <w:bookmarkStart w:id="23" w:name="_Toc109304969"/>
      <w:bookmarkStart w:id="24" w:name="_Toc11076"/>
      <w:r>
        <w:rPr>
          <w:rFonts w:hint="eastAsia" w:ascii="宋体" w:hAnsi="宋体" w:cs="宋体"/>
          <w:sz w:val="21"/>
          <w:szCs w:val="21"/>
        </w:rPr>
        <w:t>七、其他补充事宜</w:t>
      </w:r>
      <w:bookmarkEnd w:id="23"/>
      <w:bookmarkEnd w:id="24"/>
    </w:p>
    <w:p w14:paraId="642AB9F3">
      <w:pPr>
        <w:spacing w:line="360" w:lineRule="auto"/>
        <w:ind w:firstLine="422"/>
        <w:rPr>
          <w:rFonts w:ascii="宋体" w:hAnsi="宋体"/>
          <w:b/>
          <w:bCs/>
        </w:rPr>
      </w:pPr>
      <w:bookmarkStart w:id="25" w:name="_Toc109304970"/>
      <w:bookmarkStart w:id="26" w:name="_Toc16941"/>
      <w:r>
        <w:rPr>
          <w:rFonts w:hint="eastAsia" w:ascii="宋体" w:hAnsi="宋体"/>
          <w:b/>
          <w:bCs/>
        </w:rPr>
        <w:t>1.本次采购采用“政府采购管理交易系统（苏采云）”，招标、投标、评标和成交结果发布全程电子化，开标方式为不见面开标。</w:t>
      </w:r>
      <w:r>
        <w:rPr>
          <w:rFonts w:hint="eastAsia" w:ascii="宋体" w:hAnsi="宋体" w:cs="宋体"/>
          <w:b/>
          <w:bCs/>
        </w:rPr>
        <w:t>供应商</w:t>
      </w:r>
      <w:r>
        <w:rPr>
          <w:rFonts w:hint="eastAsia" w:ascii="宋体" w:hAnsi="宋体"/>
          <w:b/>
          <w:bCs/>
        </w:rPr>
        <w:t>应当按照《“苏采云”系统供应商操作手册》参加投标活动。如</w:t>
      </w:r>
      <w:r>
        <w:rPr>
          <w:rFonts w:hint="eastAsia" w:ascii="宋体" w:hAnsi="宋体" w:cs="宋体"/>
          <w:b/>
          <w:bCs/>
        </w:rPr>
        <w:t>供应商</w:t>
      </w:r>
      <w:r>
        <w:rPr>
          <w:rFonts w:hint="eastAsia" w:ascii="宋体" w:hAnsi="宋体"/>
          <w:b/>
          <w:bCs/>
        </w:rPr>
        <w:t>未按要求操作，由此所产生的风险由</w:t>
      </w:r>
      <w:r>
        <w:rPr>
          <w:rFonts w:hint="eastAsia" w:ascii="宋体" w:hAnsi="宋体" w:cs="宋体"/>
          <w:b/>
          <w:bCs/>
        </w:rPr>
        <w:t>供应商</w:t>
      </w:r>
      <w:r>
        <w:rPr>
          <w:rFonts w:hint="eastAsia" w:ascii="宋体" w:hAnsi="宋体"/>
          <w:b/>
          <w:bCs/>
        </w:rPr>
        <w:t>自行承担。</w:t>
      </w:r>
    </w:p>
    <w:p w14:paraId="6ABD7F3A">
      <w:pPr>
        <w:spacing w:line="360" w:lineRule="auto"/>
        <w:ind w:firstLine="422"/>
        <w:rPr>
          <w:rFonts w:ascii="宋体" w:hAnsi="宋体"/>
          <w:b/>
          <w:bCs/>
        </w:rPr>
      </w:pPr>
      <w:r>
        <w:rPr>
          <w:rFonts w:hint="eastAsia" w:ascii="宋体" w:hAnsi="宋体"/>
          <w:b/>
          <w:bCs/>
        </w:rPr>
        <w:t>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b/>
          <w:bCs/>
        </w:rPr>
        <w:t>。</w:t>
      </w:r>
    </w:p>
    <w:p w14:paraId="35240937">
      <w:pPr>
        <w:widowControl/>
        <w:spacing w:line="360" w:lineRule="auto"/>
        <w:ind w:firstLine="422"/>
        <w:jc w:val="left"/>
        <w:rPr>
          <w:rFonts w:ascii="宋体" w:hAnsi="宋体" w:cs="宋体"/>
          <w:b/>
        </w:rPr>
      </w:pPr>
      <w:r>
        <w:rPr>
          <w:rFonts w:hint="eastAsia" w:ascii="宋体" w:hAnsi="宋体" w:cs="宋体"/>
          <w:b/>
        </w:rPr>
        <w:t>3</w:t>
      </w:r>
      <w:r>
        <w:rPr>
          <w:rFonts w:ascii="宋体" w:hAnsi="宋体" w:cs="宋体"/>
          <w:b/>
        </w:rPr>
        <w:t>.</w:t>
      </w:r>
      <w:r>
        <w:rPr>
          <w:rFonts w:hint="eastAsia" w:ascii="宋体" w:hAnsi="宋体" w:cs="宋体"/>
          <w:b/>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3BCF038F">
      <w:pPr>
        <w:widowControl/>
        <w:spacing w:line="360" w:lineRule="auto"/>
        <w:ind w:firstLine="422"/>
        <w:jc w:val="left"/>
        <w:rPr>
          <w:rFonts w:ascii="宋体" w:hAnsi="宋体" w:cs="宋体"/>
          <w:b/>
        </w:rPr>
      </w:pPr>
      <w:r>
        <w:rPr>
          <w:rFonts w:ascii="宋体" w:hAnsi="宋体" w:cs="宋体"/>
          <w:b/>
        </w:rPr>
        <w:t>4</w:t>
      </w:r>
      <w:r>
        <w:rPr>
          <w:rFonts w:hint="eastAsia" w:ascii="宋体" w:hAnsi="宋体" w:cs="宋体"/>
          <w:b/>
        </w:rPr>
        <w:t>.潜在供应商对采购文件项目需求部分的询问、质疑请向采购人提出，由采购人负责答复。</w:t>
      </w:r>
    </w:p>
    <w:p w14:paraId="0AC945D5">
      <w:pPr>
        <w:spacing w:line="360" w:lineRule="auto"/>
        <w:ind w:firstLine="420"/>
        <w:rPr>
          <w:rFonts w:ascii="宋体" w:hAnsi="宋体" w:cs="宋体"/>
          <w:bCs/>
          <w:szCs w:val="21"/>
        </w:rPr>
      </w:pPr>
      <w:r>
        <w:rPr>
          <w:rFonts w:hint="eastAsia" w:ascii="宋体" w:hAnsi="宋体" w:cs="宋体"/>
          <w:bCs/>
          <w:szCs w:val="21"/>
        </w:rPr>
        <w:t>5.</w:t>
      </w:r>
      <w:r>
        <w:rPr>
          <w:rFonts w:hint="eastAsia" w:ascii="宋体" w:hAnsi="宋体" w:cs="宋体"/>
          <w:bCs/>
          <w:szCs w:val="21"/>
          <w:lang w:val="zh-CN"/>
        </w:rPr>
        <w:t>根据江苏省财政厅《关于做好政府采购支持企业发展有关事项的通知》（苏财购【2020】52号）文件的要求，本项目无需缴纳磋商保证金</w:t>
      </w:r>
      <w:r>
        <w:rPr>
          <w:rFonts w:hint="eastAsia" w:ascii="宋体" w:hAnsi="宋体"/>
          <w:szCs w:val="21"/>
        </w:rPr>
        <w:t>。</w:t>
      </w:r>
    </w:p>
    <w:p w14:paraId="1A4F0932">
      <w:pPr>
        <w:spacing w:line="360" w:lineRule="auto"/>
        <w:ind w:firstLine="420"/>
        <w:rPr>
          <w:rFonts w:ascii="宋体" w:hAnsi="宋体" w:cs="宋体"/>
          <w:bCs/>
        </w:rPr>
      </w:pPr>
      <w:r>
        <w:rPr>
          <w:rFonts w:ascii="宋体" w:hAnsi="宋体"/>
          <w:szCs w:val="21"/>
        </w:rPr>
        <w:t>6</w:t>
      </w:r>
      <w:r>
        <w:rPr>
          <w:rFonts w:hint="eastAsia" w:ascii="宋体" w:hAnsi="宋体"/>
          <w:szCs w:val="21"/>
        </w:rPr>
        <w:t>.</w:t>
      </w:r>
      <w:r>
        <w:rPr>
          <w:rFonts w:hint="eastAsia" w:ascii="宋体" w:hAnsi="宋体" w:cs="宋体"/>
          <w:bCs/>
        </w:rPr>
        <w:t>有关本次采购的事项若存在变动或修改，敬请及时关注“扬州市广陵区政府采购网”、“扬州市政府采购网”、“江苏省政府采购网”“中国政府采购网”发布的信息。</w:t>
      </w:r>
    </w:p>
    <w:p w14:paraId="2505E3F5">
      <w:pPr>
        <w:spacing w:line="360" w:lineRule="auto"/>
        <w:ind w:firstLine="422"/>
        <w:rPr>
          <w:rFonts w:ascii="宋体" w:hAnsi="宋体" w:cs="宋体"/>
          <w:bCs/>
        </w:rPr>
      </w:pPr>
      <w:r>
        <w:rPr>
          <w:rFonts w:ascii="宋体" w:hAnsi="宋体" w:cs="宋体"/>
          <w:b/>
          <w:i/>
          <w:iCs/>
          <w:u w:val="single"/>
        </w:rPr>
        <w:t>7</w:t>
      </w:r>
      <w:r>
        <w:rPr>
          <w:rFonts w:hint="eastAsia" w:ascii="宋体" w:hAnsi="宋体" w:cs="宋体"/>
          <w:b/>
          <w:i/>
          <w:iCs/>
          <w:u w:val="single"/>
        </w:rPr>
        <w:t>.本项目磋商文件中所有斜体下划线部分为实质性条款，如不满足，则为无效响应。</w:t>
      </w:r>
    </w:p>
    <w:p w14:paraId="605AFA3C">
      <w:pPr>
        <w:spacing w:line="360" w:lineRule="auto"/>
        <w:ind w:firstLine="420"/>
        <w:rPr>
          <w:rFonts w:ascii="宋体" w:hAnsi="宋体" w:cs="宋体"/>
          <w:bCs/>
        </w:rPr>
      </w:pPr>
      <w:r>
        <w:rPr>
          <w:rFonts w:hint="eastAsia" w:ascii="宋体" w:hAnsi="宋体"/>
          <w:szCs w:val="21"/>
        </w:rPr>
        <w:t>8.</w:t>
      </w:r>
      <w:r>
        <w:rPr>
          <w:rFonts w:hint="eastAsia" w:ascii="宋体" w:hAnsi="宋体" w:cs="宋体"/>
          <w:bCs/>
        </w:rPr>
        <w:t>如在开标时间发生系统崩溃等不可预见的情况，造成开评标活动无法正常进行的，将延迟开评标，具体开评标时间另行通知。</w:t>
      </w:r>
    </w:p>
    <w:p w14:paraId="2EA4004F">
      <w:pPr>
        <w:spacing w:line="360" w:lineRule="auto"/>
        <w:ind w:firstLine="420"/>
        <w:jc w:val="left"/>
        <w:rPr>
          <w:rFonts w:ascii="宋体" w:hAnsi="宋体" w:cs="宋体"/>
          <w:b/>
          <w:szCs w:val="21"/>
        </w:rPr>
      </w:pPr>
      <w:r>
        <w:rPr>
          <w:rFonts w:hint="eastAsia" w:ascii="宋体" w:hAnsi="宋体" w:cs="宋体"/>
          <w:b/>
          <w:szCs w:val="21"/>
        </w:rPr>
        <w:t>9</w:t>
      </w:r>
      <w:r>
        <w:rPr>
          <w:rFonts w:hint="eastAsia" w:ascii="宋体" w:hAnsi="宋体"/>
          <w:szCs w:val="21"/>
        </w:rPr>
        <w:t>.</w:t>
      </w:r>
      <w:r>
        <w:rPr>
          <w:rFonts w:ascii="宋体" w:hAnsi="宋体" w:cs="宋体"/>
          <w:b/>
          <w:szCs w:val="21"/>
        </w:rPr>
        <w:t>落实好政府采购履约资金扶持政策。中标/成交供应商可凭政府采购合同办理融资贷款，详见江苏政府采购网“政采贷”专栏。”</w:t>
      </w:r>
      <w:r>
        <w:rPr>
          <w:rFonts w:ascii="宋体" w:hAnsi="宋体" w:cs="宋体"/>
          <w:b/>
          <w:szCs w:val="21"/>
        </w:rPr>
        <w:br w:type="textWrapping"/>
      </w:r>
      <w:r>
        <w:rPr>
          <w:rFonts w:hint="eastAsia" w:ascii="宋体" w:hAnsi="宋体" w:cs="宋体"/>
          <w:b/>
          <w:szCs w:val="21"/>
        </w:rPr>
        <w:t xml:space="preserve">    10</w:t>
      </w:r>
      <w:r>
        <w:rPr>
          <w:rFonts w:hint="eastAsia" w:ascii="宋体" w:hAnsi="宋体"/>
          <w:szCs w:val="21"/>
        </w:rPr>
        <w:t>.</w:t>
      </w:r>
      <w:r>
        <w:rPr>
          <w:rFonts w:ascii="宋体" w:hAnsi="宋体" w:cs="宋体"/>
          <w:b/>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59B3DD7">
      <w:pPr>
        <w:spacing w:line="360" w:lineRule="auto"/>
        <w:ind w:firstLine="420"/>
      </w:pPr>
      <w:r>
        <w:rPr>
          <w:rFonts w:hint="eastAsia" w:ascii="宋体" w:hAnsi="宋体" w:cs="宋体"/>
          <w:b/>
          <w:szCs w:val="21"/>
        </w:rPr>
        <w:t>11</w:t>
      </w:r>
      <w:r>
        <w:rPr>
          <w:rFonts w:hint="eastAsia" w:ascii="宋体" w:hAnsi="宋体"/>
          <w:szCs w:val="21"/>
        </w:rPr>
        <w:t>.</w:t>
      </w:r>
      <w:r>
        <w:rPr>
          <w:rFonts w:ascii="宋体" w:hAnsi="宋体" w:cs="宋体"/>
          <w:b/>
          <w:szCs w:val="21"/>
        </w:rPr>
        <w:t>供应商对于投标产品的包装应按照“财办库〔2020〕123号《关于印发《商品包装</w:t>
      </w:r>
      <w:r>
        <w:rPr>
          <w:rFonts w:hAnsi="宋体" w:cs="宋体"/>
          <w:b/>
          <w:szCs w:val="21"/>
        </w:rPr>
        <w:t>政府采购需求标准（试行）》、《快递包装政府采购需求标准（试行）》的通知》”执行。</w:t>
      </w:r>
    </w:p>
    <w:p w14:paraId="76A4B3FC">
      <w:pPr>
        <w:pStyle w:val="245"/>
        <w:spacing w:before="0" w:after="0" w:line="360" w:lineRule="auto"/>
        <w:rPr>
          <w:rFonts w:ascii="宋体" w:hAnsi="宋体" w:cs="宋体"/>
          <w:bCs w:val="0"/>
          <w:sz w:val="21"/>
          <w:szCs w:val="21"/>
        </w:rPr>
      </w:pPr>
      <w:r>
        <w:rPr>
          <w:rFonts w:hint="eastAsia" w:ascii="宋体" w:hAnsi="宋体" w:cs="宋体"/>
          <w:bCs w:val="0"/>
          <w:sz w:val="21"/>
          <w:szCs w:val="21"/>
        </w:rPr>
        <w:t>八、本次竞争性磋商联系方式</w:t>
      </w:r>
    </w:p>
    <w:p w14:paraId="25FA71A0">
      <w:pPr>
        <w:pStyle w:val="247"/>
        <w:spacing w:line="360" w:lineRule="auto"/>
        <w:ind w:firstLine="420"/>
        <w:rPr>
          <w:rFonts w:hAnsi="宋体" w:cs="宋体"/>
          <w:sz w:val="21"/>
          <w:szCs w:val="21"/>
        </w:rPr>
      </w:pPr>
      <w:r>
        <w:rPr>
          <w:rFonts w:hint="eastAsia" w:hAnsi="宋体" w:cs="宋体"/>
          <w:sz w:val="21"/>
          <w:szCs w:val="21"/>
        </w:rPr>
        <w:t>1.采购人信息</w:t>
      </w:r>
    </w:p>
    <w:p w14:paraId="4B7B6868">
      <w:pPr>
        <w:spacing w:line="360" w:lineRule="auto"/>
        <w:ind w:firstLine="420"/>
        <w:jc w:val="left"/>
        <w:rPr>
          <w:rFonts w:ascii="宋体" w:hAnsi="宋体"/>
          <w:szCs w:val="21"/>
          <w:highlight w:val="none"/>
        </w:rPr>
      </w:pPr>
      <w:r>
        <w:rPr>
          <w:rFonts w:hint="eastAsia" w:ascii="宋体" w:hAnsi="宋体"/>
          <w:szCs w:val="21"/>
          <w:highlight w:val="none"/>
        </w:rPr>
        <w:t>名 称：</w:t>
      </w:r>
      <w:bookmarkStart w:id="27" w:name="OLE_LINK1"/>
      <w:r>
        <w:rPr>
          <w:rFonts w:hint="eastAsia" w:ascii="宋体" w:hAnsi="宋体"/>
          <w:szCs w:val="21"/>
          <w:highlight w:val="none"/>
        </w:rPr>
        <w:t>扬州市广陵新城管理委员会</w:t>
      </w:r>
    </w:p>
    <w:p w14:paraId="7A538070">
      <w:pPr>
        <w:spacing w:line="360" w:lineRule="auto"/>
        <w:ind w:firstLine="420"/>
        <w:jc w:val="left"/>
        <w:rPr>
          <w:rFonts w:hint="eastAsia" w:ascii="宋体" w:hAnsi="宋体"/>
          <w:szCs w:val="21"/>
          <w:highlight w:val="none"/>
        </w:rPr>
      </w:pPr>
      <w:r>
        <w:rPr>
          <w:rFonts w:hint="eastAsia" w:ascii="宋体" w:hAnsi="宋体"/>
          <w:szCs w:val="21"/>
          <w:highlight w:val="none"/>
        </w:rPr>
        <w:t>地 址：扬州市广陵区信息大厦1号</w:t>
      </w:r>
    </w:p>
    <w:p w14:paraId="7DC778BE">
      <w:pPr>
        <w:spacing w:line="360" w:lineRule="auto"/>
        <w:ind w:firstLine="420"/>
        <w:jc w:val="left"/>
        <w:rPr>
          <w:rFonts w:hint="eastAsia" w:ascii="宋体" w:hAnsi="宋体"/>
          <w:szCs w:val="21"/>
          <w:highlight w:val="none"/>
        </w:rPr>
      </w:pPr>
      <w:r>
        <w:rPr>
          <w:rFonts w:hint="eastAsia" w:ascii="宋体" w:hAnsi="宋体"/>
          <w:szCs w:val="21"/>
          <w:highlight w:val="none"/>
        </w:rPr>
        <w:t>联系人：王凯</w:t>
      </w:r>
      <w:r>
        <w:rPr>
          <w:rFonts w:hint="eastAsia" w:ascii="宋体" w:hAnsi="宋体"/>
          <w:szCs w:val="21"/>
          <w:highlight w:val="none"/>
          <w:lang w:val="en-US" w:eastAsia="zh-CN"/>
        </w:rPr>
        <w:t xml:space="preserve">  </w:t>
      </w:r>
      <w:r>
        <w:rPr>
          <w:rFonts w:hint="eastAsia" w:ascii="宋体" w:hAnsi="宋体"/>
          <w:szCs w:val="21"/>
          <w:highlight w:val="none"/>
        </w:rPr>
        <w:t>联系方式：</w:t>
      </w:r>
      <w:bookmarkEnd w:id="27"/>
      <w:r>
        <w:rPr>
          <w:rFonts w:hint="eastAsia" w:ascii="宋体" w:hAnsi="宋体"/>
          <w:szCs w:val="21"/>
          <w:highlight w:val="none"/>
        </w:rPr>
        <w:t xml:space="preserve"> 15050723979</w:t>
      </w:r>
    </w:p>
    <w:p w14:paraId="0C283C20">
      <w:pPr>
        <w:spacing w:line="360" w:lineRule="auto"/>
        <w:ind w:firstLine="420"/>
        <w:jc w:val="left"/>
        <w:rPr>
          <w:rFonts w:ascii="宋体" w:hAnsi="宋体"/>
          <w:szCs w:val="21"/>
        </w:rPr>
      </w:pPr>
      <w:r>
        <w:rPr>
          <w:rFonts w:hint="eastAsia" w:ascii="宋体" w:hAnsi="宋体"/>
          <w:szCs w:val="21"/>
        </w:rPr>
        <w:t>2.代理机构信息</w:t>
      </w:r>
    </w:p>
    <w:p w14:paraId="2E02B450">
      <w:pPr>
        <w:spacing w:line="360" w:lineRule="auto"/>
        <w:ind w:firstLine="420"/>
        <w:rPr>
          <w:rFonts w:ascii="宋体" w:hAnsi="宋体" w:cs="宋体"/>
          <w:szCs w:val="21"/>
        </w:rPr>
      </w:pPr>
      <w:r>
        <w:rPr>
          <w:rFonts w:hint="eastAsia" w:ascii="宋体" w:hAnsi="宋体" w:cs="宋体"/>
          <w:szCs w:val="21"/>
        </w:rPr>
        <w:t>名 称：捷宏润安工程顾问有限公司扬州分公司</w:t>
      </w:r>
    </w:p>
    <w:p w14:paraId="6E7AC634">
      <w:pPr>
        <w:spacing w:line="360" w:lineRule="auto"/>
        <w:ind w:firstLine="420"/>
        <w:rPr>
          <w:rFonts w:ascii="宋体" w:hAnsi="宋体" w:cs="宋体"/>
          <w:szCs w:val="21"/>
        </w:rPr>
      </w:pPr>
      <w:r>
        <w:rPr>
          <w:rFonts w:hint="eastAsia" w:ascii="宋体" w:hAnsi="宋体" w:cs="宋体"/>
          <w:szCs w:val="21"/>
        </w:rPr>
        <w:t>地　址：</w:t>
      </w:r>
      <w:r>
        <w:rPr>
          <w:rFonts w:hint="eastAsia" w:ascii="宋体" w:hAnsi="宋体"/>
          <w:szCs w:val="21"/>
        </w:rPr>
        <w:t>扬州市广陵区开发东路1号7楼</w:t>
      </w:r>
    </w:p>
    <w:p w14:paraId="53F377F0">
      <w:pPr>
        <w:spacing w:line="360" w:lineRule="auto"/>
        <w:ind w:firstLine="420"/>
        <w:rPr>
          <w:rFonts w:ascii="宋体" w:hAnsi="宋体" w:cs="宋体"/>
          <w:szCs w:val="21"/>
        </w:rPr>
      </w:pPr>
      <w:r>
        <w:rPr>
          <w:rFonts w:hint="eastAsia" w:ascii="宋体" w:hAnsi="宋体" w:cs="宋体"/>
          <w:szCs w:val="21"/>
        </w:rPr>
        <w:t>联系人：韩逸飞    联系方式：</w:t>
      </w:r>
      <w:bookmarkEnd w:id="0"/>
      <w:bookmarkEnd w:id="25"/>
      <w:bookmarkEnd w:id="26"/>
      <w:r>
        <w:rPr>
          <w:rFonts w:hint="eastAsia" w:ascii="宋体" w:hAnsi="宋体" w:cs="宋体"/>
          <w:szCs w:val="21"/>
        </w:rPr>
        <w:t>18036791858</w:t>
      </w:r>
    </w:p>
    <w:p w14:paraId="40F68329">
      <w:pPr>
        <w:rPr>
          <w:rFonts w:ascii="宋体" w:hAnsi="宋体" w:cs="宋体"/>
          <w:szCs w:val="21"/>
        </w:rPr>
      </w:pPr>
      <w:r>
        <w:rPr>
          <w:rFonts w:hint="eastAsia" w:ascii="宋体" w:hAnsi="宋体" w:cs="宋体"/>
          <w:szCs w:val="21"/>
        </w:rPr>
        <w:br w:type="page" w:clear="all"/>
      </w:r>
    </w:p>
    <w:p w14:paraId="1ADBD940">
      <w:pPr>
        <w:pStyle w:val="50"/>
        <w:spacing w:before="0" w:after="0" w:line="360" w:lineRule="auto"/>
        <w:jc w:val="center"/>
        <w:rPr>
          <w:rFonts w:ascii="宋体" w:hAnsi="宋体"/>
          <w:sz w:val="36"/>
        </w:rPr>
      </w:pPr>
      <w:r>
        <w:rPr>
          <w:rFonts w:hint="eastAsia" w:ascii="宋体" w:hAnsi="宋体"/>
          <w:sz w:val="36"/>
        </w:rPr>
        <w:t>第二章 磋商须知</w:t>
      </w:r>
    </w:p>
    <w:p w14:paraId="420B2C7C">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color w:val="000000"/>
          <w:szCs w:val="21"/>
        </w:rPr>
        <w:t>一、总则</w:t>
      </w:r>
    </w:p>
    <w:p w14:paraId="52900D7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1.采购方式</w:t>
      </w:r>
    </w:p>
    <w:p w14:paraId="7AA4406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highlight w:val="none"/>
        </w:rPr>
      </w:pPr>
      <w:r>
        <w:rPr>
          <w:rFonts w:hint="eastAsia" w:ascii="宋体" w:hAnsi="宋体" w:cs="宋体"/>
          <w:color w:val="000000"/>
          <w:szCs w:val="21"/>
        </w:rPr>
        <w:t>1.1 本次政府采购活动采取竞争性磋商（以下简称磋商）方</w:t>
      </w:r>
      <w:r>
        <w:rPr>
          <w:rFonts w:hint="eastAsia" w:ascii="宋体" w:hAnsi="宋体" w:cs="宋体"/>
          <w:color w:val="000000"/>
          <w:szCs w:val="21"/>
          <w:highlight w:val="none"/>
        </w:rPr>
        <w:t>式，本磋商文件仅适用于。</w:t>
      </w:r>
    </w:p>
    <w:p w14:paraId="5E39718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highlight w:val="none"/>
        </w:rPr>
      </w:pPr>
      <w:r>
        <w:rPr>
          <w:rFonts w:hint="eastAsia" w:ascii="宋体" w:hAnsi="宋体" w:cs="宋体"/>
          <w:color w:val="000000"/>
          <w:szCs w:val="21"/>
          <w:highlight w:val="none"/>
        </w:rPr>
        <w:t>2.合格的供应商</w:t>
      </w:r>
    </w:p>
    <w:p w14:paraId="15C5139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highlight w:val="none"/>
        </w:rPr>
      </w:pPr>
      <w:r>
        <w:rPr>
          <w:rFonts w:hint="eastAsia" w:ascii="宋体" w:hAnsi="宋体" w:cs="宋体"/>
          <w:color w:val="000000"/>
          <w:szCs w:val="21"/>
          <w:highlight w:val="none"/>
        </w:rPr>
        <w:t>2.1满足磋商公告中供应商资格要求的规定。</w:t>
      </w:r>
    </w:p>
    <w:p w14:paraId="26295A2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highlight w:val="none"/>
        </w:rPr>
      </w:pPr>
      <w:r>
        <w:rPr>
          <w:rFonts w:hint="eastAsia" w:ascii="宋体" w:hAnsi="宋体" w:cs="宋体"/>
          <w:color w:val="000000"/>
          <w:szCs w:val="21"/>
          <w:highlight w:val="none"/>
        </w:rPr>
        <w:t>2.2 满足本磋商文件实质性要求的规定。</w:t>
      </w:r>
    </w:p>
    <w:p w14:paraId="0E13A57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highlight w:val="none"/>
        </w:rPr>
      </w:pPr>
      <w:r>
        <w:rPr>
          <w:rFonts w:hint="eastAsia" w:ascii="宋体" w:hAnsi="宋体" w:cs="宋体"/>
          <w:color w:val="000000"/>
          <w:szCs w:val="21"/>
          <w:highlight w:val="none"/>
        </w:rPr>
        <w:t>3.适用法律</w:t>
      </w:r>
    </w:p>
    <w:p w14:paraId="1F7962E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3.1 本次磋商及由此产生的合同受中华人民共和国有关的法律法规制约和保护。</w:t>
      </w:r>
    </w:p>
    <w:p w14:paraId="053028D8">
      <w:pPr>
        <w:spacing w:line="360" w:lineRule="auto"/>
        <w:ind w:left="420"/>
        <w:rPr>
          <w:rFonts w:ascii="宋体" w:hAnsi="宋体" w:cs="宋体"/>
          <w:bCs/>
          <w:szCs w:val="21"/>
          <w:highlight w:val="none"/>
        </w:rPr>
      </w:pPr>
      <w:r>
        <w:rPr>
          <w:rFonts w:hint="eastAsia" w:ascii="宋体" w:hAnsi="宋体" w:cs="宋体"/>
          <w:bCs/>
          <w:szCs w:val="21"/>
          <w:highlight w:val="none"/>
        </w:rPr>
        <w:t>3.2 在本项目政府采购活动过程中，如果所执行的标准有更新的，按照最新标准执行。</w:t>
      </w:r>
    </w:p>
    <w:p w14:paraId="1971517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highlight w:val="none"/>
        </w:rPr>
      </w:pPr>
      <w:r>
        <w:rPr>
          <w:rFonts w:hint="eastAsia" w:ascii="宋体" w:hAnsi="宋体" w:cs="宋体"/>
          <w:color w:val="000000"/>
          <w:szCs w:val="21"/>
          <w:highlight w:val="none"/>
        </w:rPr>
        <w:t>4.磋商费用</w:t>
      </w:r>
    </w:p>
    <w:p w14:paraId="5CEB7037">
      <w:pPr>
        <w:spacing w:line="360" w:lineRule="auto"/>
        <w:ind w:firstLine="420"/>
        <w:rPr>
          <w:rFonts w:ascii="宋体" w:hAnsi="宋体" w:cs="宋体"/>
          <w:highlight w:val="none"/>
        </w:rPr>
      </w:pPr>
      <w:r>
        <w:rPr>
          <w:rFonts w:hint="eastAsia" w:ascii="宋体" w:hAnsi="宋体" w:cs="宋体"/>
          <w:highlight w:val="none"/>
        </w:rPr>
        <w:t>4.1 供应商应自行承担所有与参加磋商有关的费用，无论磋商过程中的做法和结果如何，江苏苏维工程管理有限公司（以下简称代理机构）在任何情况下均无义务和责任承担这些费用。</w:t>
      </w:r>
    </w:p>
    <w:p w14:paraId="3457348B">
      <w:pPr>
        <w:spacing w:line="360" w:lineRule="auto"/>
        <w:ind w:firstLine="422"/>
        <w:jc w:val="left"/>
        <w:rPr>
          <w:rFonts w:ascii="宋体" w:hAnsi="宋体" w:cs="宋体"/>
          <w:szCs w:val="21"/>
          <w:highlight w:val="none"/>
        </w:rPr>
      </w:pPr>
      <w:r>
        <w:rPr>
          <w:rFonts w:hint="eastAsia" w:ascii="宋体" w:hAnsi="宋体" w:cs="宋体"/>
          <w:b/>
          <w:bCs/>
          <w:szCs w:val="21"/>
          <w:highlight w:val="none"/>
        </w:rPr>
        <w:t>4.2本次采购代理服务费有采购人支付,按照广陵新城招采办法文件规定服务类标准执行。</w:t>
      </w:r>
    </w:p>
    <w:p w14:paraId="65439353">
      <w:pPr>
        <w:spacing w:line="360" w:lineRule="auto"/>
        <w:ind w:firstLine="420"/>
        <w:rPr>
          <w:rFonts w:ascii="宋体" w:hAnsi="宋体" w:cs="宋体"/>
          <w:szCs w:val="21"/>
        </w:rPr>
      </w:pPr>
      <w:r>
        <w:rPr>
          <w:rFonts w:hint="eastAsia" w:ascii="宋体" w:hAnsi="宋体" w:cs="宋体"/>
          <w:szCs w:val="21"/>
        </w:rPr>
        <w:t>（1）代理服务费人民币支付；</w:t>
      </w:r>
    </w:p>
    <w:p w14:paraId="1D1D858B">
      <w:pPr>
        <w:spacing w:line="360" w:lineRule="auto"/>
        <w:ind w:firstLine="420"/>
        <w:rPr>
          <w:rFonts w:ascii="宋体" w:hAnsi="宋体" w:cs="宋体"/>
          <w:szCs w:val="21"/>
        </w:rPr>
      </w:pPr>
      <w:r>
        <w:rPr>
          <w:rFonts w:hint="eastAsia" w:ascii="宋体" w:hAnsi="宋体" w:cs="宋体"/>
          <w:szCs w:val="21"/>
        </w:rPr>
        <w:t>（2）代理服务费支付方式：一次性以电汇或转账形式支付。</w:t>
      </w:r>
    </w:p>
    <w:p w14:paraId="4559B128">
      <w:pPr>
        <w:spacing w:line="360" w:lineRule="auto"/>
        <w:ind w:firstLine="420"/>
        <w:rPr>
          <w:rFonts w:ascii="宋体" w:hAnsi="宋体" w:cs="宋体"/>
          <w:szCs w:val="21"/>
        </w:rPr>
      </w:pPr>
      <w:r>
        <w:rPr>
          <w:rFonts w:hint="eastAsia" w:ascii="宋体" w:hAnsi="宋体" w:cs="宋体"/>
          <w:szCs w:val="21"/>
        </w:rPr>
        <w:t>（3）招标代理服务费不在响应报价中单列，包含在响应总价中，由成交人支付给代理机构。</w:t>
      </w:r>
    </w:p>
    <w:p w14:paraId="3CEE3183">
      <w:pPr>
        <w:spacing w:line="360" w:lineRule="auto"/>
        <w:ind w:firstLine="422"/>
        <w:rPr>
          <w:rFonts w:ascii="宋体" w:hAnsi="宋体" w:cs="宋体"/>
          <w:b/>
          <w:bCs/>
          <w:szCs w:val="21"/>
        </w:rPr>
      </w:pPr>
      <w:r>
        <w:rPr>
          <w:rFonts w:hint="eastAsia" w:ascii="宋体" w:hAnsi="宋体" w:cs="宋体"/>
          <w:b/>
          <w:bCs/>
          <w:szCs w:val="21"/>
        </w:rPr>
        <w:t>4.3专家评审费参考《扬州市财政局关于进一步规范扬州市政府采购专家评审费标准的通知》（扬财购〔2020〕40号）。</w:t>
      </w:r>
    </w:p>
    <w:p w14:paraId="14DB4C6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bCs/>
          <w:color w:val="000000"/>
          <w:szCs w:val="21"/>
        </w:rPr>
        <w:t>5.磋商文件</w:t>
      </w:r>
      <w:r>
        <w:rPr>
          <w:rFonts w:hint="eastAsia" w:ascii="宋体" w:hAnsi="宋体" w:cs="宋体"/>
          <w:color w:val="000000"/>
          <w:szCs w:val="21"/>
        </w:rPr>
        <w:t>的约束力</w:t>
      </w:r>
    </w:p>
    <w:p w14:paraId="6427C0E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5.1供应商一旦下载了本磋商文件并决定参加磋商，即被认为接受了本磋商文件的规定和约束，并且视为自竞争性磋商公告期限届满之日起已经知道或应当知道自身权益是否受到了损害。</w:t>
      </w:r>
    </w:p>
    <w:p w14:paraId="2CEB7495">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color w:val="000000"/>
          <w:szCs w:val="21"/>
        </w:rPr>
        <w:t>二、磋商文件</w:t>
      </w:r>
    </w:p>
    <w:p w14:paraId="439D5BD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6.磋商文件构成</w:t>
      </w:r>
    </w:p>
    <w:p w14:paraId="233031E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6.1磋商文件由以下部分组成：</w:t>
      </w:r>
    </w:p>
    <w:p w14:paraId="289243B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（1）磋商邀请</w:t>
      </w:r>
    </w:p>
    <w:p w14:paraId="66F9AA5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（2）供应商须知</w:t>
      </w:r>
    </w:p>
    <w:p w14:paraId="614A6799">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（3）合同文本</w:t>
      </w:r>
    </w:p>
    <w:p w14:paraId="7F061FD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（4）采购需求</w:t>
      </w:r>
    </w:p>
    <w:p w14:paraId="5D27C44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（5）评审方法与评审标准</w:t>
      </w:r>
    </w:p>
    <w:p w14:paraId="18D3D99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（6）响应文件格式</w:t>
      </w:r>
    </w:p>
    <w:p w14:paraId="380F518A">
      <w:pPr>
        <w:spacing w:line="360" w:lineRule="auto"/>
        <w:ind w:firstLine="420"/>
        <w:rPr>
          <w:rFonts w:ascii="宋体" w:hAnsi="宋体" w:cs="宋体"/>
        </w:rPr>
      </w:pPr>
      <w:r>
        <w:rPr>
          <w:rFonts w:hint="eastAsia" w:ascii="宋体" w:hAnsi="宋体" w:cs="宋体"/>
        </w:rPr>
        <w:t>请仔细检查采购文件是否齐全，如有缺漏请立即与代理机构联系解决。</w:t>
      </w:r>
    </w:p>
    <w:p w14:paraId="0F834686">
      <w:pPr>
        <w:spacing w:line="360" w:lineRule="auto"/>
        <w:ind w:firstLine="420"/>
        <w:rPr>
          <w:rFonts w:ascii="宋体" w:hAnsi="宋体" w:cs="宋体"/>
        </w:rPr>
      </w:pPr>
      <w:r>
        <w:rPr>
          <w:rFonts w:hint="eastAsia" w:ascii="宋体" w:hAnsi="宋体" w:cs="宋体"/>
        </w:rPr>
        <w:t>6.2 采购的最小单位是包。采购服务（工程）数量及技术要求中未分包的，供应商对要求提供的服务（工程）不得部分响应；采购服务（工程）数量及技术要求中已经分包的，应当以包为单位响应。</w:t>
      </w:r>
    </w:p>
    <w:p w14:paraId="3938F9C5">
      <w:pPr>
        <w:spacing w:line="360" w:lineRule="auto"/>
        <w:ind w:firstLine="420"/>
        <w:rPr>
          <w:rFonts w:ascii="宋体" w:hAnsi="宋体" w:cs="宋体"/>
        </w:rPr>
      </w:pPr>
      <w:r>
        <w:rPr>
          <w:rFonts w:hint="eastAsia" w:ascii="宋体" w:hAnsi="宋体" w:cs="宋体"/>
        </w:rPr>
        <w:t>6.3 采购文件如果要求供应商提交备选响应方案的，供应商可以提交备选方案；否则，备选方案将被拒绝。</w:t>
      </w:r>
    </w:p>
    <w:p w14:paraId="00E32EA3">
      <w:pPr>
        <w:spacing w:line="360" w:lineRule="auto"/>
        <w:ind w:firstLine="420"/>
        <w:rPr>
          <w:rFonts w:ascii="宋体" w:hAnsi="宋体" w:cs="宋体"/>
        </w:rPr>
      </w:pPr>
      <w:r>
        <w:rPr>
          <w:rFonts w:hint="eastAsia" w:ascii="宋体" w:hAnsi="宋体" w:cs="宋体"/>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5C985B6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7.磋商文件的澄清和修改</w:t>
      </w:r>
    </w:p>
    <w:p w14:paraId="540C7DF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7.1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扬州市政府采购网”“江苏政府采购网”“中国政府采购网”上发布书面更正公告形式通知所有获取磋商文件的供应商，更正公告内容将作为磋商文件的组成部分，并对供应商具有约束力。不足5日的，代理机构将顺延提交首次响应文件截止时间。</w:t>
      </w:r>
    </w:p>
    <w:p w14:paraId="032754E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7.2代理机构可以视采购项目的具体情况，组织供应商进行现场考察或召开磋商前答疑会，但不单独或分别组织只有一个供应商参加的现场考察和答疑会。</w:t>
      </w:r>
    </w:p>
    <w:p w14:paraId="1626DC72">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color w:val="000000"/>
          <w:szCs w:val="21"/>
        </w:rPr>
        <w:t>三、响应文件的编制</w:t>
      </w:r>
    </w:p>
    <w:p w14:paraId="2B53C9E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8.响应文件的语言及度量衡单位</w:t>
      </w:r>
    </w:p>
    <w:p w14:paraId="1EBFFE8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8.1供应商提交的响应文件以及供应商与代理机构就有关磋商的所有来往通知、函件和文件均应使用简体中文。</w:t>
      </w:r>
    </w:p>
    <w:p w14:paraId="1614072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8.2除技术性能另有规定外，响应文件所使用的度量衡单位，均须采用国家法定计量单位。</w:t>
      </w:r>
    </w:p>
    <w:p w14:paraId="0279ECF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8.3磋商文件中的服务单价和总价无特殊规定的采用人民币报价，以元为单位标注。磋商文件中另有规定的按规定执行。</w:t>
      </w:r>
    </w:p>
    <w:p w14:paraId="1CB1A24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9.响应文件构成</w:t>
      </w:r>
    </w:p>
    <w:p w14:paraId="4348637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9.1供应商编写的响应文件应包括基本目录、资格审查内容、符合审查内容、价格扣除证明文件等部分。</w:t>
      </w:r>
    </w:p>
    <w:p w14:paraId="60102CA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9.2 如标书制作工具中格式和内容与“扬州市政府采购网”“江苏政府采购网”“中国政府采购网”“广陵区政府采购网”发布的磋商文件不一致，请以“扬州市政府采购网”“江苏政府采购网”“中国政府采购网”</w:t>
      </w:r>
      <w:r>
        <w:rPr>
          <w:rFonts w:hint="eastAsia" w:ascii="宋体" w:hAnsi="宋体" w:cs="宋体"/>
          <w:szCs w:val="21"/>
        </w:rPr>
        <w:t>“扬州市广陵区政府采购网”</w:t>
      </w:r>
      <w:r>
        <w:rPr>
          <w:rFonts w:hint="eastAsia" w:ascii="宋体" w:hAnsi="宋体" w:cs="宋体"/>
          <w:color w:val="000000"/>
          <w:szCs w:val="21"/>
        </w:rPr>
        <w:t>发布的磋商文件为准。</w:t>
      </w:r>
    </w:p>
    <w:p w14:paraId="0BFE426B">
      <w:pPr>
        <w:spacing w:line="360" w:lineRule="auto"/>
        <w:ind w:firstLine="420"/>
        <w:rPr>
          <w:rFonts w:ascii="宋体" w:hAnsi="宋体" w:cs="宋体"/>
        </w:rPr>
      </w:pPr>
      <w:r>
        <w:rPr>
          <w:rFonts w:hint="eastAsia" w:ascii="宋体" w:hAnsi="宋体" w:cs="宋体"/>
        </w:rPr>
        <w:t>9.3 供应商应当根据磋商文件要求编制响应文件，响应文件应对磋商文件提出的要求和条件作出响应，并在相应的响应文件中逐条标明满足与否。</w:t>
      </w:r>
    </w:p>
    <w:p w14:paraId="1630CF7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10.证明磋商响应标的符合磋商文件规定的文件</w:t>
      </w:r>
    </w:p>
    <w:p w14:paraId="5E83FBB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10.1供应商应按照磋商文件要求提交证明文件，证明其磋商响应标的符合磋商文件规定。</w:t>
      </w:r>
    </w:p>
    <w:p w14:paraId="01BACBF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10.2磋商文件对证明文件无明确形式要求的，证明文件可以以文字资料、图纸和数据等形式提交。</w:t>
      </w:r>
    </w:p>
    <w:p w14:paraId="414CD4D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11.分项报价表</w:t>
      </w:r>
    </w:p>
    <w:p w14:paraId="02A5698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11.1供应商应按照磋商文件规定格式填报分项报价表，每项服务只允许有一个报价，任何有选择的报价将不予接受。</w:t>
      </w:r>
    </w:p>
    <w:p w14:paraId="00DA993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11.2磋商货币。响应文件中的单价和总价无特殊规定的采用人民币报价，以元为单位标注。磋商文件中另有规定的按规定执行。</w:t>
      </w:r>
    </w:p>
    <w:p w14:paraId="23DDEC59">
      <w:pPr>
        <w:spacing w:line="360" w:lineRule="auto"/>
        <w:ind w:firstLine="420"/>
        <w:rPr>
          <w:rFonts w:ascii="宋体" w:hAnsi="宋体" w:cs="宋体"/>
        </w:rPr>
      </w:pPr>
      <w:r>
        <w:rPr>
          <w:rFonts w:hint="eastAsia" w:ascii="宋体" w:hAnsi="宋体" w:cs="宋体"/>
        </w:rPr>
        <w:t>11.3其它费用处理</w:t>
      </w:r>
    </w:p>
    <w:p w14:paraId="483F4546">
      <w:pPr>
        <w:spacing w:line="360" w:lineRule="auto"/>
        <w:ind w:firstLine="420"/>
        <w:rPr>
          <w:rFonts w:ascii="宋体" w:hAnsi="宋体" w:cs="宋体"/>
        </w:rPr>
      </w:pPr>
      <w:r>
        <w:rPr>
          <w:rFonts w:hint="eastAsia" w:ascii="宋体" w:hAnsi="宋体" w:cs="宋体"/>
        </w:rPr>
        <w:t>磋商文件未列明，而供应商认为必需的费用也需列入报价。</w:t>
      </w:r>
    </w:p>
    <w:p w14:paraId="0392F9F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12.技术要求响应及偏离表、商务要求响应及偏离表</w:t>
      </w:r>
    </w:p>
    <w:p w14:paraId="37EFE3F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12.1供应商需对磋商文件中的技术要求与商务要求逐项作出响应或偏离，并说明原因。</w:t>
      </w:r>
    </w:p>
    <w:p w14:paraId="3058BDD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12.2供应商需按照磋商文件要求，在响应文件中提供与技术要求和商务要求相关的证明材料。</w:t>
      </w:r>
    </w:p>
    <w:p w14:paraId="123685C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13.服务承诺、培训计划、人员安排及其他</w:t>
      </w:r>
    </w:p>
    <w:p w14:paraId="33FE780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13.1供应商需根据磋商文件要求提供有关售后服务的管理制度，售后服务机构的分布情况，售后服务人员的数量、素质、技术水平及售后服务的反应能力等。</w:t>
      </w:r>
    </w:p>
    <w:p w14:paraId="2E1470C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13.2供应商需根据磋商文件要求提供培训计划。</w:t>
      </w:r>
    </w:p>
    <w:p w14:paraId="485D3D9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13.3供应商需根据磋商文件要求提供磋商响应标的的主要组成部分、功能设计、实现思路及关键技术等。</w:t>
      </w:r>
    </w:p>
    <w:p w14:paraId="1F5B8D2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14.磋商响应函</w:t>
      </w:r>
    </w:p>
    <w:p w14:paraId="3CBAC1F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14.1供应商应按照磋商文件中提供的格式完整、正确填写磋商响应函。</w:t>
      </w:r>
    </w:p>
    <w:p w14:paraId="22CD56A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15.磋商有效期</w:t>
      </w:r>
    </w:p>
    <w:p w14:paraId="41A336F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15.1磋商有效期为代理机构规定的提交响应文件截止之日后</w:t>
      </w:r>
      <w:r>
        <w:rPr>
          <w:rFonts w:hint="eastAsia" w:ascii="宋体" w:hAnsi="宋体" w:cs="宋体"/>
          <w:b/>
          <w:color w:val="000000"/>
          <w:szCs w:val="21"/>
          <w:u w:val="single"/>
        </w:rPr>
        <w:t>六十（60）天</w:t>
      </w:r>
      <w:r>
        <w:rPr>
          <w:rFonts w:hint="eastAsia" w:ascii="宋体" w:hAnsi="宋体" w:cs="宋体"/>
          <w:color w:val="000000"/>
          <w:szCs w:val="21"/>
        </w:rPr>
        <w:t>。磋商有效期比规定短的将被视为非实质性响应磋商文件而予以拒绝。</w:t>
      </w:r>
    </w:p>
    <w:p w14:paraId="732A7A6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16.磋商有效期的延长</w:t>
      </w:r>
    </w:p>
    <w:p w14:paraId="00B4137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3BB6F760">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color w:val="000000"/>
          <w:szCs w:val="21"/>
        </w:rPr>
        <w:t>四、响应文件的递交</w:t>
      </w:r>
    </w:p>
    <w:p w14:paraId="1990FC9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17.电子磋商响应文件的递交</w:t>
      </w:r>
    </w:p>
    <w:p w14:paraId="3DEBC3B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17.1供应商应当按照《操作手册》规定，在提交响应文件截止时间前制作并上传电子响应文件。</w:t>
      </w:r>
    </w:p>
    <w:p w14:paraId="1CE0710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18.提交响应文件截止时间</w:t>
      </w:r>
    </w:p>
    <w:p w14:paraId="0F7004C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18.1供应商上传电子响应文件的时间不得迟于磋商公告中规定的提交响应文件截止时间。</w:t>
      </w:r>
    </w:p>
    <w:p w14:paraId="2D1257E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供应商应充分考虑到网络环境、网络带宽等风险因素，如因供应商自身原因造成的电子响应文件上传不成功的按照本磋商文件第二章第25.3.2条规定作无效响应处理。</w:t>
      </w:r>
    </w:p>
    <w:p w14:paraId="1B3E8A7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18.2代理机构可以按照规定，通过修改磋商文件酌情延长提交响应文件截止日期，在此情况下，供应商的所有权利和义务以及供应商受制的截止日期均应以延长后新的截止日期为准。</w:t>
      </w:r>
    </w:p>
    <w:p w14:paraId="7D6CA05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19.响应文件的拒收</w:t>
      </w:r>
    </w:p>
    <w:p w14:paraId="0CEA4DC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19.1 代理机构拒绝接收在其规定的提交响应文件截止时间后上传的任何电子响应文件。</w:t>
      </w:r>
    </w:p>
    <w:p w14:paraId="7DF20B8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20.响应文件的撤回和修改</w:t>
      </w:r>
    </w:p>
    <w:p w14:paraId="4DFD517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20.1响应文件的撤回</w:t>
      </w:r>
    </w:p>
    <w:p w14:paraId="7AC7541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20.1.1 电子响应文件的撤回</w:t>
      </w:r>
    </w:p>
    <w:p w14:paraId="0D2DC28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供应商可在提交响应文件截止时间前，撤回其电子响应文件，具体操作方法见《操作手册》。</w:t>
      </w:r>
    </w:p>
    <w:p w14:paraId="49BB52A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20.1.2供应商撤回电子响应文件，则认为其不再参与本项目磋商活动。</w:t>
      </w:r>
    </w:p>
    <w:p w14:paraId="4BCE06C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20.2响应文件的修改</w:t>
      </w:r>
    </w:p>
    <w:p w14:paraId="37F6A64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供应商可在提交响应文件截止时间前，对其电子响应文件进行修改，具体操作方法见《操作手册》。</w:t>
      </w:r>
    </w:p>
    <w:p w14:paraId="257CF40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20.3 在提交响应文件截止时间之后，供应商不得对其电子响应文件作任何修改。</w:t>
      </w:r>
    </w:p>
    <w:p w14:paraId="4D28F52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20.4 在提交响应文件截止时间至磋商文件中规定的磋商有效期满之间的这段时间内，供应商不得撤回其响应文件。</w:t>
      </w:r>
    </w:p>
    <w:p w14:paraId="2215BDA2">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color w:val="000000"/>
          <w:szCs w:val="21"/>
        </w:rPr>
        <w:t>五、响应文件的解密与评审</w:t>
      </w:r>
    </w:p>
    <w:p w14:paraId="3F1496E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21.响应文件解密</w:t>
      </w:r>
    </w:p>
    <w:p w14:paraId="2974A075">
      <w:pPr>
        <w:spacing w:line="360" w:lineRule="auto"/>
        <w:ind w:firstLine="420"/>
        <w:rPr>
          <w:rFonts w:ascii="宋体" w:hAnsi="宋体" w:cs="宋体"/>
          <w:color w:val="000000"/>
          <w:szCs w:val="21"/>
        </w:rPr>
      </w:pPr>
      <w:r>
        <w:rPr>
          <w:rFonts w:hint="eastAsia" w:ascii="宋体" w:hAnsi="宋体" w:cs="宋体"/>
          <w:color w:val="000000"/>
          <w:szCs w:val="21"/>
        </w:rPr>
        <w:t>21.1供应商应当按照《操作手册》规定，在苏采云系统规定的时间内对磋商响应文件进行解密。</w:t>
      </w:r>
    </w:p>
    <w:p w14:paraId="45AC7270">
      <w:pPr>
        <w:spacing w:line="360" w:lineRule="auto"/>
        <w:ind w:firstLine="420"/>
        <w:rPr>
          <w:rFonts w:ascii="宋体" w:hAnsi="宋体" w:cs="宋体"/>
        </w:rPr>
      </w:pPr>
      <w:r>
        <w:rPr>
          <w:rFonts w:hint="eastAsia" w:ascii="宋体" w:hAnsi="宋体" w:cs="宋体"/>
        </w:rPr>
        <w:t>21.2供应商在磋商过程中涉及的响应文件解密等工作，应按照《操作手册》规定执行。</w:t>
      </w:r>
    </w:p>
    <w:p w14:paraId="0EFCEEA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22.磋商小组</w:t>
      </w:r>
    </w:p>
    <w:p w14:paraId="02CF988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22.1 磋商开始后，代理机构将立即组织磋商小组进行评审。</w:t>
      </w:r>
    </w:p>
    <w:p w14:paraId="0978DA6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22.2磋商小组由采购人代表和有关技术、经济等方面的专家组成，且人员构成符合政府采购有关规定。</w:t>
      </w:r>
    </w:p>
    <w:p w14:paraId="60485BD9">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22.3磋商小组独立工作，负责评审有效响应文件并确定成交候选供应商。</w:t>
      </w:r>
    </w:p>
    <w:p w14:paraId="3A8D5E8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23.评审过程的保密与公正</w:t>
      </w:r>
    </w:p>
    <w:p w14:paraId="7D5380E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23.1磋商小组、采购人和代理机构工作人员、相关监督人员等与评审工作有关的人员，对评审情况以及在评审过程中获悉的国家秘密、商业秘密负有保密责任。</w:t>
      </w:r>
    </w:p>
    <w:p w14:paraId="0EDF63A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23.2在评审过程中，供应商不得以任何行为影响磋商评审过程，否则其响应文件将被作为无效响应文件。</w:t>
      </w:r>
    </w:p>
    <w:p w14:paraId="100F7DC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23.3在项目评审期间，代理机构将设专门人员与供应商联系。</w:t>
      </w:r>
    </w:p>
    <w:p w14:paraId="436B203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23.4 代理机构和磋商小组不向未成交的供应商解释未成交原因，也不公布评审过程中的相关细节。</w:t>
      </w:r>
    </w:p>
    <w:p w14:paraId="72DB601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24.评审过程中的澄清</w:t>
      </w:r>
    </w:p>
    <w:p w14:paraId="28D10799">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E20F10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磋商小组并非对每个供应商都作澄清要求。</w:t>
      </w:r>
    </w:p>
    <w:p w14:paraId="1C1B0B2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7697D6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24.3 接到磋商小组澄清、说明和更正要求的供应商如未按规定作出澄清、说明和更正，其风险由供应商自行承担。</w:t>
      </w:r>
    </w:p>
    <w:p w14:paraId="3709DBD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25.对响应文件的审查</w:t>
      </w:r>
    </w:p>
    <w:p w14:paraId="0146DDA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25.1响应文件审查分为资格审查和符合性审查。</w:t>
      </w:r>
    </w:p>
    <w:p w14:paraId="7430E40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25.1.1 资格审查：由磋商小组依据法律法规和磋商文件的规定，对响应文件中的资格证明文件进行审查，以确定供应商是否具备参加磋商的资格。</w:t>
      </w:r>
    </w:p>
    <w:p w14:paraId="1EFF62D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磋商小组在进行资格审查的同时，将在“信用中国”网站（www.creditchina.gov.cn）和“中国政府采购网”(www.ccgp.gov.cn）查询供应商的信用记录，以确定供应商是否具备磋商资格，查询结果留存并归档。</w:t>
      </w:r>
    </w:p>
    <w:p w14:paraId="1675C799">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55464F9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25.1.2 符合性审查：依据磋商文件的规定，由磋商小组从响应文件的有效性、完整性和对磋商文件的响应程度进行审查，以确定是否对磋商文件的实质性要求作出响应。</w:t>
      </w:r>
    </w:p>
    <w:p w14:paraId="14AC303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25.1.3 未通过资格审查或符合性审查的供应商，磋商小组将在苏采云系统中告知未通过资格审查或符合性审查的原因，评审结束后，磋商小组将不再告知未通过资格审查或符合性审查的原因。</w:t>
      </w:r>
    </w:p>
    <w:p w14:paraId="2A18BE3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25.2在详细评审之前，磋商小组将首先审查每份响应文件是否实质性响应了磋商文件的要求。实质性响应的响应文件应该是与磋商文件要求的条款、条件和规格相符，没有重大偏离或保留。</w:t>
      </w:r>
    </w:p>
    <w:p w14:paraId="0283FCB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51C1A8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25.3未实质性响应磋商文件的情形</w:t>
      </w:r>
    </w:p>
    <w:p w14:paraId="643999A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25.3.1供应商在苏采云系统规定的时间内未成功解密电子响应文件的。</w:t>
      </w:r>
    </w:p>
    <w:p w14:paraId="1EED322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25.3.2供应商未按照磋商文件要求上传电子响应文件的。</w:t>
      </w:r>
    </w:p>
    <w:p w14:paraId="63EC11F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25.3.3供应商同一采购包提交两个（含两个）以上不同的响应文件或者最后报价的。</w:t>
      </w:r>
    </w:p>
    <w:p w14:paraId="656AD36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25.3.4供应商不具备磋商文件中规定资格要求的。</w:t>
      </w:r>
    </w:p>
    <w:p w14:paraId="4752362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25.3.5供应商的最后报价超过了采购预算或最高限价的。</w:t>
      </w:r>
    </w:p>
    <w:p w14:paraId="78B408F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25.3.6不符合磋商文件中规定的实质性要求的</w:t>
      </w:r>
      <w:r>
        <w:rPr>
          <w:rFonts w:hint="eastAsia" w:ascii="宋体" w:hAnsi="宋体" w:cs="宋体"/>
          <w:b/>
          <w:color w:val="000000" w:themeColor="text1"/>
          <w:szCs w:val="21"/>
          <w14:textFill>
            <w14:solidFill>
              <w14:schemeClr w14:val="tx1"/>
            </w14:solidFill>
          </w14:textFill>
        </w:rPr>
        <w:t>（本磋商文件中</w:t>
      </w:r>
      <w:r>
        <w:rPr>
          <w:rFonts w:hint="eastAsia" w:ascii="宋体" w:hAnsi="宋体" w:cs="宋体"/>
          <w:b/>
          <w:i/>
          <w:color w:val="000000" w:themeColor="text1"/>
          <w:szCs w:val="21"/>
          <w:u w:val="single"/>
          <w14:textFill>
            <w14:solidFill>
              <w14:schemeClr w14:val="tx1"/>
            </w14:solidFill>
          </w14:textFill>
        </w:rPr>
        <w:t>斜体且有下划线部分</w:t>
      </w:r>
      <w:r>
        <w:rPr>
          <w:rFonts w:hint="eastAsia" w:ascii="宋体" w:hAnsi="宋体" w:cs="宋体"/>
          <w:b/>
          <w:color w:val="000000" w:themeColor="text1"/>
          <w:szCs w:val="21"/>
          <w14:textFill>
            <w14:solidFill>
              <w14:schemeClr w14:val="tx1"/>
            </w14:solidFill>
          </w14:textFill>
        </w:rPr>
        <w:t>为实质性要求）。</w:t>
      </w:r>
    </w:p>
    <w:p w14:paraId="564B682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25.3.7供应商被 “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p>
    <w:p w14:paraId="3413D3F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25.3.8 响应文件含有采购人不能接受的附加条件的。</w:t>
      </w:r>
    </w:p>
    <w:p w14:paraId="7023DDA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25.3.9 磋商小组按照本磋商文件规定对供应商进行异常低价投标审查后，认为供应商不能证明其报价合理性的。</w:t>
      </w:r>
    </w:p>
    <w:p w14:paraId="05F8FD7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themeColor="text1"/>
          <w:szCs w:val="21"/>
          <w14:textFill>
            <w14:solidFill>
              <w14:schemeClr w14:val="tx1"/>
            </w14:solidFill>
          </w14:textFill>
        </w:rPr>
        <w:t>25.3.10如本项目采购产品被财政部、国家发展改革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w:t>
      </w:r>
      <w:r>
        <w:rPr>
          <w:rFonts w:hint="eastAsia" w:ascii="宋体" w:hAnsi="宋体" w:cs="宋体"/>
          <w:color w:val="000000"/>
          <w:szCs w:val="21"/>
        </w:rPr>
        <w:t>效期之内的该节能产品认证证书原件扫描件）</w:t>
      </w:r>
    </w:p>
    <w:p w14:paraId="51892BB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25.3.11响应文件未按照磋商文件要求加盖CA电子公章的。</w:t>
      </w:r>
    </w:p>
    <w:p w14:paraId="0C5463A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25.4未实质性响应磋商文件的响应文件按无效响应处理。</w:t>
      </w:r>
    </w:p>
    <w:p w14:paraId="48856CE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25.5如果响应文件实质上没有响应磋商文件的要求，磋商小组将予以拒绝，供应商不得通过修改或撤销不符合要求的偏离或保留而使其成为实质性响应的文件。</w:t>
      </w:r>
    </w:p>
    <w:p w14:paraId="5E66542A">
      <w:pPr>
        <w:pStyle w:val="48"/>
        <w:rPr>
          <w:rFonts w:ascii="宋体" w:hAnsi="宋体" w:cs="宋体"/>
          <w:b/>
          <w:bCs/>
        </w:rPr>
      </w:pPr>
      <w:r>
        <w:rPr>
          <w:rFonts w:hint="eastAsia" w:ascii="宋体" w:hAnsi="宋体" w:cs="宋体"/>
          <w:b/>
          <w:bCs/>
          <w:color w:val="000000"/>
          <w:szCs w:val="21"/>
        </w:rPr>
        <w:t>25.6</w:t>
      </w:r>
      <w:r>
        <w:rPr>
          <w:rFonts w:hint="eastAsia" w:ascii="宋体" w:hAnsi="宋体" w:cs="宋体"/>
          <w:b/>
          <w:bCs/>
          <w:szCs w:val="21"/>
        </w:rPr>
        <w:t>经查实，不同供应商的电子响应文件出自同一台电脑的：不同供应商的标书制作工具客户端标识码存在一致的；不同供应商从同一互联网协议地址上传响应文件的。</w:t>
      </w:r>
    </w:p>
    <w:p w14:paraId="4CF33267">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25.7 异常低价投标（响应）</w:t>
      </w:r>
    </w:p>
    <w:p w14:paraId="15EB8FB5">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25.7.1投标（响应）报价低于全部通过符合性审查供应商投标（响应）报价平均值50%的，即投标（响应）报价〈全部通过符合性审查供应商投标（响应）报价平均值×50%；</w:t>
      </w:r>
    </w:p>
    <w:p w14:paraId="36CBCF46">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25.7.2投标（响应）报价低于通过符合性审查的次低报价供应商投标（响应）报价50%的，即投标（响应）报价〈通过符合性审查的次低报价供应商投标（响应）报价×50%；</w:t>
      </w:r>
    </w:p>
    <w:p w14:paraId="41E1DEEE">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25.7.3投标（响应）报价低于采购项目最高限价 45% 的，即投标（响应）报价〈采购项目最高限价×45% ；</w:t>
      </w:r>
    </w:p>
    <w:p w14:paraId="3ABC6AF9">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25.7.4评审委员会认定的供应商报价过低、有可能影响产品质量或者不能诚信履约的其他情形。</w:t>
      </w:r>
    </w:p>
    <w:p w14:paraId="0A53D91A">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E580A">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096D47">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szCs w:val="21"/>
        </w:rPr>
      </w:pPr>
      <w:r>
        <w:rPr>
          <w:rFonts w:hint="eastAsia" w:ascii="宋体" w:hAnsi="宋体" w:cs="宋体"/>
          <w:b/>
          <w:bCs/>
          <w:szCs w:val="21"/>
        </w:rPr>
        <w:t>异常低价投标（响应）审查的启动原因、审查意见和审查结果应当在评审报告中记录，并随供应商提供的相关书面说明及证明材料，以及评审委员会有关互联网浏览、查询历史一并归档。</w:t>
      </w:r>
    </w:p>
    <w:p w14:paraId="65C0B71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25.8供应商在项目评审全过程中应保持通信畅通，并安排专人与代理机构及磋商小组联系。</w:t>
      </w:r>
    </w:p>
    <w:p w14:paraId="02336C79">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26.磋商程序及评审方法和评审标准</w:t>
      </w:r>
    </w:p>
    <w:p w14:paraId="0362D3A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26.1磋商程序</w:t>
      </w:r>
    </w:p>
    <w:p w14:paraId="454FBAC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5FA900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CD8E2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B5EAE6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BBA0F6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C14BBE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0F29DD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26.2 评审方法和评审标准</w:t>
      </w:r>
    </w:p>
    <w:p w14:paraId="3C03808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26.2.1评审方法。经磋商确定最终采购需求和提交最后报价的供应商后，由磋商小组采用综合评分法对提交最后报价的供应商的响应文件和最后报价进行综合评分。</w:t>
      </w:r>
    </w:p>
    <w:p w14:paraId="4FCF7EE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D0578A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26.2.2评审标准</w:t>
      </w:r>
    </w:p>
    <w:p w14:paraId="6511C80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见本磋商文件第五章规定。</w:t>
      </w:r>
    </w:p>
    <w:p w14:paraId="6FF0FE5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26.3采购活动终止的情况</w:t>
      </w:r>
    </w:p>
    <w:p w14:paraId="350229F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出现下列情形之一的，本次竞争性磋商采购活动将被终止：</w:t>
      </w:r>
    </w:p>
    <w:p w14:paraId="51BF697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26.3.1因情况变化，不再符合规定的竞争性磋商采购方式适用情形的。</w:t>
      </w:r>
    </w:p>
    <w:p w14:paraId="78BB7FD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26.3.2出现影响采购公正的违法、违规行为的。</w:t>
      </w:r>
    </w:p>
    <w:p w14:paraId="25BEFE3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26.3.3除本磋商文件第二章第26.1.2条第三款规定的情形外，在采购过程中符合要求的供应商或者最后报价未超过采购预算的供应商不足3家的。</w:t>
      </w:r>
    </w:p>
    <w:p w14:paraId="3124775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26.3.4在苏采云系统规定时间内成功解密电子响应文件的供应商不足3家的。</w:t>
      </w:r>
    </w:p>
    <w:p w14:paraId="55E90F80">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color w:val="000000"/>
          <w:szCs w:val="21"/>
        </w:rPr>
        <w:t>六、成交</w:t>
      </w:r>
    </w:p>
    <w:p w14:paraId="385EB50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27.确定成交单位</w:t>
      </w:r>
    </w:p>
    <w:p w14:paraId="49A89CC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1973D22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CF4DDD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27.2采购人从评审报告提出的成交候选供应商中，按照排序由高到低的原则确定成交供应商。采购人在确定成交供应商后，代理机构将在“扬州市政府采购网”“江苏政府采购网”“中国政府采购网”</w:t>
      </w:r>
      <w:r>
        <w:rPr>
          <w:rFonts w:hint="eastAsia" w:ascii="宋体" w:hAnsi="宋体" w:cs="宋体"/>
          <w:szCs w:val="21"/>
        </w:rPr>
        <w:t>“扬州市广陵区政府采购网”</w:t>
      </w:r>
      <w:r>
        <w:rPr>
          <w:rFonts w:hint="eastAsia" w:ascii="宋体" w:hAnsi="宋体" w:cs="宋体"/>
          <w:color w:val="000000"/>
          <w:szCs w:val="21"/>
        </w:rPr>
        <w:t>发布成交结果公告，公告期限为1个工作日。</w:t>
      </w:r>
    </w:p>
    <w:p w14:paraId="425F701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27.3若有充分证据证明，成交供应商出现下列情况之一的，一经查实，将被取消成交资格：</w:t>
      </w:r>
    </w:p>
    <w:p w14:paraId="5F21CF2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27.3.1提供虚假材料谋取成交的。</w:t>
      </w:r>
    </w:p>
    <w:p w14:paraId="281F1B9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27.3.2与评审专家、采购人、其他供应商或者代理机构工作人员恶意串通的。</w:t>
      </w:r>
    </w:p>
    <w:p w14:paraId="4FBEF1E0">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27.3.3向评审专家、采购人或代理机构工作人员行贿或者提供其他不正当利益的。</w:t>
      </w:r>
    </w:p>
    <w:p w14:paraId="5B49D18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27.3.4恶意竞争，最后报价明显低于其自身合理成本且又无法提供证明的。</w:t>
      </w:r>
    </w:p>
    <w:p w14:paraId="0E44109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27.3.5不满足本磋商文件规定的实质性要求，但在评审过程中又未被磋商小组发现的。</w:t>
      </w:r>
    </w:p>
    <w:p w14:paraId="41CCA3B9">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27.3.6成交后无正当理由拒不与采购人签订政府采购合同或者未按照磋商文件确定的事项签订政府采购合同的。</w:t>
      </w:r>
    </w:p>
    <w:p w14:paraId="33700F4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27.3.7将政府采购合同转包的。</w:t>
      </w:r>
    </w:p>
    <w:p w14:paraId="297232E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28.质疑处理</w:t>
      </w:r>
    </w:p>
    <w:p w14:paraId="3AE109F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28.1 提出质疑的供应商应当是参与所质疑项目采购活动的供应商。潜在供应商依法获取其可质疑的采购文件的，可以对采购文件提出质疑。</w:t>
      </w:r>
    </w:p>
    <w:p w14:paraId="7249420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415FD22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 xml:space="preserve">28.2.1对可以质疑的采购文件提出质疑的，为收到采购文件之日或者采购文件公告期限届满之日。 </w:t>
      </w:r>
    </w:p>
    <w:p w14:paraId="51A25A8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28.2.2对采购过程提出质疑的，为各采购程序环节结束之日。</w:t>
      </w:r>
      <w:r>
        <w:rPr>
          <w:rFonts w:hint="eastAsia" w:ascii="宋体" w:hAnsi="宋体" w:cs="宋体"/>
          <w:color w:val="000000"/>
          <w:szCs w:val="21"/>
        </w:rPr>
        <w:br w:type="textWrapping"/>
      </w:r>
      <w:r>
        <w:rPr>
          <w:rFonts w:hint="eastAsia" w:ascii="宋体" w:hAnsi="宋体" w:cs="宋体"/>
          <w:color w:val="000000"/>
          <w:szCs w:val="21"/>
        </w:rPr>
        <w:t xml:space="preserve">    28.2.3对成交结果提出质疑的，为成交结果公告期限届满之日。</w:t>
      </w:r>
    </w:p>
    <w:p w14:paraId="55CA0E8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供应商应当在法定质疑期内一次性提出针对同一采购程序环节的质疑。供应商如在法定期限内对同一采购程序环节提出多次质疑的，代理机构、采购人将只对供应商第一次质疑作出答复。</w:t>
      </w:r>
    </w:p>
    <w:p w14:paraId="7A58D30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28.3质疑函必须按照本磋商文件中《质疑函范本》要求的格式和内容进行填写。供应商如组成联合体参加磋商，则《质疑函范本》中要求签字、盖章、加盖公章之处，联合体各方均须按要求签字、盖章、加盖公章。</w:t>
      </w:r>
    </w:p>
    <w:p w14:paraId="7DC8120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53E2A4AD">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采购人及代理机构只接收以纸质原件形式送达的质疑，建议供应商通过邮寄方式提交质疑（采购人和代理机构不接受无快递运单号的快递）。</w:t>
      </w:r>
    </w:p>
    <w:p w14:paraId="6AFFB3F7">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质疑接收人及联系方式见本磋商文件第一章。</w:t>
      </w:r>
    </w:p>
    <w:p w14:paraId="30941A97">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28.5 以下情形的质疑不予受理</w:t>
      </w:r>
    </w:p>
    <w:p w14:paraId="62F58A9B">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28.5.1 内容不符合《政府采购质疑和投诉办法》第十二条规定的质疑。</w:t>
      </w:r>
    </w:p>
    <w:p w14:paraId="7384126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28.5.2 超出政府采购法定期限的质疑。</w:t>
      </w:r>
    </w:p>
    <w:p w14:paraId="2B00F31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28.5.3 以传真、电子邮件等方式递交的非原件形式的质疑。</w:t>
      </w:r>
    </w:p>
    <w:p w14:paraId="2D55A1D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28.5.4 未参加磋商活动的供应商或在磋商活动中自身权益未受到损害的供应商所提出的质疑。</w:t>
      </w:r>
    </w:p>
    <w:p w14:paraId="64E2207A">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28.5.5供应商组成联合体参加磋商，联合体中任何一方或多方未按要求签字、盖章、加盖公章的质疑。</w:t>
      </w:r>
    </w:p>
    <w:p w14:paraId="5B46596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B68DD4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29.成交通知书</w:t>
      </w:r>
    </w:p>
    <w:p w14:paraId="16CA1851">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1E0531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29.2成交通知书将是合同的一个组成部分。对采购人和成交供应商均具有法律效力。成交通知书发出后，采购人改变成交结果的，或者成交供应商放弃成交项目的，应当依法承担法律责任。</w:t>
      </w:r>
    </w:p>
    <w:p w14:paraId="097F78C6">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szCs w:val="21"/>
        </w:rPr>
      </w:pPr>
      <w:r>
        <w:rPr>
          <w:rFonts w:hint="eastAsia" w:ascii="宋体" w:hAnsi="宋体" w:cs="宋体"/>
          <w:b/>
          <w:color w:val="000000"/>
          <w:szCs w:val="21"/>
        </w:rPr>
        <w:t>七、授予合同</w:t>
      </w:r>
    </w:p>
    <w:p w14:paraId="0D0A7E8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30. 签订合同</w:t>
      </w:r>
    </w:p>
    <w:p w14:paraId="687AC815">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30.l成交供应商应当在成交通知书发出之日起三十日内，按照磋商文件确定的事项与采购人签订政府采购合同。</w:t>
      </w:r>
    </w:p>
    <w:p w14:paraId="4132C84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30.2磋商文件、成交供应商的响应文件及磋商过程中有关澄清、承诺文件均应作为合同附件。</w:t>
      </w:r>
    </w:p>
    <w:p w14:paraId="08172A4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3705E843">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szCs w:val="21"/>
        </w:rPr>
      </w:pPr>
      <w:r>
        <w:rPr>
          <w:rFonts w:hint="eastAsia" w:ascii="宋体" w:hAnsi="宋体" w:cs="宋体"/>
          <w:color w:val="000000"/>
          <w:szCs w:val="21"/>
        </w:rPr>
        <w:t>31.政府采购履约资金扶持政策</w:t>
      </w:r>
    </w:p>
    <w:p w14:paraId="5EA676D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000000"/>
          <w:szCs w:val="21"/>
        </w:rPr>
      </w:pPr>
      <w:r>
        <w:rPr>
          <w:rFonts w:hint="eastAsia" w:ascii="宋体" w:hAnsi="宋体" w:cs="宋体"/>
          <w:color w:val="000000"/>
          <w:szCs w:val="21"/>
        </w:rPr>
        <w:t>成交供应商可凭政府采购合同办理融资贷款，详情请见江苏政府采购网“政采贷”专栏。</w:t>
      </w:r>
    </w:p>
    <w:p w14:paraId="102F8622">
      <w:pPr>
        <w:spacing w:line="360" w:lineRule="auto"/>
        <w:ind w:firstLine="420"/>
        <w:rPr>
          <w:rFonts w:ascii="宋体" w:hAnsi="宋体"/>
          <w:szCs w:val="21"/>
        </w:rPr>
      </w:pPr>
      <w:r>
        <w:rPr>
          <w:rFonts w:ascii="宋体" w:hAnsi="宋体"/>
          <w:szCs w:val="21"/>
        </w:rPr>
        <w:t>3</w:t>
      </w:r>
      <w:r>
        <w:rPr>
          <w:rFonts w:hint="eastAsia" w:ascii="宋体" w:hAnsi="宋体"/>
          <w:szCs w:val="21"/>
        </w:rPr>
        <w:t>2.其他</w:t>
      </w:r>
    </w:p>
    <w:p w14:paraId="64686EC8">
      <w:pPr>
        <w:spacing w:line="360" w:lineRule="auto"/>
        <w:ind w:firstLine="420"/>
      </w:pPr>
      <w:r>
        <w:rPr>
          <w:rFonts w:hint="eastAsia" w:ascii="宋体" w:hAnsi="宋体"/>
          <w:szCs w:val="21"/>
        </w:rPr>
        <w:t>32.1依据《政府采购促进中小企业发展管理办法》享受扶持政策获得政府采购合同的，小微企业不得将合同分包给大中型企业，中型企业不得将合同分包给大型企业。</w:t>
      </w:r>
    </w:p>
    <w:p w14:paraId="0734088D">
      <w:pPr>
        <w:pStyle w:val="234"/>
      </w:pPr>
    </w:p>
    <w:p w14:paraId="60789D1C"/>
    <w:p w14:paraId="47394546">
      <w:pPr>
        <w:pStyle w:val="234"/>
      </w:pPr>
    </w:p>
    <w:p w14:paraId="3F3D6138"/>
    <w:p w14:paraId="1B455FF2">
      <w:pPr>
        <w:pStyle w:val="234"/>
      </w:pPr>
    </w:p>
    <w:p w14:paraId="55216C2C"/>
    <w:p w14:paraId="7A5512B8">
      <w:pPr>
        <w:pStyle w:val="234"/>
      </w:pPr>
    </w:p>
    <w:p w14:paraId="73476CDC"/>
    <w:p w14:paraId="1E4C2058">
      <w:pPr>
        <w:pStyle w:val="234"/>
      </w:pPr>
    </w:p>
    <w:p w14:paraId="590B490C"/>
    <w:p w14:paraId="3B97C2A9"/>
    <w:p w14:paraId="7067E69F">
      <w:pPr>
        <w:pStyle w:val="50"/>
        <w:spacing w:before="0" w:after="0" w:line="360" w:lineRule="auto"/>
        <w:jc w:val="center"/>
        <w:rPr>
          <w:rFonts w:ascii="宋体" w:hAnsi="宋体"/>
          <w:sz w:val="36"/>
        </w:rPr>
      </w:pPr>
      <w:bookmarkStart w:id="28" w:name="_Toc11332"/>
      <w:bookmarkStart w:id="29" w:name="_Toc497145841"/>
      <w:bookmarkStart w:id="30" w:name="_Toc10833"/>
      <w:r>
        <w:rPr>
          <w:rFonts w:hint="eastAsia" w:ascii="宋体" w:hAnsi="宋体"/>
          <w:sz w:val="36"/>
        </w:rPr>
        <w:br w:type="page" w:clear="all"/>
      </w:r>
      <w:bookmarkStart w:id="31" w:name="_Toc5763"/>
      <w:r>
        <w:rPr>
          <w:rFonts w:hint="eastAsia" w:ascii="宋体" w:hAnsi="宋体"/>
          <w:sz w:val="36"/>
        </w:rPr>
        <w:t>第三章 合同条款及格式</w:t>
      </w:r>
      <w:bookmarkEnd w:id="28"/>
      <w:bookmarkEnd w:id="29"/>
      <w:bookmarkEnd w:id="30"/>
      <w:bookmarkEnd w:id="31"/>
    </w:p>
    <w:p w14:paraId="1C690206">
      <w:pPr>
        <w:pStyle w:val="285"/>
        <w:spacing w:line="360" w:lineRule="auto"/>
        <w:ind w:firstLine="420"/>
        <w:rPr>
          <w:rFonts w:hAnsi="宋体" w:cs="宋体"/>
          <w:sz w:val="21"/>
        </w:rPr>
      </w:pPr>
      <w:r>
        <w:rPr>
          <w:rFonts w:hint="eastAsia" w:hAnsi="宋体" w:cs="宋体"/>
          <w:sz w:val="21"/>
        </w:rPr>
        <w:t>以下为中标后签定本项目合同的通用条款，中标人不得提出实质性的修改，关于专用条款将由采购人与中标人结合本项目具体情况协商后签订。</w:t>
      </w:r>
    </w:p>
    <w:p w14:paraId="39100F65">
      <w:pPr>
        <w:pStyle w:val="285"/>
        <w:spacing w:line="360" w:lineRule="auto"/>
        <w:ind w:firstLine="422"/>
        <w:jc w:val="center"/>
        <w:rPr>
          <w:rFonts w:hAnsi="宋体" w:cs="宋体"/>
          <w:b/>
          <w:bCs/>
          <w:sz w:val="21"/>
        </w:rPr>
      </w:pPr>
    </w:p>
    <w:p w14:paraId="00DD3B2A">
      <w:pPr>
        <w:pStyle w:val="285"/>
        <w:spacing w:line="360" w:lineRule="auto"/>
        <w:ind w:firstLine="422"/>
        <w:jc w:val="center"/>
        <w:rPr>
          <w:rFonts w:hAnsi="宋体" w:cs="宋体"/>
          <w:b/>
          <w:bCs/>
          <w:sz w:val="21"/>
        </w:rPr>
      </w:pPr>
      <w:r>
        <w:rPr>
          <w:rFonts w:hint="eastAsia" w:hAnsi="宋体" w:cs="宋体"/>
          <w:b/>
          <w:bCs/>
          <w:sz w:val="21"/>
        </w:rPr>
        <w:t>扬州市政府采购合同（服务)（合同编号）</w:t>
      </w:r>
    </w:p>
    <w:p w14:paraId="5B42FEDF">
      <w:pPr>
        <w:pStyle w:val="285"/>
        <w:spacing w:line="480" w:lineRule="exact"/>
        <w:rPr>
          <w:rFonts w:hAnsi="宋体" w:cs="宋体"/>
          <w:color w:val="000000"/>
          <w:sz w:val="21"/>
        </w:rPr>
      </w:pPr>
      <w:bookmarkStart w:id="32" w:name="_Toc109304974"/>
      <w:bookmarkStart w:id="33" w:name="_Toc10399"/>
      <w:r>
        <w:rPr>
          <w:rFonts w:hint="eastAsia" w:hAnsi="宋体" w:cs="宋体"/>
          <w:color w:val="000000"/>
          <w:sz w:val="21"/>
        </w:rPr>
        <w:t>项目名称：</w:t>
      </w:r>
    </w:p>
    <w:p w14:paraId="78623D28">
      <w:pPr>
        <w:pStyle w:val="285"/>
        <w:spacing w:line="480" w:lineRule="exact"/>
        <w:rPr>
          <w:rFonts w:hAnsi="宋体" w:cs="宋体"/>
          <w:color w:val="000000"/>
          <w:sz w:val="21"/>
        </w:rPr>
      </w:pPr>
      <w:r>
        <w:rPr>
          <w:rFonts w:hint="eastAsia" w:hAnsi="宋体" w:cs="宋体"/>
          <w:color w:val="000000"/>
          <w:sz w:val="21"/>
        </w:rPr>
        <w:t>编号：</w:t>
      </w:r>
    </w:p>
    <w:p w14:paraId="2132F810">
      <w:pPr>
        <w:pStyle w:val="285"/>
        <w:spacing w:line="480" w:lineRule="exact"/>
        <w:rPr>
          <w:rFonts w:hAnsi="宋体" w:cs="宋体"/>
          <w:color w:val="000000"/>
          <w:sz w:val="21"/>
        </w:rPr>
      </w:pPr>
      <w:r>
        <w:rPr>
          <w:rFonts w:hint="eastAsia" w:hAnsi="宋体" w:cs="宋体"/>
          <w:color w:val="000000"/>
          <w:sz w:val="21"/>
        </w:rPr>
        <w:t>甲方（采购人/买方）：</w:t>
      </w:r>
    </w:p>
    <w:p w14:paraId="317063ED">
      <w:pPr>
        <w:pStyle w:val="285"/>
        <w:spacing w:line="480" w:lineRule="exact"/>
        <w:rPr>
          <w:rFonts w:hAnsi="宋体" w:cs="宋体"/>
          <w:color w:val="000000"/>
          <w:sz w:val="21"/>
          <w:u w:val="single"/>
        </w:rPr>
      </w:pPr>
      <w:r>
        <w:rPr>
          <w:rFonts w:hint="eastAsia" w:hAnsi="宋体" w:cs="宋体"/>
          <w:color w:val="000000"/>
          <w:sz w:val="21"/>
        </w:rPr>
        <w:t>乙方（供应商/卖方）：</w:t>
      </w:r>
    </w:p>
    <w:p w14:paraId="39DA8C54">
      <w:pPr>
        <w:pStyle w:val="285"/>
        <w:spacing w:line="480" w:lineRule="exact"/>
        <w:rPr>
          <w:rFonts w:hAnsi="宋体" w:cs="宋体"/>
          <w:color w:val="000000"/>
          <w:sz w:val="21"/>
          <w:u w:val="single"/>
        </w:rPr>
      </w:pPr>
      <w:r>
        <w:rPr>
          <w:rFonts w:hint="eastAsia" w:hAnsi="宋体" w:cs="宋体"/>
          <w:color w:val="000000"/>
          <w:sz w:val="21"/>
        </w:rPr>
        <w:t>见证方：</w:t>
      </w:r>
    </w:p>
    <w:p w14:paraId="7B7ACEE1">
      <w:pPr>
        <w:pStyle w:val="285"/>
        <w:spacing w:line="480" w:lineRule="exact"/>
        <w:ind w:firstLine="420"/>
        <w:rPr>
          <w:rFonts w:hAnsi="宋体" w:cs="宋体"/>
          <w:color w:val="000000"/>
          <w:sz w:val="21"/>
        </w:rPr>
      </w:pPr>
      <w:r>
        <w:rPr>
          <w:rFonts w:hint="eastAsia" w:hAnsi="宋体" w:cs="宋体"/>
          <w:color w:val="000000"/>
          <w:sz w:val="21"/>
        </w:rPr>
        <w:t>根据《中华人民共和国政府采购法》、《中华人民共和国民法典》等法律法规的规定，甲乙双方按照捷宏润安工程顾问有限公司扬州分公司关于本项目磋商结果签订本合同。</w:t>
      </w:r>
    </w:p>
    <w:p w14:paraId="638BA505">
      <w:pPr>
        <w:pStyle w:val="285"/>
        <w:spacing w:before="120" w:after="120" w:line="360" w:lineRule="auto"/>
        <w:ind w:firstLine="422"/>
        <w:rPr>
          <w:rFonts w:hAnsi="宋体" w:cs="宋体"/>
          <w:b/>
          <w:bCs/>
          <w:color w:val="000000"/>
          <w:sz w:val="21"/>
        </w:rPr>
      </w:pPr>
      <w:r>
        <w:rPr>
          <w:rFonts w:hint="eastAsia" w:hAnsi="宋体" w:cs="宋体"/>
          <w:b/>
          <w:bCs/>
          <w:color w:val="000000"/>
          <w:sz w:val="21"/>
        </w:rPr>
        <w:t>一、服务及产品内容</w:t>
      </w:r>
    </w:p>
    <w:p w14:paraId="2EDAAC55">
      <w:pPr>
        <w:pStyle w:val="285"/>
        <w:spacing w:before="120" w:after="120" w:line="360" w:lineRule="auto"/>
        <w:ind w:firstLine="420"/>
        <w:rPr>
          <w:rFonts w:hAnsi="宋体" w:cs="宋体"/>
          <w:color w:val="000000"/>
          <w:sz w:val="21"/>
        </w:rPr>
      </w:pPr>
      <w:r>
        <w:rPr>
          <w:rFonts w:hint="eastAsia" w:hAnsi="宋体" w:cs="宋体"/>
          <w:color w:val="000000"/>
          <w:sz w:val="21"/>
        </w:rPr>
        <w:t>1.1 项目（产品）名称：</w:t>
      </w:r>
    </w:p>
    <w:p w14:paraId="254E860D">
      <w:pPr>
        <w:pStyle w:val="285"/>
        <w:spacing w:before="120" w:after="120" w:line="360" w:lineRule="auto"/>
        <w:ind w:firstLine="420"/>
        <w:rPr>
          <w:rFonts w:hAnsi="宋体" w:cs="宋体"/>
          <w:color w:val="000000"/>
          <w:sz w:val="21"/>
        </w:rPr>
      </w:pPr>
      <w:r>
        <w:rPr>
          <w:rFonts w:hint="eastAsia" w:hAnsi="宋体" w:cs="宋体"/>
          <w:color w:val="000000"/>
          <w:sz w:val="21"/>
        </w:rPr>
        <w:t>1.2 项目服务内容：</w:t>
      </w:r>
    </w:p>
    <w:p w14:paraId="797AC3C2">
      <w:pPr>
        <w:pStyle w:val="285"/>
        <w:spacing w:before="120" w:after="120" w:line="360" w:lineRule="auto"/>
        <w:ind w:firstLine="422"/>
        <w:rPr>
          <w:rFonts w:hAnsi="宋体" w:cs="宋体"/>
          <w:b/>
          <w:bCs/>
          <w:color w:val="000000"/>
          <w:sz w:val="21"/>
        </w:rPr>
      </w:pPr>
      <w:r>
        <w:rPr>
          <w:rFonts w:hint="eastAsia" w:hAnsi="宋体" w:cs="宋体"/>
          <w:b/>
          <w:bCs/>
          <w:color w:val="000000"/>
          <w:sz w:val="21"/>
        </w:rPr>
        <w:t>二、合同金额</w:t>
      </w:r>
    </w:p>
    <w:p w14:paraId="0AD386FB">
      <w:pPr>
        <w:pStyle w:val="285"/>
        <w:spacing w:before="120" w:after="120" w:line="360" w:lineRule="auto"/>
        <w:ind w:firstLine="420"/>
        <w:rPr>
          <w:rFonts w:hAnsi="宋体" w:cs="宋体"/>
          <w:color w:val="000000"/>
          <w:sz w:val="21"/>
        </w:rPr>
      </w:pPr>
      <w:r>
        <w:rPr>
          <w:rFonts w:hint="eastAsia" w:hAnsi="宋体" w:cs="宋体"/>
          <w:color w:val="000000"/>
          <w:sz w:val="21"/>
        </w:rPr>
        <w:t>2.1 本合同金额为（大写）：____________________________________圆（_______________元）人民币。</w:t>
      </w:r>
    </w:p>
    <w:p w14:paraId="10B8D54E">
      <w:pPr>
        <w:pStyle w:val="285"/>
        <w:spacing w:before="120" w:after="120" w:line="360" w:lineRule="auto"/>
        <w:ind w:firstLine="420"/>
        <w:rPr>
          <w:rFonts w:hAnsi="宋体" w:cs="宋体"/>
          <w:color w:val="000000"/>
          <w:sz w:val="21"/>
        </w:rPr>
      </w:pPr>
      <w:r>
        <w:rPr>
          <w:rFonts w:hint="eastAsia" w:hAnsi="宋体" w:cs="宋体"/>
          <w:color w:val="000000"/>
          <w:sz w:val="21"/>
        </w:rPr>
        <w:t>2.3 在竞争性磋商文件未列明，而乙方认为履行本合同必需的费用也包含在合同总金额中。</w:t>
      </w:r>
    </w:p>
    <w:p w14:paraId="659A069A">
      <w:pPr>
        <w:pStyle w:val="285"/>
        <w:spacing w:before="120" w:after="120" w:line="360" w:lineRule="auto"/>
        <w:ind w:firstLine="420"/>
        <w:rPr>
          <w:rFonts w:hAnsi="宋体" w:cs="宋体"/>
          <w:color w:val="000000"/>
          <w:sz w:val="21"/>
        </w:rPr>
      </w:pPr>
      <w:r>
        <w:rPr>
          <w:rFonts w:hint="eastAsia" w:hAnsi="宋体" w:cs="宋体"/>
          <w:color w:val="000000"/>
          <w:sz w:val="21"/>
        </w:rPr>
        <w:t>2.4 本合同总金额还包含乙方提供的伴随服务/售后服务费用。</w:t>
      </w:r>
    </w:p>
    <w:p w14:paraId="268CF803">
      <w:pPr>
        <w:pStyle w:val="285"/>
        <w:spacing w:before="120" w:after="120" w:line="360" w:lineRule="auto"/>
        <w:ind w:firstLine="420"/>
        <w:rPr>
          <w:rFonts w:hAnsi="宋体" w:cs="宋体"/>
          <w:color w:val="000000"/>
          <w:sz w:val="21"/>
        </w:rPr>
      </w:pPr>
      <w:r>
        <w:rPr>
          <w:rFonts w:hint="eastAsia" w:hAnsi="宋体" w:cs="宋体"/>
          <w:color w:val="000000"/>
          <w:sz w:val="21"/>
        </w:rPr>
        <w:t>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p>
    <w:p w14:paraId="6864EEB7">
      <w:pPr>
        <w:pStyle w:val="285"/>
        <w:spacing w:before="120" w:after="120" w:line="360" w:lineRule="auto"/>
        <w:ind w:firstLine="422"/>
        <w:rPr>
          <w:rFonts w:hAnsi="宋体" w:cs="宋体"/>
          <w:b/>
          <w:bCs/>
          <w:color w:val="000000"/>
          <w:sz w:val="21"/>
        </w:rPr>
      </w:pPr>
      <w:r>
        <w:rPr>
          <w:rFonts w:hint="eastAsia" w:hAnsi="宋体" w:cs="宋体"/>
          <w:b/>
          <w:bCs/>
          <w:color w:val="000000"/>
          <w:sz w:val="21"/>
        </w:rPr>
        <w:t>三、技术资料</w:t>
      </w:r>
    </w:p>
    <w:p w14:paraId="333D54C2">
      <w:pPr>
        <w:pStyle w:val="285"/>
        <w:spacing w:before="120" w:after="120" w:line="360" w:lineRule="auto"/>
        <w:ind w:firstLine="420"/>
        <w:rPr>
          <w:rFonts w:hAnsi="宋体" w:cs="宋体"/>
          <w:color w:val="000000"/>
          <w:sz w:val="21"/>
        </w:rPr>
      </w:pPr>
      <w:r>
        <w:rPr>
          <w:rFonts w:hint="eastAsia" w:hAnsi="宋体" w:cs="宋体"/>
          <w:color w:val="000000"/>
          <w:sz w:val="21"/>
        </w:rPr>
        <w:t>3.1乙方应按招标文件规定的时间向甲方提供使用服务或产品的有关技术资料。</w:t>
      </w:r>
    </w:p>
    <w:p w14:paraId="693369A2">
      <w:pPr>
        <w:pStyle w:val="285"/>
        <w:spacing w:before="120" w:after="120" w:line="360" w:lineRule="auto"/>
        <w:ind w:firstLine="420"/>
        <w:rPr>
          <w:rFonts w:hAnsi="宋体" w:cs="宋体"/>
          <w:color w:val="000000"/>
          <w:sz w:val="21"/>
        </w:rPr>
      </w:pPr>
      <w:r>
        <w:rPr>
          <w:rFonts w:hint="eastAsia" w:hAnsi="宋体" w:cs="宋体"/>
          <w:color w:val="000000"/>
          <w:sz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6B12DA">
      <w:pPr>
        <w:pStyle w:val="285"/>
        <w:spacing w:before="120" w:after="120" w:line="360" w:lineRule="auto"/>
        <w:ind w:firstLine="422"/>
        <w:rPr>
          <w:rFonts w:hAnsi="宋体" w:cs="宋体"/>
          <w:b/>
          <w:bCs/>
          <w:color w:val="000000"/>
          <w:sz w:val="21"/>
        </w:rPr>
      </w:pPr>
      <w:r>
        <w:rPr>
          <w:rFonts w:hint="eastAsia" w:hAnsi="宋体" w:cs="宋体"/>
          <w:b/>
          <w:bCs/>
          <w:color w:val="000000"/>
          <w:sz w:val="21"/>
        </w:rPr>
        <w:t>四、知识产权</w:t>
      </w:r>
    </w:p>
    <w:p w14:paraId="4873B6E1">
      <w:pPr>
        <w:pStyle w:val="285"/>
        <w:spacing w:before="120" w:after="120" w:line="360" w:lineRule="auto"/>
        <w:ind w:firstLine="420"/>
        <w:rPr>
          <w:rFonts w:hAnsi="宋体" w:cs="宋体"/>
          <w:color w:val="000000"/>
          <w:sz w:val="21"/>
        </w:rPr>
      </w:pPr>
      <w:r>
        <w:rPr>
          <w:rFonts w:hint="eastAsia" w:hAnsi="宋体" w:cs="宋体"/>
          <w:color w:val="000000"/>
          <w:sz w:val="21"/>
        </w:rPr>
        <w:t>4.1乙方应保证甲方在使用、接受本合同服务或产品或其任何一部分时不受第三方提出侵犯其专利权、版权、商标权和工业设计权等知识产权的起诉。一旦出现侵权，由乙方负全部责任。</w:t>
      </w:r>
    </w:p>
    <w:p w14:paraId="6B1A7133">
      <w:pPr>
        <w:pStyle w:val="285"/>
        <w:spacing w:before="120" w:after="120" w:line="360" w:lineRule="auto"/>
        <w:ind w:firstLine="422"/>
        <w:rPr>
          <w:rFonts w:hAnsi="宋体" w:cs="宋体"/>
          <w:b/>
          <w:bCs/>
          <w:color w:val="000000"/>
          <w:sz w:val="21"/>
        </w:rPr>
      </w:pPr>
      <w:r>
        <w:rPr>
          <w:rFonts w:hint="eastAsia" w:hAnsi="宋体" w:cs="宋体"/>
          <w:b/>
          <w:bCs/>
          <w:color w:val="000000"/>
          <w:sz w:val="21"/>
        </w:rPr>
        <w:t>五、产权担保</w:t>
      </w:r>
    </w:p>
    <w:p w14:paraId="1B0DB185">
      <w:pPr>
        <w:pStyle w:val="285"/>
        <w:spacing w:before="120" w:after="120" w:line="360" w:lineRule="auto"/>
        <w:ind w:firstLine="420"/>
        <w:rPr>
          <w:rFonts w:hAnsi="宋体" w:cs="宋体"/>
          <w:color w:val="000000"/>
          <w:sz w:val="21"/>
        </w:rPr>
      </w:pPr>
      <w:r>
        <w:rPr>
          <w:rFonts w:hint="eastAsia" w:hAnsi="宋体" w:cs="宋体"/>
          <w:color w:val="000000"/>
          <w:sz w:val="21"/>
        </w:rPr>
        <w:t>5.1 乙方保证所交付的服务或产品的所有权完全属于乙方且无任何抵押、查封等产权瑕疵。</w:t>
      </w:r>
    </w:p>
    <w:p w14:paraId="7EB945E3">
      <w:pPr>
        <w:pStyle w:val="285"/>
        <w:spacing w:before="120" w:after="120" w:line="360" w:lineRule="auto"/>
        <w:ind w:firstLine="422"/>
        <w:rPr>
          <w:rFonts w:hAnsi="宋体" w:cs="宋体"/>
          <w:b/>
          <w:bCs/>
          <w:color w:val="000000"/>
          <w:sz w:val="21"/>
        </w:rPr>
      </w:pPr>
      <w:r>
        <w:rPr>
          <w:rFonts w:hint="eastAsia" w:hAnsi="宋体" w:cs="宋体"/>
          <w:b/>
          <w:bCs/>
          <w:color w:val="000000"/>
          <w:sz w:val="21"/>
        </w:rPr>
        <w:t>六、履约保证金</w:t>
      </w:r>
    </w:p>
    <w:p w14:paraId="5E72076A">
      <w:pPr>
        <w:pStyle w:val="285"/>
        <w:spacing w:before="120" w:after="120" w:line="360" w:lineRule="auto"/>
        <w:ind w:firstLine="420"/>
        <w:rPr>
          <w:rFonts w:hAnsi="宋体" w:cs="宋体"/>
          <w:color w:val="000000"/>
          <w:sz w:val="21"/>
        </w:rPr>
      </w:pPr>
      <w:r>
        <w:rPr>
          <w:rFonts w:hint="eastAsia" w:hAnsi="宋体" w:cs="宋体"/>
          <w:color w:val="000000"/>
          <w:sz w:val="21"/>
        </w:rPr>
        <w:t>6.1收取履约保证金的，应当在采购合同中约定履约保证金退还的方式、时间、条件和不予退还的情形，明确逾期退还履约保证金的违约责任。</w:t>
      </w:r>
    </w:p>
    <w:p w14:paraId="4D129EEF">
      <w:pPr>
        <w:pStyle w:val="285"/>
        <w:spacing w:before="120" w:after="120" w:line="360" w:lineRule="auto"/>
        <w:ind w:firstLine="420"/>
        <w:rPr>
          <w:rFonts w:hAnsi="宋体" w:cs="宋体"/>
          <w:color w:val="000000"/>
          <w:sz w:val="21"/>
        </w:rPr>
      </w:pPr>
      <w:r>
        <w:rPr>
          <w:rFonts w:hint="eastAsia" w:hAnsi="宋体" w:cs="宋体"/>
          <w:color w:val="000000"/>
          <w:sz w:val="21"/>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76A180F2">
      <w:pPr>
        <w:pStyle w:val="285"/>
        <w:spacing w:before="120" w:after="120" w:line="360" w:lineRule="auto"/>
        <w:ind w:firstLine="420"/>
        <w:rPr>
          <w:rFonts w:hAnsi="宋体" w:cs="宋体"/>
          <w:color w:val="000000"/>
          <w:sz w:val="21"/>
        </w:rPr>
      </w:pPr>
      <w:r>
        <w:rPr>
          <w:rFonts w:hint="eastAsia" w:hAnsi="宋体" w:cs="宋体"/>
          <w:color w:val="000000"/>
          <w:sz w:val="21"/>
        </w:rPr>
        <w:t xml:space="preserve">6.3履约保证金扣除甲方应得的补偿后的余额，在本合同履行结束后由甲方无息退还。 </w:t>
      </w:r>
    </w:p>
    <w:p w14:paraId="0C1FD2D3">
      <w:pPr>
        <w:pStyle w:val="287"/>
        <w:ind w:firstLine="0"/>
        <w:rPr>
          <w:rFonts w:ascii="宋体" w:hAnsi="宋体" w:cs="宋体"/>
          <w:color w:val="000000"/>
          <w:szCs w:val="21"/>
        </w:rPr>
      </w:pPr>
      <w:r>
        <w:rPr>
          <w:rFonts w:hint="eastAsia" w:ascii="宋体" w:hAnsi="宋体" w:cs="宋体"/>
          <w:color w:val="000000"/>
          <w:szCs w:val="21"/>
        </w:rPr>
        <w:t xml:space="preserve"> 6.4本项目不收取履约保证金。</w:t>
      </w:r>
    </w:p>
    <w:p w14:paraId="4D3A840C">
      <w:pPr>
        <w:pStyle w:val="285"/>
        <w:spacing w:before="120" w:after="120" w:line="360" w:lineRule="auto"/>
        <w:ind w:firstLine="422"/>
        <w:rPr>
          <w:rFonts w:hAnsi="宋体" w:cs="宋体"/>
          <w:b/>
          <w:bCs/>
          <w:color w:val="000000"/>
          <w:sz w:val="21"/>
        </w:rPr>
      </w:pPr>
      <w:r>
        <w:rPr>
          <w:rFonts w:hint="eastAsia" w:hAnsi="宋体" w:cs="宋体"/>
          <w:b/>
          <w:bCs/>
          <w:color w:val="000000"/>
          <w:sz w:val="21"/>
        </w:rPr>
        <w:t>七、转包或分包</w:t>
      </w:r>
    </w:p>
    <w:p w14:paraId="7751BEC3">
      <w:pPr>
        <w:pStyle w:val="285"/>
        <w:spacing w:before="120" w:after="120" w:line="360" w:lineRule="auto"/>
        <w:ind w:firstLine="420"/>
        <w:rPr>
          <w:rFonts w:hAnsi="宋体" w:cs="宋体"/>
          <w:color w:val="000000"/>
          <w:sz w:val="21"/>
        </w:rPr>
      </w:pPr>
      <w:r>
        <w:rPr>
          <w:rFonts w:hint="eastAsia" w:hAnsi="宋体" w:cs="宋体"/>
          <w:color w:val="000000"/>
          <w:sz w:val="21"/>
        </w:rPr>
        <w:t>7.1本合同范围的服务或产品，应由乙方直接供应，不得转让他人供应；</w:t>
      </w:r>
    </w:p>
    <w:p w14:paraId="5FD9A019">
      <w:pPr>
        <w:pStyle w:val="285"/>
        <w:spacing w:before="120" w:after="120" w:line="360" w:lineRule="auto"/>
        <w:ind w:firstLine="420"/>
        <w:rPr>
          <w:rFonts w:hAnsi="宋体" w:cs="宋体"/>
          <w:color w:val="000000"/>
          <w:sz w:val="21"/>
        </w:rPr>
      </w:pPr>
      <w:r>
        <w:rPr>
          <w:rFonts w:hint="eastAsia" w:hAnsi="宋体" w:cs="宋体"/>
          <w:color w:val="000000"/>
          <w:sz w:val="21"/>
        </w:rPr>
        <w:t>7.2 除非得到甲方的书面同意，乙方不得部分分包给他人供应。</w:t>
      </w:r>
    </w:p>
    <w:p w14:paraId="1925A412">
      <w:pPr>
        <w:pStyle w:val="285"/>
        <w:spacing w:before="120" w:after="120" w:line="360" w:lineRule="auto"/>
        <w:ind w:firstLine="420"/>
        <w:rPr>
          <w:rFonts w:hAnsi="宋体" w:cs="宋体"/>
          <w:color w:val="000000"/>
          <w:sz w:val="21"/>
        </w:rPr>
      </w:pPr>
      <w:r>
        <w:rPr>
          <w:rFonts w:hint="eastAsia" w:hAnsi="宋体" w:cs="宋体"/>
          <w:color w:val="000000"/>
          <w:sz w:val="21"/>
        </w:rPr>
        <w:t>7.3如有转让和未经甲方同意的分包行为，甲方有权给予终止合同。</w:t>
      </w:r>
    </w:p>
    <w:p w14:paraId="069A280D">
      <w:pPr>
        <w:pStyle w:val="285"/>
        <w:spacing w:before="120" w:after="120" w:line="360" w:lineRule="auto"/>
        <w:ind w:firstLine="422"/>
        <w:rPr>
          <w:rFonts w:hAnsi="宋体" w:cs="宋体"/>
          <w:b/>
          <w:bCs/>
          <w:color w:val="000000"/>
          <w:sz w:val="21"/>
        </w:rPr>
      </w:pPr>
      <w:r>
        <w:rPr>
          <w:rFonts w:hint="eastAsia" w:hAnsi="宋体" w:cs="宋体"/>
          <w:b/>
          <w:bCs/>
          <w:color w:val="000000"/>
          <w:sz w:val="21"/>
        </w:rPr>
        <w:t>八、服务期</w:t>
      </w:r>
    </w:p>
    <w:p w14:paraId="7F3E6F2C">
      <w:pPr>
        <w:pStyle w:val="285"/>
        <w:spacing w:before="120" w:after="120" w:line="360" w:lineRule="auto"/>
        <w:ind w:firstLine="420"/>
        <w:rPr>
          <w:rFonts w:hAnsi="宋体" w:cs="宋体"/>
          <w:color w:val="000000"/>
          <w:sz w:val="21"/>
        </w:rPr>
      </w:pPr>
      <w:r>
        <w:rPr>
          <w:rFonts w:hint="eastAsia" w:hAnsi="宋体" w:cs="宋体"/>
          <w:color w:val="000000"/>
          <w:sz w:val="21"/>
        </w:rPr>
        <w:t>8.1 服务期</w:t>
      </w:r>
      <w:r>
        <w:rPr>
          <w:rFonts w:hint="eastAsia" w:hAnsi="宋体" w:cs="宋体"/>
          <w:b/>
          <w:bCs/>
          <w:color w:val="000000"/>
          <w:sz w:val="21"/>
          <w:u w:val="single"/>
          <w:lang w:val="en-US" w:eastAsia="zh-CN"/>
        </w:rPr>
        <w:t>1</w:t>
      </w:r>
      <w:r>
        <w:rPr>
          <w:rFonts w:hint="eastAsia" w:hAnsi="宋体" w:cs="宋体"/>
          <w:color w:val="000000"/>
          <w:sz w:val="21"/>
        </w:rPr>
        <w:t>年。</w:t>
      </w:r>
    </w:p>
    <w:p w14:paraId="14771F28">
      <w:pPr>
        <w:pStyle w:val="285"/>
        <w:spacing w:before="120" w:after="120" w:line="360" w:lineRule="auto"/>
        <w:ind w:firstLine="422"/>
        <w:rPr>
          <w:rFonts w:hAnsi="宋体" w:cs="宋体"/>
          <w:b/>
          <w:bCs/>
          <w:color w:val="000000"/>
          <w:sz w:val="21"/>
        </w:rPr>
      </w:pPr>
      <w:r>
        <w:rPr>
          <w:rFonts w:hint="eastAsia" w:hAnsi="宋体" w:cs="宋体"/>
          <w:b/>
          <w:bCs/>
          <w:color w:val="000000"/>
          <w:sz w:val="21"/>
        </w:rPr>
        <w:t>九、交付期、交付方式及交付地点</w:t>
      </w:r>
    </w:p>
    <w:p w14:paraId="2B772429">
      <w:pPr>
        <w:pStyle w:val="285"/>
        <w:spacing w:before="120" w:after="120" w:line="360" w:lineRule="auto"/>
        <w:ind w:firstLine="420"/>
        <w:rPr>
          <w:rFonts w:hAnsi="宋体" w:cs="宋体"/>
          <w:color w:val="000000"/>
          <w:sz w:val="21"/>
        </w:rPr>
      </w:pPr>
      <w:r>
        <w:rPr>
          <w:rFonts w:hint="eastAsia" w:hAnsi="宋体" w:cs="宋体"/>
          <w:color w:val="000000"/>
          <w:sz w:val="21"/>
        </w:rPr>
        <w:t>9.1 交付期：_________</w:t>
      </w:r>
    </w:p>
    <w:p w14:paraId="3945C3F8">
      <w:pPr>
        <w:pStyle w:val="285"/>
        <w:spacing w:before="120" w:after="120" w:line="360" w:lineRule="auto"/>
        <w:ind w:firstLine="420"/>
        <w:rPr>
          <w:rFonts w:hAnsi="宋体" w:cs="宋体"/>
          <w:color w:val="000000"/>
          <w:sz w:val="21"/>
        </w:rPr>
      </w:pPr>
      <w:r>
        <w:rPr>
          <w:rFonts w:hint="eastAsia" w:hAnsi="宋体" w:cs="宋体"/>
          <w:color w:val="000000"/>
          <w:sz w:val="21"/>
        </w:rPr>
        <w:t>9.2 交付方式：_________</w:t>
      </w:r>
    </w:p>
    <w:p w14:paraId="70E7B40A">
      <w:pPr>
        <w:pStyle w:val="285"/>
        <w:spacing w:before="120" w:after="120" w:line="360" w:lineRule="auto"/>
        <w:ind w:firstLine="420"/>
        <w:rPr>
          <w:rFonts w:hAnsi="宋体" w:cs="宋体"/>
          <w:color w:val="000000"/>
          <w:sz w:val="21"/>
        </w:rPr>
      </w:pPr>
      <w:r>
        <w:rPr>
          <w:rFonts w:hint="eastAsia" w:hAnsi="宋体" w:cs="宋体"/>
          <w:color w:val="000000"/>
          <w:sz w:val="21"/>
        </w:rPr>
        <w:t>9.3 交付地点：_________</w:t>
      </w:r>
    </w:p>
    <w:p w14:paraId="7E37E9E4">
      <w:pPr>
        <w:pStyle w:val="285"/>
        <w:spacing w:before="120" w:after="120" w:line="360" w:lineRule="auto"/>
        <w:ind w:firstLine="422"/>
        <w:rPr>
          <w:rFonts w:hAnsi="宋体" w:cs="宋体"/>
          <w:b/>
          <w:bCs/>
          <w:color w:val="000000"/>
          <w:sz w:val="21"/>
        </w:rPr>
      </w:pPr>
      <w:r>
        <w:rPr>
          <w:rFonts w:hint="eastAsia" w:hAnsi="宋体" w:cs="宋体"/>
          <w:b/>
          <w:bCs/>
          <w:color w:val="000000"/>
          <w:sz w:val="21"/>
        </w:rPr>
        <w:t>十、货款支付</w:t>
      </w:r>
    </w:p>
    <w:p w14:paraId="38F89FC0">
      <w:pPr>
        <w:spacing w:line="360" w:lineRule="auto"/>
        <w:ind w:firstLine="420"/>
        <w:rPr>
          <w:rFonts w:ascii="宋体" w:hAnsi="宋体" w:cs="宋体"/>
          <w:color w:val="000000"/>
          <w:szCs w:val="21"/>
        </w:rPr>
      </w:pPr>
      <w:r>
        <w:rPr>
          <w:rFonts w:hint="eastAsia" w:ascii="宋体" w:hAnsi="宋体" w:cs="宋体"/>
          <w:color w:val="000000"/>
          <w:szCs w:val="21"/>
        </w:rPr>
        <w:t xml:space="preserve">10.1 本合同项下所有款项均以人民币支付。 </w:t>
      </w:r>
    </w:p>
    <w:p w14:paraId="0D92C652">
      <w:pPr>
        <w:spacing w:line="360" w:lineRule="auto"/>
        <w:ind w:firstLine="420"/>
        <w:rPr>
          <w:rFonts w:ascii="宋体" w:hAnsi="宋体" w:cs="宋体"/>
          <w:color w:val="000000"/>
          <w:szCs w:val="21"/>
        </w:rPr>
      </w:pPr>
      <w:r>
        <w:rPr>
          <w:rFonts w:hint="eastAsia" w:ascii="宋体" w:hAnsi="宋体" w:cs="宋体"/>
          <w:color w:val="000000"/>
          <w:szCs w:val="21"/>
        </w:rPr>
        <w:t>10.2 本合同项下的采购资金由甲方支付，付款前乙方向甲方开具发票。</w:t>
      </w:r>
    </w:p>
    <w:p w14:paraId="3480160E">
      <w:pPr>
        <w:pStyle w:val="285"/>
        <w:spacing w:line="360" w:lineRule="auto"/>
        <w:ind w:firstLine="420"/>
        <w:rPr>
          <w:rFonts w:hAnsi="宋体" w:cs="宋体"/>
          <w:color w:val="000000"/>
          <w:sz w:val="21"/>
        </w:rPr>
      </w:pPr>
      <w:r>
        <w:rPr>
          <w:rFonts w:hint="eastAsia" w:hAnsi="宋体" w:cs="宋体"/>
          <w:color w:val="000000"/>
          <w:sz w:val="21"/>
        </w:rPr>
        <w:t>10.3 甲方付款方式：</w:t>
      </w:r>
    </w:p>
    <w:p w14:paraId="7A6EF7EF">
      <w:pPr>
        <w:spacing w:line="360" w:lineRule="auto"/>
        <w:ind w:firstLine="420"/>
        <w:jc w:val="left"/>
        <w:rPr>
          <w:rFonts w:ascii="宋体" w:hAnsi="宋体" w:cs="宋体"/>
          <w:b/>
          <w:bCs/>
          <w:color w:val="FF0000"/>
          <w:szCs w:val="21"/>
          <w:highlight w:val="yellow"/>
        </w:rPr>
      </w:pPr>
      <w:r>
        <w:rPr>
          <w:rFonts w:hint="eastAsia" w:ascii="宋体" w:hAnsi="宋体" w:cs="宋体"/>
          <w:color w:val="auto"/>
          <w:szCs w:val="21"/>
          <w:highlight w:val="none"/>
        </w:rPr>
        <w:t>合同签订后，乙方向甲方开具发票，甲方自收到发票起10个工作日内支付合同总价的30%，剩余部分根据考核结果按季度结算，每季度结束，次季度8日前乙方向甲方提供服务验收证明（包括但不局限于照片和相关的佐证材料）， 并向甲方开具发票，甲方自收到发票之日起10个工作日内以转帐方式支付实际费用。（支付费用时扣除30%的预付款，预付款扣完为止）。</w:t>
      </w:r>
    </w:p>
    <w:p w14:paraId="49E0F525">
      <w:pPr>
        <w:pStyle w:val="285"/>
        <w:spacing w:before="120" w:after="120" w:line="360" w:lineRule="auto"/>
        <w:ind w:firstLine="422"/>
        <w:rPr>
          <w:rFonts w:hAnsi="宋体" w:cs="宋体"/>
          <w:b/>
          <w:bCs/>
          <w:color w:val="000000"/>
          <w:sz w:val="21"/>
        </w:rPr>
      </w:pPr>
      <w:r>
        <w:rPr>
          <w:rFonts w:hint="eastAsia" w:hAnsi="宋体" w:cs="宋体"/>
          <w:b/>
          <w:bCs/>
          <w:color w:val="000000"/>
          <w:sz w:val="21"/>
        </w:rPr>
        <w:t>十一、税费</w:t>
      </w:r>
    </w:p>
    <w:p w14:paraId="1032CCD3">
      <w:pPr>
        <w:pStyle w:val="285"/>
        <w:spacing w:before="120" w:after="120" w:line="360" w:lineRule="auto"/>
        <w:ind w:firstLine="420"/>
        <w:rPr>
          <w:rFonts w:hAnsi="宋体" w:cs="宋体"/>
          <w:color w:val="000000"/>
          <w:sz w:val="21"/>
        </w:rPr>
      </w:pPr>
      <w:r>
        <w:rPr>
          <w:rFonts w:hint="eastAsia" w:hAnsi="宋体" w:cs="宋体"/>
          <w:color w:val="000000"/>
          <w:sz w:val="21"/>
        </w:rPr>
        <w:t>11.1本合同执行中相关的一切税费均由乙方负担。</w:t>
      </w:r>
    </w:p>
    <w:p w14:paraId="1CF4AEDF">
      <w:pPr>
        <w:pStyle w:val="285"/>
        <w:spacing w:before="120" w:after="120" w:line="360" w:lineRule="auto"/>
        <w:ind w:firstLine="422"/>
        <w:rPr>
          <w:rFonts w:hAnsi="宋体" w:cs="宋体"/>
          <w:b/>
          <w:bCs/>
          <w:color w:val="000000"/>
          <w:sz w:val="21"/>
        </w:rPr>
      </w:pPr>
      <w:r>
        <w:rPr>
          <w:rFonts w:hint="eastAsia" w:hAnsi="宋体" w:cs="宋体"/>
          <w:b/>
          <w:bCs/>
          <w:color w:val="000000"/>
          <w:sz w:val="21"/>
        </w:rPr>
        <w:t>十二、质量保证及售后服务</w:t>
      </w:r>
    </w:p>
    <w:p w14:paraId="160FB8A3">
      <w:pPr>
        <w:spacing w:before="156" w:after="156" w:line="360" w:lineRule="auto"/>
        <w:ind w:firstLine="420"/>
        <w:rPr>
          <w:rFonts w:ascii="宋体" w:hAnsi="宋体" w:cs="宋体"/>
          <w:color w:val="000000"/>
          <w:szCs w:val="21"/>
        </w:rPr>
      </w:pPr>
      <w:r>
        <w:rPr>
          <w:rFonts w:hint="eastAsia" w:ascii="宋体" w:hAnsi="宋体" w:cs="宋体"/>
          <w:color w:val="000000"/>
          <w:szCs w:val="21"/>
        </w:rPr>
        <w:t>12.1 乙方应按磋商文件规定及响应文件承诺的技术性能、技术要求、质量标准向甲方提供服务；若无特殊说明，则按国家有关部门最新颁布的标准及规范为准。</w:t>
      </w:r>
    </w:p>
    <w:p w14:paraId="53EE7EF7">
      <w:pPr>
        <w:spacing w:before="156" w:after="156" w:line="360" w:lineRule="auto"/>
        <w:ind w:firstLine="420"/>
        <w:rPr>
          <w:rFonts w:ascii="宋体" w:hAnsi="宋体" w:cs="宋体"/>
          <w:color w:val="000000"/>
          <w:szCs w:val="21"/>
        </w:rPr>
      </w:pPr>
      <w:r>
        <w:rPr>
          <w:rFonts w:hint="eastAsia" w:ascii="宋体" w:hAnsi="宋体" w:cs="宋体"/>
          <w:color w:val="000000"/>
          <w:szCs w:val="21"/>
        </w:rPr>
        <w:t>12.2乙方应保证其提供的服务是全面和规范的，并完全符合磋商及响应文件。如因乙方提供的服务有瑕疵造成甲方损失的，所需费用由乙方承担。</w:t>
      </w:r>
    </w:p>
    <w:p w14:paraId="5E759996">
      <w:pPr>
        <w:spacing w:before="156" w:after="156"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12.3 服务过程中，乙方应对所提供服务出现安全问题负责处理解决并承担一切费用。</w:t>
      </w:r>
    </w:p>
    <w:p w14:paraId="59C0509B">
      <w:pPr>
        <w:pStyle w:val="48"/>
        <w:rPr>
          <w:highlight w:val="none"/>
        </w:rPr>
      </w:pPr>
      <w:r>
        <w:rPr>
          <w:rFonts w:hint="eastAsia"/>
          <w:highlight w:val="none"/>
          <w:lang w:val="en-US" w:eastAsia="zh-CN"/>
        </w:rPr>
        <w:t>12.4</w:t>
      </w:r>
      <w:r>
        <w:rPr>
          <w:rFonts w:hint="eastAsia"/>
          <w:highlight w:val="none"/>
        </w:rPr>
        <w:t xml:space="preserve"> 投标人须为本项目全部服务人员依法缴纳社会保险、团体人身意外伤害保险，保险需覆盖执勤、巡逻、路面处置、骑乘摩托车勤务等全部工作场景，包含意外身故、伤残、意外医疗责任</w:t>
      </w:r>
    </w:p>
    <w:p w14:paraId="413F357F">
      <w:pPr>
        <w:pStyle w:val="285"/>
        <w:spacing w:before="120" w:after="120" w:line="360" w:lineRule="auto"/>
        <w:ind w:firstLine="422"/>
        <w:rPr>
          <w:rFonts w:hAnsi="宋体" w:cs="宋体"/>
          <w:b/>
          <w:bCs/>
          <w:color w:val="000000"/>
          <w:sz w:val="21"/>
        </w:rPr>
      </w:pPr>
      <w:r>
        <w:rPr>
          <w:rFonts w:hint="eastAsia" w:hAnsi="宋体" w:cs="宋体"/>
          <w:b/>
          <w:bCs/>
          <w:color w:val="000000"/>
          <w:sz w:val="21"/>
        </w:rPr>
        <w:t>十三、调试和验收</w:t>
      </w:r>
    </w:p>
    <w:p w14:paraId="7524B8BA">
      <w:pPr>
        <w:spacing w:before="156" w:after="156" w:line="360" w:lineRule="auto"/>
        <w:ind w:firstLine="420"/>
        <w:rPr>
          <w:rFonts w:ascii="宋体" w:hAnsi="宋体" w:cs="宋体"/>
          <w:color w:val="000000"/>
          <w:szCs w:val="21"/>
        </w:rPr>
      </w:pPr>
      <w:r>
        <w:rPr>
          <w:rFonts w:hint="eastAsia" w:ascii="宋体" w:hAnsi="宋体" w:cs="宋体"/>
          <w:color w:val="000000"/>
          <w:szCs w:val="21"/>
        </w:rPr>
        <w:t>13.1 乙方应当在 年月日前完成服务事项，竞争性磋商文件有约定的，从其约定。</w:t>
      </w:r>
    </w:p>
    <w:p w14:paraId="2E37B126">
      <w:pPr>
        <w:spacing w:before="156" w:after="156" w:line="360" w:lineRule="auto"/>
        <w:ind w:firstLine="420"/>
        <w:rPr>
          <w:rFonts w:ascii="宋体" w:hAnsi="宋体" w:cs="宋体"/>
          <w:color w:val="000000"/>
          <w:szCs w:val="21"/>
        </w:rPr>
      </w:pPr>
      <w:r>
        <w:rPr>
          <w:rFonts w:hint="eastAsia" w:ascii="宋体" w:hAnsi="宋体" w:cs="宋体"/>
          <w:color w:val="000000"/>
          <w:szCs w:val="21"/>
        </w:rPr>
        <w:t>在交付前，乙方应作出全面检查和对验收文件进行整理，并列出清单，检验的结果交甲方。</w:t>
      </w:r>
    </w:p>
    <w:p w14:paraId="7E0C96E3">
      <w:pPr>
        <w:spacing w:before="156" w:after="156" w:line="360" w:lineRule="auto"/>
        <w:ind w:firstLine="420"/>
        <w:rPr>
          <w:rFonts w:ascii="宋体" w:hAnsi="宋体" w:cs="宋体"/>
          <w:color w:val="000000"/>
          <w:szCs w:val="21"/>
        </w:rPr>
      </w:pPr>
      <w:r>
        <w:rPr>
          <w:rFonts w:hint="eastAsia" w:ascii="宋体" w:hAnsi="宋体" w:cs="宋体"/>
          <w:color w:val="000000"/>
          <w:szCs w:val="21"/>
        </w:rPr>
        <w:t>13.2 验收标准：按乙方磋商响应文件的承诺。</w:t>
      </w:r>
    </w:p>
    <w:p w14:paraId="48A838E6">
      <w:pPr>
        <w:pStyle w:val="285"/>
        <w:spacing w:before="120" w:after="120" w:line="360" w:lineRule="auto"/>
        <w:ind w:firstLine="422"/>
        <w:rPr>
          <w:rFonts w:hAnsi="宋体" w:cs="宋体"/>
          <w:b/>
          <w:bCs/>
          <w:color w:val="000000"/>
          <w:sz w:val="21"/>
        </w:rPr>
      </w:pPr>
      <w:r>
        <w:rPr>
          <w:rFonts w:hint="eastAsia" w:hAnsi="宋体" w:cs="宋体"/>
          <w:b/>
          <w:bCs/>
          <w:color w:val="000000"/>
          <w:sz w:val="21"/>
        </w:rPr>
        <w:t>十、违约责任</w:t>
      </w:r>
    </w:p>
    <w:p w14:paraId="2157AF7B">
      <w:pPr>
        <w:pStyle w:val="285"/>
        <w:spacing w:before="120" w:after="120" w:line="360" w:lineRule="auto"/>
        <w:ind w:firstLine="420"/>
        <w:rPr>
          <w:rFonts w:hAnsi="宋体" w:cs="宋体"/>
          <w:color w:val="000000"/>
          <w:sz w:val="21"/>
        </w:rPr>
      </w:pPr>
      <w:r>
        <w:rPr>
          <w:rFonts w:hint="eastAsia" w:hAnsi="宋体" w:cs="宋体"/>
          <w:color w:val="000000"/>
          <w:sz w:val="21"/>
        </w:rPr>
        <w:t>14.1 甲方无正当理由拒收服务或产品的，甲方向乙方偿付拒收款项总值的百分之五违约金。</w:t>
      </w:r>
    </w:p>
    <w:p w14:paraId="520F9804">
      <w:pPr>
        <w:pStyle w:val="285"/>
        <w:spacing w:before="120" w:after="120" w:line="360" w:lineRule="auto"/>
        <w:ind w:firstLine="420"/>
        <w:rPr>
          <w:rFonts w:hAnsi="宋体" w:cs="宋体"/>
          <w:color w:val="000000"/>
          <w:sz w:val="21"/>
        </w:rPr>
      </w:pPr>
      <w:r>
        <w:rPr>
          <w:rFonts w:hint="eastAsia" w:hAnsi="宋体" w:cs="宋体"/>
          <w:color w:val="000000"/>
          <w:sz w:val="21"/>
        </w:rPr>
        <w:t>14.2 甲方无故逾期验收和办理款项支付手续的,甲方应按逾期付款总额每日万分之五向乙方支付违约金。</w:t>
      </w:r>
    </w:p>
    <w:p w14:paraId="27309F40">
      <w:pPr>
        <w:pStyle w:val="285"/>
        <w:spacing w:before="120" w:after="120" w:line="360" w:lineRule="auto"/>
        <w:ind w:firstLine="420"/>
        <w:rPr>
          <w:rFonts w:hAnsi="宋体" w:cs="宋体"/>
          <w:color w:val="000000"/>
          <w:sz w:val="21"/>
        </w:rPr>
      </w:pPr>
      <w:r>
        <w:rPr>
          <w:rFonts w:hint="eastAsia" w:hAnsi="宋体" w:cs="宋体"/>
          <w:color w:val="000000"/>
          <w:sz w:val="21"/>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5D9C5A93">
      <w:pPr>
        <w:pStyle w:val="285"/>
        <w:spacing w:before="120" w:after="120" w:line="360" w:lineRule="auto"/>
        <w:ind w:firstLine="420"/>
        <w:rPr>
          <w:rFonts w:hAnsi="宋体" w:cs="宋体"/>
          <w:color w:val="000000"/>
          <w:sz w:val="21"/>
        </w:rPr>
      </w:pPr>
      <w:r>
        <w:rPr>
          <w:rFonts w:hint="eastAsia" w:hAnsi="宋体" w:cs="宋体"/>
          <w:color w:val="000000"/>
          <w:sz w:val="21"/>
        </w:rPr>
        <w:t>14.4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p>
    <w:p w14:paraId="3CACFAF1">
      <w:pPr>
        <w:pStyle w:val="285"/>
        <w:spacing w:before="120" w:after="120" w:line="360" w:lineRule="auto"/>
        <w:ind w:firstLine="422"/>
        <w:rPr>
          <w:rFonts w:hAnsi="宋体" w:cs="宋体"/>
          <w:b/>
          <w:bCs/>
          <w:color w:val="000000"/>
          <w:sz w:val="21"/>
        </w:rPr>
      </w:pPr>
      <w:r>
        <w:rPr>
          <w:rFonts w:hint="eastAsia" w:hAnsi="宋体" w:cs="宋体"/>
          <w:b/>
          <w:bCs/>
          <w:color w:val="000000"/>
          <w:sz w:val="21"/>
        </w:rPr>
        <w:t>十五、不可抗力事件处理</w:t>
      </w:r>
    </w:p>
    <w:p w14:paraId="55C78012">
      <w:pPr>
        <w:pStyle w:val="285"/>
        <w:spacing w:before="120" w:after="120" w:line="360" w:lineRule="auto"/>
        <w:ind w:firstLine="420"/>
        <w:rPr>
          <w:rFonts w:hAnsi="宋体" w:cs="宋体"/>
          <w:color w:val="000000"/>
          <w:sz w:val="21"/>
        </w:rPr>
      </w:pPr>
      <w:r>
        <w:rPr>
          <w:rFonts w:hint="eastAsia" w:hAnsi="宋体" w:cs="宋体"/>
          <w:color w:val="000000"/>
          <w:sz w:val="21"/>
        </w:rPr>
        <w:t>15.1 在合同有效期内，任何一方因不可抗力事件导致不能履行合同，则合同履行期可延长，其延长期与不可抗力影响期相同。</w:t>
      </w:r>
    </w:p>
    <w:p w14:paraId="5AF3B1FF">
      <w:pPr>
        <w:pStyle w:val="285"/>
        <w:spacing w:before="120" w:after="120" w:line="360" w:lineRule="auto"/>
        <w:ind w:firstLine="420"/>
        <w:rPr>
          <w:rFonts w:hAnsi="宋体" w:cs="宋体"/>
          <w:color w:val="000000"/>
          <w:sz w:val="21"/>
        </w:rPr>
      </w:pPr>
      <w:r>
        <w:rPr>
          <w:rFonts w:hint="eastAsia" w:hAnsi="宋体" w:cs="宋体"/>
          <w:color w:val="000000"/>
          <w:sz w:val="21"/>
        </w:rPr>
        <w:t>15.2 不可抗力事件发生后，应立即通知对方，并寄送有关权威机构出具的证明。</w:t>
      </w:r>
    </w:p>
    <w:p w14:paraId="33586215">
      <w:pPr>
        <w:pStyle w:val="285"/>
        <w:spacing w:before="120" w:after="120" w:line="360" w:lineRule="auto"/>
        <w:ind w:firstLine="420"/>
        <w:rPr>
          <w:rFonts w:hAnsi="宋体" w:cs="宋体"/>
          <w:color w:val="000000"/>
          <w:sz w:val="21"/>
        </w:rPr>
      </w:pPr>
      <w:r>
        <w:rPr>
          <w:rFonts w:hint="eastAsia" w:hAnsi="宋体" w:cs="宋体"/>
          <w:color w:val="000000"/>
          <w:sz w:val="21"/>
        </w:rPr>
        <w:t>15.3 不可抗力事件延续120天以上，双方应通过友好协商，确定是否继续履行合同。</w:t>
      </w:r>
    </w:p>
    <w:p w14:paraId="46F06C16">
      <w:pPr>
        <w:pStyle w:val="285"/>
        <w:spacing w:before="120" w:after="120" w:line="360" w:lineRule="auto"/>
        <w:ind w:firstLine="422"/>
        <w:rPr>
          <w:rFonts w:hAnsi="宋体" w:cs="宋体"/>
          <w:b/>
          <w:bCs/>
          <w:color w:val="000000"/>
          <w:sz w:val="21"/>
        </w:rPr>
      </w:pPr>
      <w:r>
        <w:rPr>
          <w:rFonts w:hint="eastAsia" w:hAnsi="宋体" w:cs="宋体"/>
          <w:b/>
          <w:bCs/>
          <w:color w:val="000000"/>
          <w:sz w:val="21"/>
        </w:rPr>
        <w:t>十六、诉讼</w:t>
      </w:r>
    </w:p>
    <w:p w14:paraId="3FC6551B">
      <w:pPr>
        <w:pStyle w:val="285"/>
        <w:spacing w:before="120" w:after="120" w:line="360" w:lineRule="auto"/>
        <w:ind w:firstLine="420"/>
        <w:rPr>
          <w:rFonts w:hAnsi="宋体" w:cs="宋体"/>
          <w:color w:val="000000"/>
          <w:sz w:val="21"/>
        </w:rPr>
      </w:pPr>
      <w:r>
        <w:rPr>
          <w:rFonts w:hint="eastAsia" w:hAnsi="宋体" w:cs="宋体"/>
          <w:color w:val="000000"/>
          <w:sz w:val="21"/>
        </w:rPr>
        <w:t>16.1 双方在执行合同中所发生的一切争议，应通过协商解决。如协商不成，可向合同签订地法院起诉，合同签订地在此约定为扬州市。</w:t>
      </w:r>
    </w:p>
    <w:p w14:paraId="006D4104">
      <w:pPr>
        <w:pStyle w:val="285"/>
        <w:spacing w:before="120" w:after="120" w:line="360" w:lineRule="auto"/>
        <w:ind w:firstLine="422"/>
        <w:rPr>
          <w:rFonts w:hAnsi="宋体" w:cs="宋体"/>
          <w:b/>
          <w:bCs/>
          <w:color w:val="000000"/>
          <w:sz w:val="21"/>
        </w:rPr>
      </w:pPr>
      <w:r>
        <w:rPr>
          <w:rFonts w:hint="eastAsia" w:hAnsi="宋体" w:cs="宋体"/>
          <w:b/>
          <w:bCs/>
          <w:color w:val="000000"/>
          <w:sz w:val="21"/>
        </w:rPr>
        <w:t>十七、合同生效及其它</w:t>
      </w:r>
    </w:p>
    <w:p w14:paraId="73C40351">
      <w:pPr>
        <w:pStyle w:val="285"/>
        <w:spacing w:before="120" w:after="120" w:line="360" w:lineRule="auto"/>
        <w:ind w:firstLine="420"/>
        <w:rPr>
          <w:rFonts w:hAnsi="宋体" w:cs="宋体"/>
          <w:color w:val="000000"/>
          <w:sz w:val="21"/>
        </w:rPr>
      </w:pPr>
      <w:r>
        <w:rPr>
          <w:rFonts w:hint="eastAsia" w:hAnsi="宋体" w:cs="宋体"/>
          <w:color w:val="000000"/>
          <w:sz w:val="21"/>
        </w:rPr>
        <w:t>17.1 合同经双方法定代表人或授权代表签字并加盖单位公章，并经捷宏润安工程顾问有限公司扬州分公司见证盖章后生效。</w:t>
      </w:r>
    </w:p>
    <w:p w14:paraId="552A905D">
      <w:pPr>
        <w:pStyle w:val="285"/>
        <w:spacing w:before="120" w:after="120" w:line="360" w:lineRule="auto"/>
        <w:ind w:firstLine="420"/>
        <w:rPr>
          <w:rFonts w:hAnsi="宋体" w:cs="宋体"/>
          <w:color w:val="000000"/>
          <w:sz w:val="21"/>
        </w:rPr>
      </w:pPr>
      <w:r>
        <w:rPr>
          <w:rFonts w:hint="eastAsia" w:hAnsi="宋体" w:cs="宋体"/>
          <w:color w:val="000000"/>
          <w:sz w:val="21"/>
        </w:rPr>
        <w:t>17.2本合同未尽事宜，遵照《民法典》有关条文执行。</w:t>
      </w:r>
    </w:p>
    <w:p w14:paraId="4F99ED97">
      <w:pPr>
        <w:pStyle w:val="285"/>
        <w:spacing w:before="120" w:after="120" w:line="360" w:lineRule="auto"/>
        <w:ind w:firstLine="420"/>
        <w:rPr>
          <w:rFonts w:hAnsi="宋体" w:cs="宋体"/>
          <w:color w:val="000000"/>
          <w:sz w:val="21"/>
        </w:rPr>
      </w:pPr>
      <w:r>
        <w:rPr>
          <w:rFonts w:hint="eastAsia" w:hAnsi="宋体" w:cs="宋体"/>
          <w:color w:val="000000"/>
          <w:sz w:val="21"/>
        </w:rPr>
        <w:t xml:space="preserve">17.3 本合同正本一式四份，具有同等法律效力，甲方、乙方、见证方及财政监管部门各执一份。  </w:t>
      </w:r>
    </w:p>
    <w:p w14:paraId="0AF53E56">
      <w:pPr>
        <w:pStyle w:val="285"/>
        <w:spacing w:before="120" w:after="120" w:line="360" w:lineRule="auto"/>
        <w:ind w:firstLine="210"/>
        <w:rPr>
          <w:rFonts w:hAnsi="宋体" w:cs="宋体"/>
          <w:color w:val="000000"/>
          <w:sz w:val="21"/>
        </w:rPr>
      </w:pPr>
    </w:p>
    <w:p w14:paraId="48E65FFC">
      <w:pPr>
        <w:spacing w:line="500" w:lineRule="exact"/>
        <w:rPr>
          <w:rFonts w:ascii="宋体" w:hAnsi="宋体" w:cs="宋体"/>
          <w:color w:val="000000"/>
          <w:szCs w:val="21"/>
        </w:rPr>
      </w:pPr>
      <w:r>
        <w:rPr>
          <w:rFonts w:hint="eastAsia" w:ascii="宋体" w:hAnsi="宋体" w:cs="宋体"/>
          <w:color w:val="000000"/>
          <w:szCs w:val="21"/>
        </w:rPr>
        <w:t>甲方：          （公章）                 乙方：           （公章）</w:t>
      </w:r>
    </w:p>
    <w:p w14:paraId="06E5D9EF">
      <w:pPr>
        <w:spacing w:line="500" w:lineRule="exact"/>
        <w:rPr>
          <w:rFonts w:ascii="宋体" w:hAnsi="宋体" w:cs="宋体"/>
          <w:color w:val="000000"/>
          <w:szCs w:val="21"/>
        </w:rPr>
      </w:pPr>
      <w:r>
        <w:rPr>
          <w:rFonts w:hint="eastAsia" w:ascii="宋体" w:hAnsi="宋体" w:cs="宋体"/>
          <w:color w:val="000000"/>
          <w:szCs w:val="21"/>
        </w:rPr>
        <w:t>法定代表人                               法定代表人</w:t>
      </w:r>
    </w:p>
    <w:p w14:paraId="1614F987">
      <w:pPr>
        <w:spacing w:line="500" w:lineRule="exact"/>
        <w:rPr>
          <w:rFonts w:ascii="宋体" w:hAnsi="宋体" w:cs="宋体"/>
          <w:color w:val="000000"/>
          <w:szCs w:val="21"/>
        </w:rPr>
      </w:pPr>
      <w:r>
        <w:rPr>
          <w:rFonts w:hint="eastAsia" w:ascii="宋体" w:hAnsi="宋体" w:cs="宋体"/>
          <w:color w:val="000000"/>
          <w:szCs w:val="21"/>
        </w:rPr>
        <w:t>或授权委托人： 　　　　　　　　          或授权委托人：</w:t>
      </w:r>
    </w:p>
    <w:p w14:paraId="61B42EEA">
      <w:pPr>
        <w:spacing w:line="760" w:lineRule="exact"/>
        <w:ind w:left="4620" w:hanging="4620"/>
        <w:rPr>
          <w:rFonts w:ascii="宋体" w:hAnsi="宋体" w:cs="宋体"/>
          <w:color w:val="000000"/>
          <w:szCs w:val="21"/>
        </w:rPr>
      </w:pPr>
      <w:r>
        <w:rPr>
          <w:rFonts w:hint="eastAsia" w:ascii="宋体" w:hAnsi="宋体" w:cs="宋体"/>
          <w:color w:val="000000"/>
          <w:szCs w:val="21"/>
        </w:rPr>
        <w:t xml:space="preserve">地址：                                   地址： </w:t>
      </w:r>
    </w:p>
    <w:p w14:paraId="671FEE8B">
      <w:pPr>
        <w:spacing w:line="760" w:lineRule="exact"/>
        <w:rPr>
          <w:rFonts w:ascii="宋体" w:hAnsi="宋体" w:cs="宋体"/>
          <w:color w:val="000000"/>
          <w:szCs w:val="21"/>
        </w:rPr>
      </w:pPr>
      <w:r>
        <w:rPr>
          <w:rFonts w:hint="eastAsia" w:ascii="宋体" w:hAnsi="宋体" w:cs="宋体"/>
          <w:color w:val="000000"/>
          <w:szCs w:val="21"/>
        </w:rPr>
        <w:t>电话：           　　　　               电话：</w:t>
      </w:r>
    </w:p>
    <w:p w14:paraId="7BD42B0F">
      <w:pPr>
        <w:spacing w:line="760" w:lineRule="exact"/>
        <w:rPr>
          <w:rFonts w:ascii="宋体" w:hAnsi="宋体" w:cs="宋体"/>
          <w:color w:val="000000"/>
          <w:szCs w:val="21"/>
          <w:u w:val="single"/>
        </w:rPr>
      </w:pPr>
      <w:r>
        <w:rPr>
          <w:rFonts w:hint="eastAsia" w:ascii="宋体" w:hAnsi="宋体" w:cs="宋体"/>
          <w:color w:val="000000"/>
          <w:szCs w:val="21"/>
        </w:rPr>
        <w:t>签订日期：   年  月  日                  签订日期：  年  月   日</w:t>
      </w:r>
    </w:p>
    <w:p w14:paraId="1D70D6CE">
      <w:pPr>
        <w:spacing w:line="360" w:lineRule="auto"/>
        <w:ind w:firstLine="645"/>
        <w:rPr>
          <w:rFonts w:ascii="宋体" w:hAnsi="宋体" w:cs="宋体"/>
          <w:color w:val="000000"/>
          <w:szCs w:val="21"/>
        </w:rPr>
      </w:pPr>
    </w:p>
    <w:p w14:paraId="45418743">
      <w:pPr>
        <w:spacing w:line="500" w:lineRule="exact"/>
        <w:rPr>
          <w:rFonts w:ascii="宋体" w:hAnsi="宋体" w:cs="宋体"/>
          <w:color w:val="000000"/>
          <w:szCs w:val="21"/>
        </w:rPr>
      </w:pPr>
      <w:r>
        <w:rPr>
          <w:rFonts w:hint="eastAsia" w:ascii="宋体" w:hAnsi="宋体" w:cs="宋体"/>
          <w:color w:val="000000"/>
          <w:szCs w:val="21"/>
        </w:rPr>
        <w:t>见证方（盖章）：</w:t>
      </w:r>
    </w:p>
    <w:p w14:paraId="70C15E60">
      <w:pPr>
        <w:spacing w:line="500" w:lineRule="exact"/>
        <w:rPr>
          <w:rFonts w:ascii="宋体" w:hAnsi="宋体" w:cs="宋体"/>
          <w:color w:val="000000"/>
          <w:szCs w:val="21"/>
        </w:rPr>
      </w:pPr>
      <w:r>
        <w:rPr>
          <w:rFonts w:hint="eastAsia" w:ascii="宋体" w:hAnsi="宋体" w:cs="宋体"/>
          <w:color w:val="000000"/>
          <w:szCs w:val="21"/>
        </w:rPr>
        <w:t>经办人：</w:t>
      </w:r>
    </w:p>
    <w:p w14:paraId="2875DDA6">
      <w:pPr>
        <w:pStyle w:val="285"/>
        <w:spacing w:before="120" w:after="120" w:line="360" w:lineRule="auto"/>
        <w:rPr>
          <w:rFonts w:hAnsi="宋体"/>
          <w:b/>
          <w:bCs/>
          <w:sz w:val="36"/>
          <w:szCs w:val="44"/>
        </w:rPr>
      </w:pPr>
      <w:r>
        <w:rPr>
          <w:rFonts w:hint="eastAsia" w:hAnsi="宋体" w:cs="宋体"/>
          <w:color w:val="000000"/>
          <w:sz w:val="21"/>
        </w:rPr>
        <w:t>签订日期：  年   月   日</w:t>
      </w:r>
    </w:p>
    <w:p w14:paraId="6B468242">
      <w:pPr>
        <w:pStyle w:val="285"/>
        <w:spacing w:before="120" w:after="120" w:line="360" w:lineRule="auto"/>
        <w:rPr>
          <w:rFonts w:hAnsi="宋体"/>
          <w:b/>
          <w:bCs/>
          <w:sz w:val="36"/>
          <w:szCs w:val="44"/>
        </w:rPr>
      </w:pPr>
    </w:p>
    <w:p w14:paraId="5F353985">
      <w:pPr>
        <w:pStyle w:val="285"/>
        <w:spacing w:before="120" w:after="120" w:line="360" w:lineRule="auto"/>
        <w:rPr>
          <w:rFonts w:hAnsi="宋体"/>
          <w:b/>
          <w:bCs/>
          <w:sz w:val="36"/>
          <w:szCs w:val="44"/>
        </w:rPr>
      </w:pPr>
    </w:p>
    <w:p w14:paraId="688321DB">
      <w:pPr>
        <w:pStyle w:val="285"/>
        <w:spacing w:before="120" w:after="120" w:line="360" w:lineRule="auto"/>
        <w:rPr>
          <w:rFonts w:hAnsi="宋体"/>
          <w:b/>
          <w:bCs/>
          <w:sz w:val="36"/>
          <w:szCs w:val="44"/>
        </w:rPr>
      </w:pPr>
    </w:p>
    <w:p w14:paraId="588EA8C0">
      <w:pPr>
        <w:pStyle w:val="285"/>
        <w:spacing w:before="120" w:after="120" w:line="360" w:lineRule="auto"/>
        <w:rPr>
          <w:rFonts w:hAnsi="宋体"/>
          <w:b/>
          <w:bCs/>
          <w:sz w:val="36"/>
          <w:szCs w:val="44"/>
        </w:rPr>
      </w:pPr>
    </w:p>
    <w:p w14:paraId="2EF5E436">
      <w:pPr>
        <w:pStyle w:val="285"/>
        <w:spacing w:before="120" w:after="120" w:line="360" w:lineRule="auto"/>
        <w:rPr>
          <w:rFonts w:hAnsi="宋体"/>
          <w:b/>
          <w:bCs/>
          <w:sz w:val="36"/>
          <w:szCs w:val="44"/>
        </w:rPr>
      </w:pPr>
    </w:p>
    <w:p w14:paraId="07ACF0FC">
      <w:pPr>
        <w:pStyle w:val="285"/>
        <w:spacing w:before="120" w:after="120" w:line="360" w:lineRule="auto"/>
        <w:rPr>
          <w:rFonts w:hAnsi="宋体"/>
          <w:b/>
          <w:bCs/>
          <w:sz w:val="36"/>
          <w:szCs w:val="44"/>
        </w:rPr>
      </w:pPr>
    </w:p>
    <w:p w14:paraId="6EA88C48">
      <w:pPr>
        <w:pStyle w:val="285"/>
        <w:spacing w:before="120" w:after="120" w:line="360" w:lineRule="auto"/>
        <w:jc w:val="center"/>
        <w:outlineLvl w:val="0"/>
        <w:rPr>
          <w:rFonts w:hAnsi="宋体"/>
          <w:b/>
          <w:bCs/>
          <w:color w:val="auto"/>
          <w:sz w:val="36"/>
          <w:szCs w:val="44"/>
        </w:rPr>
      </w:pPr>
      <w:r>
        <w:rPr>
          <w:rFonts w:hint="eastAsia" w:hAnsi="宋体"/>
          <w:b/>
          <w:bCs/>
          <w:color w:val="auto"/>
          <w:sz w:val="36"/>
          <w:szCs w:val="44"/>
        </w:rPr>
        <w:t>第四章 项目需求</w:t>
      </w:r>
      <w:bookmarkEnd w:id="32"/>
      <w:bookmarkEnd w:id="33"/>
      <w:bookmarkStart w:id="34" w:name="_Toc109304975"/>
      <w:bookmarkStart w:id="35" w:name="_Toc18715"/>
    </w:p>
    <w:p w14:paraId="54786671">
      <w:pPr>
        <w:numPr>
          <w:ilvl w:val="0"/>
          <w:numId w:val="1"/>
        </w:numPr>
        <w:spacing w:line="360" w:lineRule="auto"/>
        <w:jc w:val="left"/>
        <w:rPr>
          <w:color w:val="000000"/>
          <w:szCs w:val="21"/>
        </w:rPr>
      </w:pPr>
    </w:p>
    <w:p w14:paraId="7558E991">
      <w:pPr>
        <w:spacing w:line="360" w:lineRule="auto"/>
        <w:ind w:firstLine="422"/>
        <w:rPr>
          <w:rFonts w:ascii="宋体" w:hAnsi="宋体"/>
          <w:color w:val="000000"/>
          <w:szCs w:val="21"/>
        </w:rPr>
      </w:pPr>
      <w:r>
        <w:rPr>
          <w:rFonts w:hint="eastAsia" w:ascii="宋体" w:hAnsi="宋体"/>
          <w:b/>
          <w:bCs/>
          <w:color w:val="000000"/>
          <w:szCs w:val="21"/>
        </w:rPr>
        <w:t>项目属性：服务类项目</w:t>
      </w:r>
    </w:p>
    <w:p w14:paraId="22019504">
      <w:pPr>
        <w:spacing w:line="360" w:lineRule="auto"/>
        <w:ind w:firstLine="422"/>
        <w:rPr>
          <w:rFonts w:ascii="宋体" w:hAnsi="宋体"/>
          <w:color w:val="000000"/>
          <w:szCs w:val="21"/>
        </w:rPr>
      </w:pPr>
      <w:r>
        <w:rPr>
          <w:rFonts w:hint="eastAsia" w:ascii="宋体" w:hAnsi="宋体"/>
          <w:b/>
          <w:bCs/>
          <w:color w:val="000000"/>
          <w:szCs w:val="21"/>
        </w:rPr>
        <w:t>注：</w:t>
      </w:r>
      <w:r>
        <w:rPr>
          <w:rFonts w:ascii="宋体" w:hAnsi="宋体"/>
          <w:color w:val="000000"/>
          <w:szCs w:val="21"/>
        </w:rPr>
        <w:t>1</w:t>
      </w:r>
      <w:r>
        <w:rPr>
          <w:rFonts w:hint="eastAsia" w:ascii="宋体" w:hAnsi="宋体"/>
          <w:color w:val="000000"/>
          <w:szCs w:val="21"/>
        </w:rPr>
        <w:t>、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color w:val="000000"/>
          <w:szCs w:val="21"/>
          <w:u w:val="single"/>
        </w:rPr>
        <w:t>如属政府强制采购产品未提供认证证书的或认证证书提供不全的将视为未实质性响应采购要求。</w:t>
      </w:r>
      <w:r>
        <w:rPr>
          <w:rFonts w:hint="eastAsia" w:ascii="宋体" w:hAnsi="宋体"/>
          <w:color w:val="000000"/>
          <w:szCs w:val="21"/>
        </w:rPr>
        <w:t>其他条件相同情况下，本项目优先采购节能产品、环境标志产品。</w:t>
      </w:r>
    </w:p>
    <w:p w14:paraId="399B8315">
      <w:pPr>
        <w:spacing w:line="360" w:lineRule="auto"/>
        <w:ind w:firstLine="420"/>
        <w:rPr>
          <w:rFonts w:ascii="宋体" w:hAnsi="宋体"/>
          <w:color w:val="000000"/>
          <w:szCs w:val="21"/>
        </w:rPr>
      </w:pPr>
      <w:r>
        <w:rPr>
          <w:rFonts w:ascii="宋体" w:hAnsi="宋体"/>
          <w:color w:val="000000"/>
          <w:szCs w:val="21"/>
        </w:rPr>
        <w:t>2</w:t>
      </w:r>
      <w:r>
        <w:rPr>
          <w:rFonts w:hint="eastAsia" w:ascii="宋体" w:hAnsi="宋体"/>
          <w:color w:val="000000"/>
          <w:szCs w:val="21"/>
        </w:rPr>
        <w:t>、供应商对于所投产品的包装应按照“财办库〔2020〕123号《关于印发《商品包装政府采购需求标准（试行）》、《快递包装政府采购需求标准（试行）》的通知》”执行。</w:t>
      </w:r>
    </w:p>
    <w:p w14:paraId="0DA9FA5F">
      <w:pPr>
        <w:spacing w:line="360" w:lineRule="auto"/>
        <w:ind w:firstLine="420"/>
        <w:rPr>
          <w:b/>
          <w:bCs/>
          <w:color w:val="000000"/>
          <w:szCs w:val="21"/>
        </w:rPr>
      </w:pPr>
      <w:r>
        <w:rPr>
          <w:rFonts w:ascii="宋体" w:hAnsi="宋体"/>
          <w:color w:val="000000"/>
          <w:szCs w:val="21"/>
        </w:rPr>
        <w:t>3</w:t>
      </w:r>
      <w:r>
        <w:rPr>
          <w:rFonts w:hint="eastAsia" w:ascii="宋体" w:hAnsi="宋体"/>
          <w:color w:val="000000"/>
          <w:szCs w:val="21"/>
        </w:rPr>
        <w:t>、本章内容里斜体且有下划线部分为实质性要求和条件，响应文件不满足的，视为无效响应处理。请各供应商制作电子响应文件时，将实质性响应的内容在苏采云系统中准确填写或上传。</w:t>
      </w:r>
    </w:p>
    <w:p w14:paraId="30C59EB3">
      <w:pPr>
        <w:spacing w:line="336" w:lineRule="auto"/>
        <w:ind w:firstLine="422"/>
        <w:rPr>
          <w:b/>
          <w:bCs/>
          <w:color w:val="000000"/>
          <w:szCs w:val="21"/>
        </w:rPr>
      </w:pPr>
      <w:r>
        <w:rPr>
          <w:rFonts w:hint="eastAsia" w:ascii="宋体" w:hAnsi="宋体"/>
          <w:b/>
          <w:color w:val="000000"/>
          <w:szCs w:val="21"/>
        </w:rPr>
        <w:t>所属行业：租赁和商务服务业</w:t>
      </w:r>
    </w:p>
    <w:p w14:paraId="69685DE2">
      <w:pPr>
        <w:numPr>
          <w:ilvl w:val="0"/>
          <w:numId w:val="1"/>
        </w:numPr>
        <w:spacing w:line="360" w:lineRule="auto"/>
        <w:jc w:val="left"/>
        <w:rPr>
          <w:b/>
          <w:bCs/>
          <w:color w:val="000000"/>
          <w:szCs w:val="21"/>
        </w:rPr>
      </w:pPr>
      <w:r>
        <w:rPr>
          <w:rFonts w:hint="eastAsia"/>
          <w:b/>
          <w:bCs/>
          <w:color w:val="000000"/>
          <w:szCs w:val="21"/>
        </w:rPr>
        <w:t>一、项目概况</w:t>
      </w:r>
    </w:p>
    <w:p w14:paraId="6D033A01">
      <w:pPr>
        <w:numPr>
          <w:ilvl w:val="0"/>
          <w:numId w:val="1"/>
        </w:numPr>
        <w:spacing w:line="360" w:lineRule="auto"/>
        <w:ind w:firstLine="420"/>
        <w:jc w:val="left"/>
        <w:rPr>
          <w:color w:val="000000"/>
          <w:szCs w:val="21"/>
        </w:rPr>
      </w:pPr>
      <w:r>
        <w:rPr>
          <w:rFonts w:hint="eastAsia"/>
          <w:color w:val="000000"/>
          <w:szCs w:val="21"/>
        </w:rPr>
        <w:t>1、根据广陵区社会治安综合治理委员办公室要求，组建一支31人的夜间应急队伍，其中夜间常态化步巡队员24名、机动铁骑巡逻队员7名,加强夜间社会面治安巡逻防范，预防和协助制止违法犯罪活动，协助有关部门和人员扭送违法犯罪人员，提升社会面安全感。</w:t>
      </w:r>
    </w:p>
    <w:p w14:paraId="4DCB930D">
      <w:pPr>
        <w:spacing w:line="360" w:lineRule="auto"/>
        <w:ind w:firstLine="420"/>
        <w:jc w:val="left"/>
        <w:rPr>
          <w:rFonts w:cs="宋体"/>
          <w:b/>
          <w:bCs/>
          <w:i/>
          <w:iCs/>
          <w:color w:val="000000"/>
          <w:szCs w:val="21"/>
          <w:u w:val="single"/>
        </w:rPr>
      </w:pPr>
      <w:r>
        <w:rPr>
          <w:rFonts w:hint="eastAsia"/>
          <w:color w:val="000000"/>
          <w:szCs w:val="21"/>
        </w:rPr>
        <w:t>2、总预算金额：180.8万元，</w:t>
      </w:r>
      <w:r>
        <w:rPr>
          <w:rFonts w:hint="eastAsia"/>
          <w:b/>
          <w:bCs/>
          <w:i/>
          <w:iCs/>
          <w:color w:val="000000"/>
          <w:szCs w:val="21"/>
          <w:u w:val="single"/>
        </w:rPr>
        <w:t>报价时，人员工资低于扬州市最低工资标准及未依规全员测算缴纳社会保险的作无效报价处理。</w:t>
      </w:r>
      <w:r>
        <w:rPr>
          <w:rFonts w:hint="eastAsia" w:cs="宋体"/>
          <w:b/>
          <w:bCs/>
          <w:i/>
          <w:iCs/>
          <w:color w:val="000000"/>
          <w:szCs w:val="21"/>
          <w:u w:val="single"/>
        </w:rPr>
        <w:t>（提供承诺书加盖公章后原件扫描上传，承诺书格式自拟）</w:t>
      </w:r>
    </w:p>
    <w:p w14:paraId="043DA607">
      <w:pPr>
        <w:numPr>
          <w:ilvl w:val="0"/>
          <w:numId w:val="1"/>
        </w:numPr>
        <w:spacing w:line="360" w:lineRule="auto"/>
        <w:ind w:firstLine="420"/>
        <w:jc w:val="left"/>
        <w:rPr>
          <w:color w:val="000000"/>
          <w:szCs w:val="21"/>
        </w:rPr>
      </w:pPr>
      <w:r>
        <w:rPr>
          <w:rFonts w:hint="eastAsia"/>
          <w:color w:val="000000"/>
          <w:szCs w:val="21"/>
        </w:rPr>
        <w:t>3、项目服务时间：自合同签订之日起1年。</w:t>
      </w:r>
    </w:p>
    <w:p w14:paraId="5C3DF0AD">
      <w:pPr>
        <w:numPr>
          <w:ilvl w:val="0"/>
          <w:numId w:val="1"/>
        </w:numPr>
        <w:spacing w:line="360" w:lineRule="auto"/>
        <w:jc w:val="left"/>
        <w:rPr>
          <w:color w:val="000000"/>
          <w:szCs w:val="21"/>
          <w:u w:val="single"/>
        </w:rPr>
      </w:pPr>
      <w:r>
        <w:rPr>
          <w:rFonts w:hint="eastAsia"/>
          <w:color w:val="000000"/>
          <w:szCs w:val="21"/>
        </w:rPr>
        <w:t xml:space="preserve">    4、</w:t>
      </w:r>
      <w:r>
        <w:rPr>
          <w:rFonts w:hint="eastAsia"/>
          <w:color w:val="000000"/>
          <w:szCs w:val="21"/>
          <w:u w:val="single"/>
        </w:rPr>
        <w:t>供</w:t>
      </w:r>
      <w:r>
        <w:rPr>
          <w:rFonts w:hint="eastAsia" w:cs="Calibri"/>
          <w:color w:val="000000"/>
          <w:szCs w:val="21"/>
          <w:u w:val="single"/>
        </w:rPr>
        <w:t>应商需为拟派人员交纳意外伤害险，</w:t>
      </w:r>
      <w:r>
        <w:rPr>
          <w:rFonts w:hint="eastAsia" w:cs="宋体"/>
          <w:color w:val="000000"/>
          <w:szCs w:val="21"/>
          <w:u w:val="single"/>
        </w:rPr>
        <w:t>必须切实做好安全工作，</w:t>
      </w:r>
      <w:r>
        <w:rPr>
          <w:rFonts w:hint="eastAsia" w:cs="Calibri"/>
          <w:color w:val="000000"/>
          <w:szCs w:val="21"/>
          <w:u w:val="single"/>
        </w:rPr>
        <w:t>一切安全事故均由供应商自行承担，与采购人无关。</w:t>
      </w:r>
    </w:p>
    <w:p w14:paraId="28395CFC">
      <w:pPr>
        <w:pStyle w:val="48"/>
        <w:numPr>
          <w:ilvl w:val="0"/>
          <w:numId w:val="2"/>
        </w:numPr>
        <w:rPr>
          <w:rFonts w:hint="eastAsia" w:ascii="Times New Roman" w:hAnsi="Times New Roman" w:eastAsia="宋体" w:cs="Calibri"/>
          <w:color w:val="000000"/>
          <w:sz w:val="21"/>
          <w:szCs w:val="21"/>
          <w:u w:val="single"/>
          <w:lang w:val="en-US" w:eastAsia="zh-CN" w:bidi="ar-SA"/>
        </w:rPr>
      </w:pPr>
      <w:r>
        <w:rPr>
          <w:rFonts w:hint="eastAsia" w:ascii="Times New Roman" w:hAnsi="Times New Roman" w:eastAsia="宋体" w:cs="Calibri"/>
          <w:color w:val="000000"/>
          <w:sz w:val="21"/>
          <w:szCs w:val="21"/>
          <w:u w:val="single"/>
          <w:lang w:val="en-US" w:eastAsia="zh-CN" w:bidi="ar-SA"/>
        </w:rPr>
        <w:t>中标人安排辅警人员开展合同项下各项工作任务期间，相关作业人身安全保障责任由中标人承担。</w:t>
      </w:r>
    </w:p>
    <w:p w14:paraId="3AA25613">
      <w:pPr>
        <w:numPr>
          <w:ilvl w:val="0"/>
          <w:numId w:val="1"/>
        </w:numPr>
        <w:spacing w:line="360" w:lineRule="auto"/>
        <w:ind w:firstLine="420"/>
        <w:jc w:val="left"/>
        <w:rPr>
          <w:rFonts w:hint="eastAsia" w:ascii="Times New Roman" w:hAnsi="Times New Roman" w:eastAsia="宋体" w:cs="Calibri"/>
          <w:color w:val="000000"/>
          <w:sz w:val="21"/>
          <w:szCs w:val="21"/>
          <w:u w:val="single"/>
          <w:lang w:val="en-US" w:eastAsia="zh-CN" w:bidi="ar-SA"/>
        </w:rPr>
      </w:pPr>
      <w:r>
        <w:rPr>
          <w:rFonts w:hint="eastAsia" w:ascii="Times New Roman" w:hAnsi="Times New Roman" w:eastAsia="宋体" w:cs="Calibri"/>
          <w:color w:val="000000"/>
          <w:sz w:val="21"/>
          <w:szCs w:val="21"/>
          <w:u w:val="single"/>
          <w:lang w:val="en-US" w:eastAsia="zh-CN" w:bidi="ar-SA"/>
        </w:rPr>
        <w:t>6、投标人须为本项目全部服务人员依法缴纳社会保险、团体人身意外伤害保险，保险需覆盖执勤、巡逻、路面处置、骑乘摩托车勤务等全部工作场景，包含意外身故、伤残、意外医疗责任</w:t>
      </w:r>
    </w:p>
    <w:p w14:paraId="16064644">
      <w:pPr>
        <w:numPr>
          <w:ilvl w:val="0"/>
          <w:numId w:val="1"/>
        </w:numPr>
        <w:spacing w:line="360" w:lineRule="auto"/>
        <w:ind w:firstLine="420"/>
        <w:jc w:val="left"/>
        <w:rPr>
          <w:b/>
          <w:bCs/>
          <w:color w:val="000000"/>
          <w:szCs w:val="21"/>
        </w:rPr>
      </w:pPr>
      <w:r>
        <w:rPr>
          <w:rFonts w:hint="eastAsia"/>
          <w:b/>
          <w:bCs/>
          <w:color w:val="000000"/>
          <w:szCs w:val="21"/>
        </w:rPr>
        <w:t>二、招标项目的技术要求</w:t>
      </w:r>
    </w:p>
    <w:p w14:paraId="60012451">
      <w:pPr>
        <w:tabs>
          <w:tab w:val="left" w:pos="0"/>
        </w:tabs>
        <w:spacing w:line="360" w:lineRule="auto"/>
        <w:jc w:val="left"/>
        <w:rPr>
          <w:b/>
          <w:bCs/>
          <w:color w:val="000000"/>
          <w:szCs w:val="21"/>
        </w:rPr>
      </w:pPr>
      <w:r>
        <w:rPr>
          <w:rFonts w:hint="eastAsia"/>
          <w:b/>
          <w:bCs/>
          <w:color w:val="000000"/>
          <w:szCs w:val="21"/>
        </w:rPr>
        <w:t>1、项目内容：</w:t>
      </w:r>
    </w:p>
    <w:tbl>
      <w:tblPr>
        <w:tblStyle w:val="41"/>
        <w:tblW w:w="8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1"/>
        <w:gridCol w:w="1183"/>
        <w:gridCol w:w="1183"/>
        <w:gridCol w:w="2283"/>
        <w:gridCol w:w="2128"/>
      </w:tblGrid>
      <w:tr w14:paraId="4D64E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1" w:type="dxa"/>
            <w:noWrap/>
            <w:vAlign w:val="center"/>
          </w:tcPr>
          <w:p w14:paraId="7A6E042A">
            <w:pPr>
              <w:widowControl/>
              <w:spacing w:line="360" w:lineRule="auto"/>
              <w:jc w:val="center"/>
              <w:rPr>
                <w:b/>
                <w:color w:val="000000"/>
                <w:szCs w:val="21"/>
              </w:rPr>
            </w:pPr>
            <w:r>
              <w:rPr>
                <w:rFonts w:hint="eastAsia"/>
                <w:b/>
                <w:color w:val="000000"/>
                <w:szCs w:val="21"/>
              </w:rPr>
              <w:t>一般勤务范围</w:t>
            </w:r>
          </w:p>
        </w:tc>
        <w:tc>
          <w:tcPr>
            <w:tcW w:w="1183" w:type="dxa"/>
            <w:vAlign w:val="center"/>
          </w:tcPr>
          <w:p w14:paraId="6AF23D16">
            <w:pPr>
              <w:widowControl/>
              <w:spacing w:line="360" w:lineRule="auto"/>
              <w:jc w:val="center"/>
              <w:rPr>
                <w:b/>
                <w:color w:val="000000"/>
                <w:szCs w:val="21"/>
              </w:rPr>
            </w:pPr>
            <w:r>
              <w:rPr>
                <w:rFonts w:hint="eastAsia"/>
                <w:b/>
                <w:color w:val="000000"/>
                <w:szCs w:val="21"/>
              </w:rPr>
              <w:t>岗位</w:t>
            </w:r>
          </w:p>
        </w:tc>
        <w:tc>
          <w:tcPr>
            <w:tcW w:w="1183" w:type="dxa"/>
            <w:noWrap/>
            <w:vAlign w:val="center"/>
          </w:tcPr>
          <w:p w14:paraId="1B8BA685">
            <w:pPr>
              <w:widowControl/>
              <w:spacing w:line="360" w:lineRule="auto"/>
              <w:jc w:val="center"/>
              <w:rPr>
                <w:b/>
                <w:color w:val="000000"/>
                <w:szCs w:val="21"/>
              </w:rPr>
            </w:pPr>
            <w:r>
              <w:rPr>
                <w:rFonts w:hint="eastAsia"/>
                <w:b/>
                <w:color w:val="000000"/>
                <w:szCs w:val="21"/>
              </w:rPr>
              <w:t>配备人员</w:t>
            </w:r>
          </w:p>
          <w:p w14:paraId="30C44B70">
            <w:pPr>
              <w:widowControl/>
              <w:spacing w:line="360" w:lineRule="auto"/>
              <w:jc w:val="center"/>
              <w:rPr>
                <w:b/>
                <w:color w:val="000000"/>
                <w:szCs w:val="21"/>
              </w:rPr>
            </w:pPr>
            <w:r>
              <w:rPr>
                <w:rFonts w:hint="eastAsia"/>
                <w:b/>
                <w:color w:val="000000"/>
                <w:szCs w:val="21"/>
              </w:rPr>
              <w:t>（人）</w:t>
            </w:r>
          </w:p>
        </w:tc>
        <w:tc>
          <w:tcPr>
            <w:tcW w:w="2283" w:type="dxa"/>
            <w:noWrap/>
            <w:vAlign w:val="center"/>
          </w:tcPr>
          <w:p w14:paraId="4A685A96">
            <w:pPr>
              <w:widowControl/>
              <w:spacing w:line="360" w:lineRule="auto"/>
              <w:jc w:val="center"/>
              <w:rPr>
                <w:b/>
                <w:color w:val="000000"/>
                <w:szCs w:val="21"/>
              </w:rPr>
            </w:pPr>
            <w:r>
              <w:rPr>
                <w:rFonts w:hint="eastAsia"/>
                <w:b/>
                <w:color w:val="000000"/>
                <w:szCs w:val="21"/>
              </w:rPr>
              <w:t>勤务时间</w:t>
            </w:r>
          </w:p>
        </w:tc>
        <w:tc>
          <w:tcPr>
            <w:tcW w:w="2128" w:type="dxa"/>
            <w:noWrap/>
            <w:vAlign w:val="center"/>
          </w:tcPr>
          <w:p w14:paraId="56F82CA7">
            <w:pPr>
              <w:widowControl/>
              <w:spacing w:line="360" w:lineRule="auto"/>
              <w:jc w:val="center"/>
              <w:rPr>
                <w:b/>
                <w:color w:val="000000"/>
                <w:szCs w:val="21"/>
              </w:rPr>
            </w:pPr>
            <w:r>
              <w:rPr>
                <w:rFonts w:hint="eastAsia"/>
                <w:b/>
                <w:color w:val="000000"/>
                <w:szCs w:val="21"/>
              </w:rPr>
              <w:t>勤务方式</w:t>
            </w:r>
          </w:p>
        </w:tc>
      </w:tr>
      <w:tr w14:paraId="5B2C8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jc w:val="center"/>
        </w:trPr>
        <w:tc>
          <w:tcPr>
            <w:tcW w:w="1611" w:type="dxa"/>
            <w:noWrap/>
            <w:vAlign w:val="center"/>
          </w:tcPr>
          <w:p w14:paraId="22178F7B">
            <w:pPr>
              <w:widowControl/>
              <w:spacing w:line="360" w:lineRule="auto"/>
              <w:jc w:val="center"/>
              <w:rPr>
                <w:b/>
                <w:color w:val="000000"/>
                <w:szCs w:val="21"/>
              </w:rPr>
            </w:pPr>
            <w:r>
              <w:rPr>
                <w:rFonts w:hint="eastAsia"/>
                <w:b/>
                <w:color w:val="000000"/>
                <w:szCs w:val="21"/>
              </w:rPr>
              <w:t>广陵新城</w:t>
            </w:r>
          </w:p>
        </w:tc>
        <w:tc>
          <w:tcPr>
            <w:tcW w:w="1183" w:type="dxa"/>
            <w:vAlign w:val="center"/>
          </w:tcPr>
          <w:p w14:paraId="6DB11F17">
            <w:pPr>
              <w:widowControl/>
              <w:spacing w:line="360" w:lineRule="auto"/>
              <w:jc w:val="center"/>
              <w:rPr>
                <w:b/>
                <w:color w:val="000000"/>
                <w:szCs w:val="21"/>
              </w:rPr>
            </w:pPr>
            <w:r>
              <w:rPr>
                <w:rFonts w:hint="eastAsia"/>
                <w:b/>
                <w:color w:val="000000"/>
                <w:szCs w:val="21"/>
              </w:rPr>
              <w:t>夜间巡逻队员</w:t>
            </w:r>
          </w:p>
        </w:tc>
        <w:tc>
          <w:tcPr>
            <w:tcW w:w="1183" w:type="dxa"/>
            <w:noWrap/>
            <w:vAlign w:val="center"/>
          </w:tcPr>
          <w:p w14:paraId="62A9D846">
            <w:pPr>
              <w:widowControl/>
              <w:spacing w:line="360" w:lineRule="auto"/>
              <w:jc w:val="center"/>
              <w:rPr>
                <w:b/>
                <w:color w:val="000000"/>
                <w:szCs w:val="21"/>
              </w:rPr>
            </w:pPr>
            <w:r>
              <w:rPr>
                <w:rFonts w:hint="eastAsia"/>
                <w:b/>
                <w:color w:val="000000"/>
                <w:szCs w:val="21"/>
              </w:rPr>
              <w:t>14</w:t>
            </w:r>
          </w:p>
        </w:tc>
        <w:tc>
          <w:tcPr>
            <w:tcW w:w="2283" w:type="dxa"/>
            <w:vMerge w:val="restart"/>
            <w:noWrap/>
            <w:vAlign w:val="center"/>
          </w:tcPr>
          <w:p w14:paraId="08A4419F">
            <w:pPr>
              <w:widowControl/>
              <w:spacing w:line="360" w:lineRule="auto"/>
              <w:jc w:val="center"/>
              <w:rPr>
                <w:b/>
                <w:color w:val="000000"/>
                <w:szCs w:val="21"/>
              </w:rPr>
            </w:pPr>
            <w:r>
              <w:rPr>
                <w:rFonts w:hint="eastAsia"/>
                <w:b/>
                <w:color w:val="000000"/>
                <w:szCs w:val="21"/>
              </w:rPr>
              <w:t>原则上工作时间：晚21：00至次日4时，具体由公安机关根据勤务需要进行安排。</w:t>
            </w:r>
          </w:p>
        </w:tc>
        <w:tc>
          <w:tcPr>
            <w:tcW w:w="2128" w:type="dxa"/>
            <w:vMerge w:val="restart"/>
            <w:noWrap/>
            <w:vAlign w:val="center"/>
          </w:tcPr>
          <w:p w14:paraId="2B41E602">
            <w:pPr>
              <w:widowControl/>
              <w:spacing w:line="360" w:lineRule="auto"/>
              <w:jc w:val="center"/>
              <w:rPr>
                <w:b/>
                <w:color w:val="000000"/>
                <w:szCs w:val="21"/>
              </w:rPr>
            </w:pPr>
            <w:r>
              <w:rPr>
                <w:rFonts w:hint="eastAsia"/>
                <w:b/>
                <w:color w:val="000000"/>
                <w:szCs w:val="21"/>
              </w:rPr>
              <w:t>由公安机关统筹安排，在指定范围内、以车巡或者步巡等方式开展巡逻防范。</w:t>
            </w:r>
          </w:p>
        </w:tc>
      </w:tr>
      <w:tr w14:paraId="3D8EA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jc w:val="center"/>
        </w:trPr>
        <w:tc>
          <w:tcPr>
            <w:tcW w:w="1611" w:type="dxa"/>
            <w:noWrap/>
            <w:vAlign w:val="center"/>
          </w:tcPr>
          <w:p w14:paraId="382FF128">
            <w:pPr>
              <w:widowControl/>
              <w:spacing w:line="360" w:lineRule="auto"/>
              <w:jc w:val="center"/>
              <w:rPr>
                <w:b/>
                <w:color w:val="000000"/>
                <w:szCs w:val="21"/>
              </w:rPr>
            </w:pPr>
            <w:r>
              <w:rPr>
                <w:rFonts w:hint="eastAsia"/>
                <w:b/>
                <w:color w:val="000000"/>
                <w:szCs w:val="21"/>
              </w:rPr>
              <w:t>湾头镇</w:t>
            </w:r>
          </w:p>
        </w:tc>
        <w:tc>
          <w:tcPr>
            <w:tcW w:w="1183" w:type="dxa"/>
            <w:vAlign w:val="center"/>
          </w:tcPr>
          <w:p w14:paraId="34D35488">
            <w:pPr>
              <w:widowControl/>
              <w:spacing w:line="360" w:lineRule="auto"/>
              <w:jc w:val="center"/>
              <w:rPr>
                <w:b/>
                <w:color w:val="000000"/>
                <w:szCs w:val="21"/>
              </w:rPr>
            </w:pPr>
            <w:r>
              <w:rPr>
                <w:rFonts w:hint="eastAsia"/>
                <w:b/>
                <w:color w:val="000000"/>
                <w:szCs w:val="21"/>
              </w:rPr>
              <w:t>夜间巡逻队员</w:t>
            </w:r>
          </w:p>
        </w:tc>
        <w:tc>
          <w:tcPr>
            <w:tcW w:w="1183" w:type="dxa"/>
            <w:noWrap/>
            <w:vAlign w:val="center"/>
          </w:tcPr>
          <w:p w14:paraId="2F14923D">
            <w:pPr>
              <w:widowControl/>
              <w:spacing w:line="360" w:lineRule="auto"/>
              <w:jc w:val="center"/>
              <w:rPr>
                <w:b/>
                <w:color w:val="000000"/>
                <w:szCs w:val="21"/>
              </w:rPr>
            </w:pPr>
            <w:r>
              <w:rPr>
                <w:rFonts w:hint="eastAsia"/>
                <w:b/>
                <w:color w:val="000000"/>
                <w:szCs w:val="21"/>
              </w:rPr>
              <w:t>10</w:t>
            </w:r>
          </w:p>
        </w:tc>
        <w:tc>
          <w:tcPr>
            <w:tcW w:w="2283" w:type="dxa"/>
            <w:vMerge w:val="continue"/>
            <w:noWrap/>
            <w:vAlign w:val="center"/>
          </w:tcPr>
          <w:p w14:paraId="11462561">
            <w:pPr>
              <w:widowControl/>
              <w:spacing w:line="360" w:lineRule="auto"/>
              <w:jc w:val="center"/>
              <w:rPr>
                <w:b/>
                <w:color w:val="000000"/>
                <w:szCs w:val="21"/>
              </w:rPr>
            </w:pPr>
          </w:p>
        </w:tc>
        <w:tc>
          <w:tcPr>
            <w:tcW w:w="2128" w:type="dxa"/>
            <w:vMerge w:val="continue"/>
            <w:noWrap/>
            <w:vAlign w:val="center"/>
          </w:tcPr>
          <w:p w14:paraId="5FAB521B">
            <w:pPr>
              <w:widowControl/>
              <w:spacing w:line="360" w:lineRule="auto"/>
              <w:jc w:val="center"/>
              <w:rPr>
                <w:b/>
                <w:color w:val="000000"/>
                <w:szCs w:val="21"/>
              </w:rPr>
            </w:pPr>
          </w:p>
        </w:tc>
      </w:tr>
      <w:tr w14:paraId="3265D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jc w:val="center"/>
        </w:trPr>
        <w:tc>
          <w:tcPr>
            <w:tcW w:w="1611" w:type="dxa"/>
            <w:noWrap/>
            <w:vAlign w:val="center"/>
          </w:tcPr>
          <w:p w14:paraId="6B0FAAB0">
            <w:pPr>
              <w:widowControl/>
              <w:spacing w:line="360" w:lineRule="auto"/>
              <w:jc w:val="center"/>
              <w:rPr>
                <w:b/>
                <w:color w:val="000000"/>
                <w:szCs w:val="21"/>
              </w:rPr>
            </w:pPr>
            <w:r>
              <w:rPr>
                <w:rFonts w:hint="eastAsia"/>
                <w:b/>
                <w:color w:val="000000"/>
                <w:szCs w:val="21"/>
              </w:rPr>
              <w:t>广陵新城及湾头镇</w:t>
            </w:r>
          </w:p>
        </w:tc>
        <w:tc>
          <w:tcPr>
            <w:tcW w:w="1183" w:type="dxa"/>
            <w:vAlign w:val="center"/>
          </w:tcPr>
          <w:p w14:paraId="51CE19BC">
            <w:pPr>
              <w:widowControl/>
              <w:spacing w:line="360" w:lineRule="auto"/>
              <w:jc w:val="center"/>
              <w:rPr>
                <w:b/>
                <w:color w:val="000000"/>
                <w:szCs w:val="21"/>
              </w:rPr>
            </w:pPr>
            <w:r>
              <w:rPr>
                <w:rFonts w:hint="eastAsia"/>
                <w:b/>
                <w:color w:val="000000"/>
                <w:szCs w:val="21"/>
              </w:rPr>
              <w:t>铁骑机动巡逻队员</w:t>
            </w:r>
          </w:p>
        </w:tc>
        <w:tc>
          <w:tcPr>
            <w:tcW w:w="1183" w:type="dxa"/>
            <w:noWrap/>
            <w:vAlign w:val="center"/>
          </w:tcPr>
          <w:p w14:paraId="41C88C72">
            <w:pPr>
              <w:widowControl/>
              <w:spacing w:line="360" w:lineRule="auto"/>
              <w:jc w:val="center"/>
              <w:rPr>
                <w:b/>
                <w:color w:val="000000"/>
                <w:szCs w:val="21"/>
              </w:rPr>
            </w:pPr>
            <w:r>
              <w:rPr>
                <w:rFonts w:hint="eastAsia"/>
                <w:b/>
                <w:color w:val="000000"/>
                <w:szCs w:val="21"/>
              </w:rPr>
              <w:t>7</w:t>
            </w:r>
          </w:p>
        </w:tc>
        <w:tc>
          <w:tcPr>
            <w:tcW w:w="2283" w:type="dxa"/>
            <w:noWrap/>
            <w:vAlign w:val="center"/>
          </w:tcPr>
          <w:p w14:paraId="1441BFDA">
            <w:pPr>
              <w:widowControl/>
              <w:spacing w:line="360" w:lineRule="auto"/>
              <w:jc w:val="center"/>
              <w:rPr>
                <w:b/>
                <w:color w:val="000000"/>
                <w:szCs w:val="21"/>
              </w:rPr>
            </w:pPr>
            <w:r>
              <w:rPr>
                <w:rFonts w:hint="eastAsia"/>
                <w:b/>
                <w:color w:val="000000"/>
                <w:szCs w:val="21"/>
              </w:rPr>
              <w:t>原则上每人每天工作时间不超过8小时、每周不超过44小时、每月确保休息不少于4天。具体由公安机关根据勤务需要进行安排。</w:t>
            </w:r>
          </w:p>
        </w:tc>
        <w:tc>
          <w:tcPr>
            <w:tcW w:w="2128" w:type="dxa"/>
            <w:vMerge w:val="continue"/>
            <w:noWrap/>
            <w:vAlign w:val="center"/>
          </w:tcPr>
          <w:p w14:paraId="4AA210A0">
            <w:pPr>
              <w:widowControl/>
              <w:spacing w:line="360" w:lineRule="auto"/>
              <w:jc w:val="center"/>
              <w:rPr>
                <w:b/>
                <w:color w:val="000000"/>
                <w:szCs w:val="21"/>
              </w:rPr>
            </w:pPr>
          </w:p>
        </w:tc>
      </w:tr>
    </w:tbl>
    <w:p w14:paraId="753F56F3">
      <w:pPr>
        <w:numPr>
          <w:ilvl w:val="0"/>
          <w:numId w:val="1"/>
        </w:numPr>
        <w:spacing w:line="360" w:lineRule="auto"/>
        <w:jc w:val="left"/>
        <w:rPr>
          <w:bCs/>
          <w:color w:val="000000"/>
          <w:szCs w:val="21"/>
        </w:rPr>
      </w:pPr>
      <w:r>
        <w:rPr>
          <w:rFonts w:hint="eastAsia"/>
          <w:bCs/>
          <w:color w:val="000000"/>
          <w:szCs w:val="21"/>
        </w:rPr>
        <w:t>注：供应商可对标的勤务范围、人员配备、勤务时间、勤务方式等问题提出询问。如不提出询问，则采购人认为供应商已熟悉标的具体情况。</w:t>
      </w:r>
    </w:p>
    <w:p w14:paraId="389D367D">
      <w:pPr>
        <w:numPr>
          <w:ilvl w:val="0"/>
          <w:numId w:val="1"/>
        </w:numPr>
        <w:spacing w:line="360" w:lineRule="auto"/>
        <w:jc w:val="left"/>
        <w:rPr>
          <w:b/>
          <w:bCs/>
          <w:color w:val="000000"/>
          <w:szCs w:val="21"/>
        </w:rPr>
      </w:pPr>
      <w:r>
        <w:rPr>
          <w:rFonts w:hint="eastAsia"/>
          <w:b/>
          <w:bCs/>
          <w:color w:val="000000"/>
          <w:szCs w:val="21"/>
        </w:rPr>
        <w:t>2、标的作业范围：</w:t>
      </w:r>
    </w:p>
    <w:p w14:paraId="4AB325CC">
      <w:pPr>
        <w:spacing w:line="360" w:lineRule="auto"/>
        <w:ind w:firstLine="420"/>
        <w:jc w:val="left"/>
        <w:rPr>
          <w:rFonts w:cs="宋体"/>
          <w:b/>
          <w:color w:val="000000"/>
          <w:szCs w:val="21"/>
        </w:rPr>
      </w:pPr>
      <w:r>
        <w:rPr>
          <w:rFonts w:hint="eastAsia" w:cs="宋体"/>
          <w:color w:val="000000"/>
          <w:szCs w:val="21"/>
        </w:rPr>
        <w:t>2.1、根据采购人提供的勤务要求，在辖区指定范围内、指定线路上开展巡逻防范，预防和协助制止违法犯罪活动，及时准确报告违法犯罪情形，协助有关部门和人员扭送违法犯罪人员。</w:t>
      </w:r>
    </w:p>
    <w:p w14:paraId="23988D7F">
      <w:pPr>
        <w:spacing w:line="360" w:lineRule="auto"/>
        <w:ind w:firstLine="420"/>
        <w:jc w:val="left"/>
        <w:rPr>
          <w:rFonts w:cs="宋体"/>
          <w:color w:val="000000"/>
          <w:szCs w:val="21"/>
        </w:rPr>
      </w:pPr>
      <w:r>
        <w:rPr>
          <w:rFonts w:hint="eastAsia" w:cs="宋体"/>
          <w:color w:val="000000"/>
          <w:szCs w:val="21"/>
        </w:rPr>
        <w:t>2.2、向公安机关及时报告巡逻过程中发现的可疑人员、车辆及物品，并协助辖区公安机关开展核查。</w:t>
      </w:r>
    </w:p>
    <w:p w14:paraId="1E531C73">
      <w:pPr>
        <w:spacing w:line="360" w:lineRule="auto"/>
        <w:ind w:firstLine="420"/>
        <w:jc w:val="left"/>
        <w:rPr>
          <w:rFonts w:cs="宋体"/>
          <w:color w:val="000000"/>
          <w:szCs w:val="21"/>
        </w:rPr>
      </w:pPr>
      <w:r>
        <w:rPr>
          <w:rFonts w:hint="eastAsia" w:cs="宋体"/>
          <w:color w:val="000000"/>
          <w:szCs w:val="21"/>
        </w:rPr>
        <w:t>2.3、服从采购人统一调度，协助采购人及有关部门处置突发事件。</w:t>
      </w:r>
    </w:p>
    <w:p w14:paraId="3FE57C84">
      <w:pPr>
        <w:spacing w:line="360" w:lineRule="auto"/>
        <w:ind w:firstLine="420"/>
        <w:jc w:val="left"/>
        <w:rPr>
          <w:rFonts w:cs="宋体"/>
          <w:color w:val="000000"/>
          <w:szCs w:val="21"/>
        </w:rPr>
      </w:pPr>
      <w:r>
        <w:rPr>
          <w:rFonts w:hint="eastAsia" w:cs="宋体"/>
          <w:color w:val="000000"/>
          <w:szCs w:val="21"/>
        </w:rPr>
        <w:t>2.4、开展安全宣传防范工作，提示和指导安全防范措施的落实。</w:t>
      </w:r>
    </w:p>
    <w:p w14:paraId="33FA6319">
      <w:pPr>
        <w:spacing w:line="360" w:lineRule="auto"/>
        <w:ind w:firstLine="420"/>
        <w:jc w:val="left"/>
        <w:rPr>
          <w:rFonts w:cs="宋体"/>
          <w:color w:val="000000"/>
          <w:szCs w:val="21"/>
        </w:rPr>
      </w:pPr>
      <w:r>
        <w:rPr>
          <w:rFonts w:hint="eastAsia" w:cs="宋体"/>
          <w:color w:val="000000"/>
          <w:szCs w:val="21"/>
        </w:rPr>
        <w:t>2.5、及时将巡逻中发现的不安全苗头和问题向辖区公安机关报告并提出处理意见，积极参与处置。</w:t>
      </w:r>
    </w:p>
    <w:p w14:paraId="0917FA50">
      <w:pPr>
        <w:spacing w:line="360" w:lineRule="auto"/>
        <w:ind w:firstLine="420"/>
        <w:jc w:val="left"/>
        <w:rPr>
          <w:rFonts w:cs="宋体"/>
          <w:color w:val="000000"/>
          <w:szCs w:val="21"/>
        </w:rPr>
      </w:pPr>
      <w:r>
        <w:rPr>
          <w:rFonts w:hint="eastAsia" w:cs="宋体"/>
          <w:color w:val="000000"/>
          <w:szCs w:val="21"/>
        </w:rPr>
        <w:t>2.6、在服务过程中，对突发事件有应急处理计划和措施，并利用信息化方式为业主提供保障支撑服务，及时报警并报告采购人，防止事态进一步恶化，协助保护现场。队员具有一定的紧急救护能力，切实保障群众生命及财产安全。</w:t>
      </w:r>
    </w:p>
    <w:p w14:paraId="7FE720E4">
      <w:pPr>
        <w:spacing w:line="360" w:lineRule="auto"/>
        <w:ind w:firstLine="420"/>
        <w:jc w:val="left"/>
        <w:rPr>
          <w:color w:val="000000"/>
          <w:szCs w:val="21"/>
        </w:rPr>
      </w:pPr>
      <w:r>
        <w:rPr>
          <w:rFonts w:hint="eastAsia" w:cs="宋体"/>
          <w:color w:val="000000"/>
          <w:szCs w:val="21"/>
        </w:rPr>
        <w:t>2.7、参加公安机关安排的其他勤务</w:t>
      </w:r>
      <w:r>
        <w:rPr>
          <w:rFonts w:hint="eastAsia"/>
          <w:color w:val="000000"/>
          <w:szCs w:val="21"/>
        </w:rPr>
        <w:t>。</w:t>
      </w:r>
    </w:p>
    <w:p w14:paraId="7916F056">
      <w:pPr>
        <w:numPr>
          <w:ilvl w:val="0"/>
          <w:numId w:val="1"/>
        </w:numPr>
        <w:spacing w:line="360" w:lineRule="auto"/>
        <w:jc w:val="left"/>
        <w:rPr>
          <w:b/>
          <w:bCs/>
          <w:color w:val="000000"/>
          <w:szCs w:val="21"/>
        </w:rPr>
      </w:pPr>
      <w:r>
        <w:rPr>
          <w:rFonts w:hint="eastAsia"/>
          <w:b/>
          <w:bCs/>
          <w:color w:val="000000"/>
          <w:szCs w:val="21"/>
        </w:rPr>
        <w:t>3、标的作业方式、时间：</w:t>
      </w:r>
    </w:p>
    <w:p w14:paraId="39C516A2">
      <w:pPr>
        <w:numPr>
          <w:ilvl w:val="0"/>
          <w:numId w:val="1"/>
        </w:numPr>
        <w:spacing w:line="360" w:lineRule="auto"/>
        <w:ind w:firstLine="420"/>
        <w:jc w:val="left"/>
        <w:rPr>
          <w:color w:val="000000"/>
          <w:szCs w:val="21"/>
        </w:rPr>
      </w:pPr>
      <w:r>
        <w:rPr>
          <w:rFonts w:hint="eastAsia"/>
          <w:color w:val="000000"/>
          <w:szCs w:val="21"/>
        </w:rPr>
        <w:t>3.1、成交单位所配备队员全部纳入广陵公安分局巡特警大队管理，采购人根据勤务需要，为巡逻组设定巡逻时间、巡逻范围、巡逻线路及设置检查点，成交单位应根据采购人勤务安排每天安排专人对所配备队员工作情况进行登记、督查、考核，</w:t>
      </w:r>
      <w:r>
        <w:rPr>
          <w:rFonts w:hint="eastAsia"/>
          <w:b/>
          <w:bCs/>
          <w:color w:val="000000"/>
          <w:szCs w:val="21"/>
        </w:rPr>
        <w:t>并将登记、督查、考核情况如实抄报巡特警大队和辖区派出所。</w:t>
      </w:r>
    </w:p>
    <w:p w14:paraId="27B728D3">
      <w:pPr>
        <w:numPr>
          <w:ilvl w:val="0"/>
          <w:numId w:val="1"/>
        </w:numPr>
        <w:spacing w:line="360" w:lineRule="auto"/>
        <w:ind w:firstLine="420"/>
        <w:jc w:val="left"/>
        <w:rPr>
          <w:color w:val="000000"/>
          <w:szCs w:val="21"/>
        </w:rPr>
      </w:pPr>
      <w:r>
        <w:rPr>
          <w:rFonts w:hint="eastAsia"/>
          <w:color w:val="000000"/>
          <w:szCs w:val="21"/>
        </w:rPr>
        <w:t>3.2、项目服务时间为一年，项目履行期间成交单位所配备队员每天工作和休息时间由采购人安排，原则上每人每天工作时间不超过8小时、每周不超过44小时、每月确保休息不少于4天。采购人根据警情、案情、治安形势变化的需要，有权调整工作、休息时间，成交单位及所配备队员需无条件服从。</w:t>
      </w:r>
    </w:p>
    <w:p w14:paraId="65DF4306">
      <w:pPr>
        <w:numPr>
          <w:ilvl w:val="0"/>
          <w:numId w:val="1"/>
        </w:numPr>
        <w:spacing w:line="360" w:lineRule="auto"/>
        <w:ind w:firstLine="420"/>
        <w:jc w:val="left"/>
        <w:rPr>
          <w:color w:val="000000"/>
          <w:szCs w:val="21"/>
        </w:rPr>
      </w:pPr>
      <w:r>
        <w:rPr>
          <w:rFonts w:hint="eastAsia"/>
          <w:color w:val="000000"/>
          <w:szCs w:val="21"/>
        </w:rPr>
        <w:t>3.3、根据实际工作情况，采购人有权增加或减少成交单位所配备队员数量，并根据成交单位投标文件中相关预算调整核算，具体调整幅度根据《政府采购法》相关规定执行。</w:t>
      </w:r>
    </w:p>
    <w:p w14:paraId="0F536437">
      <w:pPr>
        <w:numPr>
          <w:ilvl w:val="0"/>
          <w:numId w:val="1"/>
        </w:numPr>
        <w:spacing w:line="360" w:lineRule="auto"/>
        <w:ind w:firstLine="420"/>
        <w:jc w:val="left"/>
        <w:rPr>
          <w:color w:val="000000"/>
          <w:szCs w:val="21"/>
        </w:rPr>
      </w:pPr>
      <w:r>
        <w:rPr>
          <w:rFonts w:hint="eastAsia"/>
          <w:color w:val="000000"/>
          <w:szCs w:val="21"/>
        </w:rPr>
        <w:t>3.4因不可抗力的原因或其他重大变故，采购人有权提前终止合同且不承担法律责任和后果。</w:t>
      </w:r>
    </w:p>
    <w:p w14:paraId="07FF40B7">
      <w:pPr>
        <w:numPr>
          <w:ilvl w:val="0"/>
          <w:numId w:val="1"/>
        </w:numPr>
        <w:spacing w:line="360" w:lineRule="auto"/>
        <w:jc w:val="left"/>
        <w:rPr>
          <w:b/>
          <w:bCs/>
          <w:color w:val="000000"/>
          <w:szCs w:val="21"/>
        </w:rPr>
      </w:pPr>
      <w:r>
        <w:rPr>
          <w:rFonts w:hint="eastAsia"/>
          <w:b/>
          <w:color w:val="000000"/>
          <w:szCs w:val="21"/>
        </w:rPr>
        <w:t>4、服务标准、服务人员要求</w:t>
      </w:r>
    </w:p>
    <w:p w14:paraId="4BAD66AC">
      <w:pPr>
        <w:numPr>
          <w:ilvl w:val="0"/>
          <w:numId w:val="1"/>
        </w:numPr>
        <w:spacing w:line="360" w:lineRule="auto"/>
        <w:ind w:firstLine="422"/>
        <w:jc w:val="left"/>
        <w:rPr>
          <w:b/>
          <w:color w:val="000000"/>
          <w:szCs w:val="21"/>
        </w:rPr>
      </w:pPr>
      <w:r>
        <w:rPr>
          <w:rFonts w:hint="eastAsia"/>
          <w:b/>
          <w:color w:val="000000"/>
          <w:szCs w:val="21"/>
        </w:rPr>
        <w:t>（一）服务标准</w:t>
      </w:r>
    </w:p>
    <w:p w14:paraId="3129CFF7">
      <w:pPr>
        <w:spacing w:line="360" w:lineRule="auto"/>
        <w:ind w:firstLine="420"/>
        <w:jc w:val="left"/>
        <w:rPr>
          <w:rFonts w:cs="宋体"/>
          <w:bCs/>
          <w:color w:val="000000"/>
          <w:szCs w:val="21"/>
        </w:rPr>
      </w:pPr>
      <w:r>
        <w:rPr>
          <w:rFonts w:hint="eastAsia" w:cs="宋体"/>
          <w:color w:val="000000"/>
          <w:szCs w:val="21"/>
        </w:rPr>
        <w:t>4.1、成交人重视党建工作，应具备派驻人员人事管理、劳动纪律、工作履职等信息化管理及考核平台，且具有</w:t>
      </w:r>
      <w:r>
        <w:rPr>
          <w:rFonts w:hint="eastAsia"/>
          <w:color w:val="000000"/>
          <w:szCs w:val="21"/>
        </w:rPr>
        <w:t>无人机安防保障服务能力和应急救援服务能力</w:t>
      </w:r>
      <w:r>
        <w:rPr>
          <w:rFonts w:hint="eastAsia" w:cs="宋体"/>
          <w:color w:val="000000"/>
          <w:szCs w:val="21"/>
        </w:rPr>
        <w:t>；</w:t>
      </w:r>
      <w:r>
        <w:rPr>
          <w:rFonts w:hint="eastAsia" w:cs="宋体"/>
          <w:bCs/>
          <w:color w:val="000000"/>
          <w:szCs w:val="21"/>
        </w:rPr>
        <w:t>必须提供队员的管理、督查、考核可行性实施方案，必须提供相关预算，预算需符合国家相关规定，禁止恶性竞争。</w:t>
      </w:r>
    </w:p>
    <w:p w14:paraId="5580EC72">
      <w:pPr>
        <w:spacing w:line="360" w:lineRule="auto"/>
        <w:ind w:firstLine="420"/>
        <w:jc w:val="left"/>
        <w:rPr>
          <w:rFonts w:cs="宋体"/>
          <w:color w:val="000000"/>
          <w:szCs w:val="21"/>
        </w:rPr>
      </w:pPr>
      <w:r>
        <w:rPr>
          <w:rFonts w:hint="eastAsia" w:cs="宋体"/>
          <w:color w:val="000000"/>
          <w:szCs w:val="21"/>
        </w:rPr>
        <w:t>4.2、成交人成交后，由成交人自行组织实施，严禁转包、分包，否则采购人有权取消其中标资格。</w:t>
      </w:r>
    </w:p>
    <w:p w14:paraId="0451940F">
      <w:pPr>
        <w:spacing w:line="360" w:lineRule="auto"/>
        <w:ind w:firstLine="420"/>
        <w:jc w:val="left"/>
        <w:rPr>
          <w:rFonts w:cs="宋体"/>
          <w:color w:val="000000"/>
          <w:szCs w:val="21"/>
        </w:rPr>
      </w:pPr>
      <w:r>
        <w:rPr>
          <w:rFonts w:hint="eastAsia" w:cs="宋体"/>
          <w:color w:val="000000"/>
          <w:szCs w:val="21"/>
        </w:rPr>
        <w:t>4.3、成交人自收到成交通知书后15个日历天内应与甲方签订合同，在合同要求时间内按合同规定的范围、要求、时间开展工作，逾期视为放弃。</w:t>
      </w:r>
    </w:p>
    <w:p w14:paraId="6A2E0940">
      <w:pPr>
        <w:spacing w:line="360" w:lineRule="auto"/>
        <w:ind w:firstLine="420"/>
        <w:jc w:val="left"/>
        <w:rPr>
          <w:rFonts w:cs="宋体"/>
          <w:color w:val="000000"/>
          <w:szCs w:val="21"/>
        </w:rPr>
      </w:pPr>
      <w:r>
        <w:rPr>
          <w:rFonts w:hint="eastAsia" w:cs="宋体"/>
          <w:color w:val="000000"/>
          <w:szCs w:val="21"/>
        </w:rPr>
        <w:t>4.4、成交人按磋商文件要求开展工作需接受采购人的督查、考核，成交人根据采购人每月督查、考核结果于次月8日前报采购人，并开具正式发票到采购人报支相关报酬。</w:t>
      </w:r>
    </w:p>
    <w:p w14:paraId="026301C8">
      <w:pPr>
        <w:spacing w:line="360" w:lineRule="auto"/>
        <w:ind w:firstLine="420"/>
        <w:jc w:val="left"/>
        <w:rPr>
          <w:rFonts w:cs="宋体"/>
          <w:color w:val="000000"/>
          <w:szCs w:val="21"/>
        </w:rPr>
      </w:pPr>
      <w:r>
        <w:rPr>
          <w:rFonts w:hint="eastAsia" w:cs="宋体"/>
          <w:color w:val="000000"/>
          <w:szCs w:val="21"/>
        </w:rPr>
        <w:t>4.5、成交人的用工管理应符合《中华人民共和国民法典》的相关规定，同时接受采购人的监督检查，成交人队员的劳动争议、工伤及意外伤害等与采购人无关。</w:t>
      </w:r>
    </w:p>
    <w:p w14:paraId="31605DC6">
      <w:pPr>
        <w:spacing w:line="360" w:lineRule="auto"/>
        <w:ind w:firstLine="420"/>
        <w:jc w:val="left"/>
        <w:rPr>
          <w:rFonts w:cs="宋体"/>
          <w:color w:val="000000"/>
          <w:szCs w:val="21"/>
        </w:rPr>
      </w:pPr>
      <w:r>
        <w:rPr>
          <w:rFonts w:hint="eastAsia" w:cs="宋体"/>
          <w:color w:val="000000"/>
          <w:szCs w:val="21"/>
        </w:rPr>
        <w:t>4.6、成交人每天应根据公安机关要求，对巡逻工作进行集中岗前训示和岗后归整。</w:t>
      </w:r>
    </w:p>
    <w:p w14:paraId="38CDB81D">
      <w:pPr>
        <w:spacing w:line="360" w:lineRule="auto"/>
        <w:ind w:firstLine="420"/>
        <w:jc w:val="left"/>
        <w:rPr>
          <w:rFonts w:cs="宋体"/>
          <w:color w:val="000000"/>
          <w:szCs w:val="21"/>
        </w:rPr>
      </w:pPr>
      <w:r>
        <w:rPr>
          <w:rFonts w:hint="eastAsia" w:cs="宋体"/>
          <w:color w:val="000000"/>
          <w:szCs w:val="21"/>
        </w:rPr>
        <w:t>4.7、有效发现和制止违法犯罪活动，有效预防入室盗窃、盗窃机动车、盗窃电动车和盗窃电动车电瓶等可防性案件，有效预防街头路面违法犯罪活动，每月前述可防性案件发案数同比不超过去年。</w:t>
      </w:r>
    </w:p>
    <w:p w14:paraId="5677B22C">
      <w:pPr>
        <w:spacing w:line="360" w:lineRule="auto"/>
        <w:ind w:firstLine="420"/>
        <w:jc w:val="left"/>
        <w:rPr>
          <w:rFonts w:cs="宋体"/>
          <w:color w:val="000000"/>
          <w:szCs w:val="21"/>
        </w:rPr>
      </w:pPr>
      <w:r>
        <w:rPr>
          <w:rFonts w:hint="eastAsia" w:cs="宋体"/>
          <w:color w:val="000000"/>
          <w:szCs w:val="21"/>
        </w:rPr>
        <w:t>4.8、服从采购人统一调度，协助处置辖区突发事件。</w:t>
      </w:r>
    </w:p>
    <w:p w14:paraId="6814A678">
      <w:pPr>
        <w:spacing w:line="360" w:lineRule="auto"/>
        <w:ind w:firstLine="420"/>
        <w:jc w:val="left"/>
        <w:rPr>
          <w:rFonts w:cs="宋体"/>
          <w:color w:val="000000"/>
          <w:szCs w:val="21"/>
        </w:rPr>
      </w:pPr>
      <w:r>
        <w:rPr>
          <w:rFonts w:hint="eastAsia" w:cs="宋体"/>
          <w:color w:val="000000"/>
          <w:szCs w:val="21"/>
        </w:rPr>
        <w:t>4.9、扭送现场群众抓获的违法犯罪嫌疑人，及时救助需要帮助的群众。</w:t>
      </w:r>
    </w:p>
    <w:p w14:paraId="422A32E3">
      <w:pPr>
        <w:numPr>
          <w:ilvl w:val="0"/>
          <w:numId w:val="1"/>
        </w:numPr>
        <w:spacing w:line="360" w:lineRule="auto"/>
        <w:ind w:firstLine="420"/>
        <w:jc w:val="left"/>
        <w:rPr>
          <w:color w:val="000000"/>
          <w:szCs w:val="21"/>
        </w:rPr>
      </w:pPr>
      <w:r>
        <w:rPr>
          <w:rFonts w:hint="eastAsia" w:cs="宋体"/>
          <w:color w:val="000000"/>
          <w:szCs w:val="21"/>
        </w:rPr>
        <w:t>4.10、发现并记录治安防范中存在的问题，及时报告公安机关</w:t>
      </w:r>
      <w:r>
        <w:rPr>
          <w:rFonts w:hint="eastAsia"/>
          <w:color w:val="000000"/>
          <w:szCs w:val="21"/>
        </w:rPr>
        <w:t>。</w:t>
      </w:r>
    </w:p>
    <w:p w14:paraId="032D404F">
      <w:pPr>
        <w:numPr>
          <w:ilvl w:val="0"/>
          <w:numId w:val="1"/>
        </w:numPr>
        <w:spacing w:line="360" w:lineRule="auto"/>
        <w:jc w:val="left"/>
        <w:rPr>
          <w:b/>
          <w:color w:val="000000"/>
          <w:szCs w:val="21"/>
        </w:rPr>
      </w:pPr>
      <w:r>
        <w:rPr>
          <w:rFonts w:hint="eastAsia"/>
          <w:b/>
          <w:color w:val="000000"/>
          <w:szCs w:val="21"/>
        </w:rPr>
        <w:t>（二）服务人员要求</w:t>
      </w:r>
    </w:p>
    <w:p w14:paraId="32E6DC9D">
      <w:pPr>
        <w:numPr>
          <w:ilvl w:val="0"/>
          <w:numId w:val="3"/>
        </w:numPr>
        <w:spacing w:line="360" w:lineRule="auto"/>
        <w:jc w:val="left"/>
        <w:rPr>
          <w:b/>
          <w:bCs/>
          <w:i/>
          <w:iCs/>
          <w:color w:val="000000"/>
          <w:szCs w:val="21"/>
          <w:highlight w:val="yellow"/>
          <w:u w:val="single"/>
        </w:rPr>
      </w:pPr>
      <w:r>
        <w:rPr>
          <w:rFonts w:hint="eastAsia" w:cs="宋体"/>
          <w:color w:val="000000"/>
          <w:szCs w:val="21"/>
          <w:highlight w:val="none"/>
          <w:lang w:val="en-US" w:eastAsia="zh-CN"/>
        </w:rPr>
        <w:t xml:space="preserve">   </w:t>
      </w:r>
      <w:r>
        <w:rPr>
          <w:rFonts w:hint="eastAsia" w:cs="宋体"/>
          <w:color w:val="000000"/>
          <w:szCs w:val="21"/>
          <w:highlight w:val="none"/>
        </w:rPr>
        <w:t>4.11成交人核定的队员不得低于采购人需求中确定的人数，所有人员年龄不得超过45周岁，均具备保安员资格，所有人员身高不低于170公分的男性，无违法犯罪记录，其中铁骑机动巡逻队员均具备有效的并适用于本项目的摩托车驾驶证。</w:t>
      </w:r>
      <w:r>
        <w:rPr>
          <w:rFonts w:hint="eastAsia"/>
          <w:i/>
          <w:iCs/>
          <w:color w:val="000000"/>
          <w:szCs w:val="21"/>
          <w:highlight w:val="none"/>
          <w:u w:val="single"/>
        </w:rPr>
        <w:t>供应商必须提供购岗人员花名册，提供保安员资格证书，否则为无效响应。（</w:t>
      </w:r>
      <w:r>
        <w:rPr>
          <w:rFonts w:hint="eastAsia"/>
          <w:b/>
          <w:bCs/>
          <w:i/>
          <w:iCs/>
          <w:color w:val="000000"/>
          <w:szCs w:val="21"/>
          <w:highlight w:val="none"/>
          <w:u w:val="single"/>
        </w:rPr>
        <w:t>提供人员花名册、保安员资格证书原件扫描上传</w:t>
      </w:r>
      <w:r>
        <w:rPr>
          <w:rFonts w:hint="eastAsia"/>
          <w:i/>
          <w:iCs/>
          <w:color w:val="000000"/>
          <w:szCs w:val="21"/>
          <w:highlight w:val="none"/>
          <w:u w:val="single"/>
        </w:rPr>
        <w:t>）</w:t>
      </w:r>
    </w:p>
    <w:p w14:paraId="4F254702">
      <w:pPr>
        <w:spacing w:line="360" w:lineRule="auto"/>
        <w:ind w:firstLine="420"/>
        <w:rPr>
          <w:b/>
          <w:bCs/>
          <w:i/>
          <w:iCs/>
          <w:color w:val="000000"/>
          <w:szCs w:val="21"/>
          <w:u w:val="single"/>
        </w:rPr>
      </w:pPr>
      <w:r>
        <w:rPr>
          <w:rFonts w:hint="eastAsia"/>
          <w:i/>
          <w:iCs/>
          <w:color w:val="000000"/>
          <w:szCs w:val="21"/>
          <w:u w:val="single"/>
        </w:rPr>
        <w:t>4.12供应商应按照本项目人员岗位配备要求，提供拟投入人员一览表供采购人审查、验收。供应商承诺如果成交，拟派人员应按照响应文件提供的拟投入人员一览表为采购人提供服务，如果调整服务人员，必须提前7个工作日向业主单位报备且经业主面试或审核同意方可更换，同时保持相对的人员稳定性。</w:t>
      </w:r>
      <w:r>
        <w:rPr>
          <w:rFonts w:hint="eastAsia"/>
          <w:b/>
          <w:bCs/>
          <w:i/>
          <w:iCs/>
          <w:color w:val="000000"/>
          <w:szCs w:val="21"/>
          <w:u w:val="single"/>
        </w:rPr>
        <w:t>（须提供拟投入人员一览表及承诺函，拟派人员一览表格式详见“第六章【七、其他】”，承诺函格式自拟，原件扫描上传）。</w:t>
      </w:r>
    </w:p>
    <w:p w14:paraId="297DDBD2">
      <w:pPr>
        <w:spacing w:line="360" w:lineRule="auto"/>
        <w:ind w:firstLine="420"/>
        <w:jc w:val="left"/>
        <w:rPr>
          <w:rFonts w:cs="宋体"/>
          <w:b/>
          <w:bCs/>
          <w:i/>
          <w:iCs/>
          <w:color w:val="000000"/>
          <w:szCs w:val="21"/>
          <w:u w:val="single"/>
        </w:rPr>
      </w:pPr>
      <w:r>
        <w:rPr>
          <w:rFonts w:hint="eastAsia" w:cs="宋体"/>
          <w:i/>
          <w:iCs/>
          <w:color w:val="000000"/>
          <w:szCs w:val="21"/>
          <w:u w:val="single"/>
        </w:rPr>
        <w:t>4.13在合同签订规定时间内成交人核定的队员应具备保安员资格并提交采购人备案。</w:t>
      </w:r>
      <w:r>
        <w:rPr>
          <w:rFonts w:hint="eastAsia" w:cs="宋体"/>
          <w:b/>
          <w:bCs/>
          <w:i/>
          <w:iCs/>
          <w:color w:val="000000"/>
          <w:szCs w:val="21"/>
          <w:u w:val="single"/>
        </w:rPr>
        <w:t>（提供承诺书加盖公章后原件扫描上传，承诺书格式自拟）</w:t>
      </w:r>
    </w:p>
    <w:p w14:paraId="318CE4DA">
      <w:pPr>
        <w:spacing w:line="360" w:lineRule="auto"/>
        <w:ind w:firstLine="420"/>
        <w:jc w:val="left"/>
        <w:rPr>
          <w:rFonts w:cs="宋体"/>
          <w:color w:val="000000"/>
          <w:szCs w:val="21"/>
        </w:rPr>
      </w:pPr>
      <w:r>
        <w:rPr>
          <w:rFonts w:hint="eastAsia" w:cs="宋体"/>
          <w:color w:val="000000"/>
          <w:szCs w:val="21"/>
        </w:rPr>
        <w:t>4.14队员统一着警辅制服，服装的样式、标识及质量应与巡特警大队警辅制服一致，费用由成交人负责；若成交人购买的服装的样式、标识及质量不符合采购人要求，采购人有权责令成交人重新购买或在总费用中扣除相应服装费用。</w:t>
      </w:r>
    </w:p>
    <w:p w14:paraId="2F82658C">
      <w:pPr>
        <w:spacing w:line="360" w:lineRule="auto"/>
        <w:ind w:firstLine="420"/>
        <w:jc w:val="left"/>
        <w:rPr>
          <w:rFonts w:cs="宋体"/>
          <w:color w:val="000000"/>
          <w:szCs w:val="21"/>
        </w:rPr>
      </w:pPr>
      <w:r>
        <w:rPr>
          <w:rFonts w:hint="eastAsia" w:cs="宋体"/>
          <w:color w:val="000000"/>
          <w:szCs w:val="21"/>
        </w:rPr>
        <w:t>4.15队员要求身体健康、五官端正、无纹身、无传染病、敬岗、爱业、专业、精干、高效、思想品质好，作风正派，服务意识强,具有较强的责任心，具有一定的学历基础，以及符合岗位要求工作能力和专业技能。</w:t>
      </w:r>
    </w:p>
    <w:p w14:paraId="6BF8E28F">
      <w:pPr>
        <w:spacing w:line="360" w:lineRule="auto"/>
        <w:ind w:firstLine="420"/>
        <w:jc w:val="left"/>
        <w:rPr>
          <w:rFonts w:cs="宋体"/>
          <w:color w:val="000000"/>
          <w:szCs w:val="21"/>
        </w:rPr>
      </w:pPr>
      <w:r>
        <w:rPr>
          <w:rFonts w:hint="eastAsia" w:cs="宋体"/>
          <w:color w:val="000000"/>
          <w:szCs w:val="21"/>
        </w:rPr>
        <w:t>4.16队员对治安、火灾等事故应急处置能力强，能掌握急救相关知识，有一定比例队员持红十字协会颁发的救护员证；</w:t>
      </w:r>
    </w:p>
    <w:p w14:paraId="3AB69B4C">
      <w:pPr>
        <w:numPr>
          <w:ilvl w:val="0"/>
          <w:numId w:val="3"/>
        </w:numPr>
        <w:spacing w:line="360" w:lineRule="auto"/>
        <w:ind w:firstLine="420"/>
        <w:jc w:val="left"/>
        <w:rPr>
          <w:color w:val="000000"/>
          <w:szCs w:val="21"/>
        </w:rPr>
      </w:pPr>
      <w:r>
        <w:rPr>
          <w:rFonts w:hint="eastAsia" w:cs="宋体"/>
          <w:color w:val="000000"/>
          <w:szCs w:val="21"/>
        </w:rPr>
        <w:t>4.17工作时间应坚守岗位，不得离岗、脱岗、串岗，不得干私活，严禁酒后上班，严禁工作中抽烟。队员在管理、服务中言行举止规范、文明礼貌，形象良好。工作中不得背手、袖手、插口袋，不得佩戴（挂）耳环、项链、戒指及其他饰品</w:t>
      </w:r>
      <w:r>
        <w:rPr>
          <w:rFonts w:hint="eastAsia"/>
          <w:color w:val="000000"/>
          <w:szCs w:val="21"/>
        </w:rPr>
        <w:t>。</w:t>
      </w:r>
    </w:p>
    <w:p w14:paraId="5F107F11">
      <w:pPr>
        <w:numPr>
          <w:ilvl w:val="0"/>
          <w:numId w:val="3"/>
        </w:numPr>
        <w:spacing w:line="360" w:lineRule="auto"/>
        <w:jc w:val="left"/>
        <w:rPr>
          <w:b/>
          <w:color w:val="000000"/>
          <w:szCs w:val="21"/>
        </w:rPr>
      </w:pPr>
      <w:r>
        <w:rPr>
          <w:rFonts w:hint="eastAsia"/>
          <w:b/>
          <w:color w:val="000000"/>
          <w:szCs w:val="21"/>
        </w:rPr>
        <w:t>5、具体服务内容：</w:t>
      </w:r>
    </w:p>
    <w:p w14:paraId="4E485596">
      <w:pPr>
        <w:numPr>
          <w:ilvl w:val="0"/>
          <w:numId w:val="3"/>
        </w:numPr>
        <w:spacing w:line="360" w:lineRule="auto"/>
        <w:jc w:val="left"/>
        <w:rPr>
          <w:b/>
          <w:color w:val="000000"/>
          <w:szCs w:val="21"/>
        </w:rPr>
      </w:pPr>
      <w:r>
        <w:rPr>
          <w:rFonts w:hint="eastAsia"/>
          <w:b/>
          <w:color w:val="000000"/>
          <w:szCs w:val="21"/>
        </w:rPr>
        <w:t>（一）夜间巡逻队员工作内容</w:t>
      </w:r>
    </w:p>
    <w:p w14:paraId="6B47A198">
      <w:pPr>
        <w:spacing w:line="360" w:lineRule="auto"/>
        <w:ind w:firstLine="420"/>
        <w:jc w:val="left"/>
        <w:rPr>
          <w:rFonts w:cs="宋体"/>
          <w:color w:val="000000"/>
          <w:szCs w:val="21"/>
        </w:rPr>
      </w:pPr>
      <w:r>
        <w:rPr>
          <w:rFonts w:hint="eastAsia" w:cs="宋体"/>
          <w:color w:val="000000"/>
          <w:szCs w:val="21"/>
        </w:rPr>
        <w:t>5.1常态化治安巡防</w:t>
      </w:r>
    </w:p>
    <w:p w14:paraId="0DE153C8">
      <w:pPr>
        <w:spacing w:line="360" w:lineRule="auto"/>
        <w:ind w:firstLine="420"/>
        <w:jc w:val="left"/>
        <w:rPr>
          <w:rFonts w:cs="宋体"/>
          <w:color w:val="000000"/>
          <w:szCs w:val="21"/>
        </w:rPr>
      </w:pPr>
      <w:r>
        <w:rPr>
          <w:rFonts w:hint="eastAsia" w:cs="宋体"/>
          <w:color w:val="000000"/>
          <w:szCs w:val="21"/>
        </w:rPr>
        <w:t xml:space="preserve"> 按照派出所划定路线开展夜间步巡、定点值守，覆盖安置小区、背街小巷、运河沿岸、商户街区、茱萸湾周边、城乡结合部；重点夜间防控，排查闲散人员、可疑车辆、可疑物品。</w:t>
      </w:r>
    </w:p>
    <w:p w14:paraId="35C80EF3">
      <w:pPr>
        <w:spacing w:line="360" w:lineRule="auto"/>
        <w:ind w:firstLine="420"/>
        <w:jc w:val="left"/>
        <w:rPr>
          <w:rFonts w:cs="宋体"/>
          <w:color w:val="000000"/>
          <w:szCs w:val="21"/>
        </w:rPr>
      </w:pPr>
      <w:r>
        <w:rPr>
          <w:rFonts w:hint="eastAsia" w:cs="宋体"/>
          <w:color w:val="000000"/>
          <w:szCs w:val="21"/>
        </w:rPr>
        <w:t>5.2安全隐患排查</w:t>
      </w:r>
    </w:p>
    <w:p w14:paraId="249DA875">
      <w:pPr>
        <w:spacing w:line="360" w:lineRule="auto"/>
        <w:ind w:firstLine="420"/>
        <w:jc w:val="left"/>
        <w:rPr>
          <w:rFonts w:cs="宋体"/>
          <w:color w:val="000000"/>
          <w:szCs w:val="21"/>
        </w:rPr>
      </w:pPr>
      <w:r>
        <w:rPr>
          <w:rFonts w:hint="eastAsia" w:cs="宋体"/>
          <w:color w:val="000000"/>
          <w:szCs w:val="21"/>
        </w:rPr>
        <w:t xml:space="preserve"> 巡查沿街门店门窗、水电、消防设施；检查小区楼道消防通道、电动车违规停放充电；发现安全隐患现场劝导、登记上报派出所。</w:t>
      </w:r>
    </w:p>
    <w:p w14:paraId="3EB7374C">
      <w:pPr>
        <w:spacing w:line="360" w:lineRule="auto"/>
        <w:ind w:firstLine="420"/>
        <w:jc w:val="left"/>
        <w:rPr>
          <w:rFonts w:cs="宋体"/>
          <w:color w:val="000000"/>
          <w:szCs w:val="21"/>
        </w:rPr>
      </w:pPr>
      <w:r>
        <w:rPr>
          <w:rFonts w:hint="eastAsia" w:cs="宋体"/>
          <w:color w:val="000000"/>
          <w:szCs w:val="21"/>
        </w:rPr>
        <w:t>5.3先期处置与秩序维护</w:t>
      </w:r>
    </w:p>
    <w:p w14:paraId="1D6E9CE1">
      <w:pPr>
        <w:spacing w:line="360" w:lineRule="auto"/>
        <w:ind w:firstLine="420"/>
        <w:jc w:val="left"/>
        <w:rPr>
          <w:rFonts w:cs="宋体"/>
          <w:color w:val="000000"/>
          <w:szCs w:val="21"/>
        </w:rPr>
      </w:pPr>
      <w:r>
        <w:rPr>
          <w:rFonts w:hint="eastAsia" w:cs="宋体"/>
          <w:color w:val="000000"/>
          <w:szCs w:val="21"/>
        </w:rPr>
        <w:t xml:space="preserve"> 遇到邻里纠纷、噪音扰民、轻微口角冲突开展现场劝导安抚；发现盗窃、寻衅滋事等警情第一时间上报民警，保护现场，配合民警到场处置。</w:t>
      </w:r>
    </w:p>
    <w:p w14:paraId="703C2A60">
      <w:pPr>
        <w:spacing w:line="360" w:lineRule="auto"/>
        <w:ind w:firstLine="420"/>
        <w:jc w:val="left"/>
        <w:rPr>
          <w:rFonts w:cs="宋体"/>
          <w:color w:val="000000"/>
          <w:szCs w:val="21"/>
        </w:rPr>
      </w:pPr>
      <w:r>
        <w:rPr>
          <w:rFonts w:hint="eastAsia" w:cs="宋体"/>
          <w:color w:val="000000"/>
          <w:szCs w:val="21"/>
        </w:rPr>
        <w:t xml:space="preserve">5.4安防宣传 </w:t>
      </w:r>
    </w:p>
    <w:p w14:paraId="65AABC16">
      <w:pPr>
        <w:spacing w:line="360" w:lineRule="auto"/>
        <w:ind w:firstLine="420"/>
        <w:jc w:val="left"/>
        <w:rPr>
          <w:rFonts w:cs="宋体"/>
          <w:color w:val="000000"/>
          <w:szCs w:val="21"/>
        </w:rPr>
      </w:pPr>
      <w:r>
        <w:rPr>
          <w:rFonts w:hint="eastAsia" w:cs="宋体"/>
          <w:color w:val="000000"/>
          <w:szCs w:val="21"/>
        </w:rPr>
        <w:t>向沿街商户、居民开展防盗、防电信诈骗、防火、防汛安全提醒。</w:t>
      </w:r>
    </w:p>
    <w:p w14:paraId="4D2F456E">
      <w:pPr>
        <w:spacing w:line="360" w:lineRule="auto"/>
        <w:ind w:firstLine="420"/>
        <w:jc w:val="left"/>
        <w:rPr>
          <w:rFonts w:cs="宋体"/>
          <w:color w:val="000000"/>
          <w:szCs w:val="21"/>
        </w:rPr>
      </w:pPr>
      <w:r>
        <w:rPr>
          <w:rFonts w:hint="eastAsia" w:cs="宋体"/>
          <w:color w:val="000000"/>
          <w:szCs w:val="21"/>
        </w:rPr>
        <w:t xml:space="preserve">5.5重点部位值守 </w:t>
      </w:r>
    </w:p>
    <w:p w14:paraId="7B06108B">
      <w:pPr>
        <w:spacing w:line="360" w:lineRule="auto"/>
        <w:ind w:firstLine="420"/>
        <w:jc w:val="left"/>
        <w:rPr>
          <w:rFonts w:cs="宋体"/>
          <w:color w:val="000000"/>
          <w:szCs w:val="21"/>
        </w:rPr>
      </w:pPr>
      <w:r>
        <w:rPr>
          <w:rFonts w:hint="eastAsia" w:cs="宋体"/>
          <w:color w:val="000000"/>
          <w:szCs w:val="21"/>
        </w:rPr>
        <w:t>重要路口、偏僻路段、易案发点位定点蹲守；节假日、重大活动配合开展安保值守。</w:t>
      </w:r>
    </w:p>
    <w:p w14:paraId="479C3095">
      <w:pPr>
        <w:spacing w:line="360" w:lineRule="auto"/>
        <w:ind w:firstLine="420"/>
        <w:jc w:val="left"/>
        <w:rPr>
          <w:rFonts w:cs="宋体"/>
          <w:color w:val="000000"/>
          <w:szCs w:val="21"/>
        </w:rPr>
      </w:pPr>
      <w:r>
        <w:rPr>
          <w:rFonts w:hint="eastAsia" w:cs="宋体"/>
          <w:color w:val="000000"/>
          <w:szCs w:val="21"/>
        </w:rPr>
        <w:t xml:space="preserve">5.6信息报送 </w:t>
      </w:r>
    </w:p>
    <w:p w14:paraId="6577C576">
      <w:pPr>
        <w:spacing w:line="360" w:lineRule="auto"/>
        <w:ind w:firstLine="420"/>
        <w:jc w:val="left"/>
        <w:rPr>
          <w:rFonts w:cs="宋体"/>
          <w:color w:val="000000"/>
          <w:szCs w:val="21"/>
        </w:rPr>
      </w:pPr>
      <w:r>
        <w:rPr>
          <w:rFonts w:hint="eastAsia" w:cs="宋体"/>
          <w:color w:val="000000"/>
          <w:szCs w:val="21"/>
        </w:rPr>
        <w:t>规范填写巡逻台账，实时上传巡防轨迹；发现流浪人员、险情、异常情况第一时间上报。</w:t>
      </w:r>
    </w:p>
    <w:p w14:paraId="7F836919">
      <w:pPr>
        <w:spacing w:line="360" w:lineRule="auto"/>
        <w:ind w:firstLine="420"/>
        <w:jc w:val="left"/>
        <w:rPr>
          <w:rFonts w:cs="宋体"/>
          <w:color w:val="000000"/>
          <w:szCs w:val="21"/>
        </w:rPr>
      </w:pPr>
      <w:r>
        <w:rPr>
          <w:rFonts w:hint="eastAsia" w:cs="宋体"/>
          <w:color w:val="000000"/>
          <w:szCs w:val="21"/>
        </w:rPr>
        <w:t>5.7应急辅助勤务</w:t>
      </w:r>
    </w:p>
    <w:p w14:paraId="69F625E6">
      <w:pPr>
        <w:spacing w:line="360" w:lineRule="auto"/>
        <w:ind w:firstLine="420"/>
        <w:jc w:val="left"/>
        <w:rPr>
          <w:rFonts w:cs="宋体"/>
          <w:color w:val="000000"/>
          <w:szCs w:val="21"/>
        </w:rPr>
      </w:pPr>
      <w:r>
        <w:rPr>
          <w:rFonts w:hint="eastAsia" w:cs="宋体"/>
          <w:color w:val="000000"/>
          <w:szCs w:val="21"/>
        </w:rPr>
        <w:t xml:space="preserve"> 协助开展防汛、人员疏导、简单救援、人员寻找等派出所安排的临时性工作。</w:t>
      </w:r>
    </w:p>
    <w:p w14:paraId="7B37C7D2">
      <w:pPr>
        <w:numPr>
          <w:ilvl w:val="0"/>
          <w:numId w:val="3"/>
        </w:numPr>
        <w:spacing w:line="360" w:lineRule="auto"/>
        <w:jc w:val="left"/>
        <w:rPr>
          <w:b/>
          <w:color w:val="000000"/>
          <w:szCs w:val="21"/>
        </w:rPr>
      </w:pPr>
      <w:r>
        <w:rPr>
          <w:rFonts w:hint="eastAsia"/>
          <w:b/>
          <w:color w:val="000000"/>
          <w:szCs w:val="21"/>
        </w:rPr>
        <w:t>（二）铁骑机动巡逻队员工作内容</w:t>
      </w:r>
    </w:p>
    <w:p w14:paraId="185CFEC5">
      <w:pPr>
        <w:spacing w:line="360" w:lineRule="auto"/>
        <w:ind w:firstLine="420"/>
        <w:jc w:val="left"/>
        <w:rPr>
          <w:rFonts w:cs="宋体"/>
          <w:color w:val="000000"/>
          <w:szCs w:val="21"/>
        </w:rPr>
      </w:pPr>
      <w:r>
        <w:rPr>
          <w:rFonts w:hint="eastAsia" w:cs="宋体"/>
          <w:color w:val="000000"/>
          <w:szCs w:val="21"/>
        </w:rPr>
        <w:t xml:space="preserve">5.8机动快速巡防 </w:t>
      </w:r>
    </w:p>
    <w:p w14:paraId="7825A52E">
      <w:pPr>
        <w:spacing w:line="360" w:lineRule="auto"/>
        <w:ind w:firstLine="420"/>
        <w:jc w:val="left"/>
        <w:rPr>
          <w:rFonts w:cs="宋体"/>
          <w:color w:val="000000"/>
          <w:szCs w:val="21"/>
        </w:rPr>
      </w:pPr>
      <w:r>
        <w:rPr>
          <w:rFonts w:hint="eastAsia" w:cs="宋体"/>
          <w:color w:val="000000"/>
          <w:szCs w:val="21"/>
        </w:rPr>
        <w:t>依托摩托车开展主干道、产业园、主次干道机动巡逻，快速抵达重点区域，弥补步巡覆盖盲区，实现快速响应。</w:t>
      </w:r>
    </w:p>
    <w:p w14:paraId="20CE0AB9">
      <w:pPr>
        <w:spacing w:line="360" w:lineRule="auto"/>
        <w:ind w:firstLine="420"/>
        <w:jc w:val="left"/>
        <w:rPr>
          <w:rFonts w:cs="宋体"/>
          <w:color w:val="000000"/>
          <w:szCs w:val="21"/>
        </w:rPr>
      </w:pPr>
      <w:r>
        <w:rPr>
          <w:rFonts w:hint="eastAsia" w:cs="宋体"/>
          <w:color w:val="000000"/>
          <w:szCs w:val="21"/>
        </w:rPr>
        <w:t xml:space="preserve">5.9警情先期增援 </w:t>
      </w:r>
    </w:p>
    <w:p w14:paraId="16993EE4">
      <w:pPr>
        <w:spacing w:line="360" w:lineRule="auto"/>
        <w:ind w:firstLine="420"/>
        <w:jc w:val="left"/>
        <w:rPr>
          <w:rFonts w:cs="宋体"/>
          <w:color w:val="000000"/>
          <w:szCs w:val="21"/>
        </w:rPr>
      </w:pPr>
      <w:r>
        <w:rPr>
          <w:rFonts w:hint="eastAsia" w:cs="宋体"/>
          <w:color w:val="000000"/>
          <w:szCs w:val="21"/>
        </w:rPr>
        <w:t>接到派出所指令，第一时间赶赴现场，维持现场秩序，疏导交通，等候民警处置。</w:t>
      </w:r>
    </w:p>
    <w:p w14:paraId="284F16CF">
      <w:pPr>
        <w:spacing w:line="360" w:lineRule="auto"/>
        <w:ind w:firstLine="420"/>
        <w:jc w:val="left"/>
        <w:rPr>
          <w:rFonts w:cs="宋体"/>
          <w:color w:val="000000"/>
          <w:szCs w:val="21"/>
        </w:rPr>
      </w:pPr>
      <w:r>
        <w:rPr>
          <w:rFonts w:hint="eastAsia" w:cs="宋体"/>
          <w:color w:val="000000"/>
          <w:szCs w:val="21"/>
        </w:rPr>
        <w:t xml:space="preserve">5.10路面秩序管控 </w:t>
      </w:r>
    </w:p>
    <w:p w14:paraId="57D673BC">
      <w:pPr>
        <w:spacing w:line="360" w:lineRule="auto"/>
        <w:ind w:firstLine="420"/>
        <w:jc w:val="left"/>
        <w:rPr>
          <w:rFonts w:cs="宋体"/>
          <w:color w:val="000000"/>
          <w:szCs w:val="21"/>
        </w:rPr>
      </w:pPr>
      <w:r>
        <w:rPr>
          <w:rFonts w:hint="eastAsia" w:cs="宋体"/>
          <w:color w:val="000000"/>
          <w:szCs w:val="21"/>
        </w:rPr>
        <w:t>协助疏导道路拥堵，劝阻占道经营、非机动车违规通行等行为；盘查路面可疑人员、可疑车辆。</w:t>
      </w:r>
    </w:p>
    <w:p w14:paraId="71EBD4B6">
      <w:pPr>
        <w:spacing w:line="360" w:lineRule="auto"/>
        <w:ind w:firstLine="420"/>
        <w:jc w:val="left"/>
        <w:rPr>
          <w:rFonts w:cs="宋体"/>
          <w:color w:val="000000"/>
          <w:szCs w:val="21"/>
        </w:rPr>
      </w:pPr>
      <w:r>
        <w:rPr>
          <w:rFonts w:hint="eastAsia" w:cs="宋体"/>
          <w:color w:val="000000"/>
          <w:szCs w:val="21"/>
        </w:rPr>
        <w:t>5.11重点目标动态防控</w:t>
      </w:r>
    </w:p>
    <w:p w14:paraId="308BDC19">
      <w:pPr>
        <w:spacing w:line="360" w:lineRule="auto"/>
        <w:ind w:firstLine="420"/>
        <w:jc w:val="left"/>
        <w:rPr>
          <w:rFonts w:cs="宋体"/>
          <w:color w:val="000000"/>
          <w:szCs w:val="21"/>
        </w:rPr>
      </w:pPr>
      <w:r>
        <w:rPr>
          <w:rFonts w:hint="eastAsia" w:cs="宋体"/>
          <w:color w:val="000000"/>
          <w:szCs w:val="21"/>
        </w:rPr>
        <w:t>重点路段、出入口、桥梁、园区外围不间断机动巡查；高峰时段加强人流车流密集区域巡逻。</w:t>
      </w:r>
    </w:p>
    <w:p w14:paraId="02A464A3">
      <w:pPr>
        <w:spacing w:line="360" w:lineRule="auto"/>
        <w:ind w:firstLine="420"/>
        <w:jc w:val="left"/>
        <w:rPr>
          <w:rFonts w:cs="宋体"/>
          <w:color w:val="000000"/>
          <w:szCs w:val="21"/>
        </w:rPr>
      </w:pPr>
      <w:r>
        <w:rPr>
          <w:rFonts w:hint="eastAsia" w:cs="宋体"/>
          <w:color w:val="000000"/>
          <w:szCs w:val="21"/>
        </w:rPr>
        <w:t xml:space="preserve">5.12应急机动支援 </w:t>
      </w:r>
    </w:p>
    <w:p w14:paraId="5BB86475">
      <w:pPr>
        <w:spacing w:line="360" w:lineRule="auto"/>
        <w:ind w:firstLine="420"/>
        <w:jc w:val="left"/>
        <w:rPr>
          <w:rFonts w:cs="宋体"/>
          <w:color w:val="000000"/>
          <w:szCs w:val="21"/>
        </w:rPr>
      </w:pPr>
      <w:r>
        <w:rPr>
          <w:rFonts w:hint="eastAsia" w:cs="宋体"/>
          <w:color w:val="000000"/>
          <w:szCs w:val="21"/>
        </w:rPr>
        <w:t>突发事件、夜间突发警情、大型安保任务机动增援；恶劣天气下开展路面巡查预警。</w:t>
      </w:r>
    </w:p>
    <w:p w14:paraId="6DC75521">
      <w:pPr>
        <w:spacing w:line="360" w:lineRule="auto"/>
        <w:ind w:firstLine="420"/>
        <w:jc w:val="left"/>
        <w:rPr>
          <w:rFonts w:cs="宋体"/>
          <w:color w:val="000000"/>
          <w:szCs w:val="21"/>
        </w:rPr>
      </w:pPr>
      <w:r>
        <w:rPr>
          <w:rFonts w:hint="eastAsia" w:cs="宋体"/>
          <w:color w:val="000000"/>
          <w:szCs w:val="21"/>
        </w:rPr>
        <w:t xml:space="preserve">5.13装备与车辆管理 </w:t>
      </w:r>
    </w:p>
    <w:p w14:paraId="1D49D56B">
      <w:pPr>
        <w:spacing w:line="360" w:lineRule="auto"/>
        <w:ind w:firstLine="420"/>
        <w:jc w:val="left"/>
        <w:rPr>
          <w:rFonts w:cs="宋体"/>
          <w:color w:val="000000"/>
          <w:szCs w:val="21"/>
        </w:rPr>
      </w:pPr>
      <w:r>
        <w:rPr>
          <w:rFonts w:hint="eastAsia" w:cs="宋体"/>
          <w:color w:val="000000"/>
          <w:szCs w:val="21"/>
        </w:rPr>
        <w:t>负责执勤摩托日常检查、基础维护；保管头盔、护具、对讲机等执勤装备。</w:t>
      </w:r>
    </w:p>
    <w:p w14:paraId="64F0E5F0">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5.14 护学岗值守 </w:t>
      </w:r>
    </w:p>
    <w:p w14:paraId="4680B48F">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根据公安及学校勤务安排，在上下学重点时段前往校园周边开展护学岗值守；维护校园出入口及周边道路交通、治安秩序，疏导人流车流；劝阻周边不安全行为，排查校园周边治安隐患；处置校园周边突发小纠纷，做好安全防范提示宣传；遇突发事件快速响应，配合民警开展现场处置；服从采购人勤务调度，完成护学相关临时性安保任务。</w:t>
      </w:r>
    </w:p>
    <w:p w14:paraId="1164E617">
      <w:pPr>
        <w:numPr>
          <w:ilvl w:val="0"/>
          <w:numId w:val="3"/>
        </w:numPr>
        <w:spacing w:line="360" w:lineRule="auto"/>
        <w:jc w:val="left"/>
        <w:rPr>
          <w:b/>
          <w:bCs/>
          <w:color w:val="000000"/>
          <w:szCs w:val="21"/>
        </w:rPr>
      </w:pPr>
      <w:r>
        <w:rPr>
          <w:rFonts w:hint="eastAsia"/>
          <w:b/>
          <w:bCs/>
          <w:color w:val="000000"/>
          <w:szCs w:val="21"/>
        </w:rPr>
        <w:t>6、考核方法：</w:t>
      </w:r>
    </w:p>
    <w:p w14:paraId="0114A5E5">
      <w:pPr>
        <w:numPr>
          <w:ilvl w:val="0"/>
          <w:numId w:val="3"/>
        </w:numPr>
        <w:spacing w:line="360" w:lineRule="auto"/>
        <w:ind w:firstLine="420"/>
        <w:jc w:val="left"/>
        <w:rPr>
          <w:color w:val="000000"/>
          <w:szCs w:val="21"/>
        </w:rPr>
      </w:pPr>
      <w:r>
        <w:rPr>
          <w:rFonts w:hint="eastAsia"/>
          <w:color w:val="000000"/>
          <w:szCs w:val="21"/>
        </w:rPr>
        <w:t>为进一步规范扬州市广陵新城管理委员会专职巡逻防范工作外包服务项目管理，确保成交单位及所配备队员认真履行职责，保证工作质量，提高管理水平，决定对成交单位及所配备队员工作情况进行考核。具体方法如下：</w:t>
      </w:r>
    </w:p>
    <w:p w14:paraId="22B77852">
      <w:pPr>
        <w:numPr>
          <w:ilvl w:val="0"/>
          <w:numId w:val="3"/>
        </w:numPr>
        <w:spacing w:line="360" w:lineRule="auto"/>
        <w:ind w:firstLine="420"/>
        <w:jc w:val="left"/>
        <w:rPr>
          <w:color w:val="000000"/>
          <w:szCs w:val="21"/>
        </w:rPr>
      </w:pPr>
      <w:r>
        <w:rPr>
          <w:rFonts w:hint="eastAsia"/>
          <w:color w:val="000000"/>
          <w:szCs w:val="21"/>
        </w:rPr>
        <w:t>（一）考核实施主体：考核工作由扬州市公安局广陵分局巡特警大队和辖区派出所共同负责实施，采用实地检查、监控巡查和智能APP定位相结合的方式。</w:t>
      </w:r>
    </w:p>
    <w:p w14:paraId="143C6294">
      <w:pPr>
        <w:numPr>
          <w:ilvl w:val="0"/>
          <w:numId w:val="3"/>
        </w:numPr>
        <w:spacing w:line="360" w:lineRule="auto"/>
        <w:ind w:firstLine="420"/>
        <w:jc w:val="left"/>
        <w:rPr>
          <w:color w:val="000000"/>
          <w:szCs w:val="21"/>
        </w:rPr>
      </w:pPr>
      <w:r>
        <w:rPr>
          <w:rFonts w:hint="eastAsia"/>
          <w:color w:val="000000"/>
          <w:szCs w:val="21"/>
        </w:rPr>
        <w:t>（二）考核对象：成交单位及所配备队员</w:t>
      </w:r>
    </w:p>
    <w:p w14:paraId="6FD8EB4D">
      <w:pPr>
        <w:numPr>
          <w:ilvl w:val="0"/>
          <w:numId w:val="3"/>
        </w:numPr>
        <w:spacing w:line="360" w:lineRule="auto"/>
        <w:ind w:firstLine="420"/>
        <w:jc w:val="left"/>
        <w:rPr>
          <w:color w:val="000000"/>
          <w:szCs w:val="21"/>
        </w:rPr>
      </w:pPr>
      <w:r>
        <w:rPr>
          <w:rFonts w:hint="eastAsia"/>
          <w:color w:val="000000"/>
          <w:szCs w:val="21"/>
        </w:rPr>
        <w:t>（三）考核细则：见附表</w:t>
      </w:r>
    </w:p>
    <w:p w14:paraId="577BB72A">
      <w:pPr>
        <w:numPr>
          <w:ilvl w:val="0"/>
          <w:numId w:val="3"/>
        </w:numPr>
        <w:spacing w:line="360" w:lineRule="auto"/>
        <w:ind w:firstLine="420"/>
        <w:jc w:val="left"/>
        <w:rPr>
          <w:color w:val="000000"/>
          <w:szCs w:val="21"/>
        </w:rPr>
      </w:pPr>
      <w:r>
        <w:rPr>
          <w:rFonts w:hint="eastAsia"/>
          <w:color w:val="000000"/>
          <w:szCs w:val="21"/>
        </w:rPr>
        <w:t>（四）考核办法：</w:t>
      </w:r>
    </w:p>
    <w:p w14:paraId="7C1B1124">
      <w:pPr>
        <w:numPr>
          <w:ilvl w:val="0"/>
          <w:numId w:val="3"/>
        </w:numPr>
        <w:spacing w:line="360" w:lineRule="auto"/>
        <w:ind w:firstLine="420"/>
        <w:jc w:val="left"/>
        <w:rPr>
          <w:color w:val="000000"/>
          <w:szCs w:val="21"/>
        </w:rPr>
      </w:pPr>
      <w:r>
        <w:rPr>
          <w:rFonts w:hint="eastAsia"/>
          <w:color w:val="000000"/>
          <w:szCs w:val="21"/>
        </w:rPr>
        <w:t>5.1、考核采用倒扣分制，每扣一分，扣除成交单位现金拾元，按月计算。每月根据考核结果，直接扣除成交单位相应数额的现金，并将扣分明细提供给成交单位。</w:t>
      </w:r>
    </w:p>
    <w:p w14:paraId="084AE409">
      <w:pPr>
        <w:numPr>
          <w:ilvl w:val="0"/>
          <w:numId w:val="3"/>
        </w:numPr>
        <w:spacing w:line="360" w:lineRule="auto"/>
        <w:ind w:firstLine="420"/>
        <w:jc w:val="left"/>
        <w:rPr>
          <w:color w:val="000000"/>
          <w:szCs w:val="21"/>
        </w:rPr>
      </w:pPr>
      <w:r>
        <w:rPr>
          <w:rFonts w:hint="eastAsia"/>
          <w:color w:val="000000"/>
          <w:szCs w:val="21"/>
        </w:rPr>
        <w:t>5.2、考核项目分为基础考核和效能考核两部分，由巡特警大队和辖区派出所共同负责实施，每月考核结果由巡特警大队签字确认，于次月5日前将考核结果（附明细）通报各成交单位，于次季度8日前开具当月服务费用发票，交辖区派出所兑现服务费用。</w:t>
      </w:r>
    </w:p>
    <w:p w14:paraId="4997A4C8">
      <w:pPr>
        <w:numPr>
          <w:ilvl w:val="0"/>
          <w:numId w:val="3"/>
        </w:numPr>
        <w:spacing w:line="360" w:lineRule="auto"/>
        <w:ind w:firstLine="420"/>
        <w:jc w:val="left"/>
        <w:rPr>
          <w:b/>
          <w:bCs/>
          <w:color w:val="000000"/>
          <w:szCs w:val="21"/>
        </w:rPr>
      </w:pPr>
      <w:r>
        <w:rPr>
          <w:rFonts w:hint="eastAsia"/>
          <w:color w:val="000000"/>
          <w:szCs w:val="21"/>
        </w:rPr>
        <w:t>5.3、一个月扣分达到或超过两百分或连续三个月累计扣分达到或超过五百分的，均解除成交单位合同。</w:t>
      </w:r>
    </w:p>
    <w:p w14:paraId="62750C26">
      <w:pPr>
        <w:numPr>
          <w:ilvl w:val="0"/>
          <w:numId w:val="3"/>
        </w:numPr>
        <w:spacing w:line="360" w:lineRule="auto"/>
        <w:ind w:firstLine="420"/>
        <w:jc w:val="left"/>
        <w:rPr>
          <w:color w:val="000000"/>
          <w:szCs w:val="21"/>
        </w:rPr>
      </w:pPr>
      <w:r>
        <w:rPr>
          <w:rFonts w:hint="eastAsia"/>
          <w:color w:val="000000"/>
          <w:szCs w:val="21"/>
        </w:rPr>
        <w:t>5.4、对成交单位重点考核遵守法律法规、队伍内部管理、队员工作质态、配合公安工作和完成工作任务情况（详见考核细则）。</w:t>
      </w:r>
    </w:p>
    <w:p w14:paraId="4036E3C5">
      <w:pPr>
        <w:numPr>
          <w:ilvl w:val="0"/>
          <w:numId w:val="3"/>
        </w:numPr>
        <w:spacing w:line="360" w:lineRule="auto"/>
        <w:ind w:firstLine="420"/>
        <w:jc w:val="left"/>
        <w:rPr>
          <w:color w:val="000000"/>
          <w:szCs w:val="21"/>
        </w:rPr>
      </w:pPr>
      <w:r>
        <w:rPr>
          <w:rFonts w:hint="eastAsia"/>
          <w:color w:val="000000"/>
          <w:szCs w:val="21"/>
        </w:rPr>
        <w:t>5.5、成交单位未按规定签约或签约后中途毁约的，处成交金额20%的处罚，并按《政府采购法》相关规定惩处。</w:t>
      </w:r>
    </w:p>
    <w:p w14:paraId="4CE6126A">
      <w:pPr>
        <w:numPr>
          <w:ilvl w:val="0"/>
          <w:numId w:val="3"/>
        </w:numPr>
        <w:spacing w:line="360" w:lineRule="auto"/>
        <w:jc w:val="center"/>
        <w:rPr>
          <w:color w:val="000000"/>
          <w:szCs w:val="21"/>
        </w:rPr>
      </w:pPr>
      <w:r>
        <w:rPr>
          <w:rFonts w:hint="eastAsia"/>
          <w:b/>
          <w:color w:val="000000"/>
          <w:szCs w:val="21"/>
        </w:rPr>
        <w:t>扬州市广陵新城管理委员会专职巡逻防范工作外包服务项目</w:t>
      </w:r>
    </w:p>
    <w:p w14:paraId="093A171A">
      <w:pPr>
        <w:numPr>
          <w:ilvl w:val="0"/>
          <w:numId w:val="3"/>
        </w:numPr>
        <w:spacing w:line="360" w:lineRule="auto"/>
        <w:jc w:val="center"/>
        <w:rPr>
          <w:color w:val="000000"/>
          <w:szCs w:val="21"/>
        </w:rPr>
      </w:pPr>
      <w:r>
        <w:rPr>
          <w:rFonts w:hint="eastAsia"/>
          <w:b/>
          <w:color w:val="000000"/>
          <w:szCs w:val="21"/>
        </w:rPr>
        <w:t>考核细则</w:t>
      </w:r>
    </w:p>
    <w:tbl>
      <w:tblPr>
        <w:tblStyle w:val="41"/>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4100"/>
        <w:gridCol w:w="4084"/>
        <w:gridCol w:w="666"/>
      </w:tblGrid>
      <w:tr w14:paraId="1493F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645" w:type="dxa"/>
            <w:noWrap/>
            <w:vAlign w:val="center"/>
          </w:tcPr>
          <w:p w14:paraId="6AC537E5">
            <w:pPr>
              <w:spacing w:line="360" w:lineRule="auto"/>
              <w:jc w:val="center"/>
              <w:rPr>
                <w:b/>
                <w:color w:val="000000"/>
                <w:szCs w:val="21"/>
              </w:rPr>
            </w:pPr>
            <w:r>
              <w:rPr>
                <w:rFonts w:hint="eastAsia"/>
                <w:b/>
                <w:color w:val="000000"/>
                <w:szCs w:val="21"/>
              </w:rPr>
              <w:t>分类</w:t>
            </w:r>
          </w:p>
        </w:tc>
        <w:tc>
          <w:tcPr>
            <w:tcW w:w="4100" w:type="dxa"/>
            <w:noWrap/>
            <w:vAlign w:val="center"/>
          </w:tcPr>
          <w:p w14:paraId="0628D95E">
            <w:pPr>
              <w:spacing w:line="360" w:lineRule="auto"/>
              <w:jc w:val="center"/>
              <w:rPr>
                <w:b/>
                <w:color w:val="000000"/>
                <w:szCs w:val="21"/>
              </w:rPr>
            </w:pPr>
            <w:r>
              <w:rPr>
                <w:rFonts w:hint="eastAsia"/>
                <w:b/>
                <w:color w:val="000000"/>
                <w:szCs w:val="21"/>
              </w:rPr>
              <w:t>要   求</w:t>
            </w:r>
          </w:p>
        </w:tc>
        <w:tc>
          <w:tcPr>
            <w:tcW w:w="4084" w:type="dxa"/>
            <w:noWrap/>
            <w:vAlign w:val="center"/>
          </w:tcPr>
          <w:p w14:paraId="61695040">
            <w:pPr>
              <w:spacing w:line="360" w:lineRule="auto"/>
              <w:jc w:val="center"/>
              <w:rPr>
                <w:b/>
                <w:color w:val="000000"/>
                <w:szCs w:val="21"/>
              </w:rPr>
            </w:pPr>
            <w:r>
              <w:rPr>
                <w:rFonts w:hint="eastAsia"/>
                <w:b/>
                <w:color w:val="000000"/>
                <w:szCs w:val="21"/>
              </w:rPr>
              <w:t>扣 分 标 准</w:t>
            </w:r>
          </w:p>
        </w:tc>
        <w:tc>
          <w:tcPr>
            <w:tcW w:w="666" w:type="dxa"/>
            <w:noWrap/>
            <w:vAlign w:val="center"/>
          </w:tcPr>
          <w:p w14:paraId="2793CDD1">
            <w:pPr>
              <w:spacing w:line="360" w:lineRule="auto"/>
              <w:jc w:val="center"/>
              <w:rPr>
                <w:b/>
                <w:color w:val="000000"/>
                <w:szCs w:val="21"/>
              </w:rPr>
            </w:pPr>
            <w:r>
              <w:rPr>
                <w:rFonts w:hint="eastAsia"/>
                <w:b/>
                <w:color w:val="000000"/>
                <w:szCs w:val="21"/>
              </w:rPr>
              <w:t>备注</w:t>
            </w:r>
          </w:p>
        </w:tc>
      </w:tr>
      <w:tr w14:paraId="7CAD0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3" w:hRule="atLeast"/>
          <w:jc w:val="center"/>
        </w:trPr>
        <w:tc>
          <w:tcPr>
            <w:tcW w:w="645" w:type="dxa"/>
            <w:vMerge w:val="restart"/>
            <w:noWrap/>
            <w:vAlign w:val="center"/>
          </w:tcPr>
          <w:p w14:paraId="13A472D2">
            <w:pPr>
              <w:spacing w:line="360" w:lineRule="auto"/>
              <w:jc w:val="left"/>
              <w:rPr>
                <w:color w:val="000000"/>
                <w:szCs w:val="21"/>
              </w:rPr>
            </w:pPr>
            <w:r>
              <w:rPr>
                <w:rFonts w:hint="eastAsia"/>
                <w:color w:val="000000"/>
                <w:szCs w:val="21"/>
              </w:rPr>
              <w:t>基础考核部分</w:t>
            </w:r>
          </w:p>
          <w:p w14:paraId="0002DF7F">
            <w:pPr>
              <w:spacing w:line="360" w:lineRule="auto"/>
              <w:jc w:val="left"/>
              <w:rPr>
                <w:color w:val="000000"/>
                <w:szCs w:val="21"/>
              </w:rPr>
            </w:pPr>
          </w:p>
        </w:tc>
        <w:tc>
          <w:tcPr>
            <w:tcW w:w="4100" w:type="dxa"/>
            <w:noWrap/>
            <w:vAlign w:val="center"/>
          </w:tcPr>
          <w:p w14:paraId="206277F2">
            <w:pPr>
              <w:spacing w:line="360" w:lineRule="auto"/>
              <w:jc w:val="left"/>
              <w:rPr>
                <w:color w:val="000000"/>
                <w:szCs w:val="21"/>
              </w:rPr>
            </w:pPr>
            <w:r>
              <w:rPr>
                <w:rFonts w:hint="eastAsia"/>
                <w:color w:val="000000"/>
                <w:szCs w:val="21"/>
              </w:rPr>
              <w:t>认真贯彻落实国家法律法规。（特别是有关安全生产、劳动用工及保障、治安管理方面的法律法规）</w:t>
            </w:r>
          </w:p>
        </w:tc>
        <w:tc>
          <w:tcPr>
            <w:tcW w:w="4084" w:type="dxa"/>
            <w:noWrap/>
            <w:vAlign w:val="center"/>
          </w:tcPr>
          <w:p w14:paraId="1D47ED12">
            <w:pPr>
              <w:spacing w:line="360" w:lineRule="auto"/>
              <w:jc w:val="left"/>
              <w:rPr>
                <w:color w:val="000000"/>
                <w:szCs w:val="21"/>
              </w:rPr>
            </w:pPr>
            <w:r>
              <w:rPr>
                <w:rFonts w:hint="eastAsia"/>
                <w:color w:val="000000"/>
                <w:szCs w:val="21"/>
              </w:rPr>
              <w:t>成交单位未按国家相关法律规定用工的，发现违反1次的扣除100分</w:t>
            </w:r>
          </w:p>
        </w:tc>
        <w:tc>
          <w:tcPr>
            <w:tcW w:w="666" w:type="dxa"/>
            <w:vMerge w:val="restart"/>
            <w:noWrap/>
            <w:vAlign w:val="center"/>
          </w:tcPr>
          <w:p w14:paraId="579E94E0">
            <w:pPr>
              <w:spacing w:line="360" w:lineRule="auto"/>
              <w:jc w:val="left"/>
              <w:rPr>
                <w:color w:val="000000"/>
                <w:szCs w:val="21"/>
              </w:rPr>
            </w:pPr>
            <w:r>
              <w:rPr>
                <w:rFonts w:hint="eastAsia"/>
                <w:color w:val="000000"/>
                <w:szCs w:val="21"/>
              </w:rPr>
              <w:t>每</w:t>
            </w:r>
          </w:p>
          <w:p w14:paraId="7FBFF995">
            <w:pPr>
              <w:spacing w:line="360" w:lineRule="auto"/>
              <w:jc w:val="left"/>
              <w:rPr>
                <w:color w:val="000000"/>
                <w:szCs w:val="21"/>
              </w:rPr>
            </w:pPr>
            <w:r>
              <w:rPr>
                <w:rFonts w:hint="eastAsia"/>
                <w:color w:val="000000"/>
                <w:szCs w:val="21"/>
              </w:rPr>
              <w:t>月</w:t>
            </w:r>
          </w:p>
          <w:p w14:paraId="5480508B">
            <w:pPr>
              <w:spacing w:line="360" w:lineRule="auto"/>
              <w:jc w:val="left"/>
              <w:rPr>
                <w:color w:val="000000"/>
                <w:szCs w:val="21"/>
              </w:rPr>
            </w:pPr>
            <w:r>
              <w:rPr>
                <w:rFonts w:hint="eastAsia"/>
                <w:color w:val="000000"/>
                <w:szCs w:val="21"/>
              </w:rPr>
              <w:t>考</w:t>
            </w:r>
          </w:p>
          <w:p w14:paraId="44019DB1">
            <w:pPr>
              <w:spacing w:line="360" w:lineRule="auto"/>
              <w:jc w:val="left"/>
              <w:rPr>
                <w:color w:val="000000"/>
                <w:szCs w:val="21"/>
              </w:rPr>
            </w:pPr>
            <w:r>
              <w:rPr>
                <w:rFonts w:hint="eastAsia"/>
                <w:color w:val="000000"/>
                <w:szCs w:val="21"/>
              </w:rPr>
              <w:t>核</w:t>
            </w:r>
          </w:p>
        </w:tc>
      </w:tr>
      <w:tr w14:paraId="009DC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645" w:type="dxa"/>
            <w:vMerge w:val="continue"/>
            <w:noWrap/>
            <w:vAlign w:val="center"/>
          </w:tcPr>
          <w:p w14:paraId="1C0595C9">
            <w:pPr>
              <w:widowControl/>
              <w:spacing w:line="360" w:lineRule="auto"/>
              <w:jc w:val="left"/>
              <w:rPr>
                <w:color w:val="000000"/>
                <w:szCs w:val="21"/>
              </w:rPr>
            </w:pPr>
          </w:p>
        </w:tc>
        <w:tc>
          <w:tcPr>
            <w:tcW w:w="4100" w:type="dxa"/>
            <w:noWrap/>
            <w:vAlign w:val="center"/>
          </w:tcPr>
          <w:p w14:paraId="104CE665">
            <w:pPr>
              <w:spacing w:line="360" w:lineRule="auto"/>
              <w:jc w:val="left"/>
              <w:rPr>
                <w:color w:val="000000"/>
                <w:szCs w:val="21"/>
              </w:rPr>
            </w:pPr>
            <w:r>
              <w:rPr>
                <w:rFonts w:hint="eastAsia"/>
                <w:color w:val="000000"/>
                <w:szCs w:val="21"/>
              </w:rPr>
              <w:t>认真参加公安机关组织的各种训练</w:t>
            </w:r>
          </w:p>
        </w:tc>
        <w:tc>
          <w:tcPr>
            <w:tcW w:w="4084" w:type="dxa"/>
            <w:noWrap/>
            <w:vAlign w:val="center"/>
          </w:tcPr>
          <w:p w14:paraId="0AD0F2D1">
            <w:pPr>
              <w:spacing w:line="360" w:lineRule="auto"/>
              <w:jc w:val="left"/>
              <w:rPr>
                <w:color w:val="000000"/>
                <w:szCs w:val="21"/>
              </w:rPr>
            </w:pPr>
            <w:r>
              <w:rPr>
                <w:rFonts w:hint="eastAsia"/>
                <w:color w:val="000000"/>
                <w:szCs w:val="21"/>
              </w:rPr>
              <w:t>未按要求参加的，少1人扣除成交单位10分</w:t>
            </w:r>
          </w:p>
        </w:tc>
        <w:tc>
          <w:tcPr>
            <w:tcW w:w="666" w:type="dxa"/>
            <w:vMerge w:val="continue"/>
            <w:noWrap/>
            <w:vAlign w:val="center"/>
          </w:tcPr>
          <w:p w14:paraId="7071B673">
            <w:pPr>
              <w:widowControl/>
              <w:spacing w:line="360" w:lineRule="auto"/>
              <w:jc w:val="left"/>
              <w:rPr>
                <w:color w:val="000000"/>
                <w:szCs w:val="21"/>
              </w:rPr>
            </w:pPr>
          </w:p>
        </w:tc>
      </w:tr>
      <w:tr w14:paraId="7D62A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645" w:type="dxa"/>
            <w:vMerge w:val="continue"/>
            <w:noWrap/>
            <w:vAlign w:val="center"/>
          </w:tcPr>
          <w:p w14:paraId="0516BDBE">
            <w:pPr>
              <w:widowControl/>
              <w:spacing w:line="360" w:lineRule="auto"/>
              <w:jc w:val="left"/>
              <w:rPr>
                <w:color w:val="000000"/>
                <w:szCs w:val="21"/>
              </w:rPr>
            </w:pPr>
          </w:p>
        </w:tc>
        <w:tc>
          <w:tcPr>
            <w:tcW w:w="4100" w:type="dxa"/>
            <w:noWrap/>
            <w:vAlign w:val="center"/>
          </w:tcPr>
          <w:p w14:paraId="466D4DB1">
            <w:pPr>
              <w:spacing w:line="360" w:lineRule="auto"/>
              <w:jc w:val="left"/>
              <w:rPr>
                <w:color w:val="000000"/>
                <w:szCs w:val="21"/>
              </w:rPr>
            </w:pPr>
            <w:r>
              <w:rPr>
                <w:rFonts w:hint="eastAsia"/>
                <w:color w:val="000000"/>
                <w:szCs w:val="21"/>
              </w:rPr>
              <w:t>成交单位应根据公安机关勤务安排每天安排专人对所属人员工作情况进行登记、督查、考核，并将登记、督查、考核情况如实抄报巡特警大队和辖区派出所。</w:t>
            </w:r>
          </w:p>
        </w:tc>
        <w:tc>
          <w:tcPr>
            <w:tcW w:w="4084" w:type="dxa"/>
            <w:noWrap/>
            <w:vAlign w:val="center"/>
          </w:tcPr>
          <w:p w14:paraId="457A3C88">
            <w:pPr>
              <w:spacing w:line="360" w:lineRule="auto"/>
              <w:jc w:val="left"/>
              <w:rPr>
                <w:color w:val="000000"/>
                <w:szCs w:val="21"/>
              </w:rPr>
            </w:pPr>
            <w:r>
              <w:rPr>
                <w:rFonts w:hint="eastAsia"/>
                <w:color w:val="000000"/>
                <w:szCs w:val="21"/>
              </w:rPr>
              <w:t>未及时如实抄报的，每次扣除10分。</w:t>
            </w:r>
          </w:p>
        </w:tc>
        <w:tc>
          <w:tcPr>
            <w:tcW w:w="666" w:type="dxa"/>
            <w:vMerge w:val="continue"/>
            <w:noWrap/>
            <w:vAlign w:val="center"/>
          </w:tcPr>
          <w:p w14:paraId="4E74A55C">
            <w:pPr>
              <w:widowControl/>
              <w:spacing w:line="360" w:lineRule="auto"/>
              <w:jc w:val="left"/>
              <w:rPr>
                <w:color w:val="000000"/>
                <w:szCs w:val="21"/>
              </w:rPr>
            </w:pPr>
          </w:p>
        </w:tc>
      </w:tr>
      <w:tr w14:paraId="5369A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645" w:type="dxa"/>
            <w:vMerge w:val="continue"/>
            <w:noWrap/>
            <w:vAlign w:val="center"/>
          </w:tcPr>
          <w:p w14:paraId="38B4ED17">
            <w:pPr>
              <w:widowControl/>
              <w:spacing w:line="360" w:lineRule="auto"/>
              <w:jc w:val="left"/>
              <w:rPr>
                <w:color w:val="000000"/>
                <w:szCs w:val="21"/>
              </w:rPr>
            </w:pPr>
          </w:p>
        </w:tc>
        <w:tc>
          <w:tcPr>
            <w:tcW w:w="4100" w:type="dxa"/>
            <w:noWrap/>
            <w:vAlign w:val="center"/>
          </w:tcPr>
          <w:p w14:paraId="10AB2E3B">
            <w:pPr>
              <w:spacing w:line="360" w:lineRule="auto"/>
              <w:jc w:val="left"/>
              <w:rPr>
                <w:color w:val="000000"/>
                <w:szCs w:val="21"/>
              </w:rPr>
            </w:pPr>
            <w:r>
              <w:rPr>
                <w:rFonts w:hint="eastAsia"/>
                <w:color w:val="000000"/>
                <w:szCs w:val="21"/>
              </w:rPr>
              <w:t>成交单位服从工作安排积极配合工作，完成任务的。</w:t>
            </w:r>
          </w:p>
        </w:tc>
        <w:tc>
          <w:tcPr>
            <w:tcW w:w="4084" w:type="dxa"/>
            <w:noWrap/>
            <w:vAlign w:val="center"/>
          </w:tcPr>
          <w:p w14:paraId="5DFF2EE4">
            <w:pPr>
              <w:spacing w:line="360" w:lineRule="auto"/>
              <w:jc w:val="left"/>
              <w:rPr>
                <w:color w:val="000000"/>
                <w:szCs w:val="21"/>
              </w:rPr>
            </w:pPr>
            <w:r>
              <w:rPr>
                <w:rFonts w:hint="eastAsia"/>
                <w:color w:val="000000"/>
                <w:szCs w:val="21"/>
              </w:rPr>
              <w:t>不服从工作安排的，一次扣除50分，不积极配合工作的，一次扣除50分，不能完成任务的，一次扣除100分。</w:t>
            </w:r>
          </w:p>
        </w:tc>
        <w:tc>
          <w:tcPr>
            <w:tcW w:w="666" w:type="dxa"/>
            <w:vMerge w:val="continue"/>
            <w:noWrap/>
            <w:vAlign w:val="center"/>
          </w:tcPr>
          <w:p w14:paraId="75AA1620">
            <w:pPr>
              <w:widowControl/>
              <w:spacing w:line="360" w:lineRule="auto"/>
              <w:jc w:val="left"/>
              <w:rPr>
                <w:color w:val="000000"/>
                <w:szCs w:val="21"/>
              </w:rPr>
            </w:pPr>
          </w:p>
        </w:tc>
      </w:tr>
      <w:tr w14:paraId="01E42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645" w:type="dxa"/>
            <w:vMerge w:val="continue"/>
            <w:noWrap/>
            <w:vAlign w:val="center"/>
          </w:tcPr>
          <w:p w14:paraId="434CCBDE">
            <w:pPr>
              <w:widowControl/>
              <w:spacing w:line="360" w:lineRule="auto"/>
              <w:jc w:val="left"/>
              <w:rPr>
                <w:color w:val="000000"/>
                <w:szCs w:val="21"/>
              </w:rPr>
            </w:pPr>
          </w:p>
        </w:tc>
        <w:tc>
          <w:tcPr>
            <w:tcW w:w="4100" w:type="dxa"/>
            <w:noWrap/>
            <w:vAlign w:val="center"/>
          </w:tcPr>
          <w:p w14:paraId="4FACBCC4">
            <w:pPr>
              <w:spacing w:line="360" w:lineRule="auto"/>
              <w:jc w:val="left"/>
              <w:rPr>
                <w:color w:val="000000"/>
                <w:szCs w:val="21"/>
              </w:rPr>
            </w:pPr>
            <w:r>
              <w:rPr>
                <w:rFonts w:hint="eastAsia" w:cs="楷体_GB2312"/>
                <w:color w:val="000000"/>
                <w:szCs w:val="21"/>
              </w:rPr>
              <w:t>按照服务质量承诺可行性实施方案要求落实具体工作</w:t>
            </w:r>
          </w:p>
        </w:tc>
        <w:tc>
          <w:tcPr>
            <w:tcW w:w="4084" w:type="dxa"/>
            <w:noWrap/>
            <w:vAlign w:val="center"/>
          </w:tcPr>
          <w:p w14:paraId="43FAFE86">
            <w:pPr>
              <w:spacing w:line="360" w:lineRule="auto"/>
              <w:jc w:val="left"/>
              <w:rPr>
                <w:color w:val="000000"/>
                <w:szCs w:val="21"/>
              </w:rPr>
            </w:pPr>
            <w:r>
              <w:rPr>
                <w:rFonts w:hint="eastAsia" w:cs="楷体_GB2312"/>
                <w:color w:val="000000"/>
                <w:szCs w:val="21"/>
              </w:rPr>
              <w:t>未按服务质量承诺可行性实施方案要求落实具体工作的，</w:t>
            </w:r>
            <w:r>
              <w:rPr>
                <w:rFonts w:hint="eastAsia"/>
                <w:color w:val="000000"/>
                <w:szCs w:val="21"/>
              </w:rPr>
              <w:t>纳入公司诚信记录，发现一次扣除200分，超过二次的（含），取消该公司今后同类项目投标资格。</w:t>
            </w:r>
          </w:p>
        </w:tc>
        <w:tc>
          <w:tcPr>
            <w:tcW w:w="666" w:type="dxa"/>
            <w:vMerge w:val="continue"/>
            <w:noWrap/>
            <w:vAlign w:val="center"/>
          </w:tcPr>
          <w:p w14:paraId="0BF5EBF9">
            <w:pPr>
              <w:widowControl/>
              <w:spacing w:line="360" w:lineRule="auto"/>
              <w:jc w:val="left"/>
              <w:rPr>
                <w:color w:val="000000"/>
                <w:szCs w:val="21"/>
              </w:rPr>
            </w:pPr>
          </w:p>
        </w:tc>
      </w:tr>
      <w:tr w14:paraId="16145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645" w:type="dxa"/>
            <w:vMerge w:val="continue"/>
            <w:noWrap/>
            <w:vAlign w:val="center"/>
          </w:tcPr>
          <w:p w14:paraId="05B3A751">
            <w:pPr>
              <w:widowControl/>
              <w:spacing w:line="360" w:lineRule="auto"/>
              <w:jc w:val="left"/>
              <w:rPr>
                <w:color w:val="000000"/>
                <w:szCs w:val="21"/>
              </w:rPr>
            </w:pPr>
          </w:p>
        </w:tc>
        <w:tc>
          <w:tcPr>
            <w:tcW w:w="4100" w:type="dxa"/>
            <w:noWrap/>
            <w:vAlign w:val="center"/>
          </w:tcPr>
          <w:p w14:paraId="20F81191">
            <w:pPr>
              <w:spacing w:line="360" w:lineRule="auto"/>
              <w:jc w:val="left"/>
              <w:rPr>
                <w:rFonts w:cs="楷体_GB2312"/>
                <w:b/>
                <w:bCs/>
                <w:color w:val="000000"/>
                <w:szCs w:val="21"/>
              </w:rPr>
            </w:pPr>
            <w:r>
              <w:rPr>
                <w:rFonts w:hint="eastAsia"/>
                <w:color w:val="000000"/>
                <w:szCs w:val="21"/>
              </w:rPr>
              <w:t>队员年龄不得超过45周岁男性</w:t>
            </w:r>
          </w:p>
        </w:tc>
        <w:tc>
          <w:tcPr>
            <w:tcW w:w="4084" w:type="dxa"/>
            <w:noWrap/>
            <w:vAlign w:val="center"/>
          </w:tcPr>
          <w:p w14:paraId="7C6452E5">
            <w:pPr>
              <w:spacing w:line="360" w:lineRule="auto"/>
              <w:jc w:val="left"/>
              <w:rPr>
                <w:rFonts w:cs="楷体_GB2312"/>
                <w:b/>
                <w:bCs/>
                <w:color w:val="000000"/>
                <w:szCs w:val="21"/>
              </w:rPr>
            </w:pPr>
            <w:r>
              <w:rPr>
                <w:rFonts w:hint="eastAsia"/>
                <w:color w:val="000000"/>
                <w:szCs w:val="21"/>
              </w:rPr>
              <w:t>发现一人超过的，扣除100分</w:t>
            </w:r>
          </w:p>
        </w:tc>
        <w:tc>
          <w:tcPr>
            <w:tcW w:w="666" w:type="dxa"/>
            <w:vMerge w:val="continue"/>
            <w:noWrap/>
            <w:vAlign w:val="center"/>
          </w:tcPr>
          <w:p w14:paraId="409CA651">
            <w:pPr>
              <w:widowControl/>
              <w:spacing w:line="360" w:lineRule="auto"/>
              <w:jc w:val="left"/>
              <w:rPr>
                <w:color w:val="000000"/>
                <w:szCs w:val="21"/>
              </w:rPr>
            </w:pPr>
          </w:p>
        </w:tc>
      </w:tr>
      <w:tr w14:paraId="37E24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vMerge w:val="continue"/>
            <w:noWrap/>
            <w:vAlign w:val="center"/>
          </w:tcPr>
          <w:p w14:paraId="39F249BD">
            <w:pPr>
              <w:widowControl/>
              <w:spacing w:line="360" w:lineRule="auto"/>
              <w:jc w:val="left"/>
              <w:rPr>
                <w:color w:val="000000"/>
                <w:szCs w:val="21"/>
              </w:rPr>
            </w:pPr>
          </w:p>
        </w:tc>
        <w:tc>
          <w:tcPr>
            <w:tcW w:w="4100" w:type="dxa"/>
            <w:noWrap/>
            <w:vAlign w:val="center"/>
          </w:tcPr>
          <w:p w14:paraId="43EDA445">
            <w:pPr>
              <w:spacing w:line="360" w:lineRule="auto"/>
              <w:jc w:val="left"/>
              <w:rPr>
                <w:color w:val="000000"/>
                <w:szCs w:val="21"/>
              </w:rPr>
            </w:pPr>
            <w:r>
              <w:rPr>
                <w:rFonts w:hint="eastAsia"/>
                <w:color w:val="000000"/>
                <w:szCs w:val="21"/>
              </w:rPr>
              <w:t>巡逻队员具备保安员资格</w:t>
            </w:r>
          </w:p>
        </w:tc>
        <w:tc>
          <w:tcPr>
            <w:tcW w:w="4084" w:type="dxa"/>
            <w:noWrap/>
            <w:vAlign w:val="center"/>
          </w:tcPr>
          <w:p w14:paraId="15321C9F">
            <w:pPr>
              <w:spacing w:line="360" w:lineRule="auto"/>
              <w:jc w:val="left"/>
              <w:rPr>
                <w:color w:val="000000"/>
                <w:szCs w:val="21"/>
              </w:rPr>
            </w:pPr>
            <w:r>
              <w:rPr>
                <w:rFonts w:hint="eastAsia"/>
                <w:color w:val="000000"/>
                <w:szCs w:val="21"/>
              </w:rPr>
              <w:t>合同约定的在规定期限内不能提供巡逻队员保安资格证原件的，少一人扣除100分。</w:t>
            </w:r>
          </w:p>
        </w:tc>
        <w:tc>
          <w:tcPr>
            <w:tcW w:w="666" w:type="dxa"/>
            <w:vMerge w:val="continue"/>
            <w:noWrap/>
            <w:vAlign w:val="center"/>
          </w:tcPr>
          <w:p w14:paraId="372BF2A9">
            <w:pPr>
              <w:widowControl/>
              <w:spacing w:line="360" w:lineRule="auto"/>
              <w:jc w:val="left"/>
              <w:rPr>
                <w:color w:val="000000"/>
                <w:szCs w:val="21"/>
              </w:rPr>
            </w:pPr>
          </w:p>
        </w:tc>
      </w:tr>
      <w:tr w14:paraId="77DFD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vMerge w:val="continue"/>
            <w:noWrap/>
            <w:vAlign w:val="center"/>
          </w:tcPr>
          <w:p w14:paraId="35661BCF">
            <w:pPr>
              <w:widowControl/>
              <w:spacing w:line="360" w:lineRule="auto"/>
              <w:jc w:val="left"/>
              <w:rPr>
                <w:color w:val="000000"/>
                <w:szCs w:val="21"/>
              </w:rPr>
            </w:pPr>
          </w:p>
        </w:tc>
        <w:tc>
          <w:tcPr>
            <w:tcW w:w="4100" w:type="dxa"/>
            <w:noWrap/>
            <w:vAlign w:val="center"/>
          </w:tcPr>
          <w:p w14:paraId="2053482A">
            <w:pPr>
              <w:spacing w:line="360" w:lineRule="auto"/>
              <w:jc w:val="left"/>
              <w:rPr>
                <w:color w:val="000000"/>
                <w:szCs w:val="21"/>
              </w:rPr>
            </w:pPr>
            <w:r>
              <w:rPr>
                <w:rFonts w:hint="eastAsia"/>
                <w:color w:val="000000"/>
                <w:szCs w:val="21"/>
              </w:rPr>
              <w:t>通过巡逻直接抓获违法犯罪嫌疑人的</w:t>
            </w:r>
          </w:p>
        </w:tc>
        <w:tc>
          <w:tcPr>
            <w:tcW w:w="4084" w:type="dxa"/>
            <w:noWrap/>
            <w:vAlign w:val="center"/>
          </w:tcPr>
          <w:p w14:paraId="2E92443E">
            <w:pPr>
              <w:spacing w:line="360" w:lineRule="auto"/>
              <w:jc w:val="left"/>
              <w:rPr>
                <w:color w:val="000000"/>
                <w:szCs w:val="21"/>
              </w:rPr>
            </w:pPr>
            <w:r>
              <w:rPr>
                <w:rFonts w:hint="eastAsia"/>
                <w:color w:val="000000"/>
                <w:szCs w:val="21"/>
              </w:rPr>
              <w:t>由巡特警大队统一扎口，按扬州市见义勇为奖励相关规定执行。</w:t>
            </w:r>
          </w:p>
        </w:tc>
        <w:tc>
          <w:tcPr>
            <w:tcW w:w="666" w:type="dxa"/>
            <w:vMerge w:val="continue"/>
            <w:noWrap/>
            <w:vAlign w:val="center"/>
          </w:tcPr>
          <w:p w14:paraId="7DBB030E">
            <w:pPr>
              <w:widowControl/>
              <w:spacing w:line="360" w:lineRule="auto"/>
              <w:jc w:val="left"/>
              <w:rPr>
                <w:color w:val="000000"/>
                <w:szCs w:val="21"/>
              </w:rPr>
            </w:pPr>
          </w:p>
        </w:tc>
      </w:tr>
      <w:tr w14:paraId="04B52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vMerge w:val="continue"/>
            <w:noWrap/>
            <w:vAlign w:val="center"/>
          </w:tcPr>
          <w:p w14:paraId="7C308548">
            <w:pPr>
              <w:widowControl/>
              <w:spacing w:line="360" w:lineRule="auto"/>
              <w:jc w:val="left"/>
              <w:rPr>
                <w:color w:val="000000"/>
                <w:szCs w:val="21"/>
              </w:rPr>
            </w:pPr>
          </w:p>
        </w:tc>
        <w:tc>
          <w:tcPr>
            <w:tcW w:w="4100" w:type="dxa"/>
            <w:noWrap/>
            <w:vAlign w:val="center"/>
          </w:tcPr>
          <w:p w14:paraId="3A9003C7">
            <w:pPr>
              <w:spacing w:line="360" w:lineRule="auto"/>
              <w:jc w:val="left"/>
              <w:rPr>
                <w:color w:val="000000"/>
                <w:szCs w:val="21"/>
              </w:rPr>
            </w:pPr>
            <w:r>
              <w:rPr>
                <w:rFonts w:hint="eastAsia"/>
                <w:color w:val="000000"/>
                <w:szCs w:val="21"/>
              </w:rPr>
              <w:t>每日工作应按要求开展岗前训示和岗后归整</w:t>
            </w:r>
          </w:p>
        </w:tc>
        <w:tc>
          <w:tcPr>
            <w:tcW w:w="4084" w:type="dxa"/>
            <w:noWrap/>
            <w:vAlign w:val="center"/>
          </w:tcPr>
          <w:p w14:paraId="29FC115B">
            <w:pPr>
              <w:spacing w:line="360" w:lineRule="auto"/>
              <w:jc w:val="left"/>
              <w:rPr>
                <w:color w:val="000000"/>
                <w:szCs w:val="21"/>
              </w:rPr>
            </w:pPr>
            <w:r>
              <w:rPr>
                <w:rFonts w:hint="eastAsia"/>
                <w:color w:val="000000"/>
                <w:szCs w:val="21"/>
              </w:rPr>
              <w:t>未按要求开展岗前训示和岗后归整的，发现一次扣除10分。</w:t>
            </w:r>
          </w:p>
        </w:tc>
        <w:tc>
          <w:tcPr>
            <w:tcW w:w="666" w:type="dxa"/>
            <w:vMerge w:val="restart"/>
            <w:noWrap/>
            <w:vAlign w:val="center"/>
          </w:tcPr>
          <w:p w14:paraId="1F2725F8">
            <w:pPr>
              <w:spacing w:line="360" w:lineRule="auto"/>
              <w:jc w:val="left"/>
              <w:rPr>
                <w:color w:val="000000"/>
                <w:szCs w:val="21"/>
              </w:rPr>
            </w:pPr>
            <w:r>
              <w:rPr>
                <w:rFonts w:hint="eastAsia"/>
                <w:color w:val="000000"/>
                <w:szCs w:val="21"/>
              </w:rPr>
              <w:t>每</w:t>
            </w:r>
          </w:p>
          <w:p w14:paraId="1020EFE9">
            <w:pPr>
              <w:spacing w:line="360" w:lineRule="auto"/>
              <w:jc w:val="left"/>
              <w:rPr>
                <w:color w:val="000000"/>
                <w:szCs w:val="21"/>
              </w:rPr>
            </w:pPr>
            <w:r>
              <w:rPr>
                <w:rFonts w:hint="eastAsia"/>
                <w:color w:val="000000"/>
                <w:szCs w:val="21"/>
              </w:rPr>
              <w:t>日</w:t>
            </w:r>
          </w:p>
          <w:p w14:paraId="398F3A3D">
            <w:pPr>
              <w:spacing w:line="360" w:lineRule="auto"/>
              <w:jc w:val="left"/>
              <w:rPr>
                <w:color w:val="000000"/>
                <w:szCs w:val="21"/>
              </w:rPr>
            </w:pPr>
            <w:r>
              <w:rPr>
                <w:rFonts w:hint="eastAsia"/>
                <w:color w:val="000000"/>
                <w:szCs w:val="21"/>
              </w:rPr>
              <w:t>考</w:t>
            </w:r>
          </w:p>
          <w:p w14:paraId="6B0B516B">
            <w:pPr>
              <w:spacing w:line="360" w:lineRule="auto"/>
              <w:jc w:val="left"/>
              <w:rPr>
                <w:color w:val="000000"/>
                <w:szCs w:val="21"/>
              </w:rPr>
            </w:pPr>
            <w:r>
              <w:rPr>
                <w:rFonts w:hint="eastAsia"/>
                <w:color w:val="000000"/>
                <w:szCs w:val="21"/>
              </w:rPr>
              <w:t>核</w:t>
            </w:r>
          </w:p>
        </w:tc>
      </w:tr>
      <w:tr w14:paraId="4990A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645" w:type="dxa"/>
            <w:vMerge w:val="continue"/>
            <w:noWrap/>
            <w:vAlign w:val="center"/>
          </w:tcPr>
          <w:p w14:paraId="4E56A8AA">
            <w:pPr>
              <w:widowControl/>
              <w:spacing w:line="360" w:lineRule="auto"/>
              <w:jc w:val="left"/>
              <w:rPr>
                <w:color w:val="000000"/>
                <w:szCs w:val="21"/>
              </w:rPr>
            </w:pPr>
          </w:p>
        </w:tc>
        <w:tc>
          <w:tcPr>
            <w:tcW w:w="4100" w:type="dxa"/>
            <w:noWrap/>
            <w:vAlign w:val="center"/>
          </w:tcPr>
          <w:p w14:paraId="13068819">
            <w:pPr>
              <w:spacing w:line="360" w:lineRule="auto"/>
              <w:jc w:val="left"/>
              <w:rPr>
                <w:color w:val="000000"/>
                <w:szCs w:val="21"/>
              </w:rPr>
            </w:pPr>
            <w:r>
              <w:rPr>
                <w:rFonts w:hint="eastAsia"/>
                <w:color w:val="000000"/>
                <w:szCs w:val="21"/>
              </w:rPr>
              <w:t>自觉维护社会形象</w:t>
            </w:r>
          </w:p>
        </w:tc>
        <w:tc>
          <w:tcPr>
            <w:tcW w:w="4084" w:type="dxa"/>
            <w:noWrap/>
            <w:vAlign w:val="center"/>
          </w:tcPr>
          <w:p w14:paraId="54DFD410">
            <w:pPr>
              <w:spacing w:line="360" w:lineRule="auto"/>
              <w:jc w:val="left"/>
              <w:rPr>
                <w:color w:val="000000"/>
                <w:szCs w:val="21"/>
              </w:rPr>
            </w:pPr>
            <w:r>
              <w:rPr>
                <w:rFonts w:hint="eastAsia"/>
                <w:color w:val="000000"/>
                <w:szCs w:val="21"/>
              </w:rPr>
              <w:t>造成不良影响的每发现一起扣除20分/人；造成重大社会不良影响的予以辞退，并同时扣除成交单位50分。</w:t>
            </w:r>
          </w:p>
        </w:tc>
        <w:tc>
          <w:tcPr>
            <w:tcW w:w="666" w:type="dxa"/>
            <w:vMerge w:val="continue"/>
            <w:noWrap/>
            <w:vAlign w:val="center"/>
          </w:tcPr>
          <w:p w14:paraId="74E30C56">
            <w:pPr>
              <w:widowControl/>
              <w:spacing w:line="360" w:lineRule="auto"/>
              <w:jc w:val="left"/>
              <w:rPr>
                <w:color w:val="000000"/>
                <w:szCs w:val="21"/>
              </w:rPr>
            </w:pPr>
          </w:p>
        </w:tc>
      </w:tr>
      <w:tr w14:paraId="1F209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8" w:hRule="atLeast"/>
          <w:jc w:val="center"/>
        </w:trPr>
        <w:tc>
          <w:tcPr>
            <w:tcW w:w="645" w:type="dxa"/>
            <w:vMerge w:val="continue"/>
            <w:noWrap/>
            <w:vAlign w:val="center"/>
          </w:tcPr>
          <w:p w14:paraId="6374FF2C">
            <w:pPr>
              <w:widowControl/>
              <w:spacing w:line="360" w:lineRule="auto"/>
              <w:jc w:val="left"/>
              <w:rPr>
                <w:color w:val="000000"/>
                <w:szCs w:val="21"/>
              </w:rPr>
            </w:pPr>
          </w:p>
        </w:tc>
        <w:tc>
          <w:tcPr>
            <w:tcW w:w="4100" w:type="dxa"/>
            <w:noWrap/>
            <w:vAlign w:val="center"/>
          </w:tcPr>
          <w:p w14:paraId="5391BBC0">
            <w:pPr>
              <w:spacing w:line="360" w:lineRule="auto"/>
              <w:jc w:val="left"/>
              <w:rPr>
                <w:color w:val="000000"/>
                <w:szCs w:val="21"/>
              </w:rPr>
            </w:pPr>
            <w:r>
              <w:rPr>
                <w:rFonts w:hint="eastAsia"/>
                <w:color w:val="000000"/>
                <w:szCs w:val="21"/>
              </w:rPr>
              <w:t>统一着装，工作期间仪容仪表良好，工作中不得背手、袖手、插口袋</w:t>
            </w:r>
          </w:p>
        </w:tc>
        <w:tc>
          <w:tcPr>
            <w:tcW w:w="4084" w:type="dxa"/>
            <w:noWrap/>
            <w:vAlign w:val="center"/>
          </w:tcPr>
          <w:p w14:paraId="02463FE0">
            <w:pPr>
              <w:spacing w:line="360" w:lineRule="auto"/>
              <w:jc w:val="left"/>
              <w:rPr>
                <w:color w:val="000000"/>
                <w:szCs w:val="21"/>
              </w:rPr>
            </w:pPr>
            <w:r>
              <w:rPr>
                <w:rFonts w:hint="eastAsia"/>
                <w:color w:val="000000"/>
                <w:szCs w:val="21"/>
              </w:rPr>
              <w:t>违反的每发现一次扣除5分，造成不良社会影响的责令成交单位予以辞退，并同时扣除成交单位50分。</w:t>
            </w:r>
          </w:p>
        </w:tc>
        <w:tc>
          <w:tcPr>
            <w:tcW w:w="666" w:type="dxa"/>
            <w:vMerge w:val="continue"/>
            <w:noWrap/>
            <w:vAlign w:val="center"/>
          </w:tcPr>
          <w:p w14:paraId="4915F25E">
            <w:pPr>
              <w:widowControl/>
              <w:spacing w:line="360" w:lineRule="auto"/>
              <w:jc w:val="left"/>
              <w:rPr>
                <w:color w:val="000000"/>
                <w:szCs w:val="21"/>
              </w:rPr>
            </w:pPr>
          </w:p>
        </w:tc>
      </w:tr>
      <w:tr w14:paraId="5C6CA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vMerge w:val="continue"/>
            <w:noWrap/>
            <w:vAlign w:val="center"/>
          </w:tcPr>
          <w:p w14:paraId="5E83153B">
            <w:pPr>
              <w:widowControl/>
              <w:spacing w:line="360" w:lineRule="auto"/>
              <w:jc w:val="left"/>
              <w:rPr>
                <w:color w:val="000000"/>
                <w:szCs w:val="21"/>
              </w:rPr>
            </w:pPr>
          </w:p>
        </w:tc>
        <w:tc>
          <w:tcPr>
            <w:tcW w:w="4100" w:type="dxa"/>
            <w:noWrap/>
            <w:vAlign w:val="center"/>
          </w:tcPr>
          <w:p w14:paraId="573F2EF3">
            <w:pPr>
              <w:spacing w:line="360" w:lineRule="auto"/>
              <w:jc w:val="left"/>
              <w:rPr>
                <w:color w:val="000000"/>
                <w:szCs w:val="21"/>
              </w:rPr>
            </w:pPr>
            <w:r>
              <w:rPr>
                <w:rFonts w:hint="eastAsia"/>
                <w:color w:val="000000"/>
                <w:szCs w:val="21"/>
              </w:rPr>
              <w:t>工作时间不得干私活，工作期间不得饮酒，工作中不得抽烟，玩手机，在岗不履职</w:t>
            </w:r>
          </w:p>
        </w:tc>
        <w:tc>
          <w:tcPr>
            <w:tcW w:w="4084" w:type="dxa"/>
            <w:noWrap/>
            <w:vAlign w:val="center"/>
          </w:tcPr>
          <w:p w14:paraId="30243813">
            <w:pPr>
              <w:spacing w:line="360" w:lineRule="auto"/>
              <w:jc w:val="left"/>
              <w:rPr>
                <w:color w:val="000000"/>
                <w:szCs w:val="21"/>
              </w:rPr>
            </w:pPr>
            <w:r>
              <w:rPr>
                <w:rFonts w:hint="eastAsia"/>
                <w:color w:val="000000"/>
                <w:szCs w:val="21"/>
              </w:rPr>
              <w:t>违反的每发现一次扣除10分，造成不良社会影响的责令成交单位予以辞退，并同时扣除成交单位50分。</w:t>
            </w:r>
          </w:p>
        </w:tc>
        <w:tc>
          <w:tcPr>
            <w:tcW w:w="666" w:type="dxa"/>
            <w:vMerge w:val="continue"/>
            <w:noWrap/>
            <w:vAlign w:val="center"/>
          </w:tcPr>
          <w:p w14:paraId="695903B4">
            <w:pPr>
              <w:widowControl/>
              <w:spacing w:line="360" w:lineRule="auto"/>
              <w:jc w:val="left"/>
              <w:rPr>
                <w:color w:val="000000"/>
                <w:szCs w:val="21"/>
              </w:rPr>
            </w:pPr>
          </w:p>
        </w:tc>
      </w:tr>
      <w:tr w14:paraId="3484A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645" w:type="dxa"/>
            <w:vMerge w:val="continue"/>
            <w:noWrap/>
            <w:vAlign w:val="center"/>
          </w:tcPr>
          <w:p w14:paraId="464C977A">
            <w:pPr>
              <w:widowControl/>
              <w:spacing w:line="360" w:lineRule="auto"/>
              <w:jc w:val="left"/>
              <w:rPr>
                <w:color w:val="000000"/>
                <w:szCs w:val="21"/>
              </w:rPr>
            </w:pPr>
          </w:p>
        </w:tc>
        <w:tc>
          <w:tcPr>
            <w:tcW w:w="4100" w:type="dxa"/>
            <w:noWrap/>
            <w:vAlign w:val="center"/>
          </w:tcPr>
          <w:p w14:paraId="08BAFF01">
            <w:pPr>
              <w:spacing w:line="360" w:lineRule="auto"/>
              <w:jc w:val="left"/>
              <w:rPr>
                <w:color w:val="000000"/>
                <w:szCs w:val="21"/>
              </w:rPr>
            </w:pPr>
            <w:r>
              <w:rPr>
                <w:rFonts w:hint="eastAsia"/>
                <w:color w:val="000000"/>
                <w:szCs w:val="21"/>
              </w:rPr>
              <w:t>坚守岗位，不得离岗、脱岗、串岗</w:t>
            </w:r>
          </w:p>
        </w:tc>
        <w:tc>
          <w:tcPr>
            <w:tcW w:w="4084" w:type="dxa"/>
            <w:noWrap/>
            <w:vAlign w:val="center"/>
          </w:tcPr>
          <w:p w14:paraId="46824DB4">
            <w:pPr>
              <w:spacing w:line="360" w:lineRule="auto"/>
              <w:jc w:val="left"/>
              <w:rPr>
                <w:color w:val="000000"/>
                <w:szCs w:val="21"/>
              </w:rPr>
            </w:pPr>
            <w:r>
              <w:rPr>
                <w:rFonts w:hint="eastAsia"/>
                <w:color w:val="000000"/>
                <w:szCs w:val="21"/>
              </w:rPr>
              <w:t>离岗、脱岗、串岗每发现一次扣除10分。</w:t>
            </w:r>
          </w:p>
        </w:tc>
        <w:tc>
          <w:tcPr>
            <w:tcW w:w="666" w:type="dxa"/>
            <w:vMerge w:val="continue"/>
            <w:noWrap/>
            <w:vAlign w:val="center"/>
          </w:tcPr>
          <w:p w14:paraId="42737C35">
            <w:pPr>
              <w:widowControl/>
              <w:spacing w:line="360" w:lineRule="auto"/>
              <w:jc w:val="left"/>
              <w:rPr>
                <w:color w:val="000000"/>
                <w:szCs w:val="21"/>
              </w:rPr>
            </w:pPr>
          </w:p>
        </w:tc>
      </w:tr>
      <w:tr w14:paraId="0F592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645" w:type="dxa"/>
            <w:vMerge w:val="continue"/>
            <w:noWrap/>
            <w:vAlign w:val="center"/>
          </w:tcPr>
          <w:p w14:paraId="0C8801EA">
            <w:pPr>
              <w:widowControl/>
              <w:spacing w:line="360" w:lineRule="auto"/>
              <w:jc w:val="left"/>
              <w:rPr>
                <w:color w:val="000000"/>
                <w:szCs w:val="21"/>
              </w:rPr>
            </w:pPr>
          </w:p>
        </w:tc>
        <w:tc>
          <w:tcPr>
            <w:tcW w:w="4100" w:type="dxa"/>
            <w:noWrap/>
            <w:vAlign w:val="center"/>
          </w:tcPr>
          <w:p w14:paraId="3A5033B4">
            <w:pPr>
              <w:spacing w:line="360" w:lineRule="auto"/>
              <w:jc w:val="left"/>
              <w:rPr>
                <w:color w:val="000000"/>
                <w:szCs w:val="21"/>
              </w:rPr>
            </w:pPr>
            <w:r>
              <w:rPr>
                <w:rFonts w:hint="eastAsia"/>
                <w:color w:val="000000"/>
                <w:szCs w:val="21"/>
              </w:rPr>
              <w:t>工作中不得迟到、早退</w:t>
            </w:r>
          </w:p>
        </w:tc>
        <w:tc>
          <w:tcPr>
            <w:tcW w:w="4084" w:type="dxa"/>
            <w:noWrap/>
            <w:vAlign w:val="center"/>
          </w:tcPr>
          <w:p w14:paraId="19A5BEA5">
            <w:pPr>
              <w:spacing w:line="360" w:lineRule="auto"/>
              <w:jc w:val="left"/>
              <w:rPr>
                <w:color w:val="000000"/>
                <w:szCs w:val="21"/>
              </w:rPr>
            </w:pPr>
            <w:r>
              <w:rPr>
                <w:rFonts w:hint="eastAsia"/>
                <w:color w:val="000000"/>
                <w:szCs w:val="21"/>
              </w:rPr>
              <w:t>迟到、早退10分钟以内扣除5分；迟到、早退10分钟至30分钟视为脱岗；迟到、早退30分钟以上视为旷工，扣除个人10分，扣除成交单位50分。</w:t>
            </w:r>
          </w:p>
        </w:tc>
        <w:tc>
          <w:tcPr>
            <w:tcW w:w="666" w:type="dxa"/>
            <w:vMerge w:val="continue"/>
            <w:noWrap/>
            <w:vAlign w:val="center"/>
          </w:tcPr>
          <w:p w14:paraId="7ABC28CD">
            <w:pPr>
              <w:widowControl/>
              <w:spacing w:line="360" w:lineRule="auto"/>
              <w:jc w:val="left"/>
              <w:rPr>
                <w:color w:val="000000"/>
                <w:szCs w:val="21"/>
              </w:rPr>
            </w:pPr>
          </w:p>
        </w:tc>
      </w:tr>
      <w:tr w14:paraId="65F39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645" w:type="dxa"/>
            <w:noWrap/>
          </w:tcPr>
          <w:p w14:paraId="4979076D">
            <w:pPr>
              <w:spacing w:line="360" w:lineRule="auto"/>
              <w:jc w:val="left"/>
              <w:rPr>
                <w:color w:val="000000"/>
                <w:szCs w:val="21"/>
              </w:rPr>
            </w:pPr>
          </w:p>
          <w:p w14:paraId="0977DB20">
            <w:pPr>
              <w:spacing w:line="360" w:lineRule="auto"/>
              <w:jc w:val="left"/>
              <w:rPr>
                <w:color w:val="000000"/>
                <w:szCs w:val="21"/>
              </w:rPr>
            </w:pPr>
            <w:r>
              <w:rPr>
                <w:rFonts w:hint="eastAsia"/>
                <w:color w:val="000000"/>
                <w:szCs w:val="21"/>
              </w:rPr>
              <w:t>效能考核部分</w:t>
            </w:r>
          </w:p>
        </w:tc>
        <w:tc>
          <w:tcPr>
            <w:tcW w:w="4100" w:type="dxa"/>
            <w:noWrap/>
            <w:vAlign w:val="center"/>
          </w:tcPr>
          <w:p w14:paraId="4E1E2886">
            <w:pPr>
              <w:spacing w:line="360" w:lineRule="auto"/>
              <w:jc w:val="left"/>
              <w:rPr>
                <w:color w:val="000000"/>
                <w:szCs w:val="21"/>
              </w:rPr>
            </w:pPr>
            <w:r>
              <w:rPr>
                <w:rFonts w:hint="eastAsia"/>
                <w:color w:val="000000"/>
                <w:szCs w:val="21"/>
              </w:rPr>
              <w:t>有效发现和制止违法犯罪活动，有效预防入室盗窃、盗窃机动车、盗窃电动自行车和盗窃电动自行车电瓶等可防性案件，有效预防街头路面违法犯罪活动，每月前述可防性案件发案数同比不超过去年。</w:t>
            </w:r>
          </w:p>
        </w:tc>
        <w:tc>
          <w:tcPr>
            <w:tcW w:w="4084" w:type="dxa"/>
            <w:noWrap/>
            <w:vAlign w:val="center"/>
          </w:tcPr>
          <w:p w14:paraId="38E29C0C">
            <w:pPr>
              <w:spacing w:line="360" w:lineRule="auto"/>
              <w:jc w:val="left"/>
              <w:rPr>
                <w:color w:val="000000"/>
                <w:szCs w:val="21"/>
              </w:rPr>
            </w:pPr>
            <w:r>
              <w:rPr>
                <w:rFonts w:hint="eastAsia"/>
                <w:color w:val="000000"/>
                <w:szCs w:val="21"/>
              </w:rPr>
              <w:t>超出的，一起案件扣除50分。</w:t>
            </w:r>
          </w:p>
        </w:tc>
        <w:tc>
          <w:tcPr>
            <w:tcW w:w="666" w:type="dxa"/>
            <w:noWrap/>
          </w:tcPr>
          <w:p w14:paraId="10BEC26E">
            <w:pPr>
              <w:spacing w:line="360" w:lineRule="auto"/>
              <w:jc w:val="left"/>
              <w:rPr>
                <w:color w:val="000000"/>
                <w:szCs w:val="21"/>
              </w:rPr>
            </w:pPr>
          </w:p>
          <w:p w14:paraId="44C389B3">
            <w:pPr>
              <w:spacing w:line="360" w:lineRule="auto"/>
              <w:jc w:val="left"/>
              <w:rPr>
                <w:color w:val="000000"/>
                <w:szCs w:val="21"/>
              </w:rPr>
            </w:pPr>
            <w:r>
              <w:rPr>
                <w:rFonts w:hint="eastAsia"/>
                <w:color w:val="000000"/>
                <w:szCs w:val="21"/>
              </w:rPr>
              <w:t>每</w:t>
            </w:r>
          </w:p>
          <w:p w14:paraId="2511EDA6">
            <w:pPr>
              <w:spacing w:line="360" w:lineRule="auto"/>
              <w:jc w:val="left"/>
              <w:rPr>
                <w:color w:val="000000"/>
                <w:szCs w:val="21"/>
              </w:rPr>
            </w:pPr>
            <w:r>
              <w:rPr>
                <w:rFonts w:hint="eastAsia"/>
                <w:color w:val="000000"/>
                <w:szCs w:val="21"/>
              </w:rPr>
              <w:t>月</w:t>
            </w:r>
          </w:p>
          <w:p w14:paraId="331C608E">
            <w:pPr>
              <w:spacing w:line="360" w:lineRule="auto"/>
              <w:jc w:val="left"/>
              <w:rPr>
                <w:color w:val="000000"/>
                <w:szCs w:val="21"/>
              </w:rPr>
            </w:pPr>
            <w:r>
              <w:rPr>
                <w:rFonts w:hint="eastAsia"/>
                <w:color w:val="000000"/>
                <w:szCs w:val="21"/>
              </w:rPr>
              <w:t>考</w:t>
            </w:r>
          </w:p>
          <w:p w14:paraId="343FDC3C">
            <w:pPr>
              <w:spacing w:line="360" w:lineRule="auto"/>
              <w:jc w:val="left"/>
              <w:rPr>
                <w:color w:val="000000"/>
                <w:szCs w:val="21"/>
              </w:rPr>
            </w:pPr>
            <w:r>
              <w:rPr>
                <w:rFonts w:hint="eastAsia"/>
                <w:color w:val="000000"/>
                <w:szCs w:val="21"/>
              </w:rPr>
              <w:t>核</w:t>
            </w:r>
          </w:p>
        </w:tc>
      </w:tr>
    </w:tbl>
    <w:p w14:paraId="76A22B70">
      <w:pPr>
        <w:sectPr>
          <w:footerReference r:id="rId10" w:type="default"/>
          <w:pgSz w:w="11906" w:h="16838"/>
          <w:pgMar w:top="1134" w:right="850" w:bottom="1134" w:left="850" w:header="851" w:footer="992" w:gutter="0"/>
          <w:cols w:space="1701" w:num="1"/>
          <w:docGrid w:linePitch="360" w:charSpace="0"/>
        </w:sectPr>
      </w:pPr>
      <w:r>
        <w:rPr>
          <w:rFonts w:hint="eastAsia"/>
          <w:color w:val="000000"/>
          <w:szCs w:val="21"/>
        </w:rPr>
        <w:t>备注：对成交单位考核每月不少于一次；对巡逻队员、队长考核每天不间断进行。</w:t>
      </w:r>
    </w:p>
    <w:p w14:paraId="7DE1A32D">
      <w:pPr>
        <w:pStyle w:val="50"/>
        <w:spacing w:before="0" w:after="0" w:line="360" w:lineRule="auto"/>
        <w:jc w:val="center"/>
        <w:rPr>
          <w:rFonts w:ascii="宋体" w:hAnsi="宋体"/>
          <w:sz w:val="36"/>
        </w:rPr>
      </w:pPr>
      <w:r>
        <w:rPr>
          <w:rFonts w:hint="eastAsia" w:ascii="宋体" w:hAnsi="宋体"/>
          <w:sz w:val="36"/>
        </w:rPr>
        <w:t>第五章 评审方法及评审标准</w:t>
      </w:r>
      <w:bookmarkEnd w:id="1"/>
      <w:bookmarkEnd w:id="34"/>
      <w:bookmarkEnd w:id="35"/>
    </w:p>
    <w:p w14:paraId="698C07BD">
      <w:pPr>
        <w:pStyle w:val="254"/>
        <w:ind w:firstLine="422"/>
        <w:rPr>
          <w:rFonts w:ascii="宋体" w:hAnsi="宋体"/>
          <w:b/>
          <w:sz w:val="21"/>
          <w:szCs w:val="21"/>
        </w:rPr>
      </w:pPr>
      <w:r>
        <w:rPr>
          <w:rFonts w:hint="eastAsia" w:ascii="宋体" w:hAnsi="宋体"/>
          <w:b/>
          <w:sz w:val="21"/>
          <w:szCs w:val="21"/>
        </w:rPr>
        <w:t>一、评审方法</w:t>
      </w:r>
    </w:p>
    <w:p w14:paraId="68358184">
      <w:pPr>
        <w:spacing w:line="360" w:lineRule="auto"/>
        <w:ind w:firstLine="420"/>
        <w:rPr>
          <w:rFonts w:ascii="宋体" w:hAnsi="宋体"/>
          <w:szCs w:val="21"/>
        </w:rPr>
      </w:pPr>
      <w:r>
        <w:rPr>
          <w:rFonts w:hint="eastAsia" w:ascii="宋体" w:hAnsi="宋体"/>
          <w:szCs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50EA0A8C">
      <w:pPr>
        <w:spacing w:line="360" w:lineRule="auto"/>
        <w:ind w:firstLine="422"/>
        <w:rPr>
          <w:rFonts w:ascii="宋体" w:hAnsi="宋体" w:cs="宋体"/>
          <w:b/>
          <w:szCs w:val="21"/>
        </w:rPr>
      </w:pPr>
      <w:bookmarkStart w:id="36" w:name="_Toc449016388"/>
      <w:bookmarkStart w:id="37" w:name="_Toc449017024"/>
      <w:r>
        <w:rPr>
          <w:rFonts w:hint="eastAsia" w:ascii="宋体" w:hAnsi="宋体" w:cs="宋体"/>
          <w:b/>
          <w:szCs w:val="21"/>
        </w:rPr>
        <w:t>二、落实政府采购政策及政府采购不诚信记录扣分评审</w:t>
      </w:r>
      <w:bookmarkEnd w:id="36"/>
      <w:bookmarkEnd w:id="37"/>
    </w:p>
    <w:p w14:paraId="79B49952">
      <w:pPr>
        <w:pStyle w:val="254"/>
        <w:spacing w:before="0" w:after="0"/>
        <w:ind w:firstLine="420"/>
        <w:rPr>
          <w:rFonts w:ascii="宋体" w:hAnsi="宋体"/>
          <w:sz w:val="21"/>
          <w:szCs w:val="21"/>
        </w:rPr>
      </w:pPr>
      <w:r>
        <w:rPr>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2BDAE823">
      <w:pPr>
        <w:pStyle w:val="254"/>
        <w:spacing w:before="0" w:after="0"/>
        <w:ind w:firstLine="420"/>
        <w:rPr>
          <w:rFonts w:ascii="宋体" w:hAnsi="宋体"/>
          <w:sz w:val="21"/>
          <w:szCs w:val="21"/>
        </w:rPr>
      </w:pPr>
      <w:r>
        <w:rPr>
          <w:rFonts w:hint="eastAsia" w:ascii="宋体" w:hAnsi="宋体"/>
          <w:sz w:val="21"/>
          <w:szCs w:val="21"/>
        </w:rPr>
        <w:t>1、小微型企业价格扣除</w:t>
      </w:r>
    </w:p>
    <w:p w14:paraId="7F820A38">
      <w:pPr>
        <w:pStyle w:val="254"/>
        <w:spacing w:before="0" w:after="0"/>
        <w:ind w:firstLine="420"/>
        <w:rPr>
          <w:rFonts w:ascii="宋体" w:hAnsi="宋体"/>
          <w:sz w:val="21"/>
          <w:szCs w:val="21"/>
        </w:rPr>
      </w:pPr>
      <w:r>
        <w:rPr>
          <w:rFonts w:hint="eastAsia" w:ascii="宋体" w:hAnsi="宋体"/>
          <w:sz w:val="21"/>
          <w:szCs w:val="21"/>
        </w:rPr>
        <w:t>（1）本项目对小型和微型企业产品给予20%的扣除价格，用扣除后的价格参与评审。</w:t>
      </w:r>
    </w:p>
    <w:p w14:paraId="2252DF6C">
      <w:pPr>
        <w:pStyle w:val="254"/>
        <w:spacing w:before="0" w:after="0"/>
        <w:ind w:firstLine="420"/>
        <w:rPr>
          <w:rFonts w:ascii="宋体" w:hAnsi="宋体"/>
          <w:sz w:val="21"/>
          <w:szCs w:val="21"/>
        </w:rPr>
      </w:pPr>
      <w:r>
        <w:rPr>
          <w:rFonts w:hint="eastAsia" w:ascii="宋体" w:hAnsi="宋体"/>
          <w:sz w:val="21"/>
          <w:szCs w:val="21"/>
        </w:rPr>
        <w:t>（2）供应商需按照采购文件的要求提供相应的《企业声明函》。</w:t>
      </w:r>
    </w:p>
    <w:p w14:paraId="54A82EC2">
      <w:pPr>
        <w:pStyle w:val="254"/>
        <w:spacing w:before="0" w:after="0"/>
        <w:ind w:firstLine="420"/>
        <w:rPr>
          <w:rFonts w:ascii="宋体" w:hAnsi="宋体"/>
          <w:sz w:val="21"/>
          <w:szCs w:val="21"/>
        </w:rPr>
      </w:pPr>
      <w:r>
        <w:rPr>
          <w:rFonts w:hint="eastAsia" w:ascii="宋体" w:hAnsi="宋体"/>
          <w:sz w:val="21"/>
          <w:szCs w:val="21"/>
        </w:rPr>
        <w:t>2、残疾人福利单位价格扣除</w:t>
      </w:r>
    </w:p>
    <w:p w14:paraId="2773ADDB">
      <w:pPr>
        <w:pStyle w:val="254"/>
        <w:spacing w:before="0" w:after="0"/>
        <w:ind w:firstLine="420"/>
        <w:rPr>
          <w:rFonts w:ascii="宋体" w:hAnsi="宋体"/>
          <w:sz w:val="21"/>
          <w:szCs w:val="21"/>
        </w:rPr>
      </w:pPr>
      <w:r>
        <w:rPr>
          <w:rFonts w:hint="eastAsia" w:ascii="宋体" w:hAnsi="宋体"/>
          <w:sz w:val="21"/>
          <w:szCs w:val="21"/>
        </w:rPr>
        <w:t>（1）本项目对残疾人福利性单位视同小型、微型企业，给予20%的价格扣除，用扣除后的价格参与评审。</w:t>
      </w:r>
    </w:p>
    <w:p w14:paraId="216A377C">
      <w:pPr>
        <w:pStyle w:val="254"/>
        <w:spacing w:before="0" w:after="0"/>
        <w:ind w:firstLine="420"/>
        <w:rPr>
          <w:rFonts w:ascii="宋体" w:hAnsi="宋体"/>
          <w:sz w:val="21"/>
          <w:szCs w:val="21"/>
        </w:rPr>
      </w:pPr>
      <w:r>
        <w:rPr>
          <w:rFonts w:hint="eastAsia" w:ascii="宋体" w:hAnsi="宋体"/>
          <w:sz w:val="21"/>
          <w:szCs w:val="21"/>
        </w:rPr>
        <w:t>（2）残疾人福利单位需按照采购文件的要求提供《残疾人福利性单位声明函》。</w:t>
      </w:r>
    </w:p>
    <w:p w14:paraId="751C7D20">
      <w:pPr>
        <w:pStyle w:val="254"/>
        <w:spacing w:before="0" w:after="0"/>
        <w:ind w:firstLine="420"/>
        <w:rPr>
          <w:rFonts w:ascii="宋体" w:hAnsi="宋体"/>
          <w:sz w:val="21"/>
          <w:szCs w:val="21"/>
        </w:rPr>
      </w:pPr>
      <w:r>
        <w:rPr>
          <w:rFonts w:hint="eastAsia" w:ascii="宋体" w:hAnsi="宋体"/>
          <w:sz w:val="21"/>
          <w:szCs w:val="21"/>
        </w:rPr>
        <w:t>（3）残疾人福利单位标准请参照《关于促进残疾人就业政府采购政策的通知》（财库〔2017〕141号）。</w:t>
      </w:r>
    </w:p>
    <w:p w14:paraId="5E2B9EAE">
      <w:pPr>
        <w:pStyle w:val="254"/>
        <w:spacing w:before="0" w:after="0"/>
        <w:ind w:firstLine="420"/>
        <w:rPr>
          <w:rFonts w:ascii="宋体" w:hAnsi="宋体"/>
          <w:sz w:val="21"/>
          <w:szCs w:val="21"/>
        </w:rPr>
      </w:pPr>
      <w:r>
        <w:rPr>
          <w:rFonts w:hint="eastAsia" w:ascii="宋体" w:hAnsi="宋体"/>
          <w:sz w:val="21"/>
          <w:szCs w:val="21"/>
        </w:rPr>
        <w:t>3、监狱和戒毒企业价格扣除</w:t>
      </w:r>
    </w:p>
    <w:p w14:paraId="52147150">
      <w:pPr>
        <w:pStyle w:val="254"/>
        <w:spacing w:before="0" w:after="0"/>
        <w:ind w:firstLine="420"/>
        <w:rPr>
          <w:rFonts w:ascii="宋体" w:hAnsi="宋体"/>
          <w:sz w:val="21"/>
          <w:szCs w:val="21"/>
        </w:rPr>
      </w:pPr>
      <w:r>
        <w:rPr>
          <w:rFonts w:hint="eastAsia" w:ascii="宋体" w:hAnsi="宋体"/>
          <w:sz w:val="21"/>
          <w:szCs w:val="21"/>
        </w:rPr>
        <w:t>（1）本项目对监狱和戒毒企业（简称监狱企业）视同小型、微型企业，给予20%的价格扣除，用扣除后的价格参与评审。</w:t>
      </w:r>
    </w:p>
    <w:p w14:paraId="71144CEF">
      <w:pPr>
        <w:pStyle w:val="254"/>
        <w:spacing w:before="0" w:after="0"/>
        <w:ind w:firstLine="420"/>
        <w:rPr>
          <w:rFonts w:ascii="宋体" w:hAnsi="宋体"/>
          <w:sz w:val="21"/>
          <w:szCs w:val="21"/>
        </w:rPr>
      </w:pPr>
      <w:r>
        <w:rPr>
          <w:rFonts w:hint="eastAsia" w:ascii="宋体" w:hAnsi="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428FD752">
      <w:pPr>
        <w:pStyle w:val="254"/>
        <w:spacing w:before="0" w:after="0"/>
        <w:ind w:firstLine="420"/>
        <w:rPr>
          <w:rFonts w:ascii="宋体" w:hAnsi="宋体"/>
          <w:sz w:val="21"/>
          <w:szCs w:val="21"/>
        </w:rPr>
      </w:pPr>
      <w:r>
        <w:rPr>
          <w:rFonts w:hint="eastAsia" w:ascii="宋体" w:hAnsi="宋体"/>
          <w:sz w:val="21"/>
          <w:szCs w:val="21"/>
        </w:rPr>
        <w:t>（3）监狱企业标准请参照《关于政府采购支持监狱企业发展有关问题的通知》（财库[2014]68号）。</w:t>
      </w:r>
    </w:p>
    <w:p w14:paraId="408BC02E">
      <w:pPr>
        <w:pStyle w:val="254"/>
        <w:spacing w:before="0" w:after="0"/>
        <w:ind w:firstLine="420"/>
        <w:rPr>
          <w:rFonts w:ascii="宋体" w:hAnsi="宋体"/>
          <w:sz w:val="21"/>
          <w:szCs w:val="21"/>
        </w:rPr>
      </w:pPr>
      <w:r>
        <w:rPr>
          <w:rFonts w:hint="eastAsia" w:ascii="宋体" w:hAnsi="宋体"/>
          <w:sz w:val="21"/>
          <w:szCs w:val="21"/>
        </w:rPr>
        <w:t>4、残疾人福利单位、监狱企业属于小型、微型企业的，不重复享受政策。</w:t>
      </w:r>
    </w:p>
    <w:p w14:paraId="56883C4D">
      <w:pPr>
        <w:pStyle w:val="254"/>
        <w:spacing w:before="0" w:after="0"/>
        <w:ind w:firstLine="420"/>
        <w:rPr>
          <w:rFonts w:ascii="宋体" w:hAnsi="宋体"/>
          <w:sz w:val="21"/>
          <w:szCs w:val="21"/>
        </w:rPr>
      </w:pPr>
      <w:r>
        <w:rPr>
          <w:rFonts w:hint="eastAsia" w:ascii="宋体" w:hAnsi="宋体"/>
          <w:sz w:val="21"/>
          <w:szCs w:val="21"/>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276FB744">
      <w:pPr>
        <w:pStyle w:val="254"/>
        <w:spacing w:before="0" w:after="0"/>
        <w:ind w:firstLine="420"/>
        <w:rPr>
          <w:rFonts w:ascii="宋体" w:hAnsi="宋体"/>
          <w:sz w:val="21"/>
          <w:szCs w:val="21"/>
        </w:rPr>
      </w:pPr>
      <w:r>
        <w:rPr>
          <w:rFonts w:hint="eastAsia" w:ascii="宋体" w:hAnsi="宋体"/>
          <w:sz w:val="21"/>
          <w:szCs w:val="21"/>
        </w:rPr>
        <w:t>6、联合体各方均为小型、微型企业（残疾人福利单位、监狱企业）的，联合体享受20%价格扣除，用扣除后的价格参与评审。</w:t>
      </w:r>
    </w:p>
    <w:p w14:paraId="1FCFA2BF">
      <w:pPr>
        <w:pStyle w:val="254"/>
        <w:spacing w:before="0" w:after="0"/>
        <w:ind w:firstLine="420"/>
        <w:rPr>
          <w:rFonts w:ascii="宋体" w:hAnsi="宋体" w:cs="宋体"/>
          <w:sz w:val="21"/>
          <w:szCs w:val="21"/>
        </w:rPr>
      </w:pPr>
      <w:r>
        <w:rPr>
          <w:rFonts w:hint="eastAsia" w:ascii="宋体" w:hAnsi="宋体" w:cs="宋体"/>
          <w:sz w:val="21"/>
          <w:szCs w:val="21"/>
        </w:rPr>
        <w:t>7、大中型企业向小型、微型企业分包的，分包意向协议约定小型、微型企业合同份额占到合同总金额30%以上的，给予6%的价格扣除，用扣除后的价格参与评审。</w:t>
      </w:r>
    </w:p>
    <w:p w14:paraId="70F54D44">
      <w:pPr>
        <w:pStyle w:val="50"/>
        <w:spacing w:before="0" w:after="0" w:line="360" w:lineRule="auto"/>
        <w:outlineLvl w:val="1"/>
        <w:rPr>
          <w:rFonts w:ascii="宋体" w:hAnsi="宋体"/>
          <w:sz w:val="21"/>
          <w:szCs w:val="21"/>
        </w:rPr>
      </w:pPr>
      <w:r>
        <w:rPr>
          <w:rFonts w:hint="eastAsia" w:ascii="宋体" w:hAnsi="宋体"/>
          <w:sz w:val="21"/>
          <w:szCs w:val="21"/>
        </w:rPr>
        <w:t>三、评审标准</w:t>
      </w:r>
      <w:bookmarkStart w:id="38" w:name="_Toc109304976"/>
      <w:bookmarkStart w:id="39" w:name="_Toc2401"/>
    </w:p>
    <w:tbl>
      <w:tblPr>
        <w:tblStyle w:val="41"/>
        <w:tblW w:w="5042" w:type="pct"/>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26"/>
        <w:gridCol w:w="1453"/>
        <w:gridCol w:w="7731"/>
      </w:tblGrid>
      <w:tr w14:paraId="48368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1084" w:type="dxa"/>
            <w:noWrap/>
            <w:vAlign w:val="center"/>
          </w:tcPr>
          <w:p w14:paraId="0CB99BC0">
            <w:pPr>
              <w:spacing w:line="360" w:lineRule="auto"/>
              <w:jc w:val="center"/>
              <w:rPr>
                <w:rFonts w:cs="宋体"/>
                <w:b/>
                <w:bCs/>
                <w:color w:val="000000"/>
                <w:szCs w:val="21"/>
              </w:rPr>
            </w:pPr>
            <w:r>
              <w:rPr>
                <w:rFonts w:hint="eastAsia" w:cs="宋体"/>
                <w:b/>
                <w:bCs/>
                <w:color w:val="000000"/>
                <w:szCs w:val="21"/>
              </w:rPr>
              <w:t>项目</w:t>
            </w:r>
          </w:p>
        </w:tc>
        <w:tc>
          <w:tcPr>
            <w:tcW w:w="7510" w:type="dxa"/>
            <w:gridSpan w:val="2"/>
            <w:noWrap/>
            <w:vAlign w:val="center"/>
          </w:tcPr>
          <w:p w14:paraId="1D47D6C9">
            <w:pPr>
              <w:spacing w:line="360" w:lineRule="auto"/>
              <w:ind w:left="422" w:hanging="422"/>
              <w:jc w:val="center"/>
              <w:rPr>
                <w:rFonts w:cs="宋体"/>
                <w:b/>
                <w:bCs/>
                <w:color w:val="000000"/>
                <w:szCs w:val="21"/>
              </w:rPr>
            </w:pPr>
            <w:r>
              <w:rPr>
                <w:rFonts w:hint="eastAsia" w:cs="宋体"/>
                <w:b/>
                <w:bCs/>
                <w:color w:val="000000"/>
                <w:szCs w:val="21"/>
              </w:rPr>
              <w:t>评分标准</w:t>
            </w:r>
          </w:p>
        </w:tc>
      </w:tr>
      <w:tr w14:paraId="4133E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84" w:type="dxa"/>
            <w:noWrap/>
            <w:vAlign w:val="center"/>
          </w:tcPr>
          <w:p w14:paraId="12A34513">
            <w:pPr>
              <w:spacing w:line="360" w:lineRule="auto"/>
              <w:jc w:val="center"/>
              <w:rPr>
                <w:rFonts w:cs="宋体"/>
                <w:color w:val="000000"/>
                <w:szCs w:val="21"/>
              </w:rPr>
            </w:pPr>
            <w:r>
              <w:rPr>
                <w:rFonts w:hint="eastAsia" w:cs="宋体"/>
                <w:color w:val="000000"/>
                <w:szCs w:val="21"/>
              </w:rPr>
              <w:t>价 格</w:t>
            </w:r>
          </w:p>
          <w:p w14:paraId="5733D43D">
            <w:pPr>
              <w:spacing w:line="360" w:lineRule="auto"/>
              <w:ind w:left="420" w:hanging="420"/>
              <w:jc w:val="center"/>
              <w:rPr>
                <w:rFonts w:cs="宋体"/>
                <w:color w:val="000000"/>
                <w:szCs w:val="21"/>
              </w:rPr>
            </w:pPr>
            <w:r>
              <w:rPr>
                <w:rFonts w:hint="eastAsia" w:cs="宋体"/>
                <w:color w:val="000000"/>
                <w:szCs w:val="21"/>
              </w:rPr>
              <w:t>（10分）</w:t>
            </w:r>
          </w:p>
        </w:tc>
        <w:tc>
          <w:tcPr>
            <w:tcW w:w="7510" w:type="dxa"/>
            <w:gridSpan w:val="2"/>
            <w:noWrap/>
            <w:vAlign w:val="center"/>
          </w:tcPr>
          <w:p w14:paraId="45D2A7D4">
            <w:pPr>
              <w:spacing w:line="360" w:lineRule="auto"/>
              <w:jc w:val="left"/>
              <w:rPr>
                <w:rFonts w:cs="宋体"/>
                <w:color w:val="000000"/>
                <w:szCs w:val="21"/>
              </w:rPr>
            </w:pPr>
            <w:r>
              <w:rPr>
                <w:rFonts w:hint="eastAsia" w:cs="宋体"/>
                <w:color w:val="000000"/>
                <w:szCs w:val="21"/>
              </w:rPr>
              <w:t>以满足磋商文件要求的最终最低报价为基准价，得满分10分，其他报价得分＝（基准价/其他最终报价）×10×100％，保留小数点后两位。</w:t>
            </w:r>
          </w:p>
          <w:p w14:paraId="645EC8E2">
            <w:pPr>
              <w:spacing w:line="360" w:lineRule="auto"/>
              <w:jc w:val="left"/>
              <w:rPr>
                <w:rFonts w:cs="宋体"/>
                <w:color w:val="000000"/>
                <w:szCs w:val="21"/>
              </w:rPr>
            </w:pPr>
            <w:r>
              <w:rPr>
                <w:rFonts w:hint="eastAsia" w:ascii="宋体" w:hAnsi="宋体" w:cs="宋体"/>
                <w:b/>
                <w:szCs w:val="21"/>
              </w:rPr>
              <w:t>注：供应商投标（响应）报价出现《关于推动解决政府采购异常低价问题相关工作的通知》（苏财购[2025]62号）明确的情形之一，且投标（响应）供应商不能提供书面说明、证明材料，或者提供的书面说明、证明材料不能证明其报价合理性的，评审委员会应当将其作为无效投标（响应）处理。</w:t>
            </w:r>
          </w:p>
        </w:tc>
      </w:tr>
      <w:tr w14:paraId="5338D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84" w:type="dxa"/>
            <w:vMerge w:val="restart"/>
            <w:noWrap/>
            <w:vAlign w:val="center"/>
          </w:tcPr>
          <w:p w14:paraId="51EAE4AC">
            <w:pPr>
              <w:spacing w:line="360" w:lineRule="auto"/>
              <w:jc w:val="left"/>
              <w:rPr>
                <w:rFonts w:cs="宋体"/>
                <w:color w:val="000000"/>
                <w:szCs w:val="21"/>
              </w:rPr>
            </w:pPr>
            <w:r>
              <w:rPr>
                <w:rFonts w:hint="eastAsia" w:cs="宋体"/>
                <w:color w:val="000000"/>
                <w:szCs w:val="21"/>
              </w:rPr>
              <w:t>项目方案</w:t>
            </w:r>
          </w:p>
          <w:p w14:paraId="189D05B9">
            <w:pPr>
              <w:spacing w:line="360" w:lineRule="auto"/>
              <w:jc w:val="left"/>
              <w:rPr>
                <w:rFonts w:cs="宋体"/>
                <w:color w:val="000000"/>
                <w:szCs w:val="21"/>
              </w:rPr>
            </w:pPr>
            <w:r>
              <w:rPr>
                <w:rFonts w:hint="eastAsia" w:cs="宋体"/>
                <w:color w:val="000000"/>
                <w:szCs w:val="21"/>
              </w:rPr>
              <w:t>（50分）</w:t>
            </w:r>
          </w:p>
        </w:tc>
        <w:tc>
          <w:tcPr>
            <w:tcW w:w="1188" w:type="dxa"/>
            <w:noWrap/>
            <w:vAlign w:val="center"/>
          </w:tcPr>
          <w:p w14:paraId="4092AF08">
            <w:pPr>
              <w:spacing w:line="360" w:lineRule="auto"/>
              <w:jc w:val="center"/>
              <w:rPr>
                <w:rFonts w:cs="宋体"/>
                <w:color w:val="000000"/>
                <w:szCs w:val="21"/>
              </w:rPr>
            </w:pPr>
            <w:r>
              <w:rPr>
                <w:rFonts w:hint="eastAsia" w:cs="宋体"/>
                <w:color w:val="000000"/>
                <w:szCs w:val="21"/>
              </w:rPr>
              <w:t>项目总体实施方案</w:t>
            </w:r>
          </w:p>
          <w:p w14:paraId="70637656">
            <w:pPr>
              <w:spacing w:line="360" w:lineRule="auto"/>
              <w:jc w:val="center"/>
              <w:rPr>
                <w:rFonts w:cs="宋体"/>
                <w:color w:val="000000"/>
                <w:szCs w:val="21"/>
              </w:rPr>
            </w:pPr>
            <w:r>
              <w:rPr>
                <w:rFonts w:hint="eastAsia" w:cs="宋体"/>
                <w:color w:val="000000"/>
                <w:szCs w:val="21"/>
              </w:rPr>
              <w:t>（10分）</w:t>
            </w:r>
          </w:p>
        </w:tc>
        <w:tc>
          <w:tcPr>
            <w:tcW w:w="6322" w:type="dxa"/>
            <w:noWrap/>
            <w:vAlign w:val="center"/>
          </w:tcPr>
          <w:p w14:paraId="2CFA2B91">
            <w:pPr>
              <w:widowControl/>
              <w:spacing w:line="360" w:lineRule="auto"/>
              <w:jc w:val="left"/>
              <w:rPr>
                <w:rFonts w:cs="宋体"/>
                <w:color w:val="000000"/>
                <w:szCs w:val="21"/>
              </w:rPr>
            </w:pPr>
            <w:r>
              <w:rPr>
                <w:rFonts w:hint="eastAsia" w:cs="宋体"/>
                <w:color w:val="000000"/>
                <w:szCs w:val="21"/>
              </w:rPr>
              <w:t>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p>
        </w:tc>
      </w:tr>
      <w:tr w14:paraId="76D0C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2" w:hRule="atLeast"/>
        </w:trPr>
        <w:tc>
          <w:tcPr>
            <w:tcW w:w="1084" w:type="dxa"/>
            <w:vMerge w:val="continue"/>
            <w:noWrap/>
            <w:vAlign w:val="center"/>
          </w:tcPr>
          <w:p w14:paraId="6BFFDA7A">
            <w:pPr>
              <w:spacing w:line="360" w:lineRule="auto"/>
              <w:jc w:val="left"/>
              <w:rPr>
                <w:rFonts w:cs="宋体"/>
                <w:color w:val="000000"/>
                <w:szCs w:val="21"/>
              </w:rPr>
            </w:pPr>
          </w:p>
        </w:tc>
        <w:tc>
          <w:tcPr>
            <w:tcW w:w="1188" w:type="dxa"/>
            <w:noWrap/>
            <w:vAlign w:val="center"/>
          </w:tcPr>
          <w:p w14:paraId="1F223F4D">
            <w:pPr>
              <w:spacing w:line="360" w:lineRule="auto"/>
              <w:jc w:val="center"/>
              <w:rPr>
                <w:rFonts w:cs="宋体"/>
                <w:color w:val="000000"/>
                <w:szCs w:val="21"/>
              </w:rPr>
            </w:pPr>
            <w:r>
              <w:rPr>
                <w:rFonts w:hint="eastAsia" w:cs="宋体"/>
                <w:color w:val="000000"/>
                <w:szCs w:val="21"/>
              </w:rPr>
              <w:t>组织机构及人员分工方案</w:t>
            </w:r>
          </w:p>
          <w:p w14:paraId="79940823">
            <w:pPr>
              <w:spacing w:line="360" w:lineRule="auto"/>
              <w:jc w:val="center"/>
              <w:rPr>
                <w:rFonts w:cs="宋体"/>
                <w:color w:val="000000"/>
                <w:szCs w:val="21"/>
              </w:rPr>
            </w:pPr>
            <w:r>
              <w:rPr>
                <w:rFonts w:hint="eastAsia" w:cs="宋体"/>
                <w:color w:val="000000"/>
                <w:szCs w:val="21"/>
              </w:rPr>
              <w:t>（8分）</w:t>
            </w:r>
          </w:p>
        </w:tc>
        <w:tc>
          <w:tcPr>
            <w:tcW w:w="6322" w:type="dxa"/>
            <w:noWrap/>
            <w:vAlign w:val="center"/>
          </w:tcPr>
          <w:p w14:paraId="3664C3A3">
            <w:pPr>
              <w:widowControl/>
              <w:spacing w:line="360" w:lineRule="auto"/>
              <w:jc w:val="left"/>
              <w:rPr>
                <w:rFonts w:cs="宋体"/>
                <w:color w:val="000000"/>
                <w:szCs w:val="21"/>
              </w:rPr>
            </w:pPr>
            <w:r>
              <w:rPr>
                <w:rFonts w:hint="eastAsia" w:cs="宋体"/>
                <w:color w:val="000000"/>
                <w:szCs w:val="21"/>
              </w:rPr>
              <w:t>方案全面、细致、合理且可行性强得8分；方案基本合理，可行性较强的得6分；方案全面性、细致性、合理性一般的，可行性一般的得4分；方案全面性、细致性、合理性较差的，可行性较差的得2分；方案全面性、细致性、合理性差的，可行性差的得1分，不提供不得分。</w:t>
            </w:r>
          </w:p>
        </w:tc>
      </w:tr>
      <w:tr w14:paraId="0DB45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trPr>
        <w:tc>
          <w:tcPr>
            <w:tcW w:w="1084" w:type="dxa"/>
            <w:vMerge w:val="continue"/>
            <w:noWrap/>
            <w:vAlign w:val="center"/>
          </w:tcPr>
          <w:p w14:paraId="48A212CC">
            <w:pPr>
              <w:spacing w:line="360" w:lineRule="auto"/>
              <w:jc w:val="left"/>
              <w:rPr>
                <w:rFonts w:cs="宋体"/>
                <w:color w:val="000000"/>
                <w:szCs w:val="21"/>
              </w:rPr>
            </w:pPr>
          </w:p>
        </w:tc>
        <w:tc>
          <w:tcPr>
            <w:tcW w:w="1188" w:type="dxa"/>
            <w:noWrap/>
            <w:vAlign w:val="center"/>
          </w:tcPr>
          <w:p w14:paraId="2177537B">
            <w:pPr>
              <w:spacing w:line="360" w:lineRule="auto"/>
              <w:jc w:val="center"/>
              <w:rPr>
                <w:rFonts w:cs="宋体"/>
                <w:color w:val="000000"/>
                <w:szCs w:val="21"/>
              </w:rPr>
            </w:pPr>
            <w:r>
              <w:rPr>
                <w:rFonts w:hint="eastAsia" w:cs="宋体"/>
                <w:color w:val="000000"/>
                <w:szCs w:val="21"/>
              </w:rPr>
              <w:t>内部日常考核方案</w:t>
            </w:r>
          </w:p>
          <w:p w14:paraId="2ADC33E2">
            <w:pPr>
              <w:spacing w:line="360" w:lineRule="auto"/>
              <w:jc w:val="center"/>
              <w:rPr>
                <w:rFonts w:cs="宋体"/>
                <w:color w:val="000000"/>
                <w:szCs w:val="21"/>
              </w:rPr>
            </w:pPr>
            <w:r>
              <w:rPr>
                <w:rFonts w:hint="eastAsia" w:cs="宋体"/>
                <w:color w:val="000000"/>
                <w:szCs w:val="21"/>
              </w:rPr>
              <w:t>（8分）</w:t>
            </w:r>
          </w:p>
        </w:tc>
        <w:tc>
          <w:tcPr>
            <w:tcW w:w="6322" w:type="dxa"/>
            <w:noWrap/>
          </w:tcPr>
          <w:p w14:paraId="31110092">
            <w:pPr>
              <w:widowControl/>
              <w:spacing w:line="360" w:lineRule="auto"/>
              <w:jc w:val="left"/>
              <w:rPr>
                <w:rFonts w:cs="宋体"/>
                <w:color w:val="000000"/>
                <w:szCs w:val="21"/>
              </w:rPr>
            </w:pPr>
            <w:r>
              <w:rPr>
                <w:rFonts w:hint="eastAsia" w:cs="宋体"/>
                <w:color w:val="000000"/>
                <w:szCs w:val="21"/>
              </w:rPr>
              <w:t>考核方案严密、可行、描述详细、涵盖全面、操作性强得8分；考核方案较合理、严密、描述较为详细，不存在实施难度的得6分；考核方案合理性、严密性一般，描述详细性、全面性一般，操作性一般的得4分；考核方案合理性、严密性较差，描述详细性、全面性较差，操作性较差的得2分；考核方案合理性、严密性差，描述详细性、全面性差，操作性差的得1分；不提供不得分。</w:t>
            </w:r>
          </w:p>
        </w:tc>
      </w:tr>
      <w:tr w14:paraId="193C9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trPr>
        <w:tc>
          <w:tcPr>
            <w:tcW w:w="1084" w:type="dxa"/>
            <w:vMerge w:val="continue"/>
            <w:noWrap/>
            <w:vAlign w:val="center"/>
          </w:tcPr>
          <w:p w14:paraId="78EA2CAE">
            <w:pPr>
              <w:spacing w:line="360" w:lineRule="auto"/>
              <w:jc w:val="left"/>
              <w:rPr>
                <w:rFonts w:cs="宋体"/>
                <w:color w:val="000000"/>
                <w:szCs w:val="21"/>
              </w:rPr>
            </w:pPr>
          </w:p>
        </w:tc>
        <w:tc>
          <w:tcPr>
            <w:tcW w:w="1188" w:type="dxa"/>
            <w:noWrap/>
            <w:vAlign w:val="center"/>
          </w:tcPr>
          <w:p w14:paraId="46FF1E60">
            <w:pPr>
              <w:spacing w:line="360" w:lineRule="auto"/>
              <w:jc w:val="center"/>
              <w:rPr>
                <w:rFonts w:cs="宋体"/>
                <w:color w:val="000000"/>
                <w:szCs w:val="21"/>
              </w:rPr>
            </w:pPr>
            <w:r>
              <w:rPr>
                <w:rFonts w:hint="eastAsia" w:cs="宋体"/>
                <w:color w:val="000000"/>
                <w:szCs w:val="21"/>
              </w:rPr>
              <w:t>应急预案</w:t>
            </w:r>
          </w:p>
          <w:p w14:paraId="758B29C1">
            <w:pPr>
              <w:spacing w:line="360" w:lineRule="auto"/>
              <w:jc w:val="center"/>
              <w:rPr>
                <w:rFonts w:cs="宋体"/>
                <w:color w:val="000000"/>
                <w:szCs w:val="21"/>
              </w:rPr>
            </w:pPr>
            <w:r>
              <w:rPr>
                <w:rFonts w:hint="eastAsia" w:cs="宋体"/>
                <w:color w:val="000000"/>
                <w:szCs w:val="21"/>
              </w:rPr>
              <w:t>（10分）</w:t>
            </w:r>
          </w:p>
        </w:tc>
        <w:tc>
          <w:tcPr>
            <w:tcW w:w="6322" w:type="dxa"/>
            <w:noWrap/>
          </w:tcPr>
          <w:p w14:paraId="45083AFB">
            <w:pPr>
              <w:widowControl/>
              <w:spacing w:line="360" w:lineRule="auto"/>
              <w:jc w:val="left"/>
              <w:rPr>
                <w:rFonts w:cs="宋体"/>
                <w:color w:val="000000"/>
                <w:szCs w:val="21"/>
              </w:rPr>
            </w:pPr>
            <w:r>
              <w:rPr>
                <w:rFonts w:hint="eastAsia" w:cs="宋体"/>
                <w:color w:val="000000"/>
                <w:szCs w:val="21"/>
              </w:rPr>
              <w:t>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p>
        </w:tc>
      </w:tr>
      <w:tr w14:paraId="3799F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trPr>
        <w:tc>
          <w:tcPr>
            <w:tcW w:w="1084" w:type="dxa"/>
            <w:vMerge w:val="continue"/>
            <w:noWrap/>
            <w:vAlign w:val="center"/>
          </w:tcPr>
          <w:p w14:paraId="074072D2">
            <w:pPr>
              <w:spacing w:line="360" w:lineRule="auto"/>
              <w:jc w:val="left"/>
              <w:rPr>
                <w:rFonts w:cs="宋体"/>
                <w:color w:val="000000"/>
                <w:szCs w:val="21"/>
              </w:rPr>
            </w:pPr>
          </w:p>
        </w:tc>
        <w:tc>
          <w:tcPr>
            <w:tcW w:w="1188" w:type="dxa"/>
            <w:noWrap/>
            <w:vAlign w:val="center"/>
          </w:tcPr>
          <w:p w14:paraId="279A0661">
            <w:pPr>
              <w:spacing w:line="360" w:lineRule="auto"/>
              <w:jc w:val="center"/>
              <w:rPr>
                <w:rFonts w:cs="宋体"/>
                <w:color w:val="000000"/>
                <w:szCs w:val="21"/>
              </w:rPr>
            </w:pPr>
            <w:r>
              <w:rPr>
                <w:rFonts w:hint="eastAsia" w:cs="宋体"/>
                <w:color w:val="000000"/>
                <w:szCs w:val="21"/>
              </w:rPr>
              <w:t>业务培训方案</w:t>
            </w:r>
          </w:p>
          <w:p w14:paraId="33A8FBC3">
            <w:pPr>
              <w:spacing w:line="360" w:lineRule="auto"/>
              <w:jc w:val="center"/>
              <w:rPr>
                <w:rFonts w:cs="宋体"/>
                <w:color w:val="000000"/>
                <w:szCs w:val="21"/>
              </w:rPr>
            </w:pPr>
            <w:r>
              <w:rPr>
                <w:rFonts w:hint="eastAsia" w:cs="宋体"/>
                <w:color w:val="000000"/>
                <w:szCs w:val="21"/>
              </w:rPr>
              <w:t>（8分）</w:t>
            </w:r>
          </w:p>
        </w:tc>
        <w:tc>
          <w:tcPr>
            <w:tcW w:w="6322" w:type="dxa"/>
            <w:noWrap/>
          </w:tcPr>
          <w:p w14:paraId="53462051">
            <w:pPr>
              <w:widowControl/>
              <w:spacing w:line="360" w:lineRule="auto"/>
              <w:jc w:val="left"/>
              <w:rPr>
                <w:rFonts w:cs="宋体"/>
                <w:b/>
                <w:color w:val="000000"/>
                <w:szCs w:val="21"/>
              </w:rPr>
            </w:pPr>
            <w:r>
              <w:rPr>
                <w:rFonts w:hint="eastAsia" w:cs="宋体"/>
                <w:color w:val="000000"/>
                <w:szCs w:val="21"/>
              </w:rPr>
              <w:t>方案全面、细致、合理且可行性强得8分；方案基本合理，可行性较强的得6分；方案全面性、细致性、合理性一般的，可行性一般的得4分；方案全面性、细致性、合理性较差的，可行性较差的得2分；方案全面性、细致性、合理性差的，可行性差的得1分，不提供不得分。</w:t>
            </w:r>
          </w:p>
        </w:tc>
      </w:tr>
      <w:tr w14:paraId="3EE59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trPr>
        <w:tc>
          <w:tcPr>
            <w:tcW w:w="1084" w:type="dxa"/>
            <w:vMerge w:val="continue"/>
            <w:noWrap/>
            <w:vAlign w:val="center"/>
          </w:tcPr>
          <w:p w14:paraId="27686A67">
            <w:pPr>
              <w:spacing w:line="360" w:lineRule="auto"/>
              <w:jc w:val="left"/>
              <w:rPr>
                <w:rFonts w:cs="宋体"/>
                <w:color w:val="000000"/>
                <w:szCs w:val="21"/>
              </w:rPr>
            </w:pPr>
          </w:p>
        </w:tc>
        <w:tc>
          <w:tcPr>
            <w:tcW w:w="1188" w:type="dxa"/>
            <w:noWrap/>
            <w:vAlign w:val="center"/>
          </w:tcPr>
          <w:p w14:paraId="15A97D41">
            <w:pPr>
              <w:spacing w:line="360" w:lineRule="auto"/>
              <w:jc w:val="center"/>
              <w:rPr>
                <w:rFonts w:cs="宋体"/>
                <w:color w:val="000000"/>
                <w:szCs w:val="21"/>
              </w:rPr>
            </w:pPr>
            <w:r>
              <w:rPr>
                <w:rFonts w:hint="eastAsia" w:cs="宋体"/>
                <w:color w:val="000000"/>
                <w:szCs w:val="21"/>
              </w:rPr>
              <w:t>监督、激励机制方案</w:t>
            </w:r>
          </w:p>
          <w:p w14:paraId="57595DB4">
            <w:pPr>
              <w:spacing w:line="360" w:lineRule="auto"/>
              <w:jc w:val="center"/>
              <w:rPr>
                <w:rFonts w:cs="宋体"/>
                <w:color w:val="000000"/>
                <w:szCs w:val="21"/>
              </w:rPr>
            </w:pPr>
            <w:r>
              <w:rPr>
                <w:rFonts w:hint="eastAsia" w:cs="宋体"/>
                <w:color w:val="000000"/>
                <w:szCs w:val="21"/>
              </w:rPr>
              <w:t>（6分）</w:t>
            </w:r>
          </w:p>
        </w:tc>
        <w:tc>
          <w:tcPr>
            <w:tcW w:w="6322" w:type="dxa"/>
            <w:noWrap/>
          </w:tcPr>
          <w:p w14:paraId="37E9A0E5">
            <w:pPr>
              <w:widowControl/>
              <w:spacing w:line="360" w:lineRule="auto"/>
              <w:jc w:val="left"/>
              <w:rPr>
                <w:rFonts w:cs="宋体"/>
                <w:color w:val="000000"/>
                <w:szCs w:val="21"/>
              </w:rPr>
            </w:pPr>
            <w:r>
              <w:rPr>
                <w:rFonts w:hint="eastAsia" w:cs="宋体"/>
                <w:bCs/>
                <w:color w:val="000000"/>
                <w:szCs w:val="21"/>
              </w:rPr>
              <w:t>方案全面、细致、合理且可行性强得6分；方案基本合理，可行性较强的得4分；方案全面性、细致性、合理性一般的，可行性一般的得2分；方案全面性、细致性、合理性较差的，可行性较差的得1分，</w:t>
            </w:r>
            <w:r>
              <w:rPr>
                <w:rFonts w:hint="eastAsia" w:cs="宋体"/>
                <w:color w:val="000000"/>
                <w:szCs w:val="21"/>
              </w:rPr>
              <w:t>不提供不得分。</w:t>
            </w:r>
          </w:p>
        </w:tc>
      </w:tr>
      <w:tr w14:paraId="6F27B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3" w:hRule="atLeast"/>
        </w:trPr>
        <w:tc>
          <w:tcPr>
            <w:tcW w:w="1084" w:type="dxa"/>
            <w:noWrap/>
            <w:vAlign w:val="center"/>
          </w:tcPr>
          <w:p w14:paraId="35217331">
            <w:pPr>
              <w:keepNext w:val="0"/>
              <w:keepLines w:val="0"/>
              <w:pageBreakBefore w:val="0"/>
              <w:spacing w:line="360" w:lineRule="auto"/>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企业实力</w:t>
            </w:r>
          </w:p>
          <w:p w14:paraId="57BA4372">
            <w:pPr>
              <w:keepNext w:val="0"/>
              <w:keepLines w:val="0"/>
              <w:pageBreakBefore w:val="0"/>
              <w:spacing w:line="360" w:lineRule="auto"/>
              <w:jc w:val="left"/>
              <w:rPr>
                <w:rFonts w:cs="宋体"/>
                <w:color w:val="000000"/>
                <w:szCs w:val="21"/>
                <w:highlight w:val="none"/>
              </w:rPr>
            </w:pPr>
            <w:r>
              <w:rPr>
                <w:rFonts w:hint="eastAsia" w:ascii="Times New Roman" w:hAnsi="Times New Roman" w:eastAsia="宋体" w:cs="宋体"/>
                <w:color w:val="000000"/>
                <w:sz w:val="21"/>
                <w:szCs w:val="21"/>
                <w:highlight w:val="none"/>
                <w:lang w:val="en-US" w:eastAsia="zh-CN"/>
              </w:rPr>
              <w:t>（</w:t>
            </w:r>
            <w:r>
              <w:rPr>
                <w:rFonts w:hint="eastAsia" w:ascii="Times New Roman" w:hAnsi="Times New Roman" w:cs="宋体"/>
                <w:color w:val="000000"/>
                <w:sz w:val="21"/>
                <w:szCs w:val="21"/>
                <w:highlight w:val="none"/>
                <w:lang w:val="en-US" w:eastAsia="zh-CN"/>
              </w:rPr>
              <w:t>10</w:t>
            </w:r>
            <w:r>
              <w:rPr>
                <w:rFonts w:hint="eastAsia" w:ascii="Times New Roman" w:hAnsi="Times New Roman" w:eastAsia="宋体" w:cs="宋体"/>
                <w:color w:val="000000"/>
                <w:sz w:val="21"/>
                <w:szCs w:val="21"/>
                <w:highlight w:val="none"/>
                <w:lang w:val="en-US" w:eastAsia="zh-CN"/>
              </w:rPr>
              <w:t>分）</w:t>
            </w:r>
          </w:p>
        </w:tc>
        <w:tc>
          <w:tcPr>
            <w:tcW w:w="7510" w:type="dxa"/>
            <w:gridSpan w:val="2"/>
            <w:noWrap/>
            <w:vAlign w:val="center"/>
          </w:tcPr>
          <w:p w14:paraId="39F3896E">
            <w:pPr>
              <w:pStyle w:val="242"/>
              <w:keepNext w:val="0"/>
              <w:keepLines w:val="0"/>
              <w:pageBreakBefore w:val="0"/>
              <w:tabs>
                <w:tab w:val="left" w:pos="0"/>
                <w:tab w:val="left" w:pos="993"/>
                <w:tab w:val="left" w:pos="1134"/>
              </w:tabs>
              <w:spacing w:line="360" w:lineRule="auto"/>
              <w:ind w:left="0" w:firstLine="0"/>
              <w:jc w:val="left"/>
              <w:rPr>
                <w:rFonts w:hint="eastAsia" w:ascii="Times New Roman" w:hAnsi="Times New Roman" w:eastAsia="宋体" w:cs="宋体"/>
                <w:b/>
                <w:bCs/>
                <w:color w:val="000000"/>
                <w:sz w:val="21"/>
                <w:szCs w:val="21"/>
                <w:highlight w:val="none"/>
              </w:rPr>
            </w:pPr>
            <w:r>
              <w:rPr>
                <w:rFonts w:hint="eastAsia" w:ascii="Times New Roman" w:hAnsi="Times New Roman" w:eastAsia="宋体" w:cs="宋体"/>
                <w:color w:val="000000"/>
                <w:sz w:val="21"/>
                <w:szCs w:val="21"/>
                <w:highlight w:val="none"/>
                <w:lang w:val="en-US" w:eastAsia="zh-CN"/>
              </w:rPr>
              <w:t>1、供应商</w:t>
            </w:r>
            <w:r>
              <w:rPr>
                <w:rFonts w:hint="eastAsia" w:ascii="Times New Roman" w:hAnsi="Times New Roman" w:eastAsia="宋体" w:cs="宋体"/>
                <w:color w:val="000000"/>
                <w:sz w:val="21"/>
                <w:szCs w:val="21"/>
                <w:highlight w:val="none"/>
                <w:lang w:val="zh-CN"/>
              </w:rPr>
              <w:t>具有有效期内的：①质量管理体系认证、②保安服务管理体系认证、③社会责任管理体系认证</w:t>
            </w:r>
            <w:r>
              <w:rPr>
                <w:rFonts w:hint="eastAsia" w:ascii="Times New Roman" w:hAnsi="Times New Roman" w:cs="宋体"/>
                <w:color w:val="000000"/>
                <w:sz w:val="21"/>
                <w:szCs w:val="21"/>
                <w:highlight w:val="none"/>
                <w:lang w:val="zh-CN" w:eastAsia="zh-CN"/>
              </w:rPr>
              <w:t>、④</w:t>
            </w:r>
            <w:r>
              <w:rPr>
                <w:rFonts w:hint="eastAsia" w:ascii="Times New Roman" w:hAnsi="Times New Roman" w:cs="宋体"/>
                <w:color w:val="000000"/>
                <w:sz w:val="21"/>
                <w:szCs w:val="21"/>
                <w:highlight w:val="none"/>
                <w:lang w:val="en-US" w:eastAsia="zh-CN"/>
              </w:rPr>
              <w:t>环境管理体系认证</w:t>
            </w:r>
            <w:r>
              <w:rPr>
                <w:rFonts w:hint="eastAsia" w:ascii="Times New Roman" w:hAnsi="Times New Roman" w:cs="宋体"/>
                <w:color w:val="000000"/>
                <w:sz w:val="21"/>
                <w:szCs w:val="21"/>
                <w:highlight w:val="none"/>
                <w:lang w:val="zh-CN" w:eastAsia="zh-CN"/>
              </w:rPr>
              <w:t>，</w:t>
            </w:r>
            <w:r>
              <w:rPr>
                <w:rFonts w:hint="eastAsia" w:ascii="宋体" w:hAnsi="宋体" w:cs="宋体"/>
                <w:sz w:val="21"/>
                <w:szCs w:val="21"/>
                <w:highlight w:val="none"/>
              </w:rPr>
              <w:t>⑤</w:t>
            </w:r>
            <w:r>
              <w:rPr>
                <w:rFonts w:hint="eastAsia" w:ascii="宋体" w:hAnsi="宋体" w:eastAsia="宋体" w:cs="Times New Roman"/>
                <w:bCs/>
                <w:kern w:val="2"/>
                <w:sz w:val="21"/>
                <w:szCs w:val="21"/>
                <w:highlight w:val="none"/>
                <w:lang w:val="en-US" w:eastAsia="zh-CN" w:bidi="ar-SA"/>
              </w:rPr>
              <w:t>诚信管理体系认证证书</w:t>
            </w:r>
            <w:r>
              <w:rPr>
                <w:rFonts w:hint="eastAsia" w:ascii="Times New Roman" w:hAnsi="Times New Roman" w:eastAsia="宋体" w:cs="宋体"/>
                <w:color w:val="000000"/>
                <w:sz w:val="21"/>
                <w:szCs w:val="21"/>
                <w:highlight w:val="none"/>
                <w:lang w:val="en-US" w:eastAsia="zh-CN"/>
              </w:rPr>
              <w:t>每提供一项得1分，</w:t>
            </w:r>
            <w:r>
              <w:rPr>
                <w:rFonts w:hint="eastAsia" w:ascii="Times New Roman" w:hAnsi="Times New Roman" w:eastAsia="宋体" w:cs="宋体"/>
                <w:color w:val="000000"/>
                <w:sz w:val="21"/>
                <w:szCs w:val="21"/>
                <w:highlight w:val="none"/>
                <w:lang w:val="zh-CN"/>
              </w:rPr>
              <w:t>本项满分</w:t>
            </w:r>
            <w:r>
              <w:rPr>
                <w:rFonts w:hint="eastAsia" w:ascii="Times New Roman" w:hAnsi="Times New Roman" w:cs="宋体"/>
                <w:color w:val="000000"/>
                <w:sz w:val="21"/>
                <w:szCs w:val="21"/>
                <w:highlight w:val="none"/>
                <w:lang w:val="en-US" w:eastAsia="zh-CN"/>
              </w:rPr>
              <w:t>5</w:t>
            </w:r>
            <w:r>
              <w:rPr>
                <w:rFonts w:hint="eastAsia" w:ascii="Times New Roman" w:hAnsi="Times New Roman" w:eastAsia="宋体" w:cs="宋体"/>
                <w:color w:val="000000"/>
                <w:sz w:val="21"/>
                <w:szCs w:val="21"/>
                <w:highlight w:val="none"/>
                <w:lang w:val="zh-CN"/>
              </w:rPr>
              <w:t>分。</w:t>
            </w:r>
            <w:r>
              <w:rPr>
                <w:rFonts w:hint="eastAsia" w:ascii="Times New Roman" w:hAnsi="Times New Roman" w:eastAsia="宋体" w:cs="宋体"/>
                <w:b/>
                <w:bCs/>
                <w:color w:val="000000"/>
                <w:sz w:val="21"/>
                <w:szCs w:val="21"/>
                <w:highlight w:val="none"/>
              </w:rPr>
              <w:t>（提供认证证书及国家认监委网站查询截图</w:t>
            </w:r>
            <w:r>
              <w:rPr>
                <w:rFonts w:hint="eastAsia" w:ascii="Times New Roman" w:hAnsi="Times New Roman" w:eastAsia="宋体" w:cs="宋体"/>
                <w:b/>
                <w:bCs/>
                <w:color w:val="000000"/>
                <w:sz w:val="21"/>
                <w:szCs w:val="21"/>
                <w:highlight w:val="none"/>
                <w:lang w:val="en-US" w:eastAsia="zh-CN"/>
              </w:rPr>
              <w:t>原件扫描上传，未按要求提供不得分</w:t>
            </w:r>
            <w:r>
              <w:rPr>
                <w:rFonts w:hint="eastAsia" w:ascii="Times New Roman" w:hAnsi="Times New Roman" w:eastAsia="宋体" w:cs="宋体"/>
                <w:b/>
                <w:bCs/>
                <w:color w:val="000000"/>
                <w:sz w:val="21"/>
                <w:szCs w:val="21"/>
                <w:highlight w:val="none"/>
              </w:rPr>
              <w:t>）</w:t>
            </w:r>
          </w:p>
          <w:p w14:paraId="79718A0E">
            <w:pPr>
              <w:keepNext w:val="0"/>
              <w:keepLines w:val="0"/>
              <w:pageBreakBefore w:val="0"/>
              <w:spacing w:line="360" w:lineRule="auto"/>
              <w:jc w:val="left"/>
              <w:rPr>
                <w:rFonts w:cs="宋体"/>
                <w:color w:val="000000"/>
                <w:szCs w:val="21"/>
                <w:highlight w:val="none"/>
              </w:rPr>
            </w:pPr>
            <w:r>
              <w:rPr>
                <w:rFonts w:hint="eastAsia" w:cs="宋体"/>
                <w:b/>
                <w:bCs/>
                <w:color w:val="000000"/>
                <w:sz w:val="21"/>
                <w:szCs w:val="21"/>
                <w:highlight w:val="none"/>
                <w:lang w:val="en-US" w:eastAsia="zh-CN"/>
              </w:rPr>
              <w:t>2</w:t>
            </w:r>
            <w:r>
              <w:rPr>
                <w:rFonts w:hint="eastAsia" w:ascii="Times New Roman" w:hAnsi="Times New Roman" w:cs="宋体"/>
                <w:b/>
                <w:bCs/>
                <w:color w:val="000000"/>
                <w:sz w:val="21"/>
                <w:szCs w:val="21"/>
                <w:highlight w:val="none"/>
                <w:lang w:val="en-US" w:eastAsia="zh-CN"/>
              </w:rPr>
              <w:t>、</w:t>
            </w:r>
            <w:r>
              <w:rPr>
                <w:rFonts w:hint="eastAsia" w:ascii="Times New Roman" w:hAnsi="Times New Roman" w:eastAsia="宋体" w:cs="宋体"/>
                <w:color w:val="000000"/>
                <w:sz w:val="21"/>
                <w:szCs w:val="21"/>
                <w:highlight w:val="none"/>
                <w:lang w:val="en-US" w:eastAsia="zh-CN"/>
              </w:rPr>
              <w:t>供应商</w:t>
            </w:r>
            <w:r>
              <w:rPr>
                <w:rFonts w:hint="eastAsia" w:ascii="Times New Roman" w:hAnsi="Times New Roman" w:eastAsia="宋体" w:cs="宋体"/>
                <w:color w:val="000000"/>
                <w:sz w:val="21"/>
                <w:szCs w:val="21"/>
                <w:highlight w:val="none"/>
              </w:rPr>
              <w:t>自202</w:t>
            </w:r>
            <w:r>
              <w:rPr>
                <w:rFonts w:hint="eastAsia" w:cs="宋体"/>
                <w:color w:val="000000"/>
                <w:sz w:val="21"/>
                <w:szCs w:val="21"/>
                <w:highlight w:val="none"/>
                <w:lang w:val="en-US" w:eastAsia="zh-CN"/>
              </w:rPr>
              <w:t>3</w:t>
            </w:r>
            <w:r>
              <w:rPr>
                <w:rFonts w:hint="eastAsia" w:ascii="Times New Roman" w:hAnsi="Times New Roman" w:eastAsia="宋体" w:cs="宋体"/>
                <w:color w:val="000000"/>
                <w:sz w:val="21"/>
                <w:szCs w:val="21"/>
                <w:highlight w:val="none"/>
              </w:rPr>
              <w:t>年1月1日以来，获得过与本项目相关的地市级</w:t>
            </w:r>
            <w:r>
              <w:rPr>
                <w:rFonts w:hint="eastAsia" w:cs="宋体"/>
                <w:color w:val="000000"/>
                <w:sz w:val="21"/>
                <w:szCs w:val="21"/>
                <w:highlight w:val="none"/>
                <w:lang w:val="en-US" w:eastAsia="zh-CN"/>
              </w:rPr>
              <w:t>及以上</w:t>
            </w:r>
            <w:r>
              <w:rPr>
                <w:rFonts w:hint="eastAsia" w:ascii="Times New Roman" w:hAnsi="Times New Roman" w:eastAsia="宋体" w:cs="宋体"/>
                <w:color w:val="000000"/>
                <w:sz w:val="21"/>
                <w:szCs w:val="21"/>
                <w:highlight w:val="none"/>
              </w:rPr>
              <w:t>行政主管部门颁发的企业荣誉或企业表彰</w:t>
            </w:r>
            <w:r>
              <w:rPr>
                <w:rFonts w:hint="eastAsia" w:cs="宋体"/>
                <w:color w:val="000000"/>
                <w:sz w:val="21"/>
                <w:szCs w:val="21"/>
                <w:highlight w:val="none"/>
                <w:lang w:val="en-US" w:eastAsia="zh-CN"/>
              </w:rPr>
              <w:t>的</w:t>
            </w:r>
            <w:r>
              <w:rPr>
                <w:rFonts w:hint="eastAsia" w:ascii="Times New Roman" w:hAnsi="Times New Roman" w:eastAsia="宋体" w:cs="宋体"/>
                <w:color w:val="000000"/>
                <w:sz w:val="21"/>
                <w:szCs w:val="21"/>
                <w:highlight w:val="none"/>
              </w:rPr>
              <w:t>，有一项得</w:t>
            </w:r>
            <w:r>
              <w:rPr>
                <w:rFonts w:hint="eastAsia" w:cs="宋体"/>
                <w:color w:val="000000"/>
                <w:sz w:val="21"/>
                <w:szCs w:val="21"/>
                <w:highlight w:val="none"/>
                <w:lang w:val="en-US" w:eastAsia="zh-CN"/>
              </w:rPr>
              <w:t>1</w:t>
            </w:r>
            <w:r>
              <w:rPr>
                <w:rFonts w:hint="eastAsia" w:ascii="Times New Roman" w:hAnsi="Times New Roman" w:eastAsia="宋体" w:cs="宋体"/>
                <w:color w:val="000000"/>
                <w:sz w:val="21"/>
                <w:szCs w:val="21"/>
                <w:highlight w:val="none"/>
              </w:rPr>
              <w:t>分</w:t>
            </w:r>
            <w:r>
              <w:rPr>
                <w:rFonts w:hint="eastAsia" w:cs="宋体"/>
                <w:color w:val="000000"/>
                <w:sz w:val="21"/>
                <w:szCs w:val="21"/>
                <w:highlight w:val="none"/>
                <w:lang w:eastAsia="zh-CN"/>
              </w:rPr>
              <w:t>，</w:t>
            </w:r>
            <w:r>
              <w:rPr>
                <w:rFonts w:hint="eastAsia" w:ascii="Times New Roman" w:hAnsi="Times New Roman" w:eastAsia="宋体" w:cs="宋体"/>
                <w:color w:val="000000"/>
                <w:sz w:val="21"/>
                <w:szCs w:val="21"/>
                <w:highlight w:val="none"/>
              </w:rPr>
              <w:t>本项满分</w:t>
            </w:r>
            <w:r>
              <w:rPr>
                <w:rFonts w:hint="eastAsia" w:cs="宋体"/>
                <w:color w:val="000000"/>
                <w:sz w:val="21"/>
                <w:szCs w:val="21"/>
                <w:highlight w:val="none"/>
                <w:lang w:val="en-US" w:eastAsia="zh-CN"/>
              </w:rPr>
              <w:t>5</w:t>
            </w:r>
            <w:r>
              <w:rPr>
                <w:rFonts w:hint="eastAsia" w:ascii="Times New Roman" w:hAnsi="Times New Roman" w:eastAsia="宋体" w:cs="宋体"/>
                <w:color w:val="000000"/>
                <w:sz w:val="21"/>
                <w:szCs w:val="21"/>
                <w:highlight w:val="none"/>
              </w:rPr>
              <w:t>分。</w:t>
            </w:r>
            <w:r>
              <w:rPr>
                <w:rFonts w:hint="eastAsia" w:ascii="Times New Roman" w:hAnsi="Times New Roman" w:eastAsia="宋体" w:cs="宋体"/>
                <w:b/>
                <w:bCs/>
                <w:color w:val="000000"/>
                <w:sz w:val="21"/>
                <w:szCs w:val="21"/>
                <w:highlight w:val="none"/>
              </w:rPr>
              <w:t>（以行政主管部门发文时间为准，提供相关证明材料</w:t>
            </w:r>
            <w:r>
              <w:rPr>
                <w:rFonts w:hint="eastAsia" w:ascii="Times New Roman" w:hAnsi="Times New Roman" w:eastAsia="宋体" w:cs="宋体"/>
                <w:b/>
                <w:bCs/>
                <w:color w:val="000000"/>
                <w:sz w:val="21"/>
                <w:szCs w:val="21"/>
                <w:highlight w:val="none"/>
                <w:lang w:val="en-US" w:eastAsia="zh-CN"/>
              </w:rPr>
              <w:t>原件扫描上传，未按要求提供不得分</w:t>
            </w:r>
            <w:r>
              <w:rPr>
                <w:rFonts w:hint="eastAsia" w:ascii="Times New Roman" w:hAnsi="Times New Roman" w:eastAsia="宋体" w:cs="宋体"/>
                <w:b/>
                <w:bCs/>
                <w:color w:val="000000"/>
                <w:sz w:val="21"/>
                <w:szCs w:val="21"/>
                <w:highlight w:val="none"/>
              </w:rPr>
              <w:t>）</w:t>
            </w:r>
          </w:p>
        </w:tc>
      </w:tr>
      <w:tr w14:paraId="43995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2" w:hRule="atLeast"/>
        </w:trPr>
        <w:tc>
          <w:tcPr>
            <w:tcW w:w="1084" w:type="dxa"/>
            <w:noWrap/>
            <w:vAlign w:val="center"/>
          </w:tcPr>
          <w:p w14:paraId="00FF1C15">
            <w:pPr>
              <w:keepNext w:val="0"/>
              <w:keepLines w:val="0"/>
              <w:pageBreakBefore w:val="0"/>
              <w:spacing w:line="360" w:lineRule="auto"/>
              <w:jc w:val="center"/>
              <w:rPr>
                <w:rFonts w:hint="eastAsia" w:ascii="Times New Roman" w:hAnsi="Times New Roman" w:eastAsia="宋体" w:cs="宋体"/>
                <w:b w:val="0"/>
                <w:bCs w:val="0"/>
                <w:color w:val="000000"/>
                <w:sz w:val="21"/>
                <w:szCs w:val="21"/>
                <w:highlight w:val="none"/>
              </w:rPr>
            </w:pPr>
            <w:r>
              <w:rPr>
                <w:rFonts w:hint="eastAsia" w:ascii="Times New Roman" w:hAnsi="Times New Roman" w:eastAsia="宋体" w:cs="宋体"/>
                <w:b w:val="0"/>
                <w:bCs w:val="0"/>
                <w:color w:val="000000"/>
                <w:sz w:val="21"/>
                <w:szCs w:val="21"/>
                <w:highlight w:val="none"/>
              </w:rPr>
              <w:t>项目</w:t>
            </w:r>
          </w:p>
          <w:p w14:paraId="05DADDBF">
            <w:pPr>
              <w:keepNext w:val="0"/>
              <w:keepLines w:val="0"/>
              <w:pageBreakBefore w:val="0"/>
              <w:spacing w:line="360" w:lineRule="auto"/>
              <w:jc w:val="center"/>
              <w:rPr>
                <w:rFonts w:cs="宋体"/>
                <w:color w:val="000000"/>
                <w:szCs w:val="21"/>
                <w:highlight w:val="none"/>
              </w:rPr>
            </w:pPr>
            <w:r>
              <w:rPr>
                <w:rFonts w:hint="eastAsia" w:ascii="Times New Roman" w:hAnsi="Times New Roman" w:eastAsia="宋体" w:cs="宋体"/>
                <w:b w:val="0"/>
                <w:bCs w:val="0"/>
                <w:color w:val="000000"/>
                <w:sz w:val="21"/>
                <w:szCs w:val="21"/>
                <w:highlight w:val="none"/>
              </w:rPr>
              <w:t>服务团队（</w:t>
            </w:r>
            <w:r>
              <w:rPr>
                <w:rFonts w:hint="eastAsia" w:cs="宋体"/>
                <w:b w:val="0"/>
                <w:bCs w:val="0"/>
                <w:color w:val="000000"/>
                <w:sz w:val="21"/>
                <w:szCs w:val="21"/>
                <w:highlight w:val="none"/>
                <w:lang w:val="en-US" w:eastAsia="zh-CN"/>
              </w:rPr>
              <w:t>20</w:t>
            </w:r>
            <w:r>
              <w:rPr>
                <w:rFonts w:hint="eastAsia" w:ascii="Times New Roman" w:hAnsi="Times New Roman" w:eastAsia="宋体" w:cs="宋体"/>
                <w:b w:val="0"/>
                <w:bCs w:val="0"/>
                <w:color w:val="000000"/>
                <w:sz w:val="21"/>
                <w:szCs w:val="21"/>
                <w:highlight w:val="none"/>
              </w:rPr>
              <w:t>分）</w:t>
            </w:r>
          </w:p>
        </w:tc>
        <w:tc>
          <w:tcPr>
            <w:tcW w:w="7510" w:type="dxa"/>
            <w:gridSpan w:val="2"/>
            <w:noWrap/>
            <w:vAlign w:val="center"/>
          </w:tcPr>
          <w:p w14:paraId="39101025">
            <w:pPr>
              <w:pStyle w:val="242"/>
              <w:keepNext w:val="0"/>
              <w:keepLines w:val="0"/>
              <w:pageBreakBefore w:val="0"/>
              <w:tabs>
                <w:tab w:val="left" w:pos="0"/>
                <w:tab w:val="left" w:pos="993"/>
                <w:tab w:val="left" w:pos="1134"/>
              </w:tabs>
              <w:spacing w:line="360" w:lineRule="auto"/>
              <w:ind w:left="0" w:firstLine="0"/>
              <w:jc w:val="left"/>
              <w:rPr>
                <w:rFonts w:hint="eastAsia" w:ascii="Times New Roman" w:hAnsi="Times New Roman" w:eastAsia="宋体" w:cs="宋体"/>
                <w:b/>
                <w:bCs/>
                <w:color w:val="000000"/>
                <w:sz w:val="21"/>
                <w:szCs w:val="21"/>
                <w:highlight w:val="none"/>
                <w:lang w:val="zh-CN"/>
              </w:rPr>
            </w:pPr>
            <w:r>
              <w:rPr>
                <w:rFonts w:hint="eastAsia" w:ascii="Times New Roman" w:hAnsi="Times New Roman" w:eastAsia="宋体" w:cs="宋体"/>
                <w:b/>
                <w:bCs/>
                <w:color w:val="000000"/>
                <w:sz w:val="21"/>
                <w:szCs w:val="21"/>
                <w:highlight w:val="none"/>
              </w:rPr>
              <w:t>1、</w:t>
            </w:r>
            <w:r>
              <w:rPr>
                <w:rFonts w:hint="eastAsia" w:ascii="Times New Roman" w:hAnsi="Times New Roman" w:eastAsia="宋体" w:cs="宋体"/>
                <w:b/>
                <w:bCs/>
                <w:color w:val="000000"/>
                <w:sz w:val="21"/>
                <w:szCs w:val="21"/>
                <w:highlight w:val="none"/>
                <w:lang w:val="zh-CN"/>
              </w:rPr>
              <w:t>拟派项目负责人（</w:t>
            </w:r>
            <w:r>
              <w:rPr>
                <w:rFonts w:hint="eastAsia" w:cs="宋体"/>
                <w:b/>
                <w:bCs/>
                <w:color w:val="000000"/>
                <w:sz w:val="21"/>
                <w:szCs w:val="21"/>
                <w:highlight w:val="none"/>
                <w:lang w:val="en-US" w:eastAsia="zh-CN"/>
              </w:rPr>
              <w:t>8</w:t>
            </w:r>
            <w:r>
              <w:rPr>
                <w:rFonts w:hint="eastAsia" w:ascii="Times New Roman" w:hAnsi="Times New Roman" w:eastAsia="宋体" w:cs="宋体"/>
                <w:b/>
                <w:bCs/>
                <w:color w:val="000000"/>
                <w:sz w:val="21"/>
                <w:szCs w:val="21"/>
                <w:highlight w:val="none"/>
                <w:lang w:val="en-US" w:eastAsia="zh-CN"/>
              </w:rPr>
              <w:t>分</w:t>
            </w:r>
            <w:r>
              <w:rPr>
                <w:rFonts w:hint="eastAsia" w:ascii="Times New Roman" w:hAnsi="Times New Roman" w:eastAsia="宋体" w:cs="宋体"/>
                <w:b/>
                <w:bCs/>
                <w:color w:val="000000"/>
                <w:sz w:val="21"/>
                <w:szCs w:val="21"/>
                <w:highlight w:val="none"/>
                <w:lang w:val="zh-CN"/>
              </w:rPr>
              <w:t>）：</w:t>
            </w:r>
          </w:p>
          <w:p w14:paraId="77180010">
            <w:pPr>
              <w:pStyle w:val="242"/>
              <w:keepNext w:val="0"/>
              <w:keepLines w:val="0"/>
              <w:pageBreakBefore w:val="0"/>
              <w:tabs>
                <w:tab w:val="left" w:pos="0"/>
                <w:tab w:val="left" w:pos="993"/>
                <w:tab w:val="left" w:pos="1134"/>
              </w:tabs>
              <w:spacing w:line="360" w:lineRule="auto"/>
              <w:ind w:left="0" w:firstLine="0"/>
              <w:jc w:val="left"/>
              <w:rPr>
                <w:rFonts w:hint="eastAsia" w:ascii="Times New Roman" w:hAnsi="Times New Roman" w:eastAsia="宋体" w:cs="宋体"/>
                <w:color w:val="000000"/>
                <w:sz w:val="21"/>
                <w:szCs w:val="21"/>
                <w:highlight w:val="yellow"/>
              </w:rPr>
            </w:pPr>
            <w:r>
              <w:rPr>
                <w:rFonts w:hint="eastAsia" w:ascii="Times New Roman" w:hAnsi="Times New Roman" w:eastAsia="宋体" w:cs="宋体"/>
                <w:color w:val="000000"/>
                <w:sz w:val="21"/>
                <w:szCs w:val="21"/>
                <w:highlight w:val="none"/>
              </w:rPr>
              <w:t>①具有退伍军人证书的得</w:t>
            </w:r>
            <w:r>
              <w:rPr>
                <w:rFonts w:hint="eastAsia" w:ascii="Times New Roman" w:hAnsi="Times New Roman" w:cs="宋体"/>
                <w:color w:val="000000"/>
                <w:sz w:val="21"/>
                <w:szCs w:val="21"/>
                <w:highlight w:val="none"/>
                <w:lang w:val="en-US" w:eastAsia="zh-CN"/>
              </w:rPr>
              <w:t>2</w:t>
            </w:r>
            <w:r>
              <w:rPr>
                <w:rFonts w:hint="eastAsia" w:ascii="Times New Roman" w:hAnsi="Times New Roman" w:eastAsia="宋体" w:cs="宋体"/>
                <w:color w:val="000000"/>
                <w:sz w:val="21"/>
                <w:szCs w:val="21"/>
                <w:highlight w:val="none"/>
              </w:rPr>
              <w:t>分；②具有高级保安员证书的得</w:t>
            </w:r>
            <w:r>
              <w:rPr>
                <w:rFonts w:hint="eastAsia" w:ascii="Times New Roman" w:hAnsi="Times New Roman" w:cs="宋体"/>
                <w:color w:val="000000"/>
                <w:sz w:val="21"/>
                <w:szCs w:val="21"/>
                <w:highlight w:val="none"/>
                <w:lang w:val="en-US" w:eastAsia="zh-CN"/>
              </w:rPr>
              <w:t>2</w:t>
            </w:r>
            <w:r>
              <w:rPr>
                <w:rFonts w:hint="eastAsia" w:ascii="Times New Roman" w:hAnsi="Times New Roman" w:eastAsia="宋体" w:cs="宋体"/>
                <w:color w:val="000000"/>
                <w:sz w:val="21"/>
                <w:szCs w:val="21"/>
                <w:highlight w:val="none"/>
              </w:rPr>
              <w:t>分；③具有</w:t>
            </w:r>
            <w:r>
              <w:rPr>
                <w:rFonts w:hint="eastAsia" w:ascii="Times New Roman" w:hAnsi="Times New Roman" w:cs="宋体"/>
                <w:color w:val="000000"/>
                <w:sz w:val="21"/>
                <w:szCs w:val="21"/>
                <w:highlight w:val="none"/>
                <w:lang w:val="en-US" w:eastAsia="zh-CN"/>
              </w:rPr>
              <w:t>本科及以上学历</w:t>
            </w:r>
            <w:r>
              <w:rPr>
                <w:rFonts w:hint="eastAsia" w:ascii="Times New Roman" w:hAnsi="Times New Roman" w:eastAsia="宋体" w:cs="宋体"/>
                <w:color w:val="000000"/>
                <w:sz w:val="21"/>
                <w:szCs w:val="21"/>
                <w:highlight w:val="none"/>
              </w:rPr>
              <w:t>得</w:t>
            </w:r>
            <w:r>
              <w:rPr>
                <w:rFonts w:hint="eastAsia" w:ascii="Times New Roman" w:hAnsi="Times New Roman" w:cs="宋体"/>
                <w:color w:val="000000"/>
                <w:sz w:val="21"/>
                <w:szCs w:val="21"/>
                <w:highlight w:val="none"/>
                <w:lang w:val="en-US" w:eastAsia="zh-CN"/>
              </w:rPr>
              <w:t>2</w:t>
            </w:r>
            <w:r>
              <w:rPr>
                <w:rFonts w:hint="eastAsia" w:ascii="Times New Roman" w:hAnsi="Times New Roman" w:eastAsia="宋体" w:cs="宋体"/>
                <w:color w:val="000000"/>
                <w:sz w:val="21"/>
                <w:szCs w:val="21"/>
                <w:highlight w:val="none"/>
              </w:rPr>
              <w:t>分；</w:t>
            </w:r>
            <w:r>
              <w:rPr>
                <w:rFonts w:hint="eastAsia" w:ascii="Times New Roman" w:hAnsi="Times New Roman" w:eastAsia="宋体" w:cs="宋体"/>
                <w:color w:val="000000"/>
                <w:sz w:val="21"/>
                <w:szCs w:val="21"/>
                <w:highlight w:val="none"/>
                <w:lang w:val="en-US" w:eastAsia="zh-CN"/>
              </w:rPr>
              <w:t>④</w:t>
            </w:r>
            <w:r>
              <w:rPr>
                <w:rFonts w:hint="eastAsia" w:ascii="Times New Roman" w:hAnsi="Times New Roman" w:eastAsia="宋体" w:cs="宋体"/>
                <w:color w:val="000000"/>
                <w:sz w:val="21"/>
                <w:szCs w:val="21"/>
                <w:highlight w:val="none"/>
              </w:rPr>
              <w:t>20</w:t>
            </w:r>
            <w:r>
              <w:rPr>
                <w:rFonts w:hint="eastAsia" w:ascii="Times New Roman" w:hAnsi="Times New Roman" w:eastAsia="宋体" w:cs="宋体"/>
                <w:color w:val="000000"/>
                <w:sz w:val="21"/>
                <w:szCs w:val="21"/>
                <w:highlight w:val="none"/>
                <w:lang w:val="en-US" w:eastAsia="zh-CN"/>
              </w:rPr>
              <w:t>2</w:t>
            </w:r>
            <w:r>
              <w:rPr>
                <w:rFonts w:hint="eastAsia" w:cs="宋体"/>
                <w:color w:val="000000"/>
                <w:sz w:val="21"/>
                <w:szCs w:val="21"/>
                <w:highlight w:val="none"/>
                <w:lang w:val="en-US" w:eastAsia="zh-CN"/>
              </w:rPr>
              <w:t>3</w:t>
            </w:r>
            <w:r>
              <w:rPr>
                <w:rFonts w:hint="eastAsia" w:ascii="Times New Roman" w:hAnsi="Times New Roman" w:eastAsia="宋体" w:cs="宋体"/>
                <w:color w:val="000000"/>
                <w:sz w:val="21"/>
                <w:szCs w:val="21"/>
                <w:highlight w:val="none"/>
              </w:rPr>
              <w:t>年</w:t>
            </w:r>
            <w:r>
              <w:rPr>
                <w:rFonts w:hint="eastAsia" w:ascii="Times New Roman" w:hAnsi="Times New Roman" w:eastAsia="宋体" w:cs="宋体"/>
                <w:color w:val="000000"/>
                <w:sz w:val="21"/>
                <w:szCs w:val="21"/>
                <w:highlight w:val="none"/>
                <w:lang w:val="en-US" w:eastAsia="zh-CN"/>
              </w:rPr>
              <w:t>1</w:t>
            </w:r>
            <w:r>
              <w:rPr>
                <w:rFonts w:hint="eastAsia" w:ascii="Times New Roman" w:hAnsi="Times New Roman" w:eastAsia="宋体" w:cs="宋体"/>
                <w:color w:val="000000"/>
                <w:sz w:val="21"/>
                <w:szCs w:val="21"/>
                <w:highlight w:val="none"/>
              </w:rPr>
              <w:t>月1日至今获得过市级及以上</w:t>
            </w:r>
            <w:r>
              <w:rPr>
                <w:rFonts w:hint="eastAsia" w:ascii="Times New Roman" w:hAnsi="Times New Roman" w:eastAsia="宋体" w:cs="宋体"/>
                <w:color w:val="000000"/>
                <w:sz w:val="21"/>
                <w:szCs w:val="21"/>
                <w:highlight w:val="none"/>
                <w:lang w:val="en-US" w:eastAsia="zh-CN"/>
              </w:rPr>
              <w:t>与本项目相关的</w:t>
            </w:r>
            <w:r>
              <w:rPr>
                <w:rFonts w:hint="eastAsia" w:ascii="Times New Roman" w:hAnsi="Times New Roman" w:eastAsia="宋体" w:cs="宋体"/>
                <w:color w:val="000000"/>
                <w:sz w:val="21"/>
                <w:szCs w:val="21"/>
                <w:highlight w:val="none"/>
              </w:rPr>
              <w:t>荣誉证书的得</w:t>
            </w:r>
            <w:r>
              <w:rPr>
                <w:rFonts w:hint="eastAsia" w:ascii="Times New Roman" w:hAnsi="Times New Roman" w:cs="宋体"/>
                <w:color w:val="000000"/>
                <w:sz w:val="21"/>
                <w:szCs w:val="21"/>
                <w:highlight w:val="none"/>
                <w:lang w:val="en-US" w:eastAsia="zh-CN"/>
              </w:rPr>
              <w:t>2</w:t>
            </w:r>
            <w:r>
              <w:rPr>
                <w:rFonts w:hint="eastAsia" w:ascii="Times New Roman" w:hAnsi="Times New Roman" w:eastAsia="宋体" w:cs="宋体"/>
                <w:color w:val="000000"/>
                <w:sz w:val="21"/>
                <w:szCs w:val="21"/>
                <w:highlight w:val="none"/>
              </w:rPr>
              <w:t>分；本项满分</w:t>
            </w:r>
            <w:r>
              <w:rPr>
                <w:rFonts w:hint="eastAsia" w:cs="宋体"/>
                <w:color w:val="000000"/>
                <w:sz w:val="21"/>
                <w:szCs w:val="21"/>
                <w:highlight w:val="none"/>
                <w:lang w:val="en-US" w:eastAsia="zh-CN"/>
              </w:rPr>
              <w:t>8</w:t>
            </w:r>
            <w:r>
              <w:rPr>
                <w:rFonts w:hint="eastAsia" w:ascii="Times New Roman" w:hAnsi="Times New Roman" w:eastAsia="宋体" w:cs="宋体"/>
                <w:color w:val="000000"/>
                <w:sz w:val="21"/>
                <w:szCs w:val="21"/>
                <w:highlight w:val="none"/>
              </w:rPr>
              <w:t>分。</w:t>
            </w:r>
          </w:p>
          <w:p w14:paraId="45F5744C">
            <w:pPr>
              <w:pStyle w:val="242"/>
              <w:keepNext w:val="0"/>
              <w:keepLines w:val="0"/>
              <w:pageBreakBefore w:val="0"/>
              <w:tabs>
                <w:tab w:val="left" w:pos="0"/>
                <w:tab w:val="left" w:pos="993"/>
                <w:tab w:val="left" w:pos="1134"/>
              </w:tabs>
              <w:spacing w:line="360" w:lineRule="auto"/>
              <w:ind w:left="0" w:firstLine="0"/>
              <w:jc w:val="left"/>
              <w:rPr>
                <w:rFonts w:hint="eastAsia" w:ascii="Times New Roman" w:hAnsi="Times New Roman" w:eastAsia="宋体" w:cs="宋体"/>
                <w:color w:val="000000"/>
                <w:spacing w:val="-11"/>
                <w:sz w:val="21"/>
                <w:szCs w:val="21"/>
                <w:highlight w:val="none"/>
              </w:rPr>
            </w:pPr>
            <w:r>
              <w:rPr>
                <w:rFonts w:hint="eastAsia" w:ascii="Times New Roman" w:hAnsi="Times New Roman" w:eastAsia="宋体" w:cs="宋体"/>
                <w:b/>
                <w:color w:val="000000"/>
                <w:sz w:val="21"/>
                <w:szCs w:val="21"/>
                <w:highlight w:val="none"/>
              </w:rPr>
              <w:t>（提供</w:t>
            </w:r>
            <w:r>
              <w:rPr>
                <w:rFonts w:hint="eastAsia" w:ascii="Times New Roman" w:hAnsi="Times New Roman" w:eastAsia="宋体" w:cs="宋体"/>
                <w:b/>
                <w:color w:val="000000"/>
                <w:sz w:val="21"/>
                <w:szCs w:val="21"/>
                <w:highlight w:val="none"/>
                <w:lang w:val="en-US" w:eastAsia="zh-CN"/>
              </w:rPr>
              <w:t>相关证明材料及供应商</w:t>
            </w:r>
            <w:r>
              <w:rPr>
                <w:rFonts w:hint="eastAsia" w:ascii="Times New Roman" w:hAnsi="Times New Roman" w:eastAsia="宋体" w:cs="宋体"/>
                <w:b/>
                <w:color w:val="000000"/>
                <w:sz w:val="21"/>
                <w:szCs w:val="21"/>
                <w:highlight w:val="none"/>
              </w:rPr>
              <w:t>为该人员缴纳的</w:t>
            </w:r>
            <w:r>
              <w:rPr>
                <w:rFonts w:hint="eastAsia" w:ascii="Times New Roman" w:hAnsi="Times New Roman" w:eastAsia="宋体" w:cs="宋体"/>
                <w:b/>
                <w:color w:val="000000"/>
                <w:sz w:val="21"/>
                <w:szCs w:val="21"/>
                <w:highlight w:val="none"/>
                <w:lang w:val="en-US" w:eastAsia="zh-CN"/>
              </w:rPr>
              <w:t>近</w:t>
            </w:r>
            <w:r>
              <w:rPr>
                <w:rFonts w:hint="eastAsia" w:ascii="Times New Roman" w:hAnsi="Times New Roman" w:eastAsia="宋体" w:cs="宋体"/>
                <w:b/>
                <w:color w:val="000000"/>
                <w:sz w:val="21"/>
                <w:szCs w:val="21"/>
                <w:highlight w:val="none"/>
              </w:rPr>
              <w:t>三个月</w:t>
            </w:r>
            <w:r>
              <w:rPr>
                <w:rFonts w:hint="eastAsia" w:ascii="Times New Roman" w:hAnsi="Times New Roman" w:eastAsia="宋体" w:cs="宋体"/>
                <w:b/>
                <w:color w:val="000000"/>
                <w:sz w:val="21"/>
                <w:szCs w:val="21"/>
                <w:highlight w:val="none"/>
                <w:lang w:val="en-US" w:eastAsia="zh-CN"/>
              </w:rPr>
              <w:t>任意一个月</w:t>
            </w:r>
            <w:r>
              <w:rPr>
                <w:rFonts w:hint="eastAsia" w:ascii="Times New Roman" w:hAnsi="Times New Roman" w:eastAsia="宋体" w:cs="宋体"/>
                <w:b/>
                <w:color w:val="000000"/>
                <w:sz w:val="21"/>
                <w:szCs w:val="21"/>
                <w:highlight w:val="none"/>
              </w:rPr>
              <w:t>社保证明</w:t>
            </w:r>
            <w:r>
              <w:rPr>
                <w:rFonts w:hint="eastAsia" w:ascii="Times New Roman" w:hAnsi="Times New Roman" w:eastAsia="宋体" w:cs="宋体"/>
                <w:b/>
                <w:color w:val="000000"/>
                <w:sz w:val="21"/>
                <w:szCs w:val="21"/>
                <w:highlight w:val="none"/>
                <w:lang w:val="en-US" w:eastAsia="zh-CN"/>
              </w:rPr>
              <w:t>材料原件</w:t>
            </w:r>
            <w:r>
              <w:rPr>
                <w:rFonts w:hint="eastAsia" w:ascii="Times New Roman" w:hAnsi="Times New Roman" w:eastAsia="宋体" w:cs="宋体"/>
                <w:b/>
                <w:bCs/>
                <w:color w:val="000000"/>
                <w:sz w:val="21"/>
                <w:szCs w:val="21"/>
                <w:highlight w:val="none"/>
                <w:lang w:val="en-US" w:eastAsia="zh-CN"/>
              </w:rPr>
              <w:t>扫描上传，未按要求提供不得分</w:t>
            </w:r>
            <w:r>
              <w:rPr>
                <w:rFonts w:hint="eastAsia" w:ascii="Times New Roman" w:hAnsi="Times New Roman" w:eastAsia="宋体" w:cs="宋体"/>
                <w:b/>
                <w:color w:val="000000"/>
                <w:sz w:val="21"/>
                <w:szCs w:val="21"/>
                <w:highlight w:val="none"/>
              </w:rPr>
              <w:t>）</w:t>
            </w:r>
          </w:p>
          <w:p w14:paraId="4547D32F">
            <w:pPr>
              <w:pStyle w:val="251"/>
              <w:keepNext w:val="0"/>
              <w:keepLines w:val="0"/>
              <w:pageBreakBefore w:val="0"/>
              <w:numPr>
                <w:ilvl w:val="0"/>
                <w:numId w:val="0"/>
              </w:numPr>
              <w:spacing w:line="360" w:lineRule="auto"/>
              <w:rPr>
                <w:rFonts w:hint="eastAsia" w:ascii="Times New Roman" w:hAnsi="Times New Roman" w:eastAsia="宋体" w:cs="宋体"/>
                <w:b/>
                <w:bCs/>
                <w:color w:val="000000"/>
                <w:sz w:val="21"/>
                <w:szCs w:val="21"/>
                <w:highlight w:val="none"/>
                <w:lang w:val="zh-CN" w:eastAsia="zh-CN" w:bidi="ar-SA"/>
              </w:rPr>
            </w:pPr>
            <w:r>
              <w:rPr>
                <w:rFonts w:hint="eastAsia" w:ascii="Times New Roman" w:hAnsi="Times New Roman" w:eastAsia="宋体" w:cs="宋体"/>
                <w:b/>
                <w:bCs/>
                <w:color w:val="000000"/>
                <w:sz w:val="21"/>
                <w:szCs w:val="21"/>
                <w:highlight w:val="none"/>
                <w:lang w:val="en-US" w:eastAsia="zh-CN" w:bidi="ar-SA"/>
              </w:rPr>
              <w:t>2、供应商拟派</w:t>
            </w:r>
            <w:r>
              <w:rPr>
                <w:rFonts w:hint="eastAsia" w:ascii="Times New Roman" w:hAnsi="Times New Roman" w:eastAsia="宋体" w:cs="宋体"/>
                <w:b/>
                <w:bCs/>
                <w:color w:val="000000"/>
                <w:sz w:val="21"/>
                <w:szCs w:val="21"/>
                <w:highlight w:val="none"/>
                <w:lang w:val="zh-CN" w:eastAsia="zh-CN" w:bidi="ar-SA"/>
              </w:rPr>
              <w:t>人员</w:t>
            </w:r>
            <w:r>
              <w:rPr>
                <w:rFonts w:hint="eastAsia" w:ascii="Times New Roman" w:hAnsi="Times New Roman" w:eastAsia="宋体" w:cs="宋体"/>
                <w:b/>
                <w:bCs/>
                <w:color w:val="000000"/>
                <w:sz w:val="21"/>
                <w:szCs w:val="21"/>
                <w:highlight w:val="none"/>
                <w:lang w:val="en-US" w:eastAsia="zh-CN" w:bidi="ar-SA"/>
              </w:rPr>
              <w:t>中</w:t>
            </w:r>
            <w:r>
              <w:rPr>
                <w:rFonts w:hint="eastAsia" w:ascii="Times New Roman" w:hAnsi="Times New Roman" w:eastAsia="宋体" w:cs="宋体"/>
                <w:b/>
                <w:bCs/>
                <w:color w:val="000000"/>
                <w:sz w:val="21"/>
                <w:szCs w:val="21"/>
                <w:highlight w:val="none"/>
                <w:lang w:val="zh-CN" w:eastAsia="zh-CN" w:bidi="ar-SA"/>
              </w:rPr>
              <w:t>（除项目负责人外）（</w:t>
            </w:r>
            <w:r>
              <w:rPr>
                <w:rFonts w:hint="eastAsia" w:cs="宋体"/>
                <w:b/>
                <w:bCs/>
                <w:color w:val="000000"/>
                <w:sz w:val="21"/>
                <w:szCs w:val="21"/>
                <w:highlight w:val="none"/>
                <w:lang w:val="en-US" w:eastAsia="zh-CN" w:bidi="ar-SA"/>
              </w:rPr>
              <w:t>12</w:t>
            </w:r>
            <w:r>
              <w:rPr>
                <w:rFonts w:hint="eastAsia" w:ascii="Times New Roman" w:hAnsi="Times New Roman" w:eastAsia="宋体" w:cs="宋体"/>
                <w:b/>
                <w:bCs/>
                <w:color w:val="000000"/>
                <w:sz w:val="21"/>
                <w:szCs w:val="21"/>
                <w:highlight w:val="none"/>
                <w:lang w:val="en-US" w:eastAsia="zh-CN" w:bidi="ar-SA"/>
              </w:rPr>
              <w:t>分</w:t>
            </w:r>
            <w:r>
              <w:rPr>
                <w:rFonts w:hint="eastAsia" w:ascii="Times New Roman" w:hAnsi="Times New Roman" w:eastAsia="宋体" w:cs="宋体"/>
                <w:b/>
                <w:bCs/>
                <w:color w:val="000000"/>
                <w:sz w:val="21"/>
                <w:szCs w:val="21"/>
                <w:highlight w:val="none"/>
                <w:lang w:val="zh-CN" w:eastAsia="zh-CN" w:bidi="ar-SA"/>
              </w:rPr>
              <w:t>）：</w:t>
            </w:r>
          </w:p>
          <w:p w14:paraId="6824A144">
            <w:pPr>
              <w:spacing w:line="360" w:lineRule="auto"/>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bidi="ar-SA"/>
              </w:rPr>
              <w:t>①持退伍军人证明，每有一人得1分，</w:t>
            </w:r>
            <w:r>
              <w:rPr>
                <w:rFonts w:hint="eastAsia" w:ascii="Times New Roman" w:hAnsi="Times New Roman" w:cs="宋体"/>
                <w:color w:val="000000"/>
                <w:sz w:val="21"/>
                <w:szCs w:val="21"/>
                <w:highlight w:val="none"/>
                <w:lang w:val="en-US" w:eastAsia="zh-CN" w:bidi="ar-SA"/>
              </w:rPr>
              <w:t>本项满分</w:t>
            </w:r>
            <w:r>
              <w:rPr>
                <w:rFonts w:hint="eastAsia" w:cs="宋体"/>
                <w:color w:val="000000"/>
                <w:sz w:val="21"/>
                <w:szCs w:val="21"/>
                <w:highlight w:val="none"/>
                <w:lang w:val="en-US" w:eastAsia="zh-CN" w:bidi="ar-SA"/>
              </w:rPr>
              <w:t>3</w:t>
            </w:r>
            <w:r>
              <w:rPr>
                <w:rFonts w:hint="eastAsia" w:ascii="Times New Roman" w:hAnsi="Times New Roman" w:eastAsia="宋体" w:cs="宋体"/>
                <w:color w:val="000000"/>
                <w:sz w:val="21"/>
                <w:szCs w:val="21"/>
                <w:highlight w:val="none"/>
                <w:lang w:val="en-US" w:eastAsia="zh-CN" w:bidi="ar-SA"/>
              </w:rPr>
              <w:t>分；</w:t>
            </w:r>
          </w:p>
          <w:p w14:paraId="6AED1C11">
            <w:pPr>
              <w:spacing w:line="360" w:lineRule="auto"/>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bidi="ar-SA"/>
              </w:rPr>
              <w:t>②人员持有效高级保安员证书，每有一人得1分，</w:t>
            </w:r>
            <w:r>
              <w:rPr>
                <w:rFonts w:hint="eastAsia" w:ascii="Times New Roman" w:hAnsi="Times New Roman" w:cs="宋体"/>
                <w:color w:val="000000"/>
                <w:sz w:val="21"/>
                <w:szCs w:val="21"/>
                <w:highlight w:val="none"/>
                <w:lang w:val="en-US" w:eastAsia="zh-CN" w:bidi="ar-SA"/>
              </w:rPr>
              <w:t>本项满分</w:t>
            </w:r>
            <w:r>
              <w:rPr>
                <w:rFonts w:hint="eastAsia" w:cs="宋体"/>
                <w:color w:val="000000"/>
                <w:sz w:val="21"/>
                <w:szCs w:val="21"/>
                <w:highlight w:val="none"/>
                <w:lang w:val="en-US" w:eastAsia="zh-CN" w:bidi="ar-SA"/>
              </w:rPr>
              <w:t>3</w:t>
            </w:r>
            <w:r>
              <w:rPr>
                <w:rFonts w:hint="eastAsia" w:ascii="Times New Roman" w:hAnsi="Times New Roman" w:eastAsia="宋体" w:cs="宋体"/>
                <w:color w:val="000000"/>
                <w:sz w:val="21"/>
                <w:szCs w:val="21"/>
                <w:highlight w:val="none"/>
                <w:lang w:val="en-US" w:eastAsia="zh-CN" w:bidi="ar-SA"/>
              </w:rPr>
              <w:t>分。</w:t>
            </w:r>
          </w:p>
          <w:p w14:paraId="06D574EE">
            <w:pPr>
              <w:spacing w:line="360" w:lineRule="auto"/>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③</w:t>
            </w:r>
            <w:r>
              <w:rPr>
                <w:rFonts w:hint="eastAsia" w:ascii="Times New Roman" w:hAnsi="Times New Roman" w:eastAsia="宋体" w:cs="宋体"/>
                <w:color w:val="000000"/>
                <w:sz w:val="21"/>
                <w:szCs w:val="21"/>
                <w:highlight w:val="none"/>
                <w:lang w:val="en-US" w:eastAsia="zh-CN" w:bidi="ar-SA"/>
              </w:rPr>
              <w:t xml:space="preserve">人员持有三级及以上保卫管理员证书，每 1 人得 1 分，满分 </w:t>
            </w:r>
            <w:r>
              <w:rPr>
                <w:rFonts w:hint="eastAsia" w:cs="宋体"/>
                <w:color w:val="000000"/>
                <w:sz w:val="21"/>
                <w:szCs w:val="21"/>
                <w:highlight w:val="none"/>
                <w:lang w:val="en-US" w:eastAsia="zh-CN" w:bidi="ar-SA"/>
              </w:rPr>
              <w:t>3</w:t>
            </w:r>
            <w:r>
              <w:rPr>
                <w:rFonts w:hint="eastAsia" w:ascii="Times New Roman" w:hAnsi="Times New Roman" w:eastAsia="宋体" w:cs="宋体"/>
                <w:color w:val="000000"/>
                <w:sz w:val="21"/>
                <w:szCs w:val="21"/>
                <w:highlight w:val="none"/>
                <w:lang w:val="en-US" w:eastAsia="zh-CN" w:bidi="ar-SA"/>
              </w:rPr>
              <w:t>分；</w:t>
            </w:r>
          </w:p>
          <w:p w14:paraId="42DBC956">
            <w:pPr>
              <w:spacing w:line="360" w:lineRule="auto"/>
              <w:rPr>
                <w:rFonts w:hint="eastAsia" w:ascii="Times New Roman" w:hAnsi="Times New Roman"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④</w:t>
            </w:r>
            <w:r>
              <w:rPr>
                <w:rFonts w:hint="eastAsia" w:ascii="Times New Roman" w:hAnsi="Times New Roman" w:eastAsia="宋体" w:cs="宋体"/>
                <w:color w:val="000000"/>
                <w:sz w:val="21"/>
                <w:szCs w:val="21"/>
                <w:highlight w:val="none"/>
                <w:lang w:val="en-US" w:eastAsia="zh-CN" w:bidi="ar-SA"/>
              </w:rPr>
              <w:t xml:space="preserve">人员持有初级及以上应急救援员证书，每 1 人得 1 分，满分 </w:t>
            </w:r>
            <w:r>
              <w:rPr>
                <w:rFonts w:hint="eastAsia" w:cs="宋体"/>
                <w:color w:val="000000"/>
                <w:sz w:val="21"/>
                <w:szCs w:val="21"/>
                <w:highlight w:val="none"/>
                <w:lang w:val="en-US" w:eastAsia="zh-CN" w:bidi="ar-SA"/>
              </w:rPr>
              <w:t>3</w:t>
            </w:r>
            <w:r>
              <w:rPr>
                <w:rFonts w:hint="eastAsia" w:ascii="Times New Roman" w:hAnsi="Times New Roman" w:eastAsia="宋体" w:cs="宋体"/>
                <w:color w:val="000000"/>
                <w:sz w:val="21"/>
                <w:szCs w:val="21"/>
                <w:highlight w:val="none"/>
                <w:lang w:val="en-US" w:eastAsia="zh-CN" w:bidi="ar-SA"/>
              </w:rPr>
              <w:t>分。</w:t>
            </w:r>
          </w:p>
          <w:p w14:paraId="4B939410">
            <w:pPr>
              <w:pStyle w:val="251"/>
              <w:keepNext w:val="0"/>
              <w:keepLines w:val="0"/>
              <w:pageBreakBefore w:val="0"/>
              <w:numPr>
                <w:ilvl w:val="0"/>
                <w:numId w:val="0"/>
              </w:numPr>
              <w:spacing w:line="360" w:lineRule="auto"/>
              <w:rPr>
                <w:rFonts w:hint="eastAsia" w:cs="宋体"/>
                <w:b/>
                <w:color w:val="000000"/>
                <w:sz w:val="21"/>
                <w:szCs w:val="21"/>
                <w:highlight w:val="yellow"/>
                <w:lang w:eastAsia="zh-CN"/>
              </w:rPr>
            </w:pPr>
          </w:p>
          <w:p w14:paraId="4EFC86F1">
            <w:pPr>
              <w:pStyle w:val="242"/>
              <w:keepNext w:val="0"/>
              <w:keepLines w:val="0"/>
              <w:pageBreakBefore w:val="0"/>
              <w:tabs>
                <w:tab w:val="left" w:pos="0"/>
                <w:tab w:val="left" w:pos="993"/>
                <w:tab w:val="left" w:pos="1134"/>
              </w:tabs>
              <w:spacing w:line="360" w:lineRule="auto"/>
              <w:ind w:left="0" w:firstLine="0"/>
              <w:jc w:val="left"/>
              <w:rPr>
                <w:rFonts w:cs="宋体"/>
                <w:b/>
                <w:bCs/>
                <w:color w:val="000000"/>
                <w:szCs w:val="21"/>
                <w:highlight w:val="none"/>
                <w:lang w:val="zh-CN"/>
              </w:rPr>
            </w:pPr>
            <w:r>
              <w:rPr>
                <w:rFonts w:hint="eastAsia" w:ascii="Times New Roman" w:hAnsi="Times New Roman" w:eastAsia="宋体" w:cs="宋体"/>
                <w:b/>
                <w:color w:val="000000"/>
                <w:sz w:val="21"/>
                <w:szCs w:val="21"/>
                <w:highlight w:val="none"/>
              </w:rPr>
              <w:t>（提供</w:t>
            </w:r>
            <w:r>
              <w:rPr>
                <w:rFonts w:hint="eastAsia" w:ascii="Times New Roman" w:hAnsi="Times New Roman" w:eastAsia="宋体" w:cs="宋体"/>
                <w:b/>
                <w:color w:val="000000"/>
                <w:sz w:val="21"/>
                <w:szCs w:val="21"/>
                <w:highlight w:val="none"/>
                <w:lang w:val="en-US" w:eastAsia="zh-CN"/>
              </w:rPr>
              <w:t>相关证明材料及供应商</w:t>
            </w:r>
            <w:r>
              <w:rPr>
                <w:rFonts w:hint="eastAsia" w:ascii="Times New Roman" w:hAnsi="Times New Roman" w:eastAsia="宋体" w:cs="宋体"/>
                <w:b/>
                <w:color w:val="000000"/>
                <w:sz w:val="21"/>
                <w:szCs w:val="21"/>
                <w:highlight w:val="none"/>
              </w:rPr>
              <w:t>为该人员缴纳的</w:t>
            </w:r>
            <w:r>
              <w:rPr>
                <w:rFonts w:hint="eastAsia" w:ascii="Times New Roman" w:hAnsi="Times New Roman" w:eastAsia="宋体" w:cs="宋体"/>
                <w:b/>
                <w:color w:val="000000"/>
                <w:sz w:val="21"/>
                <w:szCs w:val="21"/>
                <w:highlight w:val="none"/>
                <w:lang w:val="en-US" w:eastAsia="zh-CN"/>
              </w:rPr>
              <w:t>近</w:t>
            </w:r>
            <w:r>
              <w:rPr>
                <w:rFonts w:hint="eastAsia" w:ascii="Times New Roman" w:hAnsi="Times New Roman" w:eastAsia="宋体" w:cs="宋体"/>
                <w:b/>
                <w:color w:val="000000"/>
                <w:sz w:val="21"/>
                <w:szCs w:val="21"/>
                <w:highlight w:val="none"/>
              </w:rPr>
              <w:t>三个月</w:t>
            </w:r>
            <w:r>
              <w:rPr>
                <w:rFonts w:hint="eastAsia" w:ascii="Times New Roman" w:hAnsi="Times New Roman" w:eastAsia="宋体" w:cs="宋体"/>
                <w:b/>
                <w:color w:val="000000"/>
                <w:sz w:val="21"/>
                <w:szCs w:val="21"/>
                <w:highlight w:val="none"/>
                <w:lang w:val="en-US" w:eastAsia="zh-CN"/>
              </w:rPr>
              <w:t>任意一个月</w:t>
            </w:r>
            <w:r>
              <w:rPr>
                <w:rFonts w:hint="eastAsia" w:ascii="Times New Roman" w:hAnsi="Times New Roman" w:eastAsia="宋体" w:cs="宋体"/>
                <w:b/>
                <w:color w:val="000000"/>
                <w:sz w:val="21"/>
                <w:szCs w:val="21"/>
                <w:highlight w:val="none"/>
              </w:rPr>
              <w:t>社保证明</w:t>
            </w:r>
            <w:r>
              <w:rPr>
                <w:rFonts w:hint="eastAsia" w:ascii="Times New Roman" w:hAnsi="Times New Roman" w:eastAsia="宋体" w:cs="宋体"/>
                <w:b/>
                <w:color w:val="000000"/>
                <w:sz w:val="21"/>
                <w:szCs w:val="21"/>
                <w:highlight w:val="none"/>
                <w:lang w:val="en-US" w:eastAsia="zh-CN"/>
              </w:rPr>
              <w:t>材料原件</w:t>
            </w:r>
            <w:r>
              <w:rPr>
                <w:rFonts w:hint="eastAsia" w:ascii="Times New Roman" w:hAnsi="Times New Roman" w:eastAsia="宋体" w:cs="宋体"/>
                <w:b/>
                <w:bCs/>
                <w:color w:val="000000"/>
                <w:sz w:val="21"/>
                <w:szCs w:val="21"/>
                <w:highlight w:val="none"/>
                <w:lang w:val="en-US" w:eastAsia="zh-CN"/>
              </w:rPr>
              <w:t>扫描上传，未按要求提供不得分</w:t>
            </w:r>
            <w:r>
              <w:rPr>
                <w:rFonts w:hint="eastAsia" w:cs="宋体"/>
                <w:b/>
                <w:bCs/>
                <w:color w:val="000000"/>
                <w:sz w:val="21"/>
                <w:szCs w:val="21"/>
                <w:highlight w:val="none"/>
                <w:lang w:val="en-US" w:eastAsia="zh-CN"/>
              </w:rPr>
              <w:t>）</w:t>
            </w:r>
          </w:p>
        </w:tc>
      </w:tr>
      <w:tr w14:paraId="14DED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1" w:hRule="atLeast"/>
        </w:trPr>
        <w:tc>
          <w:tcPr>
            <w:tcW w:w="1084" w:type="dxa"/>
            <w:noWrap/>
            <w:vAlign w:val="center"/>
          </w:tcPr>
          <w:p w14:paraId="1A4DDAFC">
            <w:pPr>
              <w:keepNext w:val="0"/>
              <w:keepLines w:val="0"/>
              <w:pageBreakBefore w:val="0"/>
              <w:spacing w:line="360" w:lineRule="auto"/>
              <w:jc w:val="center"/>
              <w:rPr>
                <w:rFonts w:hint="eastAsia" w:ascii="Times New Roman" w:hAnsi="Times New Roman" w:eastAsia="宋体" w:cs="宋体"/>
                <w:b w:val="0"/>
                <w:bCs w:val="0"/>
                <w:color w:val="000000"/>
                <w:sz w:val="21"/>
                <w:szCs w:val="21"/>
                <w:highlight w:val="none"/>
                <w:lang w:val="en-US" w:eastAsia="zh-CN"/>
              </w:rPr>
            </w:pPr>
            <w:r>
              <w:rPr>
                <w:rFonts w:hint="eastAsia" w:ascii="Times New Roman" w:hAnsi="Times New Roman" w:eastAsia="宋体" w:cs="宋体"/>
                <w:b w:val="0"/>
                <w:bCs w:val="0"/>
                <w:color w:val="000000"/>
                <w:sz w:val="21"/>
                <w:szCs w:val="21"/>
                <w:highlight w:val="none"/>
                <w:lang w:val="en-US" w:eastAsia="zh-CN"/>
              </w:rPr>
              <w:t>业绩</w:t>
            </w:r>
          </w:p>
          <w:p w14:paraId="606F469A">
            <w:pPr>
              <w:keepNext w:val="0"/>
              <w:keepLines w:val="0"/>
              <w:pageBreakBefore w:val="0"/>
              <w:spacing w:line="360" w:lineRule="auto"/>
              <w:jc w:val="center"/>
              <w:rPr>
                <w:rFonts w:cs="宋体"/>
                <w:color w:val="000000"/>
                <w:szCs w:val="21"/>
                <w:highlight w:val="none"/>
              </w:rPr>
            </w:pPr>
            <w:r>
              <w:rPr>
                <w:rFonts w:hint="eastAsia" w:ascii="Times New Roman" w:hAnsi="Times New Roman" w:eastAsia="宋体" w:cs="宋体"/>
                <w:b w:val="0"/>
                <w:bCs w:val="0"/>
                <w:color w:val="000000"/>
                <w:sz w:val="21"/>
                <w:szCs w:val="21"/>
                <w:highlight w:val="none"/>
                <w:lang w:val="en-US" w:eastAsia="zh-CN"/>
              </w:rPr>
              <w:t>（1</w:t>
            </w:r>
            <w:r>
              <w:rPr>
                <w:rFonts w:hint="eastAsia" w:cs="宋体"/>
                <w:b w:val="0"/>
                <w:bCs w:val="0"/>
                <w:color w:val="000000"/>
                <w:sz w:val="21"/>
                <w:szCs w:val="21"/>
                <w:highlight w:val="none"/>
                <w:lang w:val="en-US" w:eastAsia="zh-CN"/>
              </w:rPr>
              <w:t>0</w:t>
            </w:r>
            <w:r>
              <w:rPr>
                <w:rFonts w:hint="eastAsia" w:ascii="Times New Roman" w:hAnsi="Times New Roman" w:eastAsia="宋体" w:cs="宋体"/>
                <w:b w:val="0"/>
                <w:bCs w:val="0"/>
                <w:color w:val="000000"/>
                <w:sz w:val="21"/>
                <w:szCs w:val="21"/>
                <w:highlight w:val="none"/>
                <w:lang w:val="en-US" w:eastAsia="zh-CN"/>
              </w:rPr>
              <w:t>分）</w:t>
            </w:r>
          </w:p>
        </w:tc>
        <w:tc>
          <w:tcPr>
            <w:tcW w:w="7510" w:type="dxa"/>
            <w:gridSpan w:val="2"/>
            <w:noWrap/>
            <w:vAlign w:val="center"/>
          </w:tcPr>
          <w:p w14:paraId="70234576">
            <w:pPr>
              <w:keepNext w:val="0"/>
              <w:keepLines w:val="0"/>
              <w:pageBreakBefore w:val="0"/>
              <w:spacing w:line="360" w:lineRule="auto"/>
              <w:ind w:left="-10" w:leftChars="0"/>
              <w:jc w:val="left"/>
              <w:rPr>
                <w:rFonts w:cs="宋体"/>
                <w:color w:val="000000"/>
                <w:szCs w:val="21"/>
                <w:highlight w:val="none"/>
              </w:rPr>
            </w:pPr>
            <w:r>
              <w:rPr>
                <w:rFonts w:hint="eastAsia" w:ascii="Times New Roman" w:hAnsi="Times New Roman" w:eastAsia="宋体" w:cs="宋体"/>
                <w:color w:val="000000"/>
                <w:sz w:val="21"/>
                <w:szCs w:val="21"/>
                <w:highlight w:val="none"/>
                <w:lang w:eastAsia="zh-CN"/>
              </w:rPr>
              <w:t>供应商</w:t>
            </w:r>
            <w:r>
              <w:rPr>
                <w:rFonts w:hint="eastAsia" w:ascii="Times New Roman" w:hAnsi="Times New Roman" w:eastAsia="宋体" w:cs="宋体"/>
                <w:color w:val="000000"/>
                <w:sz w:val="21"/>
                <w:szCs w:val="21"/>
                <w:highlight w:val="none"/>
              </w:rPr>
              <w:t>20</w:t>
            </w:r>
            <w:r>
              <w:rPr>
                <w:rFonts w:hint="eastAsia" w:ascii="Times New Roman" w:hAnsi="Times New Roman" w:eastAsia="宋体" w:cs="宋体"/>
                <w:color w:val="000000"/>
                <w:sz w:val="21"/>
                <w:szCs w:val="21"/>
                <w:highlight w:val="none"/>
                <w:lang w:val="en-US" w:eastAsia="zh-CN"/>
              </w:rPr>
              <w:t>2</w:t>
            </w:r>
            <w:r>
              <w:rPr>
                <w:rFonts w:hint="eastAsia" w:cs="宋体"/>
                <w:color w:val="000000"/>
                <w:sz w:val="21"/>
                <w:szCs w:val="21"/>
                <w:highlight w:val="none"/>
                <w:lang w:val="en-US" w:eastAsia="zh-CN"/>
              </w:rPr>
              <w:t>3</w:t>
            </w:r>
            <w:r>
              <w:rPr>
                <w:rFonts w:hint="eastAsia" w:ascii="Times New Roman" w:hAnsi="Times New Roman" w:eastAsia="宋体" w:cs="宋体"/>
                <w:color w:val="000000"/>
                <w:sz w:val="21"/>
                <w:szCs w:val="21"/>
                <w:highlight w:val="none"/>
              </w:rPr>
              <w:t>年</w:t>
            </w:r>
            <w:r>
              <w:rPr>
                <w:rFonts w:hint="eastAsia" w:ascii="Times New Roman" w:hAnsi="Times New Roman" w:eastAsia="宋体" w:cs="宋体"/>
                <w:color w:val="000000"/>
                <w:sz w:val="21"/>
                <w:szCs w:val="21"/>
                <w:highlight w:val="none"/>
                <w:lang w:val="en-US" w:eastAsia="zh-CN"/>
              </w:rPr>
              <w:t>1</w:t>
            </w:r>
            <w:r>
              <w:rPr>
                <w:rFonts w:hint="eastAsia" w:ascii="Times New Roman" w:hAnsi="Times New Roman" w:eastAsia="宋体" w:cs="宋体"/>
                <w:color w:val="000000"/>
                <w:sz w:val="21"/>
                <w:szCs w:val="21"/>
                <w:highlight w:val="none"/>
              </w:rPr>
              <w:t>月1日以来承担过类似业绩的，每一份业绩得</w:t>
            </w:r>
            <w:r>
              <w:rPr>
                <w:rFonts w:hint="eastAsia" w:ascii="Times New Roman" w:hAnsi="Times New Roman" w:cs="宋体"/>
                <w:color w:val="000000"/>
                <w:sz w:val="21"/>
                <w:szCs w:val="21"/>
                <w:highlight w:val="none"/>
                <w:lang w:val="en-US" w:eastAsia="zh-CN"/>
              </w:rPr>
              <w:t>2</w:t>
            </w:r>
            <w:r>
              <w:rPr>
                <w:rFonts w:hint="eastAsia" w:ascii="Times New Roman" w:hAnsi="Times New Roman" w:eastAsia="宋体" w:cs="宋体"/>
                <w:color w:val="000000"/>
                <w:sz w:val="21"/>
                <w:szCs w:val="21"/>
                <w:highlight w:val="none"/>
              </w:rPr>
              <w:t>分，满分</w:t>
            </w:r>
            <w:r>
              <w:rPr>
                <w:rFonts w:hint="eastAsia" w:ascii="Times New Roman" w:hAnsi="Times New Roman" w:eastAsia="宋体" w:cs="宋体"/>
                <w:color w:val="000000"/>
                <w:sz w:val="21"/>
                <w:szCs w:val="21"/>
                <w:highlight w:val="none"/>
                <w:lang w:val="en-US" w:eastAsia="zh-CN"/>
              </w:rPr>
              <w:t>1</w:t>
            </w:r>
            <w:r>
              <w:rPr>
                <w:rFonts w:hint="eastAsia" w:cs="宋体"/>
                <w:color w:val="000000"/>
                <w:sz w:val="21"/>
                <w:szCs w:val="21"/>
                <w:highlight w:val="none"/>
                <w:lang w:val="en-US" w:eastAsia="zh-CN"/>
              </w:rPr>
              <w:t>0</w:t>
            </w:r>
            <w:r>
              <w:rPr>
                <w:rFonts w:hint="eastAsia" w:ascii="Times New Roman" w:hAnsi="Times New Roman" w:eastAsia="宋体" w:cs="宋体"/>
                <w:color w:val="000000"/>
                <w:sz w:val="21"/>
                <w:szCs w:val="21"/>
                <w:highlight w:val="none"/>
              </w:rPr>
              <w:t>分。</w:t>
            </w:r>
            <w:r>
              <w:rPr>
                <w:rFonts w:hint="eastAsia" w:ascii="Times New Roman" w:hAnsi="Times New Roman" w:eastAsia="宋体" w:cs="宋体"/>
                <w:b/>
                <w:color w:val="000000"/>
                <w:sz w:val="21"/>
                <w:szCs w:val="21"/>
                <w:highlight w:val="none"/>
              </w:rPr>
              <w:t>（以合同签订时间为准，同一项目不同年度续签的按照1份计算，不重复计分。提供合同</w:t>
            </w:r>
            <w:r>
              <w:rPr>
                <w:rFonts w:hint="eastAsia" w:ascii="Times New Roman" w:hAnsi="Times New Roman" w:eastAsia="宋体" w:cs="宋体"/>
                <w:b/>
                <w:color w:val="000000"/>
                <w:sz w:val="21"/>
                <w:szCs w:val="21"/>
                <w:highlight w:val="none"/>
                <w:lang w:val="en-US" w:eastAsia="zh-CN"/>
              </w:rPr>
              <w:t>原件</w:t>
            </w:r>
            <w:r>
              <w:rPr>
                <w:rFonts w:hint="eastAsia" w:ascii="Times New Roman" w:hAnsi="Times New Roman" w:eastAsia="宋体" w:cs="宋体"/>
                <w:b/>
                <w:bCs/>
                <w:color w:val="000000"/>
                <w:sz w:val="21"/>
                <w:szCs w:val="21"/>
                <w:highlight w:val="none"/>
                <w:lang w:val="en-US" w:eastAsia="zh-CN"/>
              </w:rPr>
              <w:t>扫描上传，未按要求提供不得分</w:t>
            </w:r>
            <w:r>
              <w:rPr>
                <w:rFonts w:hint="eastAsia" w:ascii="Times New Roman" w:hAnsi="Times New Roman" w:eastAsia="宋体" w:cs="宋体"/>
                <w:b/>
                <w:color w:val="000000"/>
                <w:sz w:val="21"/>
                <w:szCs w:val="21"/>
                <w:highlight w:val="none"/>
              </w:rPr>
              <w:t>）</w:t>
            </w:r>
          </w:p>
        </w:tc>
      </w:tr>
    </w:tbl>
    <w:p w14:paraId="4A45D24A">
      <w:pPr>
        <w:rPr>
          <w:rFonts w:ascii="宋体" w:hAnsi="宋体"/>
          <w:b/>
          <w:bCs/>
        </w:rPr>
      </w:pPr>
      <w:r>
        <w:rPr>
          <w:rFonts w:hint="eastAsia" w:ascii="宋体" w:hAnsi="宋体"/>
        </w:rPr>
        <w:br w:type="page" w:clear="all"/>
      </w:r>
    </w:p>
    <w:p w14:paraId="4271A3D1">
      <w:pPr>
        <w:pStyle w:val="50"/>
        <w:spacing w:before="0" w:after="0" w:line="360" w:lineRule="auto"/>
        <w:jc w:val="center"/>
        <w:rPr>
          <w:rFonts w:ascii="宋体" w:hAnsi="宋体"/>
          <w:sz w:val="36"/>
        </w:rPr>
      </w:pPr>
      <w:r>
        <w:rPr>
          <w:rFonts w:hint="eastAsia" w:ascii="宋体" w:hAnsi="宋体"/>
          <w:sz w:val="36"/>
        </w:rPr>
        <w:t>第六章 竞争性磋商响应文件格式</w:t>
      </w:r>
      <w:bookmarkEnd w:id="2"/>
      <w:bookmarkEnd w:id="38"/>
      <w:bookmarkEnd w:id="39"/>
    </w:p>
    <w:p w14:paraId="4D5294D8">
      <w:pPr>
        <w:spacing w:line="360" w:lineRule="auto"/>
        <w:jc w:val="center"/>
        <w:rPr>
          <w:rFonts w:ascii="宋体" w:hAnsi="宋体"/>
          <w:b/>
          <w:sz w:val="22"/>
        </w:rPr>
      </w:pPr>
    </w:p>
    <w:p w14:paraId="050CAA08">
      <w:pPr>
        <w:spacing w:line="360" w:lineRule="auto"/>
        <w:jc w:val="center"/>
        <w:rPr>
          <w:rFonts w:ascii="宋体" w:hAnsi="宋体" w:cs="Arial"/>
          <w:b/>
          <w:bCs/>
          <w:sz w:val="72"/>
          <w:szCs w:val="72"/>
        </w:rPr>
      </w:pPr>
      <w:r>
        <w:rPr>
          <w:rFonts w:hint="eastAsia" w:ascii="宋体" w:hAnsi="宋体" w:cs="Arial"/>
          <w:b/>
          <w:bCs/>
          <w:sz w:val="72"/>
          <w:szCs w:val="72"/>
        </w:rPr>
        <w:t>竞争性磋商响应文件</w:t>
      </w:r>
    </w:p>
    <w:p w14:paraId="008A9310">
      <w:pPr>
        <w:spacing w:line="360" w:lineRule="auto"/>
        <w:jc w:val="center"/>
        <w:rPr>
          <w:rFonts w:ascii="宋体" w:hAnsi="宋体"/>
          <w:b/>
          <w:sz w:val="72"/>
          <w:szCs w:val="21"/>
        </w:rPr>
      </w:pPr>
    </w:p>
    <w:p w14:paraId="7D13B34F">
      <w:pPr>
        <w:spacing w:line="360" w:lineRule="auto"/>
        <w:jc w:val="center"/>
        <w:rPr>
          <w:rFonts w:ascii="宋体" w:hAnsi="宋体"/>
          <w:b/>
          <w:sz w:val="36"/>
          <w:szCs w:val="21"/>
        </w:rPr>
      </w:pPr>
    </w:p>
    <w:p w14:paraId="303356C8">
      <w:pPr>
        <w:spacing w:line="360" w:lineRule="auto"/>
        <w:jc w:val="center"/>
        <w:rPr>
          <w:rFonts w:ascii="宋体" w:hAnsi="宋体"/>
          <w:b/>
          <w:sz w:val="36"/>
          <w:szCs w:val="21"/>
        </w:rPr>
      </w:pPr>
    </w:p>
    <w:p w14:paraId="78ABD499">
      <w:pPr>
        <w:spacing w:line="360" w:lineRule="auto"/>
        <w:jc w:val="center"/>
        <w:rPr>
          <w:rFonts w:ascii="宋体" w:hAnsi="宋体"/>
          <w:b/>
          <w:sz w:val="36"/>
          <w:szCs w:val="21"/>
        </w:rPr>
      </w:pPr>
    </w:p>
    <w:p w14:paraId="63F4669A">
      <w:pPr>
        <w:spacing w:line="360" w:lineRule="auto"/>
        <w:jc w:val="center"/>
        <w:rPr>
          <w:rFonts w:ascii="宋体" w:hAnsi="宋体"/>
          <w:b/>
          <w:sz w:val="36"/>
          <w:szCs w:val="21"/>
        </w:rPr>
      </w:pPr>
    </w:p>
    <w:p w14:paraId="174C1C1D">
      <w:pPr>
        <w:spacing w:line="360" w:lineRule="auto"/>
        <w:jc w:val="center"/>
        <w:rPr>
          <w:rFonts w:ascii="宋体" w:hAnsi="宋体"/>
          <w:b/>
          <w:sz w:val="36"/>
        </w:rPr>
      </w:pPr>
    </w:p>
    <w:p w14:paraId="14BAC9A6">
      <w:pPr>
        <w:spacing w:line="360" w:lineRule="auto"/>
        <w:jc w:val="center"/>
        <w:rPr>
          <w:rFonts w:ascii="宋体" w:hAnsi="宋体"/>
          <w:b/>
          <w:sz w:val="36"/>
        </w:rPr>
      </w:pPr>
    </w:p>
    <w:p w14:paraId="061A8D40">
      <w:pPr>
        <w:spacing w:line="360" w:lineRule="auto"/>
        <w:ind w:firstLine="1084"/>
        <w:rPr>
          <w:rFonts w:ascii="宋体" w:hAnsi="宋体"/>
          <w:b/>
          <w:sz w:val="36"/>
        </w:rPr>
      </w:pPr>
      <w:r>
        <w:rPr>
          <w:rFonts w:hint="eastAsia" w:ascii="宋体" w:hAnsi="宋体"/>
          <w:b/>
          <w:sz w:val="36"/>
        </w:rPr>
        <w:t>项 目 名 称：</w:t>
      </w:r>
    </w:p>
    <w:p w14:paraId="0806F62D">
      <w:pPr>
        <w:spacing w:line="360" w:lineRule="auto"/>
        <w:ind w:firstLine="1084"/>
        <w:rPr>
          <w:rFonts w:ascii="宋体" w:hAnsi="宋体"/>
          <w:b/>
          <w:sz w:val="36"/>
          <w:u w:val="single"/>
        </w:rPr>
      </w:pPr>
      <w:r>
        <w:rPr>
          <w:rFonts w:hint="eastAsia" w:ascii="宋体" w:hAnsi="宋体"/>
          <w:b/>
          <w:sz w:val="36"/>
        </w:rPr>
        <w:t>项 目 编 号：</w:t>
      </w:r>
    </w:p>
    <w:p w14:paraId="2E297C0B">
      <w:pPr>
        <w:spacing w:line="360" w:lineRule="auto"/>
        <w:rPr>
          <w:rFonts w:ascii="宋体" w:hAnsi="宋体"/>
          <w:b/>
          <w:sz w:val="36"/>
          <w:u w:val="single"/>
        </w:rPr>
      </w:pPr>
      <w:r>
        <w:rPr>
          <w:rFonts w:hint="eastAsia" w:ascii="宋体" w:hAnsi="宋体"/>
          <w:b/>
          <w:sz w:val="36"/>
        </w:rPr>
        <w:t xml:space="preserve">      磋商供应商名称 ：</w:t>
      </w:r>
    </w:p>
    <w:p w14:paraId="0DFEE86D">
      <w:pPr>
        <w:spacing w:line="360" w:lineRule="auto"/>
        <w:rPr>
          <w:rFonts w:ascii="宋体" w:hAnsi="宋体"/>
          <w:b/>
          <w:sz w:val="36"/>
          <w:u w:val="single"/>
        </w:rPr>
      </w:pPr>
      <w:r>
        <w:rPr>
          <w:rFonts w:hint="eastAsia" w:ascii="宋体" w:hAnsi="宋体"/>
          <w:b/>
          <w:sz w:val="36"/>
        </w:rPr>
        <w:t xml:space="preserve">      日      期 ：</w:t>
      </w:r>
    </w:p>
    <w:p w14:paraId="05695FDB">
      <w:pPr>
        <w:spacing w:line="360" w:lineRule="auto"/>
        <w:ind w:firstLine="1084"/>
        <w:rPr>
          <w:rFonts w:ascii="宋体" w:hAnsi="宋体"/>
          <w:b/>
          <w:sz w:val="36"/>
        </w:rPr>
      </w:pPr>
      <w:r>
        <w:rPr>
          <w:rFonts w:hint="eastAsia" w:ascii="宋体" w:hAnsi="宋体"/>
          <w:b/>
          <w:sz w:val="36"/>
        </w:rPr>
        <w:t>供  应  商：（电子签章）</w:t>
      </w:r>
    </w:p>
    <w:p w14:paraId="01F3E17D">
      <w:pPr>
        <w:spacing w:line="360" w:lineRule="auto"/>
        <w:jc w:val="center"/>
        <w:rPr>
          <w:rFonts w:ascii="宋体" w:hAnsi="宋体"/>
          <w:b/>
          <w:bCs/>
          <w:sz w:val="32"/>
          <w:szCs w:val="32"/>
        </w:rPr>
      </w:pPr>
      <w:r>
        <w:rPr>
          <w:rFonts w:hint="eastAsia" w:ascii="宋体" w:hAnsi="宋体"/>
          <w:sz w:val="24"/>
        </w:rPr>
        <w:br w:type="page" w:clear="all"/>
      </w:r>
      <w:r>
        <w:rPr>
          <w:rFonts w:hint="eastAsia" w:ascii="宋体" w:hAnsi="宋体"/>
          <w:b/>
          <w:bCs/>
          <w:sz w:val="32"/>
          <w:szCs w:val="32"/>
        </w:rPr>
        <w:t>磋商主要文件目录</w:t>
      </w:r>
    </w:p>
    <w:p w14:paraId="47AB0896">
      <w:pPr>
        <w:spacing w:line="360" w:lineRule="auto"/>
        <w:jc w:val="center"/>
        <w:rPr>
          <w:rFonts w:ascii="宋体" w:hAnsi="宋体"/>
          <w:b/>
          <w:bCs/>
          <w:sz w:val="32"/>
          <w:szCs w:val="32"/>
        </w:rPr>
      </w:pPr>
    </w:p>
    <w:p w14:paraId="770E400B">
      <w:pPr>
        <w:spacing w:line="360" w:lineRule="auto"/>
        <w:ind w:firstLine="480"/>
        <w:rPr>
          <w:rFonts w:ascii="宋体" w:hAnsi="宋体"/>
          <w:sz w:val="24"/>
        </w:rPr>
      </w:pPr>
      <w:r>
        <w:rPr>
          <w:rFonts w:hint="eastAsia" w:ascii="宋体" w:hAnsi="宋体"/>
          <w:sz w:val="24"/>
        </w:rPr>
        <w:t>一、资格审查响应对照表</w:t>
      </w:r>
    </w:p>
    <w:p w14:paraId="0643350D">
      <w:pPr>
        <w:spacing w:line="360" w:lineRule="auto"/>
        <w:ind w:left="480"/>
        <w:rPr>
          <w:rFonts w:ascii="宋体" w:hAnsi="宋体"/>
          <w:sz w:val="24"/>
        </w:rPr>
      </w:pPr>
      <w:r>
        <w:rPr>
          <w:rFonts w:hint="eastAsia" w:ascii="宋体" w:hAnsi="宋体"/>
          <w:sz w:val="24"/>
        </w:rPr>
        <w:t>二、符合性审查响应对照表</w:t>
      </w:r>
    </w:p>
    <w:p w14:paraId="6CD4B88B">
      <w:pPr>
        <w:spacing w:line="360" w:lineRule="auto"/>
        <w:ind w:left="480"/>
        <w:rPr>
          <w:rFonts w:ascii="宋体" w:hAnsi="宋体"/>
          <w:sz w:val="24"/>
        </w:rPr>
      </w:pPr>
      <w:r>
        <w:rPr>
          <w:rFonts w:hint="eastAsia" w:ascii="宋体" w:hAnsi="宋体"/>
          <w:sz w:val="24"/>
        </w:rPr>
        <w:t>三、非实质性响应对照表</w:t>
      </w:r>
    </w:p>
    <w:p w14:paraId="0C9CE384">
      <w:pPr>
        <w:spacing w:line="360" w:lineRule="auto"/>
        <w:ind w:firstLine="480"/>
        <w:rPr>
          <w:rFonts w:ascii="宋体" w:hAnsi="宋体"/>
          <w:b/>
          <w:bCs/>
          <w:sz w:val="24"/>
        </w:rPr>
      </w:pPr>
      <w:r>
        <w:rPr>
          <w:rFonts w:hint="eastAsia" w:ascii="宋体" w:hAnsi="宋体"/>
          <w:sz w:val="24"/>
        </w:rPr>
        <w:t>四</w:t>
      </w:r>
      <w:r>
        <w:rPr>
          <w:rFonts w:hint="eastAsia" w:ascii="宋体" w:hAnsi="宋体"/>
          <w:b/>
          <w:bCs/>
          <w:sz w:val="24"/>
        </w:rPr>
        <w:t>、</w:t>
      </w:r>
      <w:r>
        <w:rPr>
          <w:rFonts w:hint="eastAsia" w:ascii="宋体" w:hAnsi="宋体"/>
          <w:i/>
          <w:sz w:val="24"/>
          <w:u w:val="single"/>
        </w:rPr>
        <w:t>磋商响应报价表</w:t>
      </w:r>
    </w:p>
    <w:p w14:paraId="36F2E9D8">
      <w:pPr>
        <w:spacing w:line="360" w:lineRule="auto"/>
        <w:ind w:firstLine="480"/>
        <w:rPr>
          <w:rFonts w:ascii="宋体" w:hAnsi="宋体"/>
          <w:sz w:val="24"/>
        </w:rPr>
      </w:pPr>
      <w:r>
        <w:rPr>
          <w:rFonts w:hint="eastAsia" w:ascii="宋体" w:hAnsi="宋体"/>
          <w:sz w:val="24"/>
        </w:rPr>
        <w:t>五、</w:t>
      </w:r>
      <w:r>
        <w:rPr>
          <w:rFonts w:hint="eastAsia" w:ascii="宋体" w:hAnsi="宋体"/>
          <w:sz w:val="24"/>
          <w:szCs w:val="24"/>
        </w:rPr>
        <w:t>技术参数响应及偏离表</w:t>
      </w:r>
    </w:p>
    <w:p w14:paraId="4CF29BA2">
      <w:pPr>
        <w:spacing w:line="360" w:lineRule="auto"/>
        <w:ind w:firstLine="480"/>
        <w:rPr>
          <w:rFonts w:ascii="宋体" w:hAnsi="宋体"/>
          <w:sz w:val="24"/>
        </w:rPr>
      </w:pPr>
      <w:r>
        <w:rPr>
          <w:rFonts w:hint="eastAsia" w:ascii="宋体" w:hAnsi="宋体"/>
          <w:sz w:val="24"/>
        </w:rPr>
        <w:t>六</w:t>
      </w:r>
      <w:r>
        <w:rPr>
          <w:rFonts w:hint="eastAsia" w:ascii="宋体" w:hAnsi="宋体" w:cs="Courier New"/>
          <w:sz w:val="24"/>
          <w:szCs w:val="24"/>
        </w:rPr>
        <w:t>、</w:t>
      </w:r>
      <w:r>
        <w:rPr>
          <w:rFonts w:hint="eastAsia" w:ascii="宋体" w:hAnsi="宋体"/>
          <w:sz w:val="24"/>
        </w:rPr>
        <w:t>商务条款响应及偏离表</w:t>
      </w:r>
    </w:p>
    <w:p w14:paraId="5A3BB5D0">
      <w:pPr>
        <w:spacing w:line="360" w:lineRule="auto"/>
        <w:ind w:firstLine="480"/>
        <w:rPr>
          <w:rFonts w:ascii="宋体" w:hAnsi="宋体"/>
          <w:sz w:val="24"/>
        </w:rPr>
      </w:pPr>
      <w:r>
        <w:rPr>
          <w:rFonts w:hint="eastAsia" w:ascii="宋体" w:hAnsi="宋体"/>
          <w:sz w:val="24"/>
        </w:rPr>
        <w:t>七、项目负责人无在建工程承诺书</w:t>
      </w:r>
    </w:p>
    <w:p w14:paraId="6512641F">
      <w:pPr>
        <w:spacing w:line="360" w:lineRule="auto"/>
        <w:ind w:firstLine="480"/>
        <w:rPr>
          <w:rFonts w:ascii="宋体" w:hAnsi="宋体"/>
          <w:sz w:val="24"/>
        </w:rPr>
      </w:pPr>
      <w:r>
        <w:rPr>
          <w:rFonts w:hint="eastAsia" w:ascii="宋体" w:hAnsi="宋体"/>
          <w:sz w:val="24"/>
        </w:rPr>
        <w:t>八、其他 （供应商认为有必要提供的声明和文件，如有自拟并自行添加）</w:t>
      </w:r>
    </w:p>
    <w:p w14:paraId="0A588904">
      <w:pPr>
        <w:spacing w:line="360" w:lineRule="auto"/>
        <w:jc w:val="center"/>
        <w:rPr>
          <w:rFonts w:ascii="宋体" w:hAnsi="宋体"/>
          <w:b/>
          <w:sz w:val="32"/>
          <w:szCs w:val="32"/>
        </w:rPr>
      </w:pPr>
      <w:r>
        <w:rPr>
          <w:rFonts w:ascii="宋体" w:hAnsi="宋体"/>
          <w:b/>
          <w:sz w:val="32"/>
          <w:szCs w:val="32"/>
        </w:rPr>
        <w:br w:type="page" w:clear="all"/>
      </w:r>
      <w:r>
        <w:rPr>
          <w:rFonts w:hint="eastAsia" w:ascii="宋体" w:hAnsi="宋体"/>
          <w:b/>
          <w:sz w:val="32"/>
          <w:szCs w:val="32"/>
        </w:rPr>
        <w:t>一、资格审查响应对照表</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6120"/>
        <w:gridCol w:w="1721"/>
      </w:tblGrid>
      <w:tr w14:paraId="05D07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658" w:type="dxa"/>
            <w:noWrap/>
            <w:vAlign w:val="center"/>
          </w:tcPr>
          <w:p w14:paraId="5EA17671">
            <w:pPr>
              <w:spacing w:line="360" w:lineRule="auto"/>
              <w:jc w:val="center"/>
              <w:rPr>
                <w:rFonts w:ascii="幼圆" w:eastAsia="幼圆"/>
                <w:b/>
                <w:szCs w:val="21"/>
              </w:rPr>
            </w:pPr>
            <w:r>
              <w:rPr>
                <w:rFonts w:hint="eastAsia" w:ascii="幼圆" w:eastAsia="幼圆"/>
                <w:b/>
                <w:szCs w:val="21"/>
              </w:rPr>
              <w:t>序号</w:t>
            </w:r>
          </w:p>
        </w:tc>
        <w:tc>
          <w:tcPr>
            <w:tcW w:w="6120" w:type="dxa"/>
            <w:noWrap/>
            <w:vAlign w:val="center"/>
          </w:tcPr>
          <w:p w14:paraId="2B1110CC">
            <w:pPr>
              <w:spacing w:line="360" w:lineRule="auto"/>
              <w:jc w:val="center"/>
              <w:rPr>
                <w:rFonts w:ascii="幼圆" w:eastAsia="幼圆"/>
                <w:b/>
                <w:szCs w:val="21"/>
              </w:rPr>
            </w:pPr>
            <w:r>
              <w:rPr>
                <w:rFonts w:hint="eastAsia" w:ascii="幼圆" w:eastAsia="幼圆"/>
                <w:b/>
                <w:szCs w:val="21"/>
              </w:rPr>
              <w:t>资格审查响应内容</w:t>
            </w:r>
          </w:p>
        </w:tc>
        <w:tc>
          <w:tcPr>
            <w:tcW w:w="1721" w:type="dxa"/>
            <w:noWrap/>
            <w:vAlign w:val="center"/>
          </w:tcPr>
          <w:p w14:paraId="11BE6F7D">
            <w:pPr>
              <w:spacing w:line="360" w:lineRule="auto"/>
              <w:jc w:val="center"/>
              <w:rPr>
                <w:rFonts w:ascii="幼圆" w:eastAsia="幼圆"/>
                <w:b/>
                <w:szCs w:val="21"/>
              </w:rPr>
            </w:pPr>
            <w:r>
              <w:rPr>
                <w:rFonts w:hint="eastAsia" w:ascii="幼圆" w:eastAsia="幼圆"/>
                <w:b/>
                <w:szCs w:val="21"/>
              </w:rPr>
              <w:t>是否响应</w:t>
            </w:r>
          </w:p>
          <w:p w14:paraId="4B45ED06">
            <w:pPr>
              <w:spacing w:line="360" w:lineRule="auto"/>
              <w:jc w:val="center"/>
              <w:rPr>
                <w:rFonts w:ascii="幼圆" w:eastAsia="幼圆"/>
                <w:b/>
                <w:szCs w:val="21"/>
              </w:rPr>
            </w:pPr>
            <w:r>
              <w:rPr>
                <w:rFonts w:hint="eastAsia" w:ascii="幼圆" w:eastAsia="幼圆"/>
                <w:b/>
                <w:szCs w:val="21"/>
              </w:rPr>
              <w:t>（填是或者否）</w:t>
            </w:r>
          </w:p>
        </w:tc>
      </w:tr>
      <w:tr w14:paraId="33D8C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8499" w:type="dxa"/>
            <w:gridSpan w:val="3"/>
            <w:noWrap/>
            <w:vAlign w:val="center"/>
          </w:tcPr>
          <w:p w14:paraId="076617E8">
            <w:pPr>
              <w:spacing w:line="360" w:lineRule="auto"/>
              <w:rPr>
                <w:rFonts w:ascii="宋体" w:hAnsi="宋体"/>
                <w:b/>
                <w:szCs w:val="21"/>
              </w:rPr>
            </w:pPr>
            <w:r>
              <w:rPr>
                <w:rFonts w:hint="eastAsia" w:ascii="宋体" w:hAnsi="宋体"/>
                <w:b/>
                <w:szCs w:val="21"/>
              </w:rPr>
              <w:t>通用资格条件</w:t>
            </w:r>
          </w:p>
        </w:tc>
      </w:tr>
      <w:tr w14:paraId="46DE0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8" w:type="dxa"/>
            <w:noWrap/>
            <w:vAlign w:val="center"/>
          </w:tcPr>
          <w:p w14:paraId="6F713C6B">
            <w:pPr>
              <w:spacing w:line="360" w:lineRule="auto"/>
              <w:jc w:val="center"/>
              <w:rPr>
                <w:rFonts w:ascii="宋体" w:hAnsi="宋体"/>
                <w:b/>
                <w:szCs w:val="21"/>
              </w:rPr>
            </w:pPr>
            <w:r>
              <w:rPr>
                <w:rFonts w:hint="eastAsia" w:ascii="宋体" w:hAnsi="宋体"/>
                <w:szCs w:val="21"/>
              </w:rPr>
              <w:t>1</w:t>
            </w:r>
          </w:p>
        </w:tc>
        <w:tc>
          <w:tcPr>
            <w:tcW w:w="6120" w:type="dxa"/>
            <w:noWrap/>
            <w:vAlign w:val="center"/>
          </w:tcPr>
          <w:p w14:paraId="423905CD">
            <w:pPr>
              <w:spacing w:line="360" w:lineRule="auto"/>
              <w:rPr>
                <w:rFonts w:ascii="宋体" w:hAnsi="宋体" w:cs="宋体"/>
                <w:szCs w:val="21"/>
              </w:rPr>
            </w:pPr>
            <w:r>
              <w:rPr>
                <w:rFonts w:hint="eastAsia" w:ascii="宋体" w:hAnsi="宋体" w:cs="宋体"/>
                <w:szCs w:val="21"/>
              </w:rPr>
              <w:t>法人或者其他组织的营业执照等证明文件，自然人的身份证明（身份证为正、反面）</w:t>
            </w:r>
          </w:p>
        </w:tc>
        <w:tc>
          <w:tcPr>
            <w:tcW w:w="1721" w:type="dxa"/>
            <w:noWrap/>
            <w:vAlign w:val="center"/>
          </w:tcPr>
          <w:p w14:paraId="06D4D7E8">
            <w:pPr>
              <w:spacing w:line="360" w:lineRule="auto"/>
              <w:rPr>
                <w:rFonts w:ascii="宋体" w:hAnsi="宋体"/>
                <w:b/>
                <w:szCs w:val="21"/>
              </w:rPr>
            </w:pPr>
          </w:p>
        </w:tc>
      </w:tr>
      <w:tr w14:paraId="220A0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658" w:type="dxa"/>
            <w:noWrap/>
            <w:vAlign w:val="center"/>
          </w:tcPr>
          <w:p w14:paraId="510DBD9A">
            <w:pPr>
              <w:spacing w:line="360" w:lineRule="auto"/>
              <w:jc w:val="center"/>
              <w:rPr>
                <w:rFonts w:ascii="宋体" w:hAnsi="宋体"/>
                <w:szCs w:val="21"/>
              </w:rPr>
            </w:pPr>
            <w:r>
              <w:rPr>
                <w:rFonts w:hint="eastAsia" w:ascii="宋体" w:hAnsi="宋体"/>
                <w:szCs w:val="21"/>
              </w:rPr>
              <w:t>2</w:t>
            </w:r>
          </w:p>
        </w:tc>
        <w:tc>
          <w:tcPr>
            <w:tcW w:w="6120" w:type="dxa"/>
            <w:noWrap/>
            <w:vAlign w:val="center"/>
          </w:tcPr>
          <w:p w14:paraId="0327D95A">
            <w:pPr>
              <w:spacing w:line="360" w:lineRule="auto"/>
              <w:rPr>
                <w:rFonts w:ascii="宋体" w:hAnsi="宋体" w:cs="宋体"/>
                <w:szCs w:val="21"/>
              </w:rPr>
            </w:pPr>
            <w:r>
              <w:rPr>
                <w:rFonts w:hint="eastAsia" w:ascii="宋体" w:hAnsi="宋体" w:cs="宋体"/>
                <w:szCs w:val="21"/>
              </w:rPr>
              <w:t>上一年度的财务状况报告(成立不满一年无需提供);</w:t>
            </w:r>
          </w:p>
        </w:tc>
        <w:tc>
          <w:tcPr>
            <w:tcW w:w="1721" w:type="dxa"/>
            <w:noWrap/>
            <w:vAlign w:val="center"/>
          </w:tcPr>
          <w:p w14:paraId="679A7826">
            <w:pPr>
              <w:spacing w:line="360" w:lineRule="auto"/>
              <w:rPr>
                <w:rFonts w:ascii="宋体" w:hAnsi="宋体"/>
                <w:szCs w:val="21"/>
              </w:rPr>
            </w:pPr>
          </w:p>
        </w:tc>
      </w:tr>
      <w:tr w14:paraId="2F781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658" w:type="dxa"/>
            <w:noWrap/>
            <w:vAlign w:val="center"/>
          </w:tcPr>
          <w:p w14:paraId="2DE2CBB0">
            <w:pPr>
              <w:spacing w:line="360" w:lineRule="auto"/>
              <w:jc w:val="center"/>
              <w:rPr>
                <w:rFonts w:ascii="宋体" w:hAnsi="宋体"/>
                <w:szCs w:val="21"/>
              </w:rPr>
            </w:pPr>
            <w:r>
              <w:rPr>
                <w:rFonts w:hint="eastAsia" w:ascii="宋体" w:hAnsi="宋体"/>
                <w:szCs w:val="21"/>
              </w:rPr>
              <w:t>3</w:t>
            </w:r>
          </w:p>
        </w:tc>
        <w:tc>
          <w:tcPr>
            <w:tcW w:w="6120" w:type="dxa"/>
            <w:noWrap/>
            <w:vAlign w:val="center"/>
          </w:tcPr>
          <w:p w14:paraId="19B2C456">
            <w:pPr>
              <w:spacing w:line="360" w:lineRule="auto"/>
              <w:rPr>
                <w:rFonts w:ascii="宋体" w:hAnsi="宋体" w:cs="宋体"/>
                <w:szCs w:val="21"/>
              </w:rPr>
            </w:pPr>
            <w:r>
              <w:rPr>
                <w:rFonts w:hint="eastAsia" w:ascii="宋体" w:hAnsi="宋体" w:cs="宋体"/>
                <w:szCs w:val="21"/>
              </w:rPr>
              <w:t>依法缴纳税收和社会保障资金的相关材料(提供提交投标文件截止时间前一年内至少一个月依法缴纳税收及缴纳社会保障资金的证明材料。投标人依法享受缓缴、免缴税收、社会保障资金的提供证明材料。)</w:t>
            </w:r>
          </w:p>
        </w:tc>
        <w:tc>
          <w:tcPr>
            <w:tcW w:w="1721" w:type="dxa"/>
            <w:noWrap/>
            <w:vAlign w:val="center"/>
          </w:tcPr>
          <w:p w14:paraId="79E7D95E">
            <w:pPr>
              <w:spacing w:line="360" w:lineRule="auto"/>
              <w:rPr>
                <w:rFonts w:ascii="宋体" w:hAnsi="宋体"/>
                <w:szCs w:val="21"/>
              </w:rPr>
            </w:pPr>
          </w:p>
        </w:tc>
      </w:tr>
      <w:tr w14:paraId="138AE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jc w:val="center"/>
        </w:trPr>
        <w:tc>
          <w:tcPr>
            <w:tcW w:w="658" w:type="dxa"/>
            <w:noWrap/>
            <w:vAlign w:val="center"/>
          </w:tcPr>
          <w:p w14:paraId="0780D40D">
            <w:pPr>
              <w:spacing w:line="360" w:lineRule="auto"/>
              <w:jc w:val="center"/>
              <w:rPr>
                <w:rFonts w:ascii="宋体" w:hAnsi="宋体"/>
                <w:szCs w:val="21"/>
              </w:rPr>
            </w:pPr>
            <w:r>
              <w:rPr>
                <w:rFonts w:hint="eastAsia" w:ascii="宋体" w:hAnsi="宋体"/>
                <w:szCs w:val="21"/>
              </w:rPr>
              <w:t>4</w:t>
            </w:r>
          </w:p>
        </w:tc>
        <w:tc>
          <w:tcPr>
            <w:tcW w:w="6120" w:type="dxa"/>
            <w:noWrap/>
            <w:vAlign w:val="center"/>
          </w:tcPr>
          <w:p w14:paraId="1E93B83B">
            <w:pPr>
              <w:spacing w:line="360" w:lineRule="auto"/>
              <w:rPr>
                <w:rFonts w:ascii="宋体" w:hAnsi="宋体" w:cs="宋体"/>
                <w:szCs w:val="21"/>
              </w:rPr>
            </w:pPr>
            <w:r>
              <w:rPr>
                <w:rFonts w:hint="eastAsia" w:ascii="宋体" w:hAnsi="宋体" w:cs="宋体"/>
                <w:szCs w:val="21"/>
              </w:rPr>
              <w:t>具备履行合同所必需的设备和专业技术能力的书面声明;</w:t>
            </w:r>
          </w:p>
        </w:tc>
        <w:tc>
          <w:tcPr>
            <w:tcW w:w="1721" w:type="dxa"/>
            <w:noWrap/>
            <w:vAlign w:val="center"/>
          </w:tcPr>
          <w:p w14:paraId="540EE849">
            <w:pPr>
              <w:spacing w:line="360" w:lineRule="auto"/>
              <w:rPr>
                <w:rFonts w:ascii="宋体" w:hAnsi="宋体"/>
                <w:szCs w:val="21"/>
              </w:rPr>
            </w:pPr>
          </w:p>
        </w:tc>
      </w:tr>
      <w:tr w14:paraId="08EB0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658" w:type="dxa"/>
            <w:noWrap/>
            <w:vAlign w:val="center"/>
          </w:tcPr>
          <w:p w14:paraId="0FEA80FF">
            <w:pPr>
              <w:spacing w:line="360" w:lineRule="auto"/>
              <w:jc w:val="center"/>
              <w:rPr>
                <w:rFonts w:ascii="宋体" w:hAnsi="宋体"/>
                <w:szCs w:val="21"/>
              </w:rPr>
            </w:pPr>
            <w:r>
              <w:rPr>
                <w:rFonts w:hint="eastAsia" w:ascii="宋体" w:hAnsi="宋体"/>
                <w:szCs w:val="21"/>
              </w:rPr>
              <w:t>5</w:t>
            </w:r>
          </w:p>
        </w:tc>
        <w:tc>
          <w:tcPr>
            <w:tcW w:w="6120" w:type="dxa"/>
            <w:noWrap/>
            <w:vAlign w:val="center"/>
          </w:tcPr>
          <w:p w14:paraId="25576F91">
            <w:pPr>
              <w:spacing w:line="360" w:lineRule="auto"/>
              <w:rPr>
                <w:rFonts w:ascii="宋体" w:hAnsi="宋体" w:cs="宋体"/>
                <w:szCs w:val="21"/>
              </w:rPr>
            </w:pPr>
            <w:r>
              <w:rPr>
                <w:rFonts w:hint="eastAsia" w:ascii="宋体" w:hAnsi="宋体" w:cs="宋体"/>
                <w:szCs w:val="21"/>
              </w:rPr>
              <w:t>参加政府采购活动前3年内在经营活动中没有重大违法记录的书面声明;</w:t>
            </w:r>
          </w:p>
        </w:tc>
        <w:tc>
          <w:tcPr>
            <w:tcW w:w="1721" w:type="dxa"/>
            <w:noWrap/>
            <w:vAlign w:val="center"/>
          </w:tcPr>
          <w:p w14:paraId="767E87BB">
            <w:pPr>
              <w:spacing w:line="360" w:lineRule="auto"/>
              <w:rPr>
                <w:rFonts w:ascii="宋体" w:hAnsi="宋体"/>
                <w:szCs w:val="21"/>
              </w:rPr>
            </w:pPr>
          </w:p>
        </w:tc>
      </w:tr>
      <w:tr w14:paraId="16806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658" w:type="dxa"/>
            <w:noWrap/>
            <w:vAlign w:val="center"/>
          </w:tcPr>
          <w:p w14:paraId="1BFD003C">
            <w:pPr>
              <w:spacing w:line="360" w:lineRule="auto"/>
              <w:jc w:val="center"/>
              <w:rPr>
                <w:rFonts w:ascii="宋体" w:hAnsi="宋体"/>
                <w:szCs w:val="21"/>
              </w:rPr>
            </w:pPr>
            <w:r>
              <w:rPr>
                <w:rFonts w:hint="eastAsia" w:ascii="宋体" w:hAnsi="宋体"/>
                <w:szCs w:val="21"/>
              </w:rPr>
              <w:t>6</w:t>
            </w:r>
          </w:p>
        </w:tc>
        <w:tc>
          <w:tcPr>
            <w:tcW w:w="6120" w:type="dxa"/>
            <w:noWrap/>
            <w:vAlign w:val="center"/>
          </w:tcPr>
          <w:p w14:paraId="2E7A785D">
            <w:pPr>
              <w:spacing w:line="360" w:lineRule="auto"/>
              <w:rPr>
                <w:rFonts w:ascii="宋体" w:hAnsi="宋体" w:cs="宋体"/>
                <w:szCs w:val="21"/>
              </w:rPr>
            </w:pPr>
            <w:r>
              <w:rPr>
                <w:rFonts w:hint="eastAsia" w:ascii="宋体" w:hAnsi="宋体" w:cs="宋体"/>
                <w:szCs w:val="21"/>
              </w:rPr>
              <w:t>供应商信用承诺函;</w:t>
            </w:r>
          </w:p>
        </w:tc>
        <w:tc>
          <w:tcPr>
            <w:tcW w:w="1721" w:type="dxa"/>
            <w:noWrap/>
            <w:vAlign w:val="center"/>
          </w:tcPr>
          <w:p w14:paraId="39D0D536">
            <w:pPr>
              <w:spacing w:line="360" w:lineRule="auto"/>
              <w:rPr>
                <w:rFonts w:ascii="宋体" w:hAnsi="宋体"/>
                <w:szCs w:val="21"/>
              </w:rPr>
            </w:pPr>
          </w:p>
        </w:tc>
      </w:tr>
      <w:tr w14:paraId="3F2C2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1" w:hRule="atLeast"/>
          <w:jc w:val="center"/>
        </w:trPr>
        <w:tc>
          <w:tcPr>
            <w:tcW w:w="658" w:type="dxa"/>
            <w:noWrap/>
            <w:vAlign w:val="center"/>
          </w:tcPr>
          <w:p w14:paraId="1DB8959F">
            <w:pPr>
              <w:spacing w:line="360" w:lineRule="auto"/>
              <w:jc w:val="center"/>
              <w:rPr>
                <w:rFonts w:ascii="宋体" w:hAnsi="宋体"/>
                <w:szCs w:val="21"/>
              </w:rPr>
            </w:pPr>
            <w:r>
              <w:rPr>
                <w:rFonts w:hint="eastAsia" w:ascii="宋体" w:hAnsi="宋体"/>
                <w:szCs w:val="21"/>
              </w:rPr>
              <w:t>7</w:t>
            </w:r>
          </w:p>
        </w:tc>
        <w:tc>
          <w:tcPr>
            <w:tcW w:w="6120" w:type="dxa"/>
            <w:noWrap/>
            <w:vAlign w:val="center"/>
          </w:tcPr>
          <w:p w14:paraId="68D0AF8E">
            <w:pPr>
              <w:spacing w:line="360" w:lineRule="auto"/>
              <w:rPr>
                <w:rFonts w:ascii="宋体" w:hAnsi="宋体" w:cs="宋体"/>
                <w:szCs w:val="21"/>
              </w:rPr>
            </w:pPr>
            <w:r>
              <w:rPr>
                <w:rFonts w:hint="eastAsia" w:ascii="宋体" w:hAnsi="宋体" w:cs="宋体"/>
                <w:szCs w:val="21"/>
              </w:rPr>
              <w:t>未被“信用中国”网站(mwmw.creditchina.gov.cn)、“中国政府采购网"(ww.ccgp.gov.cn)列入失信被执行人、重大税收违法案件当事人名单、政府采购严重违法失信行为记录名单及其他不符合《中华人民共和国政府采购法》第二十二条规定条件的信用记录。</w:t>
            </w:r>
          </w:p>
        </w:tc>
        <w:tc>
          <w:tcPr>
            <w:tcW w:w="1721" w:type="dxa"/>
            <w:noWrap/>
            <w:vAlign w:val="center"/>
          </w:tcPr>
          <w:p w14:paraId="731CE226">
            <w:pPr>
              <w:spacing w:line="360" w:lineRule="auto"/>
              <w:rPr>
                <w:rFonts w:ascii="宋体" w:hAnsi="宋体"/>
                <w:szCs w:val="21"/>
              </w:rPr>
            </w:pPr>
          </w:p>
        </w:tc>
      </w:tr>
      <w:tr w14:paraId="24122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8499" w:type="dxa"/>
            <w:gridSpan w:val="3"/>
            <w:noWrap/>
            <w:vAlign w:val="center"/>
          </w:tcPr>
          <w:p w14:paraId="0F0477BF">
            <w:pPr>
              <w:spacing w:line="360" w:lineRule="auto"/>
              <w:rPr>
                <w:rFonts w:ascii="宋体" w:hAnsi="宋体"/>
                <w:szCs w:val="21"/>
              </w:rPr>
            </w:pPr>
            <w:r>
              <w:rPr>
                <w:rFonts w:hint="eastAsia" w:ascii="宋体" w:hAnsi="宋体" w:cs="宋体"/>
                <w:b/>
                <w:bCs/>
                <w:szCs w:val="21"/>
              </w:rPr>
              <w:t>落实政府采购政策需满足的资格要求</w:t>
            </w:r>
          </w:p>
        </w:tc>
      </w:tr>
      <w:tr w14:paraId="7F4E4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6" w:hRule="atLeast"/>
          <w:jc w:val="center"/>
        </w:trPr>
        <w:tc>
          <w:tcPr>
            <w:tcW w:w="658" w:type="dxa"/>
            <w:noWrap/>
            <w:vAlign w:val="center"/>
          </w:tcPr>
          <w:p w14:paraId="5FA8654A">
            <w:pPr>
              <w:spacing w:line="360" w:lineRule="auto"/>
              <w:jc w:val="center"/>
              <w:rPr>
                <w:rFonts w:ascii="宋体" w:hAnsi="宋体"/>
                <w:szCs w:val="21"/>
              </w:rPr>
            </w:pPr>
            <w:r>
              <w:rPr>
                <w:rFonts w:hint="eastAsia" w:ascii="宋体" w:hAnsi="宋体"/>
                <w:szCs w:val="21"/>
              </w:rPr>
              <w:t>9</w:t>
            </w:r>
          </w:p>
        </w:tc>
        <w:tc>
          <w:tcPr>
            <w:tcW w:w="6120" w:type="dxa"/>
            <w:noWrap/>
            <w:vAlign w:val="center"/>
          </w:tcPr>
          <w:p w14:paraId="299946D8">
            <w:pPr>
              <w:spacing w:line="360" w:lineRule="auto"/>
              <w:rPr>
                <w:rFonts w:ascii="宋体" w:hAnsi="宋体" w:cs="宋体"/>
                <w:szCs w:val="21"/>
              </w:rPr>
            </w:pPr>
            <w:r>
              <w:rPr>
                <w:rFonts w:hint="eastAsia" w:ascii="宋体" w:hAnsi="宋体" w:cs="宋体"/>
                <w:szCs w:val="21"/>
              </w:rPr>
              <w:t>根据《政府采购促进中小企业发展管理办法》规定，本项目专门面向中小企业采购。供应商须提供《中小企业声明函》，《中小企业声明函》不符合要求或未提供的，响应文件无效。</w:t>
            </w:r>
          </w:p>
        </w:tc>
        <w:tc>
          <w:tcPr>
            <w:tcW w:w="1721" w:type="dxa"/>
            <w:noWrap/>
            <w:vAlign w:val="center"/>
          </w:tcPr>
          <w:p w14:paraId="7F9024D8">
            <w:pPr>
              <w:spacing w:line="360" w:lineRule="auto"/>
              <w:rPr>
                <w:rFonts w:ascii="宋体" w:hAnsi="宋体"/>
                <w:szCs w:val="21"/>
              </w:rPr>
            </w:pPr>
          </w:p>
        </w:tc>
      </w:tr>
      <w:tr w14:paraId="29BF7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 w:hRule="atLeast"/>
          <w:jc w:val="center"/>
        </w:trPr>
        <w:tc>
          <w:tcPr>
            <w:tcW w:w="8499" w:type="dxa"/>
            <w:gridSpan w:val="3"/>
            <w:noWrap/>
            <w:vAlign w:val="center"/>
          </w:tcPr>
          <w:p w14:paraId="6E31C5DC">
            <w:pPr>
              <w:spacing w:line="360" w:lineRule="auto"/>
              <w:rPr>
                <w:rFonts w:ascii="宋体" w:hAnsi="宋体"/>
                <w:szCs w:val="21"/>
              </w:rPr>
            </w:pPr>
            <w:r>
              <w:rPr>
                <w:rFonts w:hint="eastAsia" w:ascii="宋体" w:hAnsi="宋体"/>
                <w:b/>
                <w:szCs w:val="21"/>
              </w:rPr>
              <w:t>特定资格条件</w:t>
            </w:r>
          </w:p>
        </w:tc>
      </w:tr>
      <w:tr w14:paraId="22288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8" w:type="dxa"/>
            <w:noWrap/>
            <w:vAlign w:val="center"/>
          </w:tcPr>
          <w:p w14:paraId="29769DAB">
            <w:pPr>
              <w:spacing w:line="360" w:lineRule="auto"/>
              <w:jc w:val="center"/>
              <w:rPr>
                <w:rFonts w:ascii="宋体" w:hAnsi="宋体"/>
                <w:szCs w:val="21"/>
              </w:rPr>
            </w:pPr>
            <w:r>
              <w:rPr>
                <w:rFonts w:hint="eastAsia" w:ascii="宋体" w:hAnsi="宋体"/>
                <w:szCs w:val="21"/>
              </w:rPr>
              <w:t>10</w:t>
            </w:r>
          </w:p>
        </w:tc>
        <w:tc>
          <w:tcPr>
            <w:tcW w:w="6120" w:type="dxa"/>
            <w:noWrap/>
            <w:vAlign w:val="center"/>
          </w:tcPr>
          <w:p w14:paraId="4EB6F63C">
            <w:pPr>
              <w:spacing w:line="360" w:lineRule="auto"/>
              <w:rPr>
                <w:rFonts w:ascii="宋体" w:hAnsi="宋体"/>
                <w:iCs/>
                <w:szCs w:val="21"/>
              </w:rPr>
            </w:pPr>
            <w:r>
              <w:rPr>
                <w:rFonts w:hint="eastAsia" w:ascii="宋体" w:hAnsi="宋体" w:cs="宋体"/>
                <w:szCs w:val="21"/>
              </w:rPr>
              <w:t>投标人具备公安主管部门颁发的有效的保安服务许可证（原件扫描上传）</w:t>
            </w:r>
          </w:p>
        </w:tc>
        <w:tc>
          <w:tcPr>
            <w:tcW w:w="1721" w:type="dxa"/>
            <w:noWrap/>
            <w:vAlign w:val="center"/>
          </w:tcPr>
          <w:p w14:paraId="2B4CAB9B">
            <w:pPr>
              <w:spacing w:line="360" w:lineRule="auto"/>
              <w:rPr>
                <w:rFonts w:ascii="宋体" w:hAnsi="宋体"/>
                <w:szCs w:val="21"/>
              </w:rPr>
            </w:pPr>
          </w:p>
        </w:tc>
      </w:tr>
      <w:tr w14:paraId="21B3F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 w:hRule="atLeast"/>
          <w:jc w:val="center"/>
        </w:trPr>
        <w:tc>
          <w:tcPr>
            <w:tcW w:w="8499" w:type="dxa"/>
            <w:gridSpan w:val="3"/>
            <w:noWrap/>
            <w:vAlign w:val="center"/>
          </w:tcPr>
          <w:p w14:paraId="55CF4E2A">
            <w:pPr>
              <w:spacing w:line="360" w:lineRule="auto"/>
              <w:rPr>
                <w:rFonts w:ascii="宋体" w:hAnsi="宋体"/>
                <w:szCs w:val="21"/>
              </w:rPr>
            </w:pPr>
            <w:r>
              <w:rPr>
                <w:rFonts w:hint="eastAsia" w:ascii="宋体" w:hAnsi="宋体"/>
                <w:b/>
                <w:szCs w:val="21"/>
              </w:rPr>
              <w:t>其他资格条件</w:t>
            </w:r>
          </w:p>
        </w:tc>
      </w:tr>
      <w:tr w14:paraId="13C58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jc w:val="center"/>
        </w:trPr>
        <w:tc>
          <w:tcPr>
            <w:tcW w:w="658" w:type="dxa"/>
            <w:noWrap/>
            <w:vAlign w:val="center"/>
          </w:tcPr>
          <w:p w14:paraId="6E36A29E">
            <w:pPr>
              <w:spacing w:line="360" w:lineRule="auto"/>
              <w:jc w:val="center"/>
              <w:rPr>
                <w:rFonts w:ascii="宋体" w:hAnsi="宋体"/>
                <w:szCs w:val="21"/>
              </w:rPr>
            </w:pPr>
            <w:r>
              <w:rPr>
                <w:rFonts w:hint="eastAsia" w:ascii="宋体" w:hAnsi="宋体"/>
                <w:szCs w:val="21"/>
              </w:rPr>
              <w:t>11</w:t>
            </w:r>
          </w:p>
        </w:tc>
        <w:tc>
          <w:tcPr>
            <w:tcW w:w="6120" w:type="dxa"/>
            <w:noWrap/>
            <w:vAlign w:val="center"/>
          </w:tcPr>
          <w:p w14:paraId="5397672C">
            <w:pPr>
              <w:spacing w:line="360" w:lineRule="auto"/>
              <w:jc w:val="left"/>
              <w:rPr>
                <w:rFonts w:ascii="宋体" w:hAnsi="宋体"/>
                <w:iCs/>
                <w:szCs w:val="21"/>
              </w:rPr>
            </w:pPr>
            <w:r>
              <w:rPr>
                <w:rFonts w:hint="eastAsia" w:ascii="宋体" w:hAnsi="宋体"/>
                <w:iCs/>
                <w:szCs w:val="21"/>
              </w:rPr>
              <w:t>磋商响应函</w:t>
            </w:r>
          </w:p>
        </w:tc>
        <w:tc>
          <w:tcPr>
            <w:tcW w:w="1721" w:type="dxa"/>
            <w:noWrap/>
            <w:vAlign w:val="center"/>
          </w:tcPr>
          <w:p w14:paraId="62E77798">
            <w:pPr>
              <w:spacing w:line="360" w:lineRule="auto"/>
              <w:rPr>
                <w:rFonts w:ascii="宋体" w:hAnsi="宋体"/>
                <w:szCs w:val="21"/>
              </w:rPr>
            </w:pPr>
          </w:p>
        </w:tc>
      </w:tr>
      <w:tr w14:paraId="39801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658" w:type="dxa"/>
            <w:noWrap/>
            <w:vAlign w:val="center"/>
          </w:tcPr>
          <w:p w14:paraId="34771794">
            <w:pPr>
              <w:spacing w:line="360" w:lineRule="auto"/>
              <w:jc w:val="center"/>
              <w:rPr>
                <w:rFonts w:ascii="宋体" w:hAnsi="宋体"/>
                <w:szCs w:val="21"/>
              </w:rPr>
            </w:pPr>
            <w:r>
              <w:rPr>
                <w:rFonts w:hint="eastAsia" w:ascii="宋体" w:hAnsi="宋体"/>
                <w:szCs w:val="21"/>
              </w:rPr>
              <w:t>12</w:t>
            </w:r>
          </w:p>
        </w:tc>
        <w:tc>
          <w:tcPr>
            <w:tcW w:w="6120" w:type="dxa"/>
            <w:noWrap/>
            <w:vAlign w:val="center"/>
          </w:tcPr>
          <w:p w14:paraId="008ABF16">
            <w:pPr>
              <w:spacing w:line="360" w:lineRule="auto"/>
              <w:jc w:val="left"/>
              <w:rPr>
                <w:rFonts w:ascii="宋体" w:hAnsi="宋体"/>
                <w:iCs/>
                <w:szCs w:val="21"/>
              </w:rPr>
            </w:pPr>
            <w:r>
              <w:rPr>
                <w:rFonts w:hint="eastAsia" w:ascii="宋体" w:hAnsi="宋体"/>
                <w:iCs/>
                <w:szCs w:val="21"/>
              </w:rPr>
              <w:t>法人授权书</w:t>
            </w:r>
          </w:p>
        </w:tc>
        <w:tc>
          <w:tcPr>
            <w:tcW w:w="1721" w:type="dxa"/>
            <w:noWrap/>
            <w:vAlign w:val="center"/>
          </w:tcPr>
          <w:p w14:paraId="63F4467B">
            <w:pPr>
              <w:spacing w:line="360" w:lineRule="auto"/>
              <w:rPr>
                <w:rFonts w:ascii="宋体" w:hAnsi="宋体"/>
                <w:szCs w:val="21"/>
              </w:rPr>
            </w:pPr>
          </w:p>
        </w:tc>
      </w:tr>
    </w:tbl>
    <w:p w14:paraId="1C65C182">
      <w:pPr>
        <w:spacing w:before="156" w:after="156" w:line="360" w:lineRule="auto"/>
        <w:jc w:val="center"/>
        <w:rPr>
          <w:rFonts w:ascii="宋体" w:hAnsi="宋体"/>
          <w:b/>
          <w:bCs/>
        </w:rPr>
      </w:pPr>
    </w:p>
    <w:p w14:paraId="1A53B370">
      <w:pPr>
        <w:spacing w:before="156" w:after="156" w:line="360" w:lineRule="auto"/>
        <w:jc w:val="center"/>
        <w:rPr>
          <w:rFonts w:ascii="宋体" w:hAnsi="宋体"/>
          <w:b/>
          <w:bCs/>
        </w:rPr>
      </w:pPr>
    </w:p>
    <w:p w14:paraId="26C9EEE6">
      <w:pPr>
        <w:spacing w:before="156" w:after="156" w:line="360" w:lineRule="auto"/>
        <w:jc w:val="center"/>
        <w:rPr>
          <w:rFonts w:ascii="宋体" w:hAnsi="宋体"/>
          <w:b/>
          <w:bCs/>
        </w:rPr>
      </w:pPr>
      <w:r>
        <w:rPr>
          <w:rFonts w:hint="eastAsia" w:ascii="宋体" w:hAnsi="宋体"/>
          <w:b/>
          <w:bCs/>
        </w:rPr>
        <w:t>具备履行合同所必需的设备和专业技术能力的书面声明</w:t>
      </w:r>
    </w:p>
    <w:p w14:paraId="44012472">
      <w:pPr>
        <w:spacing w:line="360" w:lineRule="auto"/>
        <w:ind w:firstLine="492"/>
        <w:rPr>
          <w:rFonts w:ascii="宋体" w:hAnsi="宋体"/>
          <w:bCs/>
          <w:szCs w:val="21"/>
        </w:rPr>
      </w:pPr>
      <w:r>
        <w:rPr>
          <w:rFonts w:hint="eastAsia" w:ascii="宋体" w:hAnsi="宋体"/>
          <w:bCs/>
          <w:szCs w:val="21"/>
        </w:rPr>
        <w:t>我单位郑重声明：我单位具备履行本项采购合同所必需的设备和专业技术能力，为履行本项采购合同我公司具备如下主要设备和主要专业技术能力：</w:t>
      </w:r>
    </w:p>
    <w:p w14:paraId="74C89378">
      <w:pPr>
        <w:spacing w:line="360" w:lineRule="auto"/>
        <w:ind w:firstLine="492"/>
        <w:rPr>
          <w:rFonts w:ascii="宋体" w:hAnsi="宋体"/>
          <w:bCs/>
          <w:szCs w:val="21"/>
        </w:rPr>
      </w:pPr>
      <w:r>
        <w:rPr>
          <w:rFonts w:hint="eastAsia" w:ascii="宋体" w:hAnsi="宋体"/>
          <w:bCs/>
          <w:szCs w:val="21"/>
        </w:rPr>
        <w:t>主要设备有：。</w:t>
      </w:r>
    </w:p>
    <w:p w14:paraId="4B8FC50C">
      <w:pPr>
        <w:spacing w:line="360" w:lineRule="auto"/>
        <w:ind w:firstLine="492"/>
        <w:rPr>
          <w:rFonts w:ascii="宋体" w:hAnsi="宋体"/>
          <w:bCs/>
          <w:szCs w:val="21"/>
        </w:rPr>
      </w:pPr>
      <w:r>
        <w:rPr>
          <w:rFonts w:hint="eastAsia" w:ascii="宋体" w:hAnsi="宋体"/>
          <w:bCs/>
          <w:szCs w:val="21"/>
        </w:rPr>
        <w:t>主要专业技术能力有：。</w:t>
      </w:r>
    </w:p>
    <w:p w14:paraId="6A9CC48C">
      <w:pPr>
        <w:spacing w:line="360" w:lineRule="auto"/>
        <w:jc w:val="center"/>
        <w:rPr>
          <w:rFonts w:ascii="宋体" w:hAnsi="宋体"/>
          <w:b/>
          <w:bCs/>
        </w:rPr>
      </w:pPr>
    </w:p>
    <w:p w14:paraId="563DF21D">
      <w:pPr>
        <w:spacing w:line="360" w:lineRule="auto"/>
        <w:jc w:val="center"/>
        <w:rPr>
          <w:rFonts w:ascii="宋体" w:hAnsi="宋体"/>
          <w:b/>
          <w:bCs/>
        </w:rPr>
      </w:pPr>
    </w:p>
    <w:p w14:paraId="008E316D">
      <w:pPr>
        <w:spacing w:line="360" w:lineRule="auto"/>
        <w:jc w:val="center"/>
        <w:rPr>
          <w:rFonts w:ascii="宋体" w:hAnsi="宋体"/>
          <w:b/>
          <w:bCs/>
        </w:rPr>
      </w:pPr>
    </w:p>
    <w:p w14:paraId="06715C41">
      <w:pPr>
        <w:pStyle w:val="82"/>
      </w:pPr>
    </w:p>
    <w:p w14:paraId="6978532F">
      <w:pPr>
        <w:spacing w:line="360" w:lineRule="auto"/>
        <w:jc w:val="center"/>
        <w:rPr>
          <w:rFonts w:ascii="宋体" w:hAnsi="宋体"/>
          <w:b/>
          <w:bCs/>
        </w:rPr>
      </w:pPr>
    </w:p>
    <w:p w14:paraId="139F6DE8">
      <w:pPr>
        <w:spacing w:line="360" w:lineRule="auto"/>
        <w:jc w:val="center"/>
        <w:rPr>
          <w:rFonts w:ascii="宋体" w:hAnsi="宋体"/>
          <w:b/>
          <w:bCs/>
        </w:rPr>
      </w:pPr>
      <w:r>
        <w:rPr>
          <w:rFonts w:hint="eastAsia" w:ascii="宋体" w:hAnsi="宋体"/>
          <w:b/>
          <w:bCs/>
        </w:rPr>
        <w:t>参加本次政府采购活动前 3 年内在经营活动中没有重大违法记录的书面声明</w:t>
      </w:r>
    </w:p>
    <w:p w14:paraId="72FDB306">
      <w:pPr>
        <w:spacing w:line="360" w:lineRule="auto"/>
        <w:rPr>
          <w:rFonts w:ascii="宋体" w:hAnsi="宋体"/>
        </w:rPr>
      </w:pPr>
    </w:p>
    <w:p w14:paraId="2AC8B378">
      <w:pPr>
        <w:spacing w:after="312" w:line="360" w:lineRule="auto"/>
        <w:jc w:val="center"/>
        <w:rPr>
          <w:rFonts w:ascii="宋体" w:hAnsi="宋体"/>
          <w:b/>
          <w:bCs/>
        </w:rPr>
      </w:pPr>
      <w:r>
        <w:rPr>
          <w:rFonts w:hint="eastAsia" w:ascii="宋体" w:hAnsi="宋体"/>
          <w:b/>
          <w:bCs/>
        </w:rPr>
        <w:t>声  明</w:t>
      </w:r>
    </w:p>
    <w:p w14:paraId="33B39EF8">
      <w:pPr>
        <w:spacing w:line="360" w:lineRule="auto"/>
        <w:rPr>
          <w:rFonts w:ascii="宋体" w:hAnsi="宋体"/>
          <w:bCs/>
        </w:rPr>
      </w:pPr>
      <w:r>
        <w:rPr>
          <w:rFonts w:hint="eastAsia" w:ascii="宋体" w:hAnsi="宋体"/>
          <w:bCs/>
        </w:rPr>
        <w:t>我公司郑重声明：参加本次政府采购活动前 3 年内，我公司在经营活动中没有因违法经营受到刑事处罚或者责令停产停业、吊销许可证或者执照、较大数额罚款等行政处罚。</w:t>
      </w:r>
    </w:p>
    <w:p w14:paraId="7EA582D2">
      <w:pPr>
        <w:spacing w:line="360" w:lineRule="auto"/>
        <w:rPr>
          <w:rFonts w:ascii="宋体" w:hAnsi="宋体"/>
          <w:bCs/>
        </w:rPr>
      </w:pPr>
      <w:r>
        <w:rPr>
          <w:rFonts w:hint="eastAsia" w:ascii="宋体" w:hAnsi="宋体"/>
          <w:bCs/>
        </w:rPr>
        <w:t xml:space="preserve">                               供应商名称（公章）：</w:t>
      </w:r>
    </w:p>
    <w:p w14:paraId="76D06B5F">
      <w:pPr>
        <w:spacing w:line="360" w:lineRule="auto"/>
        <w:rPr>
          <w:rFonts w:ascii="宋体" w:hAnsi="宋体"/>
          <w:bCs/>
        </w:rPr>
      </w:pPr>
      <w:r>
        <w:rPr>
          <w:rFonts w:hint="eastAsia" w:ascii="宋体" w:hAnsi="宋体"/>
          <w:bCs/>
        </w:rPr>
        <w:t xml:space="preserve">                               法定代表人签章：_______________________</w:t>
      </w:r>
    </w:p>
    <w:p w14:paraId="2E5CA186">
      <w:pPr>
        <w:spacing w:line="360" w:lineRule="auto"/>
        <w:rPr>
          <w:rFonts w:ascii="宋体" w:hAnsi="宋体"/>
          <w:bCs/>
        </w:rPr>
      </w:pPr>
      <w:r>
        <w:rPr>
          <w:rFonts w:hint="eastAsia" w:ascii="宋体" w:hAnsi="宋体"/>
          <w:bCs/>
        </w:rPr>
        <w:t xml:space="preserve">                               日期：______年月日</w:t>
      </w:r>
    </w:p>
    <w:p w14:paraId="3D95CDF4">
      <w:pPr>
        <w:spacing w:line="360" w:lineRule="auto"/>
        <w:rPr>
          <w:rFonts w:ascii="宋体" w:hAnsi="宋体"/>
          <w:b/>
          <w:bCs/>
        </w:rPr>
        <w:sectPr>
          <w:pgSz w:w="11906" w:h="16838"/>
          <w:pgMar w:top="1134" w:right="850" w:bottom="1134" w:left="850" w:header="851" w:footer="992" w:gutter="0"/>
          <w:cols w:space="1701" w:num="1"/>
          <w:docGrid w:linePitch="360" w:charSpace="0"/>
        </w:sectPr>
      </w:pPr>
    </w:p>
    <w:p w14:paraId="5A830577">
      <w:pPr>
        <w:spacing w:line="360" w:lineRule="auto"/>
        <w:jc w:val="center"/>
        <w:rPr>
          <w:rFonts w:ascii="宋体" w:hAnsi="宋体"/>
          <w:b/>
          <w:szCs w:val="21"/>
        </w:rPr>
      </w:pPr>
      <w:r>
        <w:rPr>
          <w:rFonts w:hint="eastAsia" w:ascii="宋体" w:hAnsi="宋体"/>
          <w:b/>
          <w:szCs w:val="21"/>
        </w:rPr>
        <w:t>供应商信用承诺书</w:t>
      </w:r>
    </w:p>
    <w:p w14:paraId="10D9FD4D">
      <w:pPr>
        <w:spacing w:line="360" w:lineRule="auto"/>
        <w:rPr>
          <w:rFonts w:ascii="方正仿宋_GBK"/>
          <w:szCs w:val="32"/>
        </w:rPr>
      </w:pPr>
    </w:p>
    <w:p w14:paraId="6152005D">
      <w:pPr>
        <w:spacing w:line="360" w:lineRule="auto"/>
        <w:rPr>
          <w:rFonts w:ascii="宋体" w:hAnsi="宋体"/>
          <w:szCs w:val="21"/>
        </w:rPr>
      </w:pPr>
      <w:r>
        <w:rPr>
          <w:rFonts w:hint="eastAsia" w:ascii="宋体" w:hAnsi="宋体"/>
          <w:szCs w:val="21"/>
        </w:rPr>
        <w:t>承诺主体名称：</w:t>
      </w:r>
    </w:p>
    <w:p w14:paraId="22606E06">
      <w:pPr>
        <w:spacing w:line="360" w:lineRule="auto"/>
        <w:rPr>
          <w:rFonts w:ascii="宋体" w:hAnsi="宋体"/>
          <w:szCs w:val="21"/>
        </w:rPr>
      </w:pPr>
      <w:r>
        <w:rPr>
          <w:rFonts w:hint="eastAsia" w:ascii="宋体" w:hAnsi="宋体"/>
          <w:szCs w:val="21"/>
        </w:rPr>
        <w:t>统一社会信用代码：</w:t>
      </w:r>
    </w:p>
    <w:p w14:paraId="587005BE">
      <w:pPr>
        <w:spacing w:line="360" w:lineRule="auto"/>
        <w:rPr>
          <w:rFonts w:ascii="宋体" w:hAnsi="宋体"/>
          <w:szCs w:val="21"/>
        </w:rPr>
      </w:pPr>
    </w:p>
    <w:p w14:paraId="69DF9066">
      <w:pPr>
        <w:spacing w:line="360" w:lineRule="auto"/>
        <w:ind w:firstLine="420"/>
        <w:rPr>
          <w:rFonts w:ascii="宋体" w:hAnsi="宋体"/>
          <w:szCs w:val="21"/>
        </w:rPr>
      </w:pPr>
      <w:r>
        <w:rPr>
          <w:rFonts w:hint="eastAsia" w:ascii="宋体" w:hAnsi="宋体"/>
          <w:szCs w:val="21"/>
        </w:rPr>
        <w:t>为维护公平竞争、规范有序的市场秩序，营造诚实守信的信用环境，共同推进社会信用体系建设完善，树立企业诚信守法形象，本企业对________________________项目政府采购活动郑重承诺如下:</w:t>
      </w:r>
    </w:p>
    <w:p w14:paraId="32CB9537">
      <w:pPr>
        <w:spacing w:line="360" w:lineRule="auto"/>
        <w:ind w:firstLine="420"/>
        <w:rPr>
          <w:rFonts w:ascii="宋体" w:hAnsi="宋体"/>
          <w:szCs w:val="21"/>
        </w:rPr>
      </w:pPr>
      <w:r>
        <w:rPr>
          <w:rFonts w:hint="eastAsia" w:ascii="宋体" w:hAnsi="宋体"/>
          <w:szCs w:val="21"/>
        </w:rPr>
        <w:t>一、对提供给注册登记部门、行业管理部门、司法部门、行业组织以及在政府采购活动中提交的所有资料的合法性、真实性、准确性和有效性负责；</w:t>
      </w:r>
    </w:p>
    <w:p w14:paraId="01378311">
      <w:pPr>
        <w:spacing w:line="360" w:lineRule="auto"/>
        <w:ind w:firstLine="420"/>
        <w:rPr>
          <w:rFonts w:ascii="宋体" w:hAnsi="宋体"/>
          <w:szCs w:val="21"/>
        </w:rPr>
      </w:pPr>
      <w:r>
        <w:rPr>
          <w:rFonts w:hint="eastAsia" w:ascii="宋体" w:hAnsi="宋体"/>
          <w:szCs w:val="21"/>
        </w:rPr>
        <w:t>二、严格按照国家法律、法规和规章开展采购活动，全面履行应尽的责任和义务，全面做到履约守信，具备《中华人民共和国政府采购法》第二十二条第一款规定的条件;</w:t>
      </w:r>
    </w:p>
    <w:p w14:paraId="01F4ED7F">
      <w:pPr>
        <w:spacing w:line="360" w:lineRule="auto"/>
        <w:ind w:firstLine="420"/>
        <w:rPr>
          <w:rFonts w:ascii="宋体" w:hAnsi="宋体"/>
          <w:szCs w:val="21"/>
        </w:rPr>
      </w:pPr>
      <w:r>
        <w:rPr>
          <w:rFonts w:hint="eastAsia" w:ascii="宋体" w:hAnsi="宋体"/>
          <w:szCs w:val="21"/>
        </w:rPr>
        <w:t>三、严格依法开展生产经营活动，主动接受行业监管，自愿接受依法开展的日常检查；违法失信经营后将自愿接受约束和惩戒，并依法承担相应责任；</w:t>
      </w:r>
    </w:p>
    <w:p w14:paraId="72213CB4">
      <w:pPr>
        <w:spacing w:line="360" w:lineRule="auto"/>
        <w:ind w:firstLine="420"/>
        <w:rPr>
          <w:rFonts w:ascii="宋体" w:hAnsi="宋体"/>
          <w:szCs w:val="21"/>
        </w:rPr>
      </w:pPr>
      <w:r>
        <w:rPr>
          <w:rFonts w:hint="eastAsia" w:ascii="宋体" w:hAnsi="宋体"/>
          <w:szCs w:val="21"/>
        </w:rPr>
        <w:t>四、自觉接受行政管理部门、行业组织、社会公众、新闻舆论的监督；</w:t>
      </w:r>
    </w:p>
    <w:p w14:paraId="05F57084">
      <w:pPr>
        <w:spacing w:line="360" w:lineRule="auto"/>
        <w:ind w:firstLine="420"/>
        <w:rPr>
          <w:rFonts w:ascii="宋体" w:hAnsi="宋体"/>
          <w:szCs w:val="21"/>
        </w:rPr>
      </w:pPr>
      <w:r>
        <w:rPr>
          <w:rFonts w:hint="eastAsia" w:ascii="宋体" w:hAnsi="宋体"/>
          <w:szCs w:val="21"/>
        </w:rPr>
        <w:t>五、自觉做到自我约束、自我管理，不制假售假、商标侵权、虚假宣传、违约毁约、恶意逃债、偷税漏税、垄断和不正当竞争，维护经营者、消费者的合法权益；</w:t>
      </w:r>
    </w:p>
    <w:p w14:paraId="2CC6AF92">
      <w:pPr>
        <w:spacing w:line="360" w:lineRule="auto"/>
        <w:ind w:firstLine="420"/>
        <w:rPr>
          <w:rFonts w:ascii="宋体" w:hAnsi="宋体"/>
          <w:szCs w:val="21"/>
        </w:rPr>
      </w:pPr>
      <w:r>
        <w:rPr>
          <w:rFonts w:hint="eastAsia" w:ascii="宋体" w:hAnsi="宋体"/>
          <w:szCs w:val="21"/>
        </w:rPr>
        <w:t>六、提出政府采购质疑和投诉坚持依法依规、诚实信用原则，在全国范围12个月内没有三次以上查无实据的政府采购投诉；</w:t>
      </w:r>
    </w:p>
    <w:p w14:paraId="73F02882">
      <w:pPr>
        <w:spacing w:line="360" w:lineRule="auto"/>
        <w:ind w:firstLine="420"/>
        <w:rPr>
          <w:rFonts w:ascii="宋体" w:hAnsi="宋体"/>
          <w:szCs w:val="21"/>
        </w:rPr>
      </w:pPr>
      <w:r>
        <w:rPr>
          <w:rFonts w:hint="eastAsia" w:ascii="宋体" w:hAnsi="宋体"/>
          <w:szCs w:val="21"/>
        </w:rPr>
        <w:t>七、严格遵守信用信息公示相关规定，向社会公示信用信息；</w:t>
      </w:r>
    </w:p>
    <w:p w14:paraId="5C94005F">
      <w:pPr>
        <w:spacing w:line="360" w:lineRule="auto"/>
        <w:ind w:firstLine="420"/>
        <w:rPr>
          <w:rFonts w:ascii="宋体" w:hAnsi="宋体"/>
          <w:szCs w:val="21"/>
        </w:rPr>
      </w:pPr>
      <w:r>
        <w:rPr>
          <w:rFonts w:hint="eastAsia" w:ascii="宋体" w:hAnsi="宋体"/>
          <w:szCs w:val="21"/>
        </w:rPr>
        <w:t>八、在“信用中国”和“中国政府采购网”网站中无违法违规、较重或严重失信记录；</w:t>
      </w:r>
    </w:p>
    <w:p w14:paraId="643B748C">
      <w:pPr>
        <w:spacing w:line="360" w:lineRule="auto"/>
        <w:ind w:firstLine="420"/>
        <w:rPr>
          <w:rFonts w:ascii="宋体" w:hAnsi="宋体"/>
          <w:szCs w:val="21"/>
        </w:rPr>
      </w:pPr>
      <w:r>
        <w:rPr>
          <w:rFonts w:hint="eastAsia" w:ascii="宋体" w:hAnsi="宋体"/>
          <w:szCs w:val="21"/>
        </w:rPr>
        <w:t>九、如违反承诺，自愿接受管理部门依法给予的行政处罚，同意将违反承诺的行为作为不良记录记入信用档案，依法依规进行信息公示，并承担所产生的一切法律责任和经济损失。</w:t>
      </w:r>
    </w:p>
    <w:p w14:paraId="0E338098">
      <w:pPr>
        <w:spacing w:line="360" w:lineRule="auto"/>
        <w:ind w:firstLine="420"/>
        <w:rPr>
          <w:rFonts w:ascii="宋体" w:hAnsi="宋体"/>
          <w:szCs w:val="21"/>
        </w:rPr>
      </w:pPr>
      <w:r>
        <w:rPr>
          <w:rFonts w:hint="eastAsia" w:ascii="宋体" w:hAnsi="宋体"/>
          <w:szCs w:val="21"/>
        </w:rPr>
        <w:t>十、本承诺书自签订之日起生效。</w:t>
      </w:r>
    </w:p>
    <w:p w14:paraId="13FA5239">
      <w:pPr>
        <w:spacing w:line="360" w:lineRule="auto"/>
        <w:ind w:firstLine="420"/>
        <w:rPr>
          <w:rFonts w:ascii="宋体" w:hAnsi="宋体"/>
          <w:szCs w:val="21"/>
        </w:rPr>
      </w:pPr>
      <w:r>
        <w:rPr>
          <w:rFonts w:hint="eastAsia" w:ascii="宋体" w:hAnsi="宋体"/>
          <w:szCs w:val="21"/>
        </w:rPr>
        <w:t> （注：法定代表人或负责人、主体名称发生变更的应当重新做出承诺。）</w:t>
      </w:r>
    </w:p>
    <w:p w14:paraId="1FBFF6D2">
      <w:pPr>
        <w:spacing w:line="360" w:lineRule="auto"/>
        <w:jc w:val="center"/>
        <w:rPr>
          <w:rFonts w:ascii="宋体" w:hAnsi="宋体"/>
          <w:szCs w:val="21"/>
        </w:rPr>
      </w:pPr>
      <w:r>
        <w:rPr>
          <w:rFonts w:hint="eastAsia" w:ascii="宋体" w:hAnsi="宋体"/>
          <w:szCs w:val="21"/>
        </w:rPr>
        <w:t xml:space="preserve">　　　　　　　　　　        承诺单位（签章）：           </w:t>
      </w:r>
    </w:p>
    <w:p w14:paraId="224F1A3D">
      <w:pPr>
        <w:spacing w:line="360" w:lineRule="auto"/>
        <w:jc w:val="center"/>
        <w:rPr>
          <w:rFonts w:ascii="宋体" w:hAnsi="宋体"/>
          <w:szCs w:val="21"/>
        </w:rPr>
      </w:pPr>
      <w:r>
        <w:rPr>
          <w:rFonts w:hint="eastAsia" w:ascii="宋体" w:hAnsi="宋体"/>
          <w:szCs w:val="21"/>
        </w:rPr>
        <w:t>　　　　　　　　　   　  法定代表人（负责人）：</w:t>
      </w:r>
    </w:p>
    <w:p w14:paraId="75E57132">
      <w:pPr>
        <w:spacing w:line="360" w:lineRule="auto"/>
        <w:jc w:val="center"/>
        <w:rPr>
          <w:rFonts w:ascii="宋体" w:hAnsi="宋体"/>
          <w:b/>
          <w:bCs/>
        </w:rPr>
        <w:sectPr>
          <w:pgSz w:w="11906" w:h="16838"/>
          <w:pgMar w:top="1134" w:right="850" w:bottom="1134" w:left="850" w:header="851" w:footer="992" w:gutter="0"/>
          <w:cols w:space="1701" w:num="1"/>
          <w:docGrid w:linePitch="360" w:charSpace="0"/>
        </w:sectPr>
      </w:pPr>
      <w:r>
        <w:rPr>
          <w:rFonts w:hint="eastAsia" w:ascii="宋体" w:hAnsi="宋体"/>
          <w:szCs w:val="21"/>
        </w:rPr>
        <w:t>　　　　　　　　　      　年    月    日</w:t>
      </w:r>
    </w:p>
    <w:p w14:paraId="0D76C973">
      <w:pPr>
        <w:spacing w:line="360" w:lineRule="auto"/>
        <w:rPr>
          <w:rFonts w:ascii="宋体" w:hAnsi="宋体"/>
          <w:b/>
          <w:bCs/>
        </w:rPr>
      </w:pPr>
    </w:p>
    <w:p w14:paraId="4E900FB3">
      <w:pPr>
        <w:spacing w:line="360" w:lineRule="auto"/>
        <w:jc w:val="center"/>
        <w:rPr>
          <w:rFonts w:ascii="宋体" w:hAnsi="宋体"/>
          <w:b/>
        </w:rPr>
      </w:pPr>
      <w:r>
        <w:rPr>
          <w:rFonts w:hint="eastAsia" w:ascii="宋体" w:hAnsi="宋体"/>
          <w:b/>
        </w:rPr>
        <w:t>磋商响应函</w:t>
      </w:r>
    </w:p>
    <w:p w14:paraId="231C1AA1">
      <w:pPr>
        <w:pStyle w:val="256"/>
        <w:spacing w:line="360" w:lineRule="auto"/>
        <w:ind w:firstLine="420"/>
        <w:rPr>
          <w:rFonts w:ascii="宋体" w:hAnsi="宋体"/>
          <w:sz w:val="21"/>
          <w:szCs w:val="21"/>
        </w:rPr>
      </w:pPr>
      <w:r>
        <w:rPr>
          <w:rFonts w:hint="eastAsia" w:ascii="宋体" w:hAnsi="宋体"/>
          <w:sz w:val="21"/>
          <w:szCs w:val="21"/>
        </w:rPr>
        <w:t>致：（代理公司）</w:t>
      </w:r>
    </w:p>
    <w:p w14:paraId="23844F08">
      <w:pPr>
        <w:pStyle w:val="256"/>
        <w:spacing w:line="360" w:lineRule="auto"/>
        <w:ind w:firstLine="420"/>
        <w:rPr>
          <w:rFonts w:ascii="宋体" w:hAnsi="宋体"/>
          <w:sz w:val="21"/>
          <w:szCs w:val="21"/>
        </w:rPr>
      </w:pPr>
      <w:r>
        <w:rPr>
          <w:rFonts w:hint="eastAsia" w:ascii="宋体" w:hAnsi="宋体"/>
          <w:sz w:val="21"/>
          <w:szCs w:val="21"/>
        </w:rPr>
        <w:t>根据贵方的号磋商文件，正式授权下述签字人_________ (姓名和职务)代表我方______________（供应商的名称），全权处理本次项目磋商采购的有关事宜。</w:t>
      </w:r>
    </w:p>
    <w:p w14:paraId="23C29A3F">
      <w:pPr>
        <w:pStyle w:val="256"/>
        <w:spacing w:line="360" w:lineRule="auto"/>
        <w:ind w:firstLine="420"/>
        <w:rPr>
          <w:rFonts w:ascii="宋体" w:hAnsi="宋体"/>
          <w:sz w:val="21"/>
          <w:szCs w:val="21"/>
        </w:rPr>
      </w:pPr>
      <w:r>
        <w:rPr>
          <w:rFonts w:hint="eastAsia" w:ascii="宋体" w:hAnsi="宋体"/>
          <w:sz w:val="21"/>
          <w:szCs w:val="21"/>
        </w:rPr>
        <w:t>据此函，__________（签字人）兹宣布同意如下：</w:t>
      </w:r>
    </w:p>
    <w:p w14:paraId="7D3DCFD2">
      <w:pPr>
        <w:pStyle w:val="256"/>
        <w:spacing w:line="360" w:lineRule="auto"/>
        <w:ind w:firstLine="420"/>
        <w:rPr>
          <w:rFonts w:ascii="宋体" w:hAnsi="宋体"/>
          <w:sz w:val="21"/>
          <w:szCs w:val="21"/>
        </w:rPr>
      </w:pPr>
      <w:r>
        <w:rPr>
          <w:rFonts w:hint="eastAsia" w:ascii="宋体" w:hAnsi="宋体"/>
          <w:sz w:val="21"/>
          <w:szCs w:val="21"/>
        </w:rPr>
        <w:t>1.按磋商文件规定的各项要求，向买方提供所需服务。</w:t>
      </w:r>
    </w:p>
    <w:p w14:paraId="38AA1D95">
      <w:pPr>
        <w:pStyle w:val="256"/>
        <w:spacing w:line="360" w:lineRule="auto"/>
        <w:ind w:firstLine="420"/>
        <w:rPr>
          <w:rFonts w:ascii="宋体" w:hAnsi="宋体"/>
          <w:sz w:val="21"/>
          <w:szCs w:val="21"/>
        </w:rPr>
      </w:pPr>
      <w:r>
        <w:rPr>
          <w:rFonts w:hint="eastAsia" w:ascii="宋体" w:hAnsi="宋体"/>
          <w:sz w:val="21"/>
          <w:szCs w:val="21"/>
        </w:rPr>
        <w:t>2.我们已详细审核全部磋商文件及其有效补充文件，我们知道必须放弃提出含糊不清或误解问题的权利。</w:t>
      </w:r>
    </w:p>
    <w:p w14:paraId="45C096B5">
      <w:pPr>
        <w:pStyle w:val="256"/>
        <w:spacing w:line="360" w:lineRule="auto"/>
        <w:ind w:firstLine="420"/>
        <w:rPr>
          <w:rFonts w:ascii="宋体" w:hAnsi="宋体"/>
          <w:sz w:val="21"/>
          <w:szCs w:val="21"/>
        </w:rPr>
      </w:pPr>
      <w:r>
        <w:rPr>
          <w:rFonts w:hint="eastAsia" w:ascii="宋体" w:hAnsi="宋体"/>
          <w:sz w:val="21"/>
          <w:szCs w:val="21"/>
        </w:rPr>
        <w:t>3.我们同意从规定的响应文件接收截止时间起遵循本响应文件，并在规定的磋商有效期期满之前均具有约束力。</w:t>
      </w:r>
    </w:p>
    <w:p w14:paraId="36ECCFEF">
      <w:pPr>
        <w:pStyle w:val="256"/>
        <w:spacing w:line="360" w:lineRule="auto"/>
        <w:ind w:firstLine="420"/>
        <w:rPr>
          <w:rFonts w:ascii="宋体" w:hAnsi="宋体"/>
          <w:sz w:val="21"/>
          <w:szCs w:val="21"/>
        </w:rPr>
      </w:pPr>
      <w:r>
        <w:rPr>
          <w:rFonts w:hint="eastAsia" w:ascii="宋体" w:hAnsi="宋体"/>
          <w:sz w:val="21"/>
          <w:szCs w:val="21"/>
        </w:rPr>
        <w:t>4.同意向贵方提供贵方可能另外要求的与磋商采购有关的任何证据或资料，并保证我方已提供和将要提供的文件是真实的、准确的。</w:t>
      </w:r>
    </w:p>
    <w:p w14:paraId="10900CC3">
      <w:pPr>
        <w:pStyle w:val="256"/>
        <w:spacing w:line="360" w:lineRule="auto"/>
        <w:ind w:firstLine="420"/>
        <w:rPr>
          <w:rFonts w:ascii="宋体" w:hAnsi="宋体"/>
          <w:sz w:val="21"/>
          <w:szCs w:val="21"/>
        </w:rPr>
      </w:pPr>
      <w:r>
        <w:rPr>
          <w:rFonts w:hint="eastAsia" w:ascii="宋体" w:hAnsi="宋体"/>
          <w:sz w:val="21"/>
          <w:szCs w:val="21"/>
        </w:rPr>
        <w:t>5.一旦我方成交，我方将根据磋商文件的规定，严格履行合同的责任和义务，并保证在磋商文件规定的时间完成项目，交付买方验收、使用。</w:t>
      </w:r>
    </w:p>
    <w:p w14:paraId="1A424BCF">
      <w:pPr>
        <w:pStyle w:val="256"/>
        <w:spacing w:line="360" w:lineRule="auto"/>
        <w:ind w:firstLine="420"/>
        <w:rPr>
          <w:rFonts w:ascii="宋体" w:hAnsi="宋体"/>
          <w:sz w:val="21"/>
          <w:szCs w:val="21"/>
        </w:rPr>
      </w:pPr>
      <w:r>
        <w:rPr>
          <w:rFonts w:hint="eastAsia" w:ascii="宋体" w:hAnsi="宋体"/>
          <w:sz w:val="21"/>
          <w:szCs w:val="21"/>
        </w:rPr>
        <w:t>6.遵守磋商文件中要求的收费项目和标准。</w:t>
      </w:r>
    </w:p>
    <w:p w14:paraId="1E70F2B5">
      <w:pPr>
        <w:pStyle w:val="256"/>
        <w:spacing w:line="360" w:lineRule="auto"/>
        <w:ind w:firstLine="420"/>
        <w:rPr>
          <w:rFonts w:ascii="宋体" w:hAnsi="宋体"/>
          <w:sz w:val="21"/>
          <w:szCs w:val="21"/>
        </w:rPr>
      </w:pPr>
      <w:r>
        <w:rPr>
          <w:rFonts w:hint="eastAsia" w:ascii="宋体" w:hAnsi="宋体"/>
          <w:sz w:val="21"/>
          <w:szCs w:val="21"/>
        </w:rPr>
        <w:t>7.与本磋商采购有关的正式通讯地址为：</w:t>
      </w:r>
    </w:p>
    <w:p w14:paraId="50337B50">
      <w:pPr>
        <w:pStyle w:val="256"/>
        <w:spacing w:line="360" w:lineRule="auto"/>
        <w:ind w:firstLine="420"/>
        <w:rPr>
          <w:rFonts w:ascii="宋体" w:hAnsi="宋体"/>
          <w:sz w:val="21"/>
          <w:szCs w:val="21"/>
        </w:rPr>
      </w:pPr>
      <w:r>
        <w:rPr>
          <w:rFonts w:hint="eastAsia" w:ascii="宋体" w:hAnsi="宋体"/>
          <w:sz w:val="21"/>
          <w:szCs w:val="21"/>
        </w:rPr>
        <w:t>地 址：                         邮 编：</w:t>
      </w:r>
    </w:p>
    <w:p w14:paraId="2DDCC0BA">
      <w:pPr>
        <w:pStyle w:val="256"/>
        <w:spacing w:line="360" w:lineRule="auto"/>
        <w:ind w:firstLine="420"/>
        <w:rPr>
          <w:rFonts w:ascii="宋体" w:hAnsi="宋体"/>
          <w:sz w:val="21"/>
          <w:szCs w:val="21"/>
        </w:rPr>
      </w:pPr>
      <w:r>
        <w:rPr>
          <w:rFonts w:hint="eastAsia" w:ascii="宋体" w:hAnsi="宋体"/>
          <w:sz w:val="21"/>
          <w:szCs w:val="21"/>
        </w:rPr>
        <w:t>电 话：                         传 真：</w:t>
      </w:r>
    </w:p>
    <w:p w14:paraId="3BC84BB4">
      <w:pPr>
        <w:pStyle w:val="256"/>
        <w:spacing w:line="360" w:lineRule="auto"/>
        <w:ind w:firstLine="420"/>
        <w:rPr>
          <w:rFonts w:ascii="宋体" w:hAnsi="宋体"/>
          <w:sz w:val="21"/>
          <w:szCs w:val="21"/>
        </w:rPr>
      </w:pPr>
      <w:r>
        <w:rPr>
          <w:rFonts w:hint="eastAsia" w:ascii="宋体" w:hAnsi="宋体"/>
          <w:sz w:val="21"/>
          <w:szCs w:val="21"/>
        </w:rPr>
        <w:t xml:space="preserve">供应商开户行：                  账 户： </w:t>
      </w:r>
    </w:p>
    <w:p w14:paraId="0603A7A8">
      <w:pPr>
        <w:pStyle w:val="256"/>
        <w:spacing w:line="360" w:lineRule="auto"/>
        <w:ind w:firstLine="420"/>
        <w:rPr>
          <w:rFonts w:ascii="宋体" w:hAnsi="宋体"/>
          <w:sz w:val="21"/>
          <w:szCs w:val="21"/>
        </w:rPr>
      </w:pPr>
      <w:r>
        <w:rPr>
          <w:rFonts w:hint="eastAsia" w:ascii="宋体" w:hAnsi="宋体"/>
          <w:sz w:val="21"/>
          <w:szCs w:val="21"/>
        </w:rPr>
        <w:t>法定代表人姓名（签章）：         联系电话：</w:t>
      </w:r>
    </w:p>
    <w:p w14:paraId="3C59E15E">
      <w:pPr>
        <w:pStyle w:val="256"/>
        <w:spacing w:line="360" w:lineRule="auto"/>
        <w:ind w:firstLine="420"/>
        <w:rPr>
          <w:rFonts w:ascii="宋体" w:hAnsi="宋体"/>
          <w:sz w:val="21"/>
          <w:szCs w:val="21"/>
        </w:rPr>
      </w:pPr>
      <w:r>
        <w:rPr>
          <w:rFonts w:hint="eastAsia" w:ascii="宋体" w:hAnsi="宋体"/>
          <w:sz w:val="21"/>
          <w:szCs w:val="21"/>
        </w:rPr>
        <w:t xml:space="preserve">供应商名称（公章）：            </w:t>
      </w:r>
    </w:p>
    <w:p w14:paraId="7D85B903">
      <w:pPr>
        <w:pStyle w:val="256"/>
        <w:spacing w:line="360" w:lineRule="auto"/>
        <w:ind w:firstLine="420"/>
        <w:rPr>
          <w:rFonts w:ascii="宋体" w:hAnsi="宋体"/>
          <w:sz w:val="21"/>
          <w:szCs w:val="21"/>
        </w:rPr>
      </w:pPr>
      <w:r>
        <w:rPr>
          <w:rFonts w:hint="eastAsia" w:ascii="宋体" w:hAnsi="宋体"/>
          <w:sz w:val="21"/>
          <w:szCs w:val="21"/>
        </w:rPr>
        <w:t>日 期：________年____月____日</w:t>
      </w:r>
    </w:p>
    <w:p w14:paraId="470FEAD7">
      <w:pPr>
        <w:pStyle w:val="256"/>
        <w:spacing w:after="312" w:line="360" w:lineRule="auto"/>
        <w:ind w:firstLine="422"/>
        <w:jc w:val="center"/>
        <w:rPr>
          <w:rFonts w:ascii="宋体" w:hAnsi="宋体"/>
          <w:b/>
          <w:sz w:val="21"/>
          <w:szCs w:val="21"/>
        </w:rPr>
      </w:pPr>
      <w:r>
        <w:rPr>
          <w:rFonts w:ascii="宋体" w:hAnsi="宋体"/>
          <w:b/>
          <w:sz w:val="21"/>
          <w:szCs w:val="21"/>
        </w:rPr>
        <w:br w:type="page" w:clear="all"/>
      </w:r>
      <w:r>
        <w:rPr>
          <w:rFonts w:hint="eastAsia" w:ascii="宋体" w:hAnsi="宋体"/>
          <w:b/>
          <w:sz w:val="21"/>
          <w:szCs w:val="21"/>
        </w:rPr>
        <w:t>法人授权书</w:t>
      </w:r>
    </w:p>
    <w:p w14:paraId="4FD28CAA">
      <w:pPr>
        <w:pStyle w:val="256"/>
        <w:spacing w:line="360" w:lineRule="auto"/>
        <w:ind w:firstLine="420"/>
        <w:rPr>
          <w:rFonts w:ascii="宋体" w:hAnsi="宋体"/>
          <w:sz w:val="21"/>
          <w:szCs w:val="21"/>
        </w:rPr>
      </w:pPr>
      <w:r>
        <w:rPr>
          <w:rFonts w:hint="eastAsia" w:ascii="宋体" w:hAnsi="宋体"/>
          <w:sz w:val="21"/>
          <w:szCs w:val="21"/>
        </w:rPr>
        <w:t>本授权书声明：</w:t>
      </w:r>
      <w:r>
        <w:rPr>
          <w:rFonts w:ascii="宋体" w:hAnsi="宋体"/>
          <w:sz w:val="21"/>
          <w:szCs w:val="21"/>
        </w:rPr>
        <w:t>________________</w:t>
      </w:r>
      <w:r>
        <w:rPr>
          <w:rFonts w:hint="eastAsia" w:ascii="宋体" w:hAnsi="宋体"/>
          <w:sz w:val="21"/>
          <w:szCs w:val="21"/>
        </w:rPr>
        <w:t>（供应商名称）授权</w:t>
      </w:r>
      <w:r>
        <w:rPr>
          <w:rFonts w:ascii="宋体" w:hAnsi="宋体"/>
          <w:sz w:val="21"/>
          <w:szCs w:val="21"/>
        </w:rPr>
        <w:t>________________</w:t>
      </w:r>
      <w:r>
        <w:rPr>
          <w:rFonts w:hint="eastAsia" w:ascii="宋体" w:hAnsi="宋体"/>
          <w:sz w:val="21"/>
          <w:szCs w:val="21"/>
        </w:rPr>
        <w:t>（被授权人的姓名）为我方就（项目编号）号（项目名称）项目采购活动的合法代理人，以本公司名义全权处理一切与该项目采购有关的事务。</w:t>
      </w:r>
    </w:p>
    <w:p w14:paraId="38BB0869">
      <w:pPr>
        <w:pStyle w:val="256"/>
        <w:spacing w:line="360" w:lineRule="auto"/>
        <w:ind w:firstLine="420"/>
        <w:rPr>
          <w:rFonts w:ascii="宋体" w:hAnsi="宋体"/>
          <w:sz w:val="21"/>
          <w:szCs w:val="21"/>
        </w:rPr>
      </w:pPr>
      <w:r>
        <w:rPr>
          <w:rFonts w:hint="eastAsia" w:ascii="宋体" w:hAnsi="宋体"/>
          <w:sz w:val="21"/>
          <w:szCs w:val="21"/>
        </w:rPr>
        <w:t>本授权书于</w:t>
      </w:r>
      <w:r>
        <w:rPr>
          <w:rFonts w:ascii="宋体" w:hAnsi="宋体"/>
          <w:sz w:val="21"/>
          <w:szCs w:val="21"/>
        </w:rPr>
        <w:t>______</w:t>
      </w:r>
      <w:r>
        <w:rPr>
          <w:rFonts w:hint="eastAsia" w:ascii="宋体" w:hAnsi="宋体"/>
          <w:sz w:val="21"/>
          <w:szCs w:val="21"/>
        </w:rPr>
        <w:t>年</w:t>
      </w:r>
      <w:r>
        <w:rPr>
          <w:rFonts w:ascii="宋体" w:hAnsi="宋体"/>
          <w:sz w:val="21"/>
          <w:szCs w:val="21"/>
        </w:rPr>
        <w:t>____</w:t>
      </w:r>
      <w:r>
        <w:rPr>
          <w:rFonts w:hint="eastAsia" w:ascii="宋体" w:hAnsi="宋体"/>
          <w:sz w:val="21"/>
          <w:szCs w:val="21"/>
        </w:rPr>
        <w:t>月</w:t>
      </w:r>
      <w:r>
        <w:rPr>
          <w:rFonts w:ascii="宋体" w:hAnsi="宋体"/>
          <w:sz w:val="21"/>
          <w:szCs w:val="21"/>
        </w:rPr>
        <w:t>____</w:t>
      </w:r>
      <w:r>
        <w:rPr>
          <w:rFonts w:hint="eastAsia" w:ascii="宋体" w:hAnsi="宋体"/>
          <w:sz w:val="21"/>
          <w:szCs w:val="21"/>
        </w:rPr>
        <w:t>日起生效，特此声明。</w:t>
      </w:r>
    </w:p>
    <w:p w14:paraId="1455A677">
      <w:pPr>
        <w:pStyle w:val="256"/>
        <w:spacing w:line="360" w:lineRule="auto"/>
        <w:ind w:firstLine="420"/>
        <w:rPr>
          <w:rFonts w:ascii="宋体" w:hAnsi="宋体"/>
          <w:sz w:val="21"/>
          <w:szCs w:val="21"/>
        </w:rPr>
      </w:pPr>
      <w:r>
        <w:rPr>
          <w:rFonts w:hint="eastAsia" w:ascii="宋体" w:hAnsi="宋体"/>
          <w:sz w:val="21"/>
          <w:szCs w:val="21"/>
        </w:rPr>
        <w:t>被授权人姓名：</w:t>
      </w:r>
      <w:r>
        <w:rPr>
          <w:rFonts w:ascii="宋体" w:hAnsi="宋体"/>
          <w:sz w:val="21"/>
          <w:szCs w:val="21"/>
        </w:rPr>
        <w:t>_______________________</w:t>
      </w:r>
    </w:p>
    <w:p w14:paraId="720C1329">
      <w:pPr>
        <w:pStyle w:val="256"/>
        <w:spacing w:line="360" w:lineRule="auto"/>
        <w:ind w:firstLine="420"/>
        <w:rPr>
          <w:rFonts w:ascii="宋体" w:hAnsi="宋体"/>
          <w:sz w:val="21"/>
          <w:szCs w:val="21"/>
          <w:u w:val="single"/>
        </w:rPr>
      </w:pPr>
      <w:r>
        <w:rPr>
          <w:rFonts w:hint="eastAsia" w:ascii="宋体" w:hAnsi="宋体"/>
          <w:sz w:val="21"/>
          <w:szCs w:val="21"/>
        </w:rPr>
        <w:t>联系电话（手机）：</w:t>
      </w:r>
    </w:p>
    <w:p w14:paraId="21FDC2A0">
      <w:pPr>
        <w:pStyle w:val="256"/>
        <w:spacing w:line="360" w:lineRule="auto"/>
        <w:ind w:firstLine="0"/>
        <w:rPr>
          <w:rFonts w:ascii="宋体" w:hAnsi="宋体"/>
          <w:sz w:val="21"/>
          <w:szCs w:val="21"/>
        </w:rPr>
      </w:pPr>
      <w:r>
        <w:rPr>
          <w:rFonts w:hint="eastAsia" w:ascii="宋体" w:hAnsi="宋体"/>
          <w:sz w:val="21"/>
          <w:szCs w:val="21"/>
        </w:rPr>
        <w:t>单位名称：</w:t>
      </w:r>
      <w:r>
        <w:rPr>
          <w:rFonts w:ascii="宋体" w:hAnsi="宋体"/>
          <w:sz w:val="21"/>
          <w:szCs w:val="21"/>
        </w:rPr>
        <w:t>____________________________________</w:t>
      </w:r>
    </w:p>
    <w:p w14:paraId="795BFEF5">
      <w:pPr>
        <w:pStyle w:val="256"/>
        <w:spacing w:line="360" w:lineRule="auto"/>
        <w:ind w:firstLine="420"/>
        <w:rPr>
          <w:sz w:val="21"/>
          <w:szCs w:val="21"/>
          <w:u w:val="single"/>
        </w:rPr>
      </w:pPr>
      <w:r>
        <w:rPr>
          <w:rFonts w:hint="eastAsia"/>
          <w:sz w:val="21"/>
          <w:szCs w:val="21"/>
        </w:rPr>
        <w:t>单位地址：</w:t>
      </w:r>
    </w:p>
    <w:p w14:paraId="1E46D1C9">
      <w:pPr>
        <w:pStyle w:val="256"/>
        <w:spacing w:line="360" w:lineRule="auto"/>
        <w:ind w:firstLine="420"/>
        <w:rPr>
          <w:sz w:val="21"/>
          <w:szCs w:val="21"/>
        </w:rPr>
      </w:pPr>
      <w:r>
        <w:rPr>
          <w:rFonts w:hint="eastAsia"/>
          <w:sz w:val="21"/>
          <w:szCs w:val="21"/>
        </w:rPr>
        <w:t>日期：</w:t>
      </w:r>
    </w:p>
    <w:p w14:paraId="77914305">
      <w:pPr>
        <w:spacing w:line="360" w:lineRule="auto"/>
        <w:rPr>
          <w:rFonts w:ascii="宋体" w:hAnsi="宋体"/>
          <w:bCs/>
        </w:rPr>
      </w:pPr>
    </w:p>
    <w:p w14:paraId="41ECC6BE">
      <w:pPr>
        <w:spacing w:line="360" w:lineRule="auto"/>
        <w:ind w:firstLine="420"/>
        <w:rPr>
          <w:rFonts w:ascii="宋体" w:hAnsi="宋体"/>
          <w:bCs/>
        </w:rPr>
        <w:sectPr>
          <w:pgSz w:w="11906" w:h="16838"/>
          <w:pgMar w:top="1134" w:right="850" w:bottom="1134" w:left="850" w:header="851" w:footer="992" w:gutter="0"/>
          <w:cols w:space="1701" w:num="1"/>
          <w:docGrid w:linePitch="360" w:charSpace="0"/>
        </w:sectPr>
      </w:pPr>
      <w:r>
        <w:rPr>
          <w:rFonts w:hint="eastAsia" w:ascii="宋体" w:hAnsi="宋体"/>
          <w:bCs/>
        </w:rPr>
        <w:t>被授权人身份证复印件</w:t>
      </w:r>
    </w:p>
    <w:p w14:paraId="44EE3C68">
      <w:pPr>
        <w:numPr>
          <w:ilvl w:val="0"/>
          <w:numId w:val="4"/>
        </w:numPr>
        <w:spacing w:line="360" w:lineRule="auto"/>
        <w:jc w:val="center"/>
        <w:rPr>
          <w:rFonts w:ascii="宋体" w:hAnsi="宋体"/>
          <w:b/>
          <w:sz w:val="32"/>
          <w:szCs w:val="32"/>
        </w:rPr>
      </w:pPr>
      <w:r>
        <w:rPr>
          <w:rFonts w:hint="eastAsia" w:ascii="宋体" w:hAnsi="宋体"/>
          <w:b/>
          <w:sz w:val="32"/>
          <w:szCs w:val="32"/>
        </w:rPr>
        <w:t>符合性审查响应对照表</w:t>
      </w:r>
    </w:p>
    <w:tbl>
      <w:tblPr>
        <w:tblStyle w:val="41"/>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792"/>
        <w:gridCol w:w="2006"/>
        <w:gridCol w:w="1348"/>
      </w:tblGrid>
      <w:tr w14:paraId="101A9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ign w:val="center"/>
          </w:tcPr>
          <w:p w14:paraId="3F52E191">
            <w:pPr>
              <w:spacing w:line="360" w:lineRule="auto"/>
              <w:jc w:val="center"/>
              <w:rPr>
                <w:rFonts w:ascii="幼圆" w:eastAsia="幼圆"/>
                <w:b/>
                <w:szCs w:val="21"/>
              </w:rPr>
            </w:pPr>
            <w:r>
              <w:rPr>
                <w:rFonts w:hint="eastAsia" w:ascii="幼圆" w:eastAsia="幼圆"/>
                <w:b/>
                <w:szCs w:val="21"/>
              </w:rPr>
              <w:t>序号</w:t>
            </w:r>
          </w:p>
        </w:tc>
        <w:tc>
          <w:tcPr>
            <w:tcW w:w="4792" w:type="dxa"/>
            <w:noWrap/>
            <w:vAlign w:val="center"/>
          </w:tcPr>
          <w:p w14:paraId="1AA542C0">
            <w:pPr>
              <w:spacing w:line="360" w:lineRule="auto"/>
              <w:jc w:val="center"/>
              <w:rPr>
                <w:rFonts w:ascii="幼圆" w:eastAsia="幼圆"/>
                <w:b/>
                <w:szCs w:val="21"/>
              </w:rPr>
            </w:pPr>
            <w:r>
              <w:rPr>
                <w:rFonts w:hint="eastAsia" w:ascii="幼圆" w:eastAsia="幼圆"/>
                <w:b/>
                <w:szCs w:val="21"/>
              </w:rPr>
              <w:t>符合性审查响应内容</w:t>
            </w:r>
          </w:p>
        </w:tc>
        <w:tc>
          <w:tcPr>
            <w:tcW w:w="2006" w:type="dxa"/>
            <w:noWrap/>
            <w:vAlign w:val="center"/>
          </w:tcPr>
          <w:p w14:paraId="7DC88460">
            <w:pPr>
              <w:spacing w:line="360" w:lineRule="auto"/>
              <w:jc w:val="center"/>
              <w:rPr>
                <w:rFonts w:ascii="幼圆" w:eastAsia="幼圆"/>
                <w:b/>
                <w:szCs w:val="21"/>
              </w:rPr>
            </w:pPr>
            <w:r>
              <w:rPr>
                <w:rFonts w:hint="eastAsia" w:ascii="幼圆" w:eastAsia="幼圆"/>
                <w:b/>
                <w:szCs w:val="21"/>
              </w:rPr>
              <w:t>是否响应</w:t>
            </w:r>
          </w:p>
          <w:p w14:paraId="7C30C219">
            <w:pPr>
              <w:spacing w:line="360" w:lineRule="auto"/>
              <w:jc w:val="center"/>
              <w:rPr>
                <w:rFonts w:ascii="幼圆" w:eastAsia="幼圆"/>
                <w:b/>
                <w:szCs w:val="21"/>
              </w:rPr>
            </w:pPr>
            <w:r>
              <w:rPr>
                <w:rFonts w:hint="eastAsia" w:ascii="幼圆" w:eastAsia="幼圆"/>
                <w:b/>
                <w:szCs w:val="21"/>
              </w:rPr>
              <w:t>（填是或者否）</w:t>
            </w:r>
          </w:p>
        </w:tc>
        <w:tc>
          <w:tcPr>
            <w:tcW w:w="1348" w:type="dxa"/>
            <w:noWrap/>
            <w:vAlign w:val="center"/>
          </w:tcPr>
          <w:p w14:paraId="2E138FC5">
            <w:pPr>
              <w:spacing w:line="360" w:lineRule="auto"/>
              <w:jc w:val="center"/>
              <w:rPr>
                <w:rFonts w:ascii="幼圆" w:eastAsia="幼圆"/>
                <w:b/>
                <w:szCs w:val="21"/>
              </w:rPr>
            </w:pPr>
            <w:r>
              <w:rPr>
                <w:rFonts w:hint="eastAsia" w:ascii="幼圆" w:eastAsia="幼圆"/>
                <w:b/>
                <w:szCs w:val="21"/>
              </w:rPr>
              <w:t>响应情况</w:t>
            </w:r>
          </w:p>
        </w:tc>
      </w:tr>
      <w:tr w14:paraId="0BA9D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ign w:val="center"/>
          </w:tcPr>
          <w:p w14:paraId="73799356">
            <w:pPr>
              <w:spacing w:line="360" w:lineRule="auto"/>
              <w:jc w:val="center"/>
              <w:rPr>
                <w:rFonts w:ascii="宋体" w:hAnsi="宋体"/>
                <w:b/>
                <w:szCs w:val="21"/>
              </w:rPr>
            </w:pPr>
            <w:r>
              <w:rPr>
                <w:rFonts w:hint="eastAsia" w:ascii="宋体" w:hAnsi="宋体"/>
                <w:b/>
                <w:szCs w:val="21"/>
              </w:rPr>
              <w:t>1</w:t>
            </w:r>
          </w:p>
        </w:tc>
        <w:tc>
          <w:tcPr>
            <w:tcW w:w="4792" w:type="dxa"/>
            <w:noWrap/>
            <w:vAlign w:val="center"/>
          </w:tcPr>
          <w:p w14:paraId="100A5A38">
            <w:pPr>
              <w:spacing w:line="360" w:lineRule="auto"/>
              <w:rPr>
                <w:rFonts w:ascii="宋体" w:hAnsi="宋体"/>
                <w:iCs/>
                <w:szCs w:val="21"/>
              </w:rPr>
            </w:pPr>
            <w:r>
              <w:rPr>
                <w:rFonts w:hint="eastAsia" w:ascii="宋体" w:hAnsi="宋体"/>
                <w:iCs/>
                <w:szCs w:val="21"/>
              </w:rPr>
              <w:t>采购需求中必须满足的实质性要求（即加斜体下划线内容，每条详细列出）</w:t>
            </w:r>
          </w:p>
        </w:tc>
        <w:tc>
          <w:tcPr>
            <w:tcW w:w="2006" w:type="dxa"/>
            <w:noWrap/>
            <w:vAlign w:val="center"/>
          </w:tcPr>
          <w:p w14:paraId="348625BF">
            <w:pPr>
              <w:spacing w:line="360" w:lineRule="auto"/>
              <w:rPr>
                <w:rFonts w:ascii="宋体" w:hAnsi="宋体"/>
                <w:b/>
                <w:szCs w:val="21"/>
              </w:rPr>
            </w:pPr>
          </w:p>
        </w:tc>
        <w:tc>
          <w:tcPr>
            <w:tcW w:w="1348" w:type="dxa"/>
            <w:noWrap/>
            <w:vAlign w:val="center"/>
          </w:tcPr>
          <w:p w14:paraId="3ABBC0DB">
            <w:pPr>
              <w:spacing w:line="360" w:lineRule="auto"/>
              <w:rPr>
                <w:rFonts w:ascii="宋体" w:hAnsi="宋体"/>
                <w:b/>
                <w:szCs w:val="21"/>
              </w:rPr>
            </w:pPr>
          </w:p>
        </w:tc>
      </w:tr>
      <w:tr w14:paraId="2D24E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ign w:val="center"/>
          </w:tcPr>
          <w:p w14:paraId="742514B4">
            <w:pPr>
              <w:spacing w:line="360" w:lineRule="auto"/>
              <w:jc w:val="center"/>
              <w:rPr>
                <w:rFonts w:ascii="宋体" w:hAnsi="宋体"/>
                <w:szCs w:val="21"/>
              </w:rPr>
            </w:pPr>
            <w:r>
              <w:rPr>
                <w:rFonts w:hint="eastAsia" w:ascii="宋体" w:hAnsi="宋体"/>
                <w:szCs w:val="21"/>
              </w:rPr>
              <w:t>2</w:t>
            </w:r>
          </w:p>
        </w:tc>
        <w:tc>
          <w:tcPr>
            <w:tcW w:w="4792" w:type="dxa"/>
            <w:noWrap/>
            <w:vAlign w:val="center"/>
          </w:tcPr>
          <w:p w14:paraId="2C28C928">
            <w:pPr>
              <w:spacing w:line="360" w:lineRule="auto"/>
              <w:rPr>
                <w:rFonts w:ascii="宋体" w:hAnsi="宋体"/>
                <w:iCs/>
                <w:szCs w:val="21"/>
              </w:rPr>
            </w:pPr>
          </w:p>
        </w:tc>
        <w:tc>
          <w:tcPr>
            <w:tcW w:w="2006" w:type="dxa"/>
            <w:noWrap/>
            <w:vAlign w:val="center"/>
          </w:tcPr>
          <w:p w14:paraId="13EF59FF">
            <w:pPr>
              <w:spacing w:line="360" w:lineRule="auto"/>
              <w:rPr>
                <w:rFonts w:ascii="宋体" w:hAnsi="宋体"/>
                <w:szCs w:val="21"/>
              </w:rPr>
            </w:pPr>
          </w:p>
        </w:tc>
        <w:tc>
          <w:tcPr>
            <w:tcW w:w="1348" w:type="dxa"/>
            <w:noWrap/>
            <w:vAlign w:val="center"/>
          </w:tcPr>
          <w:p w14:paraId="2A1DFF43">
            <w:pPr>
              <w:spacing w:line="360" w:lineRule="auto"/>
              <w:rPr>
                <w:rFonts w:ascii="宋体" w:hAnsi="宋体"/>
                <w:szCs w:val="21"/>
              </w:rPr>
            </w:pPr>
          </w:p>
        </w:tc>
      </w:tr>
      <w:tr w14:paraId="7248C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ign w:val="center"/>
          </w:tcPr>
          <w:p w14:paraId="7B090E4B">
            <w:pPr>
              <w:spacing w:line="360" w:lineRule="auto"/>
              <w:jc w:val="center"/>
              <w:rPr>
                <w:rFonts w:ascii="宋体" w:hAnsi="宋体"/>
                <w:szCs w:val="21"/>
              </w:rPr>
            </w:pPr>
            <w:r>
              <w:rPr>
                <w:rFonts w:hint="eastAsia" w:ascii="宋体" w:hAnsi="宋体"/>
                <w:szCs w:val="21"/>
              </w:rPr>
              <w:t>3</w:t>
            </w:r>
          </w:p>
        </w:tc>
        <w:tc>
          <w:tcPr>
            <w:tcW w:w="4792" w:type="dxa"/>
            <w:noWrap/>
            <w:vAlign w:val="center"/>
          </w:tcPr>
          <w:p w14:paraId="62D45CB5">
            <w:pPr>
              <w:spacing w:line="360" w:lineRule="auto"/>
              <w:rPr>
                <w:rFonts w:ascii="宋体" w:hAnsi="宋体"/>
                <w:iCs/>
                <w:szCs w:val="21"/>
              </w:rPr>
            </w:pPr>
          </w:p>
        </w:tc>
        <w:tc>
          <w:tcPr>
            <w:tcW w:w="2006" w:type="dxa"/>
            <w:noWrap/>
            <w:vAlign w:val="center"/>
          </w:tcPr>
          <w:p w14:paraId="51BB797A">
            <w:pPr>
              <w:spacing w:line="360" w:lineRule="auto"/>
              <w:rPr>
                <w:rFonts w:ascii="宋体" w:hAnsi="宋体"/>
                <w:szCs w:val="21"/>
              </w:rPr>
            </w:pPr>
          </w:p>
        </w:tc>
        <w:tc>
          <w:tcPr>
            <w:tcW w:w="1348" w:type="dxa"/>
            <w:noWrap/>
            <w:vAlign w:val="center"/>
          </w:tcPr>
          <w:p w14:paraId="22F85B24">
            <w:pPr>
              <w:spacing w:line="360" w:lineRule="auto"/>
              <w:rPr>
                <w:rFonts w:ascii="宋体" w:hAnsi="宋体"/>
                <w:szCs w:val="21"/>
              </w:rPr>
            </w:pPr>
          </w:p>
        </w:tc>
      </w:tr>
      <w:tr w14:paraId="3DB4D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ign w:val="center"/>
          </w:tcPr>
          <w:p w14:paraId="0079953B">
            <w:pPr>
              <w:spacing w:line="360" w:lineRule="auto"/>
              <w:jc w:val="center"/>
              <w:rPr>
                <w:rFonts w:ascii="宋体" w:hAnsi="宋体"/>
                <w:szCs w:val="21"/>
              </w:rPr>
            </w:pPr>
            <w:r>
              <w:rPr>
                <w:rFonts w:hint="eastAsia" w:ascii="宋体" w:hAnsi="宋体"/>
                <w:szCs w:val="21"/>
              </w:rPr>
              <w:t>4</w:t>
            </w:r>
          </w:p>
        </w:tc>
        <w:tc>
          <w:tcPr>
            <w:tcW w:w="4792" w:type="dxa"/>
            <w:noWrap/>
            <w:vAlign w:val="center"/>
          </w:tcPr>
          <w:p w14:paraId="6F419EED">
            <w:pPr>
              <w:spacing w:line="360" w:lineRule="auto"/>
              <w:rPr>
                <w:rFonts w:ascii="宋体" w:hAnsi="宋体"/>
                <w:iCs/>
                <w:szCs w:val="21"/>
              </w:rPr>
            </w:pPr>
          </w:p>
        </w:tc>
        <w:tc>
          <w:tcPr>
            <w:tcW w:w="2006" w:type="dxa"/>
            <w:noWrap/>
            <w:vAlign w:val="center"/>
          </w:tcPr>
          <w:p w14:paraId="2B3371C5">
            <w:pPr>
              <w:spacing w:line="360" w:lineRule="auto"/>
              <w:rPr>
                <w:rFonts w:ascii="宋体" w:hAnsi="宋体"/>
                <w:szCs w:val="21"/>
              </w:rPr>
            </w:pPr>
          </w:p>
        </w:tc>
        <w:tc>
          <w:tcPr>
            <w:tcW w:w="1348" w:type="dxa"/>
            <w:noWrap/>
            <w:vAlign w:val="center"/>
          </w:tcPr>
          <w:p w14:paraId="265B2ED9">
            <w:pPr>
              <w:spacing w:line="360" w:lineRule="auto"/>
              <w:rPr>
                <w:rFonts w:ascii="宋体" w:hAnsi="宋体"/>
                <w:szCs w:val="21"/>
              </w:rPr>
            </w:pPr>
          </w:p>
        </w:tc>
      </w:tr>
      <w:tr w14:paraId="1371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ign w:val="center"/>
          </w:tcPr>
          <w:p w14:paraId="23AC63EE">
            <w:pPr>
              <w:spacing w:line="360" w:lineRule="auto"/>
              <w:jc w:val="center"/>
              <w:rPr>
                <w:rFonts w:ascii="宋体" w:hAnsi="宋体"/>
                <w:szCs w:val="21"/>
              </w:rPr>
            </w:pPr>
            <w:r>
              <w:rPr>
                <w:rFonts w:hint="eastAsia" w:ascii="宋体" w:hAnsi="宋体"/>
                <w:szCs w:val="21"/>
              </w:rPr>
              <w:t>5</w:t>
            </w:r>
          </w:p>
        </w:tc>
        <w:tc>
          <w:tcPr>
            <w:tcW w:w="4792" w:type="dxa"/>
            <w:noWrap/>
            <w:vAlign w:val="center"/>
          </w:tcPr>
          <w:p w14:paraId="2026C5D0">
            <w:pPr>
              <w:spacing w:line="360" w:lineRule="auto"/>
              <w:rPr>
                <w:rFonts w:ascii="宋体" w:hAnsi="宋体"/>
                <w:iCs/>
                <w:szCs w:val="21"/>
              </w:rPr>
            </w:pPr>
            <w:r>
              <w:rPr>
                <w:rFonts w:ascii="宋体" w:hAnsi="宋体"/>
                <w:iCs/>
                <w:szCs w:val="21"/>
              </w:rPr>
              <w:t>……</w:t>
            </w:r>
          </w:p>
        </w:tc>
        <w:tc>
          <w:tcPr>
            <w:tcW w:w="2006" w:type="dxa"/>
            <w:noWrap/>
            <w:vAlign w:val="center"/>
          </w:tcPr>
          <w:p w14:paraId="24175A6C">
            <w:pPr>
              <w:spacing w:line="360" w:lineRule="auto"/>
              <w:rPr>
                <w:rFonts w:ascii="宋体" w:hAnsi="宋体"/>
                <w:szCs w:val="21"/>
              </w:rPr>
            </w:pPr>
          </w:p>
        </w:tc>
        <w:tc>
          <w:tcPr>
            <w:tcW w:w="1348" w:type="dxa"/>
            <w:noWrap/>
            <w:vAlign w:val="center"/>
          </w:tcPr>
          <w:p w14:paraId="43FB1642">
            <w:pPr>
              <w:spacing w:line="360" w:lineRule="auto"/>
              <w:rPr>
                <w:rFonts w:ascii="宋体" w:hAnsi="宋体"/>
                <w:szCs w:val="21"/>
              </w:rPr>
            </w:pPr>
          </w:p>
        </w:tc>
      </w:tr>
    </w:tbl>
    <w:p w14:paraId="0645B0E1">
      <w:pPr>
        <w:spacing w:line="360" w:lineRule="auto"/>
        <w:contextualSpacing/>
        <w:rPr>
          <w:rFonts w:ascii="宋体" w:hAnsi="宋体"/>
          <w:b/>
          <w:bCs/>
          <w:sz w:val="32"/>
          <w:szCs w:val="32"/>
        </w:rPr>
      </w:pPr>
    </w:p>
    <w:p w14:paraId="4D78650C">
      <w:pPr>
        <w:numPr>
          <w:ilvl w:val="0"/>
          <w:numId w:val="4"/>
        </w:numPr>
        <w:spacing w:line="360" w:lineRule="auto"/>
        <w:jc w:val="center"/>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非实质性响应对照表</w:t>
      </w:r>
    </w:p>
    <w:p w14:paraId="2C6A87D0">
      <w:pPr>
        <w:spacing w:line="360" w:lineRule="auto"/>
        <w:rPr>
          <w:rFonts w:ascii="宋体" w:hAnsi="宋体"/>
          <w:b/>
          <w:sz w:val="32"/>
          <w:szCs w:val="32"/>
        </w:rPr>
      </w:pPr>
    </w:p>
    <w:tbl>
      <w:tblPr>
        <w:tblStyle w:val="41"/>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572"/>
        <w:gridCol w:w="1968"/>
        <w:gridCol w:w="1491"/>
      </w:tblGrid>
      <w:tr w14:paraId="56EF0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ign w:val="center"/>
          </w:tcPr>
          <w:p w14:paraId="16114104">
            <w:pPr>
              <w:spacing w:line="360" w:lineRule="auto"/>
              <w:jc w:val="center"/>
              <w:rPr>
                <w:rFonts w:ascii="幼圆" w:eastAsia="幼圆"/>
                <w:b/>
                <w:szCs w:val="21"/>
              </w:rPr>
            </w:pPr>
            <w:r>
              <w:rPr>
                <w:rFonts w:hint="eastAsia" w:ascii="幼圆" w:eastAsia="幼圆"/>
                <w:b/>
                <w:szCs w:val="21"/>
              </w:rPr>
              <w:t>序号</w:t>
            </w:r>
          </w:p>
        </w:tc>
        <w:tc>
          <w:tcPr>
            <w:tcW w:w="4572" w:type="dxa"/>
            <w:noWrap/>
            <w:vAlign w:val="center"/>
          </w:tcPr>
          <w:p w14:paraId="42CE768E">
            <w:pPr>
              <w:spacing w:line="360" w:lineRule="auto"/>
              <w:jc w:val="center"/>
              <w:rPr>
                <w:rFonts w:ascii="幼圆" w:eastAsia="幼圆"/>
                <w:b/>
                <w:szCs w:val="21"/>
              </w:rPr>
            </w:pPr>
            <w:r>
              <w:rPr>
                <w:rFonts w:hint="eastAsia" w:ascii="幼圆" w:eastAsia="幼圆"/>
                <w:b/>
                <w:szCs w:val="21"/>
              </w:rPr>
              <w:t>非实质性响应内容</w:t>
            </w:r>
          </w:p>
        </w:tc>
        <w:tc>
          <w:tcPr>
            <w:tcW w:w="1968" w:type="dxa"/>
            <w:noWrap/>
            <w:vAlign w:val="center"/>
          </w:tcPr>
          <w:p w14:paraId="2EC65B55">
            <w:pPr>
              <w:spacing w:line="360" w:lineRule="auto"/>
              <w:jc w:val="center"/>
              <w:rPr>
                <w:rFonts w:ascii="幼圆" w:eastAsia="幼圆"/>
                <w:b/>
                <w:szCs w:val="21"/>
              </w:rPr>
            </w:pPr>
            <w:r>
              <w:rPr>
                <w:rFonts w:hint="eastAsia" w:ascii="幼圆" w:eastAsia="幼圆"/>
                <w:b/>
                <w:szCs w:val="21"/>
              </w:rPr>
              <w:t>是否响应</w:t>
            </w:r>
          </w:p>
          <w:p w14:paraId="2D243A36">
            <w:pPr>
              <w:spacing w:line="360" w:lineRule="auto"/>
              <w:jc w:val="center"/>
              <w:rPr>
                <w:rFonts w:ascii="幼圆" w:eastAsia="幼圆"/>
                <w:b/>
                <w:szCs w:val="21"/>
              </w:rPr>
            </w:pPr>
            <w:r>
              <w:rPr>
                <w:rFonts w:hint="eastAsia" w:ascii="幼圆" w:eastAsia="幼圆"/>
                <w:b/>
                <w:szCs w:val="21"/>
              </w:rPr>
              <w:t>（填是或者否）</w:t>
            </w:r>
          </w:p>
        </w:tc>
        <w:tc>
          <w:tcPr>
            <w:tcW w:w="1491" w:type="dxa"/>
            <w:noWrap/>
            <w:vAlign w:val="center"/>
          </w:tcPr>
          <w:p w14:paraId="12F8567C">
            <w:pPr>
              <w:spacing w:line="360" w:lineRule="auto"/>
              <w:jc w:val="center"/>
              <w:rPr>
                <w:rFonts w:ascii="幼圆" w:eastAsia="幼圆"/>
                <w:b/>
                <w:szCs w:val="21"/>
              </w:rPr>
            </w:pPr>
            <w:r>
              <w:rPr>
                <w:rFonts w:hint="eastAsia" w:ascii="幼圆" w:eastAsia="幼圆"/>
                <w:b/>
                <w:szCs w:val="21"/>
              </w:rPr>
              <w:t>响应情况</w:t>
            </w:r>
          </w:p>
        </w:tc>
      </w:tr>
      <w:tr w14:paraId="7D2E7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ign w:val="center"/>
          </w:tcPr>
          <w:p w14:paraId="20B1ECD6">
            <w:pPr>
              <w:spacing w:line="360" w:lineRule="auto"/>
              <w:jc w:val="center"/>
              <w:rPr>
                <w:rFonts w:ascii="宋体" w:hAnsi="宋体"/>
                <w:b/>
                <w:szCs w:val="21"/>
              </w:rPr>
            </w:pPr>
            <w:r>
              <w:rPr>
                <w:rFonts w:hint="eastAsia" w:ascii="宋体" w:hAnsi="宋体"/>
                <w:b/>
                <w:szCs w:val="21"/>
              </w:rPr>
              <w:t>1</w:t>
            </w:r>
          </w:p>
        </w:tc>
        <w:tc>
          <w:tcPr>
            <w:tcW w:w="4572" w:type="dxa"/>
            <w:noWrap/>
            <w:vAlign w:val="center"/>
          </w:tcPr>
          <w:p w14:paraId="040E5584">
            <w:pPr>
              <w:spacing w:line="360" w:lineRule="auto"/>
              <w:rPr>
                <w:rFonts w:ascii="宋体" w:hAnsi="宋体"/>
                <w:iCs/>
                <w:szCs w:val="21"/>
              </w:rPr>
            </w:pPr>
            <w:r>
              <w:rPr>
                <w:rFonts w:hint="eastAsia" w:ascii="宋体" w:hAnsi="宋体"/>
                <w:szCs w:val="21"/>
              </w:rPr>
              <w:t>《企业声明函》</w:t>
            </w:r>
          </w:p>
        </w:tc>
        <w:tc>
          <w:tcPr>
            <w:tcW w:w="1968" w:type="dxa"/>
            <w:noWrap/>
            <w:vAlign w:val="center"/>
          </w:tcPr>
          <w:p w14:paraId="217EF3FC">
            <w:pPr>
              <w:spacing w:line="360" w:lineRule="auto"/>
              <w:rPr>
                <w:rFonts w:ascii="宋体" w:hAnsi="宋体"/>
                <w:b/>
                <w:szCs w:val="21"/>
              </w:rPr>
            </w:pPr>
          </w:p>
        </w:tc>
        <w:tc>
          <w:tcPr>
            <w:tcW w:w="1491" w:type="dxa"/>
            <w:noWrap/>
            <w:vAlign w:val="center"/>
          </w:tcPr>
          <w:p w14:paraId="056FB881">
            <w:pPr>
              <w:spacing w:line="360" w:lineRule="auto"/>
              <w:rPr>
                <w:rFonts w:ascii="宋体" w:hAnsi="宋体"/>
                <w:b/>
                <w:szCs w:val="21"/>
              </w:rPr>
            </w:pPr>
          </w:p>
        </w:tc>
      </w:tr>
      <w:tr w14:paraId="5ABB7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ign w:val="center"/>
          </w:tcPr>
          <w:p w14:paraId="7120D86B">
            <w:pPr>
              <w:spacing w:line="360" w:lineRule="auto"/>
              <w:jc w:val="center"/>
              <w:rPr>
                <w:rFonts w:ascii="宋体" w:hAnsi="宋体"/>
                <w:szCs w:val="21"/>
              </w:rPr>
            </w:pPr>
            <w:r>
              <w:rPr>
                <w:rFonts w:hint="eastAsia" w:ascii="宋体" w:hAnsi="宋体"/>
                <w:szCs w:val="21"/>
              </w:rPr>
              <w:t>2</w:t>
            </w:r>
          </w:p>
        </w:tc>
        <w:tc>
          <w:tcPr>
            <w:tcW w:w="4572" w:type="dxa"/>
            <w:noWrap/>
            <w:vAlign w:val="center"/>
          </w:tcPr>
          <w:p w14:paraId="6C67B59E">
            <w:pPr>
              <w:spacing w:line="360" w:lineRule="auto"/>
              <w:rPr>
                <w:rFonts w:ascii="宋体" w:hAnsi="宋体"/>
                <w:iCs/>
                <w:szCs w:val="21"/>
              </w:rPr>
            </w:pPr>
            <w:r>
              <w:rPr>
                <w:rFonts w:hint="eastAsia" w:ascii="宋体" w:hAnsi="宋体"/>
                <w:szCs w:val="21"/>
              </w:rPr>
              <w:t>《残疾人福利性单位声明函》</w:t>
            </w:r>
          </w:p>
        </w:tc>
        <w:tc>
          <w:tcPr>
            <w:tcW w:w="1968" w:type="dxa"/>
            <w:noWrap/>
            <w:vAlign w:val="center"/>
          </w:tcPr>
          <w:p w14:paraId="501D6E14">
            <w:pPr>
              <w:spacing w:line="360" w:lineRule="auto"/>
              <w:rPr>
                <w:rFonts w:ascii="宋体" w:hAnsi="宋体"/>
                <w:szCs w:val="21"/>
              </w:rPr>
            </w:pPr>
          </w:p>
        </w:tc>
        <w:tc>
          <w:tcPr>
            <w:tcW w:w="1491" w:type="dxa"/>
            <w:noWrap/>
            <w:vAlign w:val="center"/>
          </w:tcPr>
          <w:p w14:paraId="3655ECE0">
            <w:pPr>
              <w:spacing w:line="360" w:lineRule="auto"/>
              <w:rPr>
                <w:rFonts w:ascii="宋体" w:hAnsi="宋体"/>
                <w:szCs w:val="21"/>
              </w:rPr>
            </w:pPr>
          </w:p>
        </w:tc>
      </w:tr>
      <w:tr w14:paraId="68FEC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ign w:val="center"/>
          </w:tcPr>
          <w:p w14:paraId="3F75995E">
            <w:pPr>
              <w:spacing w:line="360" w:lineRule="auto"/>
              <w:jc w:val="center"/>
              <w:rPr>
                <w:rFonts w:ascii="宋体" w:hAnsi="宋体"/>
                <w:szCs w:val="21"/>
              </w:rPr>
            </w:pPr>
            <w:r>
              <w:rPr>
                <w:rFonts w:hint="eastAsia" w:ascii="宋体" w:hAnsi="宋体"/>
                <w:szCs w:val="21"/>
              </w:rPr>
              <w:t>3</w:t>
            </w:r>
          </w:p>
        </w:tc>
        <w:tc>
          <w:tcPr>
            <w:tcW w:w="4572" w:type="dxa"/>
            <w:noWrap/>
            <w:vAlign w:val="center"/>
          </w:tcPr>
          <w:p w14:paraId="266A542B">
            <w:pPr>
              <w:spacing w:line="360" w:lineRule="auto"/>
              <w:rPr>
                <w:rFonts w:ascii="宋体" w:hAnsi="宋体"/>
                <w:iCs/>
                <w:szCs w:val="21"/>
              </w:rPr>
            </w:pPr>
            <w:r>
              <w:rPr>
                <w:rFonts w:ascii="宋体" w:hAnsi="宋体"/>
                <w:iCs/>
                <w:szCs w:val="21"/>
              </w:rPr>
              <w:t>……</w:t>
            </w:r>
          </w:p>
        </w:tc>
        <w:tc>
          <w:tcPr>
            <w:tcW w:w="1968" w:type="dxa"/>
            <w:noWrap/>
            <w:vAlign w:val="center"/>
          </w:tcPr>
          <w:p w14:paraId="14F79655">
            <w:pPr>
              <w:spacing w:line="360" w:lineRule="auto"/>
              <w:rPr>
                <w:rFonts w:ascii="宋体" w:hAnsi="宋体"/>
                <w:szCs w:val="21"/>
              </w:rPr>
            </w:pPr>
          </w:p>
        </w:tc>
        <w:tc>
          <w:tcPr>
            <w:tcW w:w="1491" w:type="dxa"/>
            <w:noWrap/>
            <w:vAlign w:val="center"/>
          </w:tcPr>
          <w:p w14:paraId="1B750EA5">
            <w:pPr>
              <w:spacing w:line="360" w:lineRule="auto"/>
              <w:rPr>
                <w:rFonts w:ascii="宋体" w:hAnsi="宋体"/>
                <w:szCs w:val="21"/>
              </w:rPr>
            </w:pPr>
          </w:p>
        </w:tc>
      </w:tr>
    </w:tbl>
    <w:p w14:paraId="0F72B743">
      <w:pPr>
        <w:widowControl/>
        <w:spacing w:line="360" w:lineRule="auto"/>
        <w:jc w:val="left"/>
        <w:rPr>
          <w:rFonts w:ascii="宋体" w:hAnsi="宋体" w:cs="Arial"/>
          <w:b/>
          <w:bCs/>
        </w:rPr>
      </w:pPr>
    </w:p>
    <w:p w14:paraId="4CE988E0">
      <w:pPr>
        <w:spacing w:line="360" w:lineRule="auto"/>
        <w:jc w:val="center"/>
        <w:rPr>
          <w:b/>
          <w:bCs/>
        </w:rPr>
      </w:pPr>
      <w:r>
        <w:rPr>
          <w:b/>
          <w:bCs/>
        </w:rPr>
        <w:br w:type="page" w:clear="all"/>
      </w:r>
      <w:r>
        <w:rPr>
          <w:rFonts w:hint="eastAsia"/>
          <w:b/>
          <w:bCs/>
        </w:rPr>
        <w:t>中小企业声明函（工程、服务）</w:t>
      </w:r>
    </w:p>
    <w:p w14:paraId="0D86374B">
      <w:pPr>
        <w:spacing w:line="440" w:lineRule="exact"/>
        <w:ind w:firstLine="420"/>
        <w:jc w:val="left"/>
      </w:pPr>
      <w:r>
        <w:rPr>
          <w:rFonts w:hint="eastAsia"/>
        </w:rPr>
        <w:t>本公司（联合体）郑重声明，根据《政府采购促进中小企业发展管理办法》（财库﹝2020﹞46 号）的规定，本公司（联合体）参加</w:t>
      </w:r>
      <w:r>
        <w:rPr>
          <w:rFonts w:hint="eastAsia"/>
          <w:u w:val="single"/>
        </w:rPr>
        <w:t>（单位名称）</w:t>
      </w:r>
      <w:r>
        <w:rPr>
          <w:rFonts w:hint="eastAsia"/>
        </w:rPr>
        <w:t>的</w:t>
      </w:r>
      <w:r>
        <w:rPr>
          <w:rFonts w:hint="eastAsia"/>
          <w:u w:val="single"/>
        </w:rPr>
        <w:t>（项目名称）</w:t>
      </w:r>
      <w:r>
        <w:rPr>
          <w:rFonts w:hint="eastAsia"/>
        </w:rPr>
        <w:t>采购活动，工程的施工单位全部为符合政策要求的中小企业（或者：服务全部由符合政策要求的中小企业承接）。相关企业（含联合体中的中小企业、签订分包意向协议的中小企业）的具体情况如下：</w:t>
      </w:r>
    </w:p>
    <w:p w14:paraId="4D8A966C">
      <w:pPr>
        <w:spacing w:line="440" w:lineRule="exact"/>
        <w:ind w:firstLine="420"/>
        <w:jc w:val="left"/>
        <w:rPr>
          <w:u w:val="single"/>
        </w:rPr>
      </w:pPr>
      <w:r>
        <w:rPr>
          <w:rFonts w:hint="eastAsia"/>
        </w:rPr>
        <w:t xml:space="preserve">1. </w:t>
      </w:r>
      <w:r>
        <w:rPr>
          <w:rFonts w:hint="eastAsia"/>
          <w:u w:val="single"/>
        </w:rPr>
        <w:t xml:space="preserve">（标的名称） </w:t>
      </w:r>
      <w:r>
        <w:rPr>
          <w:rFonts w:hint="eastAsia"/>
        </w:rPr>
        <w:t>，属于</w:t>
      </w:r>
      <w:r>
        <w:rPr>
          <w:u w:val="single"/>
        </w:rPr>
        <w:t>【</w:t>
      </w:r>
      <w:r>
        <w:rPr>
          <w:rFonts w:hint="eastAsia"/>
          <w:u w:val="single"/>
        </w:rPr>
        <w:t>租赁和商务服务业</w:t>
      </w:r>
      <w:r>
        <w:rPr>
          <w:u w:val="single"/>
        </w:rPr>
        <w:t>】</w:t>
      </w:r>
      <w:r>
        <w:rPr>
          <w:rFonts w:hint="eastAsia"/>
          <w:u w:val="single"/>
        </w:rPr>
        <w:t>（该行业类别不可修改）</w:t>
      </w:r>
      <w:r>
        <w:rPr>
          <w:rFonts w:hint="eastAsia"/>
        </w:rPr>
        <w:t>；承建（承接）企业为</w:t>
      </w:r>
      <w:r>
        <w:rPr>
          <w:rFonts w:hint="eastAsia"/>
          <w:u w:val="single"/>
        </w:rPr>
        <w:t>（企业名称）</w:t>
      </w:r>
      <w:r>
        <w:rPr>
          <w:rFonts w:hint="eastAsia"/>
        </w:rPr>
        <w:t>，从业人员人，营业收入为万元，资产总额为万元</w:t>
      </w:r>
      <w:r>
        <w:fldChar w:fldCharType="begin"/>
      </w:r>
      <w:r>
        <w:instrText xml:space="preserve"> HYPERLINK \l "br1" </w:instrText>
      </w:r>
      <w:r>
        <w:fldChar w:fldCharType="separate"/>
      </w:r>
      <w:r>
        <w:rPr>
          <w:rFonts w:ascii="仿宋" w:eastAsia="Times New Roman"/>
          <w:spacing w:val="-1"/>
          <w:vertAlign w:val="superscript"/>
        </w:rPr>
        <w:t>1</w:t>
      </w:r>
      <w:r>
        <w:rPr>
          <w:rFonts w:ascii="仿宋" w:eastAsia="Times New Roman"/>
          <w:spacing w:val="-1"/>
          <w:vertAlign w:val="superscript"/>
        </w:rPr>
        <w:fldChar w:fldCharType="end"/>
      </w:r>
      <w:r>
        <w:rPr>
          <w:rFonts w:hint="eastAsia"/>
        </w:rPr>
        <w:t>，属于</w:t>
      </w:r>
      <w:r>
        <w:rPr>
          <w:rFonts w:hint="eastAsia"/>
          <w:u w:val="single"/>
        </w:rPr>
        <w:t>（中型企业、小型企业、微型企业）；</w:t>
      </w:r>
    </w:p>
    <w:p w14:paraId="442F799D">
      <w:pPr>
        <w:spacing w:line="440" w:lineRule="exact"/>
        <w:ind w:firstLine="420"/>
        <w:jc w:val="left"/>
        <w:rPr>
          <w:u w:val="single"/>
        </w:rPr>
      </w:pPr>
      <w:r>
        <w:rPr>
          <w:rFonts w:hint="eastAsia"/>
        </w:rPr>
        <w:t xml:space="preserve">2. </w:t>
      </w:r>
      <w:r>
        <w:rPr>
          <w:rFonts w:hint="eastAsia"/>
          <w:u w:val="single"/>
        </w:rPr>
        <w:t>（标的名称）</w:t>
      </w:r>
      <w:r>
        <w:rPr>
          <w:rFonts w:hint="eastAsia"/>
        </w:rPr>
        <w:t xml:space="preserve"> ，属于</w:t>
      </w:r>
      <w:r>
        <w:rPr>
          <w:u w:val="single"/>
        </w:rPr>
        <w:t>【</w:t>
      </w:r>
      <w:r>
        <w:rPr>
          <w:rFonts w:hint="eastAsia"/>
          <w:u w:val="single"/>
        </w:rPr>
        <w:t>租赁和商务服务业</w:t>
      </w:r>
      <w:r>
        <w:rPr>
          <w:u w:val="single"/>
        </w:rPr>
        <w:t>】</w:t>
      </w:r>
      <w:r>
        <w:rPr>
          <w:rFonts w:hint="eastAsia"/>
          <w:u w:val="single"/>
        </w:rPr>
        <w:t>（该行业类别不可修改）</w:t>
      </w:r>
      <w:r>
        <w:rPr>
          <w:rFonts w:hint="eastAsia"/>
        </w:rPr>
        <w:t>；承建（承接）企业为</w:t>
      </w:r>
      <w:r>
        <w:rPr>
          <w:rFonts w:hint="eastAsia"/>
          <w:u w:val="single"/>
        </w:rPr>
        <w:t>（企业名称）</w:t>
      </w:r>
      <w:r>
        <w:rPr>
          <w:rFonts w:hint="eastAsia"/>
        </w:rPr>
        <w:t>，从业人员人，营业收入为万元，资产总额为万元，属于</w:t>
      </w:r>
      <w:r>
        <w:rPr>
          <w:rFonts w:hint="eastAsia"/>
          <w:u w:val="single"/>
        </w:rPr>
        <w:t>（中型企业、小型企业、微型企业）；</w:t>
      </w:r>
    </w:p>
    <w:p w14:paraId="1EFBEC55">
      <w:pPr>
        <w:spacing w:line="440" w:lineRule="exact"/>
        <w:ind w:firstLine="420"/>
        <w:jc w:val="left"/>
      </w:pPr>
      <w:r>
        <w:rPr>
          <w:rFonts w:hint="eastAsia"/>
        </w:rPr>
        <w:t>……</w:t>
      </w:r>
    </w:p>
    <w:p w14:paraId="4212488F">
      <w:pPr>
        <w:spacing w:line="440" w:lineRule="exact"/>
        <w:ind w:firstLine="420"/>
        <w:jc w:val="left"/>
      </w:pPr>
      <w:r>
        <w:rPr>
          <w:rFonts w:hint="eastAsia"/>
        </w:rPr>
        <w:t>以上企业，不属于大企业的分支机构，不存在控股股东为大企业的情形，也不存在与大企业的负责人为同一人的情形。</w:t>
      </w:r>
    </w:p>
    <w:p w14:paraId="1B7B29D9">
      <w:pPr>
        <w:spacing w:line="440" w:lineRule="exact"/>
        <w:ind w:firstLine="420"/>
        <w:jc w:val="left"/>
      </w:pPr>
      <w:r>
        <w:rPr>
          <w:rFonts w:hint="eastAsia"/>
        </w:rPr>
        <w:t>本企业对上述声明内容的真实性负责。如有虚假，将依法承担相应责任。</w:t>
      </w:r>
    </w:p>
    <w:p w14:paraId="0E063606">
      <w:pPr>
        <w:spacing w:line="440" w:lineRule="exact"/>
        <w:rPr>
          <w:rFonts w:ascii="宋体" w:hAnsi="宋体"/>
        </w:rPr>
      </w:pPr>
      <w:r>
        <w:rPr>
          <w:rFonts w:hint="eastAsia" w:ascii="宋体" w:hAnsi="宋体"/>
          <w:b/>
          <w:bCs/>
        </w:rPr>
        <w:t>注</w:t>
      </w:r>
      <w:r>
        <w:rPr>
          <w:rFonts w:hint="eastAsia" w:ascii="宋体" w:hAnsi="宋体"/>
        </w:rPr>
        <w:t>：1、</w:t>
      </w:r>
      <w:r>
        <w:rPr>
          <w:rFonts w:hint="eastAsia"/>
        </w:rPr>
        <w:t>从业人员（不仅指在职职工）、营业收入、资产总额填报上一年度数据，无上一年度数据的新成立企业可不填报。</w:t>
      </w:r>
    </w:p>
    <w:p w14:paraId="4D1766DF">
      <w:pPr>
        <w:spacing w:line="440" w:lineRule="exact"/>
        <w:ind w:firstLine="420"/>
        <w:rPr>
          <w:rFonts w:ascii="宋体" w:hAnsi="宋体"/>
        </w:rPr>
      </w:pPr>
      <w:r>
        <w:rPr>
          <w:rFonts w:hint="eastAsia" w:ascii="宋体" w:hAnsi="宋体"/>
        </w:rPr>
        <w:t>2、供应商如不提供此声明函，价格将不做相应扣除。</w:t>
      </w:r>
    </w:p>
    <w:p w14:paraId="35C6C601">
      <w:pPr>
        <w:spacing w:line="440" w:lineRule="exact"/>
        <w:rPr>
          <w:rFonts w:ascii="宋体" w:hAnsi="宋体"/>
        </w:rPr>
      </w:pPr>
      <w:r>
        <w:rPr>
          <w:rFonts w:hint="eastAsia" w:ascii="宋体" w:hAnsi="宋体"/>
        </w:rPr>
        <w:t xml:space="preserve">    3、企业声明函请完整填写，成交后将公示。</w:t>
      </w:r>
    </w:p>
    <w:p w14:paraId="6DA31963">
      <w:pPr>
        <w:spacing w:line="440" w:lineRule="exact"/>
        <w:ind w:firstLine="420"/>
        <w:jc w:val="left"/>
      </w:pPr>
      <w:r>
        <w:rPr>
          <w:rFonts w:hint="eastAsia"/>
        </w:rPr>
        <w:t>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p>
    <w:p w14:paraId="39312471">
      <w:pPr>
        <w:spacing w:line="440" w:lineRule="exact"/>
        <w:ind w:firstLine="420"/>
        <w:jc w:val="left"/>
      </w:pPr>
      <w:r>
        <w:rPr>
          <w:rFonts w:hint="eastAsia"/>
        </w:rPr>
        <w:t>5、中小企业不得属于大企业的分支机构，不得存在控股股东为大企业的情形，不得存在与大企业的负责人为同一人的情形。</w:t>
      </w:r>
    </w:p>
    <w:p w14:paraId="4419B1B3">
      <w:pPr>
        <w:spacing w:line="440" w:lineRule="exact"/>
        <w:ind w:firstLine="420"/>
        <w:jc w:val="left"/>
      </w:pPr>
      <w:r>
        <w:rPr>
          <w:rFonts w:hint="eastAsia"/>
        </w:rPr>
        <w:t>6、《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51CD52B4">
      <w:pPr>
        <w:spacing w:line="360" w:lineRule="auto"/>
        <w:ind w:firstLine="4620"/>
        <w:jc w:val="left"/>
      </w:pPr>
      <w:r>
        <w:rPr>
          <w:rFonts w:hint="eastAsia"/>
        </w:rPr>
        <w:t>企业名称（盖章）：</w:t>
      </w:r>
    </w:p>
    <w:p w14:paraId="776791F8">
      <w:pPr>
        <w:spacing w:line="360" w:lineRule="auto"/>
        <w:ind w:firstLine="4620"/>
        <w:jc w:val="left"/>
      </w:pPr>
      <w:r>
        <w:rPr>
          <w:rFonts w:hint="eastAsia"/>
        </w:rPr>
        <w:t>日 期：</w:t>
      </w:r>
    </w:p>
    <w:p w14:paraId="4720D744">
      <w:pPr>
        <w:spacing w:line="360" w:lineRule="auto"/>
        <w:ind w:firstLine="4620"/>
        <w:jc w:val="left"/>
      </w:pPr>
    </w:p>
    <w:p w14:paraId="63E05B2E">
      <w:pPr>
        <w:pStyle w:val="245"/>
        <w:widowControl/>
        <w:spacing w:before="300" w:after="300" w:line="360" w:lineRule="auto"/>
        <w:jc w:val="center"/>
        <w:outlineLvl w:val="9"/>
        <w:rPr>
          <w:rFonts w:ascii="宋体" w:hAnsi="宋体" w:cs="微软雅黑"/>
          <w:bCs w:val="0"/>
          <w:sz w:val="21"/>
          <w:szCs w:val="21"/>
        </w:rPr>
      </w:pPr>
      <w:bookmarkStart w:id="40" w:name="_Toc109304977"/>
      <w:bookmarkStart w:id="41" w:name="_Toc21325"/>
    </w:p>
    <w:p w14:paraId="2F104666">
      <w:pPr>
        <w:pStyle w:val="246"/>
      </w:pPr>
    </w:p>
    <w:p w14:paraId="3F6B4F61">
      <w:pPr>
        <w:pStyle w:val="245"/>
        <w:widowControl/>
        <w:spacing w:before="300" w:after="300" w:line="360" w:lineRule="auto"/>
        <w:jc w:val="center"/>
        <w:outlineLvl w:val="9"/>
        <w:rPr>
          <w:rFonts w:ascii="宋体" w:hAnsi="宋体"/>
          <w:sz w:val="21"/>
          <w:szCs w:val="21"/>
        </w:rPr>
      </w:pPr>
      <w:r>
        <w:rPr>
          <w:rFonts w:hint="eastAsia" w:ascii="宋体" w:hAnsi="宋体" w:cs="微软雅黑"/>
          <w:bCs w:val="0"/>
          <w:sz w:val="21"/>
          <w:szCs w:val="21"/>
        </w:rPr>
        <w:t>中小微企业划型标准</w:t>
      </w:r>
      <w:bookmarkEnd w:id="40"/>
      <w:r>
        <w:rPr>
          <w:rFonts w:hint="eastAsia" w:ascii="宋体" w:hAnsi="宋体" w:cs="微软雅黑"/>
          <w:bCs w:val="0"/>
          <w:sz w:val="21"/>
          <w:szCs w:val="21"/>
        </w:rPr>
        <w:t> </w:t>
      </w:r>
      <w:bookmarkEnd w:id="41"/>
    </w:p>
    <w:p w14:paraId="622AE639">
      <w:pPr>
        <w:pStyle w:val="257"/>
        <w:widowControl/>
        <w:spacing w:before="300" w:after="452" w:line="360" w:lineRule="auto"/>
        <w:ind w:firstLine="420"/>
        <w:rPr>
          <w:rFonts w:ascii="宋体" w:hAnsi="宋体"/>
          <w:sz w:val="21"/>
          <w:szCs w:val="21"/>
        </w:rPr>
      </w:pPr>
      <w:r>
        <w:rPr>
          <w:rFonts w:hint="eastAsia" w:ascii="宋体" w:hAnsi="宋体" w:cs="仿宋"/>
          <w:sz w:val="21"/>
          <w:szCs w:val="21"/>
        </w:rPr>
        <w:t>    </w:t>
      </w:r>
      <w:r>
        <w:rPr>
          <w:rStyle w:val="258"/>
          <w:rFonts w:hint="eastAsia" w:ascii="宋体" w:hAnsi="宋体" w:cs="仿宋"/>
          <w:sz w:val="21"/>
          <w:szCs w:val="21"/>
        </w:rPr>
        <w:t>中小微企业划型标准如下：</w:t>
      </w:r>
    </w:p>
    <w:tbl>
      <w:tblPr>
        <w:tblStyle w:val="41"/>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46"/>
        <w:gridCol w:w="1739"/>
        <w:gridCol w:w="505"/>
        <w:gridCol w:w="2089"/>
        <w:gridCol w:w="1709"/>
        <w:gridCol w:w="1500"/>
      </w:tblGrid>
      <w:tr w14:paraId="0C51E5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01" w:type="dxa"/>
            <w:noWrap/>
            <w:tcMar>
              <w:top w:w="0" w:type="dxa"/>
              <w:left w:w="105" w:type="dxa"/>
              <w:bottom w:w="0" w:type="dxa"/>
              <w:right w:w="105" w:type="dxa"/>
            </w:tcMar>
            <w:vAlign w:val="center"/>
          </w:tcPr>
          <w:p w14:paraId="6E79901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行业名称</w:t>
            </w:r>
          </w:p>
        </w:tc>
        <w:tc>
          <w:tcPr>
            <w:tcW w:w="1709" w:type="dxa"/>
            <w:noWrap/>
            <w:tcMar>
              <w:top w:w="0" w:type="dxa"/>
              <w:left w:w="105" w:type="dxa"/>
              <w:bottom w:w="0" w:type="dxa"/>
              <w:right w:w="105" w:type="dxa"/>
            </w:tcMar>
            <w:vAlign w:val="center"/>
          </w:tcPr>
          <w:p w14:paraId="62963DFC">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指标名称</w:t>
            </w:r>
          </w:p>
        </w:tc>
        <w:tc>
          <w:tcPr>
            <w:tcW w:w="475" w:type="dxa"/>
            <w:noWrap/>
            <w:tcMar>
              <w:top w:w="0" w:type="dxa"/>
              <w:left w:w="105" w:type="dxa"/>
              <w:bottom w:w="0" w:type="dxa"/>
              <w:right w:w="105" w:type="dxa"/>
            </w:tcMar>
            <w:vAlign w:val="center"/>
          </w:tcPr>
          <w:p w14:paraId="0057DCA5">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计量单位</w:t>
            </w:r>
          </w:p>
        </w:tc>
        <w:tc>
          <w:tcPr>
            <w:tcW w:w="2059" w:type="dxa"/>
            <w:noWrap/>
            <w:tcMar>
              <w:top w:w="0" w:type="dxa"/>
              <w:left w:w="105" w:type="dxa"/>
              <w:bottom w:w="0" w:type="dxa"/>
              <w:right w:w="105" w:type="dxa"/>
            </w:tcMar>
            <w:vAlign w:val="center"/>
          </w:tcPr>
          <w:p w14:paraId="061BF161">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中型</w:t>
            </w:r>
          </w:p>
        </w:tc>
        <w:tc>
          <w:tcPr>
            <w:tcW w:w="1679" w:type="dxa"/>
            <w:noWrap/>
            <w:tcMar>
              <w:top w:w="0" w:type="dxa"/>
              <w:left w:w="105" w:type="dxa"/>
              <w:bottom w:w="0" w:type="dxa"/>
              <w:right w:w="105" w:type="dxa"/>
            </w:tcMar>
            <w:vAlign w:val="center"/>
          </w:tcPr>
          <w:p w14:paraId="2928CE11">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小型</w:t>
            </w:r>
          </w:p>
        </w:tc>
        <w:tc>
          <w:tcPr>
            <w:tcW w:w="1455" w:type="dxa"/>
            <w:noWrap/>
            <w:tcMar>
              <w:top w:w="0" w:type="dxa"/>
              <w:left w:w="105" w:type="dxa"/>
              <w:bottom w:w="0" w:type="dxa"/>
              <w:right w:w="105" w:type="dxa"/>
            </w:tcMar>
            <w:vAlign w:val="center"/>
          </w:tcPr>
          <w:p w14:paraId="7DD0602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微型</w:t>
            </w:r>
          </w:p>
        </w:tc>
      </w:tr>
      <w:tr w14:paraId="2165F40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noWrap/>
            <w:tcMar>
              <w:top w:w="0" w:type="dxa"/>
              <w:left w:w="105" w:type="dxa"/>
              <w:bottom w:w="0" w:type="dxa"/>
              <w:right w:w="105" w:type="dxa"/>
            </w:tcMar>
            <w:vAlign w:val="bottom"/>
          </w:tcPr>
          <w:p w14:paraId="2798413B">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农、林、牧、渔</w:t>
            </w:r>
          </w:p>
        </w:tc>
        <w:tc>
          <w:tcPr>
            <w:tcW w:w="1709" w:type="dxa"/>
            <w:noWrap/>
            <w:tcMar>
              <w:top w:w="0" w:type="dxa"/>
              <w:left w:w="105" w:type="dxa"/>
              <w:bottom w:w="0" w:type="dxa"/>
              <w:right w:w="105" w:type="dxa"/>
            </w:tcMar>
            <w:vAlign w:val="center"/>
          </w:tcPr>
          <w:p w14:paraId="22BB09AF">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2913178A">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016BDCDA">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500≤Y＜20000</w:t>
            </w:r>
          </w:p>
        </w:tc>
        <w:tc>
          <w:tcPr>
            <w:tcW w:w="1679" w:type="dxa"/>
            <w:noWrap/>
            <w:tcMar>
              <w:top w:w="0" w:type="dxa"/>
              <w:left w:w="105" w:type="dxa"/>
              <w:bottom w:w="0" w:type="dxa"/>
              <w:right w:w="105" w:type="dxa"/>
            </w:tcMar>
            <w:vAlign w:val="center"/>
          </w:tcPr>
          <w:p w14:paraId="26FA543E">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50≤Y＜500</w:t>
            </w:r>
          </w:p>
        </w:tc>
        <w:tc>
          <w:tcPr>
            <w:tcW w:w="1455" w:type="dxa"/>
            <w:noWrap/>
            <w:tcMar>
              <w:top w:w="0" w:type="dxa"/>
              <w:left w:w="105" w:type="dxa"/>
              <w:bottom w:w="0" w:type="dxa"/>
              <w:right w:w="105" w:type="dxa"/>
            </w:tcMar>
            <w:vAlign w:val="center"/>
          </w:tcPr>
          <w:p w14:paraId="75E2DEFA">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Y＜50</w:t>
            </w:r>
          </w:p>
        </w:tc>
      </w:tr>
      <w:tr w14:paraId="7D05C96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59AEADD4">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工业</w:t>
            </w:r>
          </w:p>
        </w:tc>
        <w:tc>
          <w:tcPr>
            <w:tcW w:w="1709" w:type="dxa"/>
            <w:noWrap/>
            <w:tcMar>
              <w:top w:w="0" w:type="dxa"/>
              <w:left w:w="105" w:type="dxa"/>
              <w:bottom w:w="0" w:type="dxa"/>
              <w:right w:w="105" w:type="dxa"/>
            </w:tcMar>
            <w:vAlign w:val="center"/>
          </w:tcPr>
          <w:p w14:paraId="7651FD1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7FB8FA4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69E02AF0">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300≤X＜1000</w:t>
            </w:r>
          </w:p>
        </w:tc>
        <w:tc>
          <w:tcPr>
            <w:tcW w:w="1679" w:type="dxa"/>
            <w:noWrap/>
            <w:tcMar>
              <w:top w:w="0" w:type="dxa"/>
              <w:left w:w="105" w:type="dxa"/>
              <w:bottom w:w="0" w:type="dxa"/>
              <w:right w:w="105" w:type="dxa"/>
            </w:tcMar>
            <w:vAlign w:val="center"/>
          </w:tcPr>
          <w:p w14:paraId="53CAA4E9">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20≤X＜300</w:t>
            </w:r>
          </w:p>
        </w:tc>
        <w:tc>
          <w:tcPr>
            <w:tcW w:w="1455" w:type="dxa"/>
            <w:noWrap/>
            <w:tcMar>
              <w:top w:w="0" w:type="dxa"/>
              <w:left w:w="105" w:type="dxa"/>
              <w:bottom w:w="0" w:type="dxa"/>
              <w:right w:w="105" w:type="dxa"/>
            </w:tcMar>
            <w:vAlign w:val="center"/>
          </w:tcPr>
          <w:p w14:paraId="137EFC0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X＜20</w:t>
            </w:r>
          </w:p>
        </w:tc>
      </w:tr>
      <w:tr w14:paraId="38CC03F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6A20FBA5">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2D98EDC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58543E9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55DADF6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2000≤Y＜40000</w:t>
            </w:r>
          </w:p>
        </w:tc>
        <w:tc>
          <w:tcPr>
            <w:tcW w:w="1679" w:type="dxa"/>
            <w:noWrap/>
            <w:tcMar>
              <w:top w:w="0" w:type="dxa"/>
              <w:left w:w="105" w:type="dxa"/>
              <w:bottom w:w="0" w:type="dxa"/>
              <w:right w:w="105" w:type="dxa"/>
            </w:tcMar>
            <w:vAlign w:val="center"/>
          </w:tcPr>
          <w:p w14:paraId="4EAB2AEF">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300≤Y＜2000</w:t>
            </w:r>
          </w:p>
        </w:tc>
        <w:tc>
          <w:tcPr>
            <w:tcW w:w="1455" w:type="dxa"/>
            <w:noWrap/>
            <w:tcMar>
              <w:top w:w="0" w:type="dxa"/>
              <w:left w:w="105" w:type="dxa"/>
              <w:bottom w:w="0" w:type="dxa"/>
              <w:right w:w="105" w:type="dxa"/>
            </w:tcMar>
            <w:vAlign w:val="center"/>
          </w:tcPr>
          <w:p w14:paraId="0DCB060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Y＜300</w:t>
            </w:r>
          </w:p>
        </w:tc>
      </w:tr>
      <w:tr w14:paraId="34C883D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34F92A2A">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建筑业</w:t>
            </w:r>
          </w:p>
        </w:tc>
        <w:tc>
          <w:tcPr>
            <w:tcW w:w="1709" w:type="dxa"/>
            <w:noWrap/>
            <w:tcMar>
              <w:top w:w="0" w:type="dxa"/>
              <w:left w:w="105" w:type="dxa"/>
              <w:bottom w:w="0" w:type="dxa"/>
              <w:right w:w="105" w:type="dxa"/>
            </w:tcMar>
            <w:vAlign w:val="center"/>
          </w:tcPr>
          <w:p w14:paraId="01D15FD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76F97CC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0769C6E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6000≤Y＜80000</w:t>
            </w:r>
          </w:p>
        </w:tc>
        <w:tc>
          <w:tcPr>
            <w:tcW w:w="1679" w:type="dxa"/>
            <w:noWrap/>
            <w:tcMar>
              <w:top w:w="0" w:type="dxa"/>
              <w:left w:w="105" w:type="dxa"/>
              <w:bottom w:w="0" w:type="dxa"/>
              <w:right w:w="105" w:type="dxa"/>
            </w:tcMar>
            <w:vAlign w:val="center"/>
          </w:tcPr>
          <w:p w14:paraId="2172B659">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300≤Y＜6000</w:t>
            </w:r>
          </w:p>
        </w:tc>
        <w:tc>
          <w:tcPr>
            <w:tcW w:w="1455" w:type="dxa"/>
            <w:noWrap/>
            <w:tcMar>
              <w:top w:w="0" w:type="dxa"/>
              <w:left w:w="105" w:type="dxa"/>
              <w:bottom w:w="0" w:type="dxa"/>
              <w:right w:w="105" w:type="dxa"/>
            </w:tcMar>
            <w:vAlign w:val="center"/>
          </w:tcPr>
          <w:p w14:paraId="0D2027DF">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Y＜300</w:t>
            </w:r>
          </w:p>
        </w:tc>
      </w:tr>
      <w:tr w14:paraId="1D0EEE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6370E949">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4A47F7D5">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资产总额（Z）</w:t>
            </w:r>
          </w:p>
        </w:tc>
        <w:tc>
          <w:tcPr>
            <w:tcW w:w="475" w:type="dxa"/>
            <w:noWrap/>
            <w:tcMar>
              <w:top w:w="0" w:type="dxa"/>
              <w:left w:w="105" w:type="dxa"/>
              <w:bottom w:w="0" w:type="dxa"/>
              <w:right w:w="105" w:type="dxa"/>
            </w:tcMar>
            <w:vAlign w:val="center"/>
          </w:tcPr>
          <w:p w14:paraId="3638C7C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19F8DC43">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5000≤Z＜80000</w:t>
            </w:r>
          </w:p>
        </w:tc>
        <w:tc>
          <w:tcPr>
            <w:tcW w:w="1679" w:type="dxa"/>
            <w:noWrap/>
            <w:tcMar>
              <w:top w:w="0" w:type="dxa"/>
              <w:left w:w="105" w:type="dxa"/>
              <w:bottom w:w="0" w:type="dxa"/>
              <w:right w:w="105" w:type="dxa"/>
            </w:tcMar>
            <w:vAlign w:val="center"/>
          </w:tcPr>
          <w:p w14:paraId="5E7AC050">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300≤Z＜5000</w:t>
            </w:r>
          </w:p>
        </w:tc>
        <w:tc>
          <w:tcPr>
            <w:tcW w:w="1455" w:type="dxa"/>
            <w:noWrap/>
            <w:tcMar>
              <w:top w:w="0" w:type="dxa"/>
              <w:left w:w="105" w:type="dxa"/>
              <w:bottom w:w="0" w:type="dxa"/>
              <w:right w:w="105" w:type="dxa"/>
            </w:tcMar>
            <w:vAlign w:val="center"/>
          </w:tcPr>
          <w:p w14:paraId="7B78796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Z＜300</w:t>
            </w:r>
          </w:p>
        </w:tc>
      </w:tr>
      <w:tr w14:paraId="44BAB52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4F78F74C">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批发业</w:t>
            </w:r>
          </w:p>
        </w:tc>
        <w:tc>
          <w:tcPr>
            <w:tcW w:w="1709" w:type="dxa"/>
            <w:noWrap/>
            <w:tcMar>
              <w:top w:w="0" w:type="dxa"/>
              <w:left w:w="105" w:type="dxa"/>
              <w:bottom w:w="0" w:type="dxa"/>
              <w:right w:w="105" w:type="dxa"/>
            </w:tcMar>
            <w:vAlign w:val="center"/>
          </w:tcPr>
          <w:p w14:paraId="0A6878B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0CAD2DC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4CD673D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20≤X＜200</w:t>
            </w:r>
          </w:p>
        </w:tc>
        <w:tc>
          <w:tcPr>
            <w:tcW w:w="1679" w:type="dxa"/>
            <w:noWrap/>
            <w:tcMar>
              <w:top w:w="0" w:type="dxa"/>
              <w:left w:w="105" w:type="dxa"/>
              <w:bottom w:w="0" w:type="dxa"/>
              <w:right w:w="105" w:type="dxa"/>
            </w:tcMar>
            <w:vAlign w:val="center"/>
          </w:tcPr>
          <w:p w14:paraId="1E3C9444">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5≤X＜20</w:t>
            </w:r>
          </w:p>
        </w:tc>
        <w:tc>
          <w:tcPr>
            <w:tcW w:w="1455" w:type="dxa"/>
            <w:noWrap/>
            <w:tcMar>
              <w:top w:w="0" w:type="dxa"/>
              <w:left w:w="105" w:type="dxa"/>
              <w:bottom w:w="0" w:type="dxa"/>
              <w:right w:w="105" w:type="dxa"/>
            </w:tcMar>
            <w:vAlign w:val="center"/>
          </w:tcPr>
          <w:p w14:paraId="60EDE01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X＜5</w:t>
            </w:r>
          </w:p>
        </w:tc>
      </w:tr>
      <w:tr w14:paraId="7A98B6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1E4051B9">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496868A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30460F9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6647B7B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5000≤Y＜40000</w:t>
            </w:r>
          </w:p>
        </w:tc>
        <w:tc>
          <w:tcPr>
            <w:tcW w:w="1679" w:type="dxa"/>
            <w:noWrap/>
            <w:tcMar>
              <w:top w:w="0" w:type="dxa"/>
              <w:left w:w="105" w:type="dxa"/>
              <w:bottom w:w="0" w:type="dxa"/>
              <w:right w:w="105" w:type="dxa"/>
            </w:tcMar>
            <w:vAlign w:val="center"/>
          </w:tcPr>
          <w:p w14:paraId="48F41DF5">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1000≤Y＜5000</w:t>
            </w:r>
          </w:p>
        </w:tc>
        <w:tc>
          <w:tcPr>
            <w:tcW w:w="1455" w:type="dxa"/>
            <w:noWrap/>
            <w:tcMar>
              <w:top w:w="0" w:type="dxa"/>
              <w:left w:w="105" w:type="dxa"/>
              <w:bottom w:w="0" w:type="dxa"/>
              <w:right w:w="105" w:type="dxa"/>
            </w:tcMar>
            <w:vAlign w:val="center"/>
          </w:tcPr>
          <w:p w14:paraId="0F7F0C8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Y＜1000</w:t>
            </w:r>
          </w:p>
        </w:tc>
      </w:tr>
      <w:tr w14:paraId="7F172BE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5DD7F814">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零售业</w:t>
            </w:r>
          </w:p>
        </w:tc>
        <w:tc>
          <w:tcPr>
            <w:tcW w:w="1709" w:type="dxa"/>
            <w:noWrap/>
            <w:tcMar>
              <w:top w:w="0" w:type="dxa"/>
              <w:left w:w="105" w:type="dxa"/>
              <w:bottom w:w="0" w:type="dxa"/>
              <w:right w:w="105" w:type="dxa"/>
            </w:tcMar>
            <w:vAlign w:val="center"/>
          </w:tcPr>
          <w:p w14:paraId="0D1F094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3DDB7630">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63DF6AA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50≤X＜300</w:t>
            </w:r>
          </w:p>
        </w:tc>
        <w:tc>
          <w:tcPr>
            <w:tcW w:w="1679" w:type="dxa"/>
            <w:noWrap/>
            <w:tcMar>
              <w:top w:w="0" w:type="dxa"/>
              <w:left w:w="105" w:type="dxa"/>
              <w:bottom w:w="0" w:type="dxa"/>
              <w:right w:w="105" w:type="dxa"/>
            </w:tcMar>
            <w:vAlign w:val="center"/>
          </w:tcPr>
          <w:p w14:paraId="634D51A6">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10≤X＜50</w:t>
            </w:r>
          </w:p>
        </w:tc>
        <w:tc>
          <w:tcPr>
            <w:tcW w:w="1455" w:type="dxa"/>
            <w:noWrap/>
            <w:tcMar>
              <w:top w:w="0" w:type="dxa"/>
              <w:left w:w="105" w:type="dxa"/>
              <w:bottom w:w="0" w:type="dxa"/>
              <w:right w:w="105" w:type="dxa"/>
            </w:tcMar>
            <w:vAlign w:val="center"/>
          </w:tcPr>
          <w:p w14:paraId="72B371B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w:t>
            </w:r>
          </w:p>
        </w:tc>
      </w:tr>
      <w:tr w14:paraId="30C9B4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0F8675C7">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78AE608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5D1FEAF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3058487D">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500≤Y＜20000</w:t>
            </w:r>
          </w:p>
        </w:tc>
        <w:tc>
          <w:tcPr>
            <w:tcW w:w="1679" w:type="dxa"/>
            <w:noWrap/>
            <w:tcMar>
              <w:top w:w="0" w:type="dxa"/>
              <w:left w:w="105" w:type="dxa"/>
              <w:bottom w:w="0" w:type="dxa"/>
              <w:right w:w="105" w:type="dxa"/>
            </w:tcMar>
            <w:vAlign w:val="center"/>
          </w:tcPr>
          <w:p w14:paraId="65790D24">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100≤Y＜500</w:t>
            </w:r>
          </w:p>
        </w:tc>
        <w:tc>
          <w:tcPr>
            <w:tcW w:w="1455" w:type="dxa"/>
            <w:noWrap/>
            <w:tcMar>
              <w:top w:w="0" w:type="dxa"/>
              <w:left w:w="105" w:type="dxa"/>
              <w:bottom w:w="0" w:type="dxa"/>
              <w:right w:w="105" w:type="dxa"/>
            </w:tcMar>
            <w:vAlign w:val="center"/>
          </w:tcPr>
          <w:p w14:paraId="1AFD5C1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w:t>
            </w:r>
          </w:p>
        </w:tc>
      </w:tr>
      <w:tr w14:paraId="2E18C5B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651F64D2">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交通运输业</w:t>
            </w:r>
          </w:p>
        </w:tc>
        <w:tc>
          <w:tcPr>
            <w:tcW w:w="1709" w:type="dxa"/>
            <w:noWrap/>
            <w:tcMar>
              <w:top w:w="0" w:type="dxa"/>
              <w:left w:w="105" w:type="dxa"/>
              <w:bottom w:w="0" w:type="dxa"/>
              <w:right w:w="105" w:type="dxa"/>
            </w:tcMar>
            <w:vAlign w:val="center"/>
          </w:tcPr>
          <w:p w14:paraId="1FF56AD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14E9A554">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1F064D44">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300≤X＜1000</w:t>
            </w:r>
          </w:p>
        </w:tc>
        <w:tc>
          <w:tcPr>
            <w:tcW w:w="1679" w:type="dxa"/>
            <w:noWrap/>
            <w:tcMar>
              <w:top w:w="0" w:type="dxa"/>
              <w:left w:w="105" w:type="dxa"/>
              <w:bottom w:w="0" w:type="dxa"/>
              <w:right w:w="105" w:type="dxa"/>
            </w:tcMar>
            <w:vAlign w:val="center"/>
          </w:tcPr>
          <w:p w14:paraId="7E128F4F">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20≤X＜300</w:t>
            </w:r>
          </w:p>
        </w:tc>
        <w:tc>
          <w:tcPr>
            <w:tcW w:w="1455" w:type="dxa"/>
            <w:noWrap/>
            <w:tcMar>
              <w:top w:w="0" w:type="dxa"/>
              <w:left w:w="105" w:type="dxa"/>
              <w:bottom w:w="0" w:type="dxa"/>
              <w:right w:w="105" w:type="dxa"/>
            </w:tcMar>
            <w:vAlign w:val="center"/>
          </w:tcPr>
          <w:p w14:paraId="0B4144B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X＜20</w:t>
            </w:r>
          </w:p>
        </w:tc>
      </w:tr>
      <w:tr w14:paraId="1B4E47B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1DEB7CBE">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5C7DEEB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70BB52E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19123DA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3000≤Y＜30000</w:t>
            </w:r>
          </w:p>
        </w:tc>
        <w:tc>
          <w:tcPr>
            <w:tcW w:w="1679" w:type="dxa"/>
            <w:noWrap/>
            <w:tcMar>
              <w:top w:w="0" w:type="dxa"/>
              <w:left w:w="105" w:type="dxa"/>
              <w:bottom w:w="0" w:type="dxa"/>
              <w:right w:w="105" w:type="dxa"/>
            </w:tcMar>
            <w:vAlign w:val="center"/>
          </w:tcPr>
          <w:p w14:paraId="25EDF198">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200≤Y＜3000</w:t>
            </w:r>
          </w:p>
        </w:tc>
        <w:tc>
          <w:tcPr>
            <w:tcW w:w="1455" w:type="dxa"/>
            <w:noWrap/>
            <w:tcMar>
              <w:top w:w="0" w:type="dxa"/>
              <w:left w:w="105" w:type="dxa"/>
              <w:bottom w:w="0" w:type="dxa"/>
              <w:right w:w="105" w:type="dxa"/>
            </w:tcMar>
            <w:vAlign w:val="center"/>
          </w:tcPr>
          <w:p w14:paraId="141FA80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Y＜200</w:t>
            </w:r>
          </w:p>
        </w:tc>
      </w:tr>
      <w:tr w14:paraId="1A6009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7018053C">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仓储业</w:t>
            </w:r>
          </w:p>
        </w:tc>
        <w:tc>
          <w:tcPr>
            <w:tcW w:w="1709" w:type="dxa"/>
            <w:noWrap/>
            <w:tcMar>
              <w:top w:w="0" w:type="dxa"/>
              <w:left w:w="105" w:type="dxa"/>
              <w:bottom w:w="0" w:type="dxa"/>
              <w:right w:w="105" w:type="dxa"/>
            </w:tcMar>
            <w:vAlign w:val="center"/>
          </w:tcPr>
          <w:p w14:paraId="5FC41395">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5F06B5C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282B4ABF">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100≤X＜200</w:t>
            </w:r>
          </w:p>
        </w:tc>
        <w:tc>
          <w:tcPr>
            <w:tcW w:w="1679" w:type="dxa"/>
            <w:noWrap/>
            <w:tcMar>
              <w:top w:w="0" w:type="dxa"/>
              <w:left w:w="105" w:type="dxa"/>
              <w:bottom w:w="0" w:type="dxa"/>
              <w:right w:w="105" w:type="dxa"/>
            </w:tcMar>
            <w:vAlign w:val="center"/>
          </w:tcPr>
          <w:p w14:paraId="09E72B37">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20≤X＜100</w:t>
            </w:r>
          </w:p>
        </w:tc>
        <w:tc>
          <w:tcPr>
            <w:tcW w:w="1455" w:type="dxa"/>
            <w:noWrap/>
            <w:tcMar>
              <w:top w:w="0" w:type="dxa"/>
              <w:left w:w="105" w:type="dxa"/>
              <w:bottom w:w="0" w:type="dxa"/>
              <w:right w:w="105" w:type="dxa"/>
            </w:tcMar>
            <w:vAlign w:val="center"/>
          </w:tcPr>
          <w:p w14:paraId="60612B2D">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X＜20</w:t>
            </w:r>
          </w:p>
        </w:tc>
      </w:tr>
      <w:tr w14:paraId="74DD907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7D2CF70C">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239B511F">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647CF7BE">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4926194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1000≤Y＜30000</w:t>
            </w:r>
          </w:p>
        </w:tc>
        <w:tc>
          <w:tcPr>
            <w:tcW w:w="1679" w:type="dxa"/>
            <w:noWrap/>
            <w:tcMar>
              <w:top w:w="0" w:type="dxa"/>
              <w:left w:w="105" w:type="dxa"/>
              <w:bottom w:w="0" w:type="dxa"/>
              <w:right w:w="105" w:type="dxa"/>
            </w:tcMar>
            <w:vAlign w:val="center"/>
          </w:tcPr>
          <w:p w14:paraId="3F8491FA">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100≤Y＜1000</w:t>
            </w:r>
          </w:p>
        </w:tc>
        <w:tc>
          <w:tcPr>
            <w:tcW w:w="1455" w:type="dxa"/>
            <w:noWrap/>
            <w:tcMar>
              <w:top w:w="0" w:type="dxa"/>
              <w:left w:w="105" w:type="dxa"/>
              <w:bottom w:w="0" w:type="dxa"/>
              <w:right w:w="105" w:type="dxa"/>
            </w:tcMar>
            <w:vAlign w:val="center"/>
          </w:tcPr>
          <w:p w14:paraId="7250E6B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w:t>
            </w:r>
          </w:p>
        </w:tc>
      </w:tr>
      <w:tr w14:paraId="06361E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03272C0F">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邮政业</w:t>
            </w:r>
          </w:p>
        </w:tc>
        <w:tc>
          <w:tcPr>
            <w:tcW w:w="1709" w:type="dxa"/>
            <w:noWrap/>
            <w:tcMar>
              <w:top w:w="0" w:type="dxa"/>
              <w:left w:w="105" w:type="dxa"/>
              <w:bottom w:w="0" w:type="dxa"/>
              <w:right w:w="105" w:type="dxa"/>
            </w:tcMar>
            <w:vAlign w:val="center"/>
          </w:tcPr>
          <w:p w14:paraId="0C0750A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2ACDD0D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11019DE5">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300≤X＜1000</w:t>
            </w:r>
          </w:p>
        </w:tc>
        <w:tc>
          <w:tcPr>
            <w:tcW w:w="1679" w:type="dxa"/>
            <w:noWrap/>
            <w:tcMar>
              <w:top w:w="0" w:type="dxa"/>
              <w:left w:w="105" w:type="dxa"/>
              <w:bottom w:w="0" w:type="dxa"/>
              <w:right w:w="105" w:type="dxa"/>
            </w:tcMar>
            <w:vAlign w:val="center"/>
          </w:tcPr>
          <w:p w14:paraId="78B75055">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20≤X＜300</w:t>
            </w:r>
          </w:p>
        </w:tc>
        <w:tc>
          <w:tcPr>
            <w:tcW w:w="1455" w:type="dxa"/>
            <w:noWrap/>
            <w:tcMar>
              <w:top w:w="0" w:type="dxa"/>
              <w:left w:w="105" w:type="dxa"/>
              <w:bottom w:w="0" w:type="dxa"/>
              <w:right w:w="105" w:type="dxa"/>
            </w:tcMar>
            <w:vAlign w:val="center"/>
          </w:tcPr>
          <w:p w14:paraId="3DA6568F">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X＜20</w:t>
            </w:r>
          </w:p>
        </w:tc>
      </w:tr>
      <w:tr w14:paraId="7F3106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351BE32E">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08E3A5C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05EA2D5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万元</w:t>
            </w:r>
          </w:p>
        </w:tc>
        <w:tc>
          <w:tcPr>
            <w:tcW w:w="2059" w:type="dxa"/>
            <w:noWrap/>
            <w:tcMar>
              <w:top w:w="0" w:type="dxa"/>
              <w:left w:w="105" w:type="dxa"/>
              <w:bottom w:w="0" w:type="dxa"/>
              <w:right w:w="105" w:type="dxa"/>
            </w:tcMar>
            <w:vAlign w:val="center"/>
          </w:tcPr>
          <w:p w14:paraId="4A8F12D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2000≤Y＜30000</w:t>
            </w:r>
          </w:p>
        </w:tc>
        <w:tc>
          <w:tcPr>
            <w:tcW w:w="1679" w:type="dxa"/>
            <w:noWrap/>
            <w:tcMar>
              <w:top w:w="0" w:type="dxa"/>
              <w:left w:w="105" w:type="dxa"/>
              <w:bottom w:w="0" w:type="dxa"/>
              <w:right w:w="105" w:type="dxa"/>
            </w:tcMar>
            <w:vAlign w:val="center"/>
          </w:tcPr>
          <w:p w14:paraId="4ABBA710">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100≤Y＜2000</w:t>
            </w:r>
          </w:p>
        </w:tc>
        <w:tc>
          <w:tcPr>
            <w:tcW w:w="1455" w:type="dxa"/>
            <w:noWrap/>
            <w:tcMar>
              <w:top w:w="0" w:type="dxa"/>
              <w:left w:w="105" w:type="dxa"/>
              <w:bottom w:w="0" w:type="dxa"/>
              <w:right w:w="105" w:type="dxa"/>
            </w:tcMar>
            <w:vAlign w:val="center"/>
          </w:tcPr>
          <w:p w14:paraId="6FCC59A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w:t>
            </w:r>
          </w:p>
        </w:tc>
      </w:tr>
      <w:tr w14:paraId="0E8715A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09BDB891">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住宿业</w:t>
            </w:r>
          </w:p>
        </w:tc>
        <w:tc>
          <w:tcPr>
            <w:tcW w:w="1709" w:type="dxa"/>
            <w:noWrap/>
            <w:tcMar>
              <w:top w:w="0" w:type="dxa"/>
              <w:left w:w="105" w:type="dxa"/>
              <w:bottom w:w="0" w:type="dxa"/>
              <w:right w:w="105" w:type="dxa"/>
            </w:tcMar>
            <w:vAlign w:val="center"/>
          </w:tcPr>
          <w:p w14:paraId="75C43A4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143BAB33">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3B4DA09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100≤X＜300</w:t>
            </w:r>
          </w:p>
        </w:tc>
        <w:tc>
          <w:tcPr>
            <w:tcW w:w="1679" w:type="dxa"/>
            <w:noWrap/>
            <w:tcMar>
              <w:top w:w="0" w:type="dxa"/>
              <w:left w:w="105" w:type="dxa"/>
              <w:bottom w:w="0" w:type="dxa"/>
              <w:right w:w="105" w:type="dxa"/>
            </w:tcMar>
            <w:vAlign w:val="center"/>
          </w:tcPr>
          <w:p w14:paraId="74C725FD">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10≤X＜100</w:t>
            </w:r>
          </w:p>
        </w:tc>
        <w:tc>
          <w:tcPr>
            <w:tcW w:w="1455" w:type="dxa"/>
            <w:noWrap/>
            <w:tcMar>
              <w:top w:w="0" w:type="dxa"/>
              <w:left w:w="105" w:type="dxa"/>
              <w:bottom w:w="0" w:type="dxa"/>
              <w:right w:w="105" w:type="dxa"/>
            </w:tcMar>
            <w:vAlign w:val="center"/>
          </w:tcPr>
          <w:p w14:paraId="342206EA">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w:t>
            </w:r>
          </w:p>
        </w:tc>
      </w:tr>
      <w:tr w14:paraId="2F11143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3FE6281E">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6CABE11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435AD115">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7DA6F46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2000≤Y＜10000</w:t>
            </w:r>
          </w:p>
        </w:tc>
        <w:tc>
          <w:tcPr>
            <w:tcW w:w="1679" w:type="dxa"/>
            <w:noWrap/>
            <w:tcMar>
              <w:top w:w="0" w:type="dxa"/>
              <w:left w:w="105" w:type="dxa"/>
              <w:bottom w:w="0" w:type="dxa"/>
              <w:right w:w="105" w:type="dxa"/>
            </w:tcMar>
            <w:vAlign w:val="center"/>
          </w:tcPr>
          <w:p w14:paraId="5BA6095D">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100≤Y＜2000</w:t>
            </w:r>
          </w:p>
        </w:tc>
        <w:tc>
          <w:tcPr>
            <w:tcW w:w="1455" w:type="dxa"/>
            <w:noWrap/>
            <w:tcMar>
              <w:top w:w="0" w:type="dxa"/>
              <w:left w:w="105" w:type="dxa"/>
              <w:bottom w:w="0" w:type="dxa"/>
              <w:right w:w="105" w:type="dxa"/>
            </w:tcMar>
            <w:vAlign w:val="center"/>
          </w:tcPr>
          <w:p w14:paraId="1C958CF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w:t>
            </w:r>
          </w:p>
        </w:tc>
      </w:tr>
      <w:tr w14:paraId="120A05E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67CDA782">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餐饮业</w:t>
            </w:r>
          </w:p>
        </w:tc>
        <w:tc>
          <w:tcPr>
            <w:tcW w:w="1709" w:type="dxa"/>
            <w:noWrap/>
            <w:tcMar>
              <w:top w:w="0" w:type="dxa"/>
              <w:left w:w="105" w:type="dxa"/>
              <w:bottom w:w="0" w:type="dxa"/>
              <w:right w:w="105" w:type="dxa"/>
            </w:tcMar>
            <w:vAlign w:val="center"/>
          </w:tcPr>
          <w:p w14:paraId="50BA072D">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1FDE367E">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649157D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100≤X＜300</w:t>
            </w:r>
          </w:p>
        </w:tc>
        <w:tc>
          <w:tcPr>
            <w:tcW w:w="1679" w:type="dxa"/>
            <w:noWrap/>
            <w:tcMar>
              <w:top w:w="0" w:type="dxa"/>
              <w:left w:w="105" w:type="dxa"/>
              <w:bottom w:w="0" w:type="dxa"/>
              <w:right w:w="105" w:type="dxa"/>
            </w:tcMar>
            <w:vAlign w:val="center"/>
          </w:tcPr>
          <w:p w14:paraId="7DA456F6">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10≤X＜100</w:t>
            </w:r>
          </w:p>
        </w:tc>
        <w:tc>
          <w:tcPr>
            <w:tcW w:w="1455" w:type="dxa"/>
            <w:noWrap/>
            <w:tcMar>
              <w:top w:w="0" w:type="dxa"/>
              <w:left w:w="105" w:type="dxa"/>
              <w:bottom w:w="0" w:type="dxa"/>
              <w:right w:w="105" w:type="dxa"/>
            </w:tcMar>
            <w:vAlign w:val="center"/>
          </w:tcPr>
          <w:p w14:paraId="78DE03D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w:t>
            </w:r>
          </w:p>
        </w:tc>
      </w:tr>
      <w:tr w14:paraId="6C9EF39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6B6BA32E">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04E386B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48CA469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694E3C1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2000≤Y＜10000</w:t>
            </w:r>
          </w:p>
        </w:tc>
        <w:tc>
          <w:tcPr>
            <w:tcW w:w="1679" w:type="dxa"/>
            <w:noWrap/>
            <w:tcMar>
              <w:top w:w="0" w:type="dxa"/>
              <w:left w:w="105" w:type="dxa"/>
              <w:bottom w:w="0" w:type="dxa"/>
              <w:right w:w="105" w:type="dxa"/>
            </w:tcMar>
            <w:vAlign w:val="center"/>
          </w:tcPr>
          <w:p w14:paraId="7734D507">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100≤Y＜2000</w:t>
            </w:r>
          </w:p>
        </w:tc>
        <w:tc>
          <w:tcPr>
            <w:tcW w:w="1455" w:type="dxa"/>
            <w:noWrap/>
            <w:tcMar>
              <w:top w:w="0" w:type="dxa"/>
              <w:left w:w="105" w:type="dxa"/>
              <w:bottom w:w="0" w:type="dxa"/>
              <w:right w:w="105" w:type="dxa"/>
            </w:tcMar>
            <w:vAlign w:val="center"/>
          </w:tcPr>
          <w:p w14:paraId="683D418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w:t>
            </w:r>
          </w:p>
        </w:tc>
      </w:tr>
      <w:tr w14:paraId="7BC041C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5A1A75C7">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信息传输业</w:t>
            </w:r>
          </w:p>
        </w:tc>
        <w:tc>
          <w:tcPr>
            <w:tcW w:w="1709" w:type="dxa"/>
            <w:noWrap/>
            <w:tcMar>
              <w:top w:w="0" w:type="dxa"/>
              <w:left w:w="105" w:type="dxa"/>
              <w:bottom w:w="0" w:type="dxa"/>
              <w:right w:w="105" w:type="dxa"/>
            </w:tcMar>
            <w:vAlign w:val="center"/>
          </w:tcPr>
          <w:p w14:paraId="7D8EE73E">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4A99AAE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2E34250E">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100≤X＜2000</w:t>
            </w:r>
          </w:p>
        </w:tc>
        <w:tc>
          <w:tcPr>
            <w:tcW w:w="1679" w:type="dxa"/>
            <w:noWrap/>
            <w:tcMar>
              <w:top w:w="0" w:type="dxa"/>
              <w:left w:w="105" w:type="dxa"/>
              <w:bottom w:w="0" w:type="dxa"/>
              <w:right w:w="105" w:type="dxa"/>
            </w:tcMar>
            <w:vAlign w:val="center"/>
          </w:tcPr>
          <w:p w14:paraId="46031AD5">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10≤X＜100</w:t>
            </w:r>
          </w:p>
        </w:tc>
        <w:tc>
          <w:tcPr>
            <w:tcW w:w="1455" w:type="dxa"/>
            <w:noWrap/>
            <w:tcMar>
              <w:top w:w="0" w:type="dxa"/>
              <w:left w:w="105" w:type="dxa"/>
              <w:bottom w:w="0" w:type="dxa"/>
              <w:right w:w="105" w:type="dxa"/>
            </w:tcMar>
            <w:vAlign w:val="center"/>
          </w:tcPr>
          <w:p w14:paraId="0C5F6A9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w:t>
            </w:r>
          </w:p>
        </w:tc>
      </w:tr>
      <w:tr w14:paraId="5E43E55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31A9D4C5">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66FC257A">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16AF4E04">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655E9AA4">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1000≤Y＜100000</w:t>
            </w:r>
          </w:p>
        </w:tc>
        <w:tc>
          <w:tcPr>
            <w:tcW w:w="1679" w:type="dxa"/>
            <w:noWrap/>
            <w:tcMar>
              <w:top w:w="0" w:type="dxa"/>
              <w:left w:w="105" w:type="dxa"/>
              <w:bottom w:w="0" w:type="dxa"/>
              <w:right w:w="105" w:type="dxa"/>
            </w:tcMar>
            <w:vAlign w:val="center"/>
          </w:tcPr>
          <w:p w14:paraId="1CD887FA">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100≤Y＜1000</w:t>
            </w:r>
          </w:p>
        </w:tc>
        <w:tc>
          <w:tcPr>
            <w:tcW w:w="1455" w:type="dxa"/>
            <w:noWrap/>
            <w:tcMar>
              <w:top w:w="0" w:type="dxa"/>
              <w:left w:w="105" w:type="dxa"/>
              <w:bottom w:w="0" w:type="dxa"/>
              <w:right w:w="105" w:type="dxa"/>
            </w:tcMar>
            <w:vAlign w:val="center"/>
          </w:tcPr>
          <w:p w14:paraId="61DB93C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w:t>
            </w:r>
          </w:p>
        </w:tc>
      </w:tr>
      <w:tr w14:paraId="3A91A14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73300D4C">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软件和信息技术服务业</w:t>
            </w:r>
          </w:p>
        </w:tc>
        <w:tc>
          <w:tcPr>
            <w:tcW w:w="1709" w:type="dxa"/>
            <w:noWrap/>
            <w:tcMar>
              <w:top w:w="0" w:type="dxa"/>
              <w:left w:w="105" w:type="dxa"/>
              <w:bottom w:w="0" w:type="dxa"/>
              <w:right w:w="105" w:type="dxa"/>
            </w:tcMar>
            <w:vAlign w:val="center"/>
          </w:tcPr>
          <w:p w14:paraId="026423B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0E7443C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446E6E2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100≤X＜300</w:t>
            </w:r>
          </w:p>
        </w:tc>
        <w:tc>
          <w:tcPr>
            <w:tcW w:w="1679" w:type="dxa"/>
            <w:noWrap/>
            <w:tcMar>
              <w:top w:w="0" w:type="dxa"/>
              <w:left w:w="105" w:type="dxa"/>
              <w:bottom w:w="0" w:type="dxa"/>
              <w:right w:w="105" w:type="dxa"/>
            </w:tcMar>
            <w:vAlign w:val="center"/>
          </w:tcPr>
          <w:p w14:paraId="11A80B32">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10≤X＜100</w:t>
            </w:r>
          </w:p>
        </w:tc>
        <w:tc>
          <w:tcPr>
            <w:tcW w:w="1455" w:type="dxa"/>
            <w:noWrap/>
            <w:tcMar>
              <w:top w:w="0" w:type="dxa"/>
              <w:left w:w="105" w:type="dxa"/>
              <w:bottom w:w="0" w:type="dxa"/>
              <w:right w:w="105" w:type="dxa"/>
            </w:tcMar>
            <w:vAlign w:val="center"/>
          </w:tcPr>
          <w:p w14:paraId="3A82073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w:t>
            </w:r>
          </w:p>
        </w:tc>
      </w:tr>
      <w:tr w14:paraId="70A04DB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7A4CB71A">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0810412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3C454FE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5067468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1000≤Y＜10000</w:t>
            </w:r>
          </w:p>
        </w:tc>
        <w:tc>
          <w:tcPr>
            <w:tcW w:w="1679" w:type="dxa"/>
            <w:noWrap/>
            <w:tcMar>
              <w:top w:w="0" w:type="dxa"/>
              <w:left w:w="105" w:type="dxa"/>
              <w:bottom w:w="0" w:type="dxa"/>
              <w:right w:w="105" w:type="dxa"/>
            </w:tcMar>
            <w:vAlign w:val="center"/>
          </w:tcPr>
          <w:p w14:paraId="1B6C2F22">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50≤Y＜1000</w:t>
            </w:r>
          </w:p>
        </w:tc>
        <w:tc>
          <w:tcPr>
            <w:tcW w:w="1455" w:type="dxa"/>
            <w:noWrap/>
            <w:tcMar>
              <w:top w:w="0" w:type="dxa"/>
              <w:left w:w="105" w:type="dxa"/>
              <w:bottom w:w="0" w:type="dxa"/>
              <w:right w:w="105" w:type="dxa"/>
            </w:tcMar>
            <w:vAlign w:val="center"/>
          </w:tcPr>
          <w:p w14:paraId="528C3BC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Y＜50</w:t>
            </w:r>
          </w:p>
        </w:tc>
      </w:tr>
      <w:tr w14:paraId="0500DE6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6C7E6A5D">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房地产开发经营</w:t>
            </w:r>
          </w:p>
        </w:tc>
        <w:tc>
          <w:tcPr>
            <w:tcW w:w="1709" w:type="dxa"/>
            <w:noWrap/>
            <w:tcMar>
              <w:top w:w="0" w:type="dxa"/>
              <w:left w:w="105" w:type="dxa"/>
              <w:bottom w:w="0" w:type="dxa"/>
              <w:right w:w="105" w:type="dxa"/>
            </w:tcMar>
            <w:vAlign w:val="center"/>
          </w:tcPr>
          <w:p w14:paraId="4B6C8BC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19AA3312">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5E359FDA">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1000≤Y＜200000</w:t>
            </w:r>
          </w:p>
        </w:tc>
        <w:tc>
          <w:tcPr>
            <w:tcW w:w="1679" w:type="dxa"/>
            <w:noWrap/>
            <w:tcMar>
              <w:top w:w="0" w:type="dxa"/>
              <w:left w:w="105" w:type="dxa"/>
              <w:bottom w:w="0" w:type="dxa"/>
              <w:right w:w="105" w:type="dxa"/>
            </w:tcMar>
            <w:vAlign w:val="center"/>
          </w:tcPr>
          <w:p w14:paraId="4BEE9928">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100≤X＜1000</w:t>
            </w:r>
          </w:p>
        </w:tc>
        <w:tc>
          <w:tcPr>
            <w:tcW w:w="1455" w:type="dxa"/>
            <w:noWrap/>
            <w:tcMar>
              <w:top w:w="0" w:type="dxa"/>
              <w:left w:w="105" w:type="dxa"/>
              <w:bottom w:w="0" w:type="dxa"/>
              <w:right w:w="105" w:type="dxa"/>
            </w:tcMar>
            <w:vAlign w:val="center"/>
          </w:tcPr>
          <w:p w14:paraId="373180C7">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X＜100</w:t>
            </w:r>
          </w:p>
        </w:tc>
      </w:tr>
      <w:tr w14:paraId="385D5E6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2CC122AE">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704C38F4">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资产总额（Z）</w:t>
            </w:r>
          </w:p>
        </w:tc>
        <w:tc>
          <w:tcPr>
            <w:tcW w:w="475" w:type="dxa"/>
            <w:noWrap/>
            <w:tcMar>
              <w:top w:w="0" w:type="dxa"/>
              <w:left w:w="105" w:type="dxa"/>
              <w:bottom w:w="0" w:type="dxa"/>
              <w:right w:w="105" w:type="dxa"/>
            </w:tcMar>
            <w:vAlign w:val="center"/>
          </w:tcPr>
          <w:p w14:paraId="2DE95A0E">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06635B83">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5000≤Z＜10000</w:t>
            </w:r>
          </w:p>
        </w:tc>
        <w:tc>
          <w:tcPr>
            <w:tcW w:w="1679" w:type="dxa"/>
            <w:noWrap/>
            <w:tcMar>
              <w:top w:w="0" w:type="dxa"/>
              <w:left w:w="105" w:type="dxa"/>
              <w:bottom w:w="0" w:type="dxa"/>
              <w:right w:w="105" w:type="dxa"/>
            </w:tcMar>
            <w:vAlign w:val="center"/>
          </w:tcPr>
          <w:p w14:paraId="21F54DDB">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2000≤Y＜5000</w:t>
            </w:r>
          </w:p>
        </w:tc>
        <w:tc>
          <w:tcPr>
            <w:tcW w:w="1455" w:type="dxa"/>
            <w:noWrap/>
            <w:tcMar>
              <w:top w:w="0" w:type="dxa"/>
              <w:left w:w="105" w:type="dxa"/>
              <w:bottom w:w="0" w:type="dxa"/>
              <w:right w:w="105" w:type="dxa"/>
            </w:tcMar>
            <w:vAlign w:val="center"/>
          </w:tcPr>
          <w:p w14:paraId="5A202EE5">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Y＜2000</w:t>
            </w:r>
          </w:p>
        </w:tc>
      </w:tr>
      <w:tr w14:paraId="2436AF8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54898112">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物业管理</w:t>
            </w:r>
          </w:p>
        </w:tc>
        <w:tc>
          <w:tcPr>
            <w:tcW w:w="1709" w:type="dxa"/>
            <w:noWrap/>
            <w:tcMar>
              <w:top w:w="0" w:type="dxa"/>
              <w:left w:w="105" w:type="dxa"/>
              <w:bottom w:w="0" w:type="dxa"/>
              <w:right w:w="105" w:type="dxa"/>
            </w:tcMar>
            <w:vAlign w:val="center"/>
          </w:tcPr>
          <w:p w14:paraId="1AED4723">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145447EC">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3358D8B0">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300≤X＜1000</w:t>
            </w:r>
          </w:p>
        </w:tc>
        <w:tc>
          <w:tcPr>
            <w:tcW w:w="1679" w:type="dxa"/>
            <w:noWrap/>
            <w:tcMar>
              <w:top w:w="0" w:type="dxa"/>
              <w:left w:w="105" w:type="dxa"/>
              <w:bottom w:w="0" w:type="dxa"/>
              <w:right w:w="105" w:type="dxa"/>
            </w:tcMar>
            <w:vAlign w:val="center"/>
          </w:tcPr>
          <w:p w14:paraId="4AC80051">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100≤X＜300</w:t>
            </w:r>
          </w:p>
        </w:tc>
        <w:tc>
          <w:tcPr>
            <w:tcW w:w="1455" w:type="dxa"/>
            <w:noWrap/>
            <w:tcMar>
              <w:top w:w="0" w:type="dxa"/>
              <w:left w:w="105" w:type="dxa"/>
              <w:bottom w:w="0" w:type="dxa"/>
              <w:right w:w="105" w:type="dxa"/>
            </w:tcMar>
            <w:vAlign w:val="center"/>
          </w:tcPr>
          <w:p w14:paraId="2F6D9CBE">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X＜100</w:t>
            </w:r>
          </w:p>
        </w:tc>
      </w:tr>
      <w:tr w14:paraId="46F98AD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3BADD69F">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18B5825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营业收入（Y）</w:t>
            </w:r>
          </w:p>
        </w:tc>
        <w:tc>
          <w:tcPr>
            <w:tcW w:w="475" w:type="dxa"/>
            <w:noWrap/>
            <w:tcMar>
              <w:top w:w="0" w:type="dxa"/>
              <w:left w:w="105" w:type="dxa"/>
              <w:bottom w:w="0" w:type="dxa"/>
              <w:right w:w="105" w:type="dxa"/>
            </w:tcMar>
            <w:vAlign w:val="center"/>
          </w:tcPr>
          <w:p w14:paraId="2E7DF645">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71CCEA9A">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1000≤Y＜5000</w:t>
            </w:r>
          </w:p>
        </w:tc>
        <w:tc>
          <w:tcPr>
            <w:tcW w:w="1679" w:type="dxa"/>
            <w:noWrap/>
            <w:tcMar>
              <w:top w:w="0" w:type="dxa"/>
              <w:left w:w="105" w:type="dxa"/>
              <w:bottom w:w="0" w:type="dxa"/>
              <w:right w:w="105" w:type="dxa"/>
            </w:tcMar>
            <w:vAlign w:val="center"/>
          </w:tcPr>
          <w:p w14:paraId="46C8C6A5">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500≤Y＜1000</w:t>
            </w:r>
          </w:p>
        </w:tc>
        <w:tc>
          <w:tcPr>
            <w:tcW w:w="1455" w:type="dxa"/>
            <w:noWrap/>
            <w:tcMar>
              <w:top w:w="0" w:type="dxa"/>
              <w:left w:w="105" w:type="dxa"/>
              <w:bottom w:w="0" w:type="dxa"/>
              <w:right w:w="105" w:type="dxa"/>
            </w:tcMar>
            <w:vAlign w:val="center"/>
          </w:tcPr>
          <w:p w14:paraId="012B2201">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Y＜500</w:t>
            </w:r>
          </w:p>
        </w:tc>
      </w:tr>
      <w:tr w14:paraId="57B2486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tcMar>
              <w:top w:w="0" w:type="dxa"/>
              <w:left w:w="105" w:type="dxa"/>
              <w:bottom w:w="0" w:type="dxa"/>
              <w:right w:w="105" w:type="dxa"/>
            </w:tcMar>
            <w:vAlign w:val="bottom"/>
          </w:tcPr>
          <w:p w14:paraId="5D37A32B">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租赁和商务服务业</w:t>
            </w:r>
          </w:p>
        </w:tc>
        <w:tc>
          <w:tcPr>
            <w:tcW w:w="1709" w:type="dxa"/>
            <w:noWrap/>
            <w:tcMar>
              <w:top w:w="0" w:type="dxa"/>
              <w:left w:w="105" w:type="dxa"/>
              <w:bottom w:w="0" w:type="dxa"/>
              <w:right w:w="105" w:type="dxa"/>
            </w:tcMar>
            <w:vAlign w:val="center"/>
          </w:tcPr>
          <w:p w14:paraId="26CEC84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069830A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470A3D1D">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100≤X＜300</w:t>
            </w:r>
          </w:p>
        </w:tc>
        <w:tc>
          <w:tcPr>
            <w:tcW w:w="1679" w:type="dxa"/>
            <w:noWrap/>
            <w:tcMar>
              <w:top w:w="0" w:type="dxa"/>
              <w:left w:w="105" w:type="dxa"/>
              <w:bottom w:w="0" w:type="dxa"/>
              <w:right w:w="105" w:type="dxa"/>
            </w:tcMar>
            <w:vAlign w:val="center"/>
          </w:tcPr>
          <w:p w14:paraId="35ACA37F">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10≤X＜100</w:t>
            </w:r>
          </w:p>
        </w:tc>
        <w:tc>
          <w:tcPr>
            <w:tcW w:w="1455" w:type="dxa"/>
            <w:noWrap/>
            <w:tcMar>
              <w:top w:w="0" w:type="dxa"/>
              <w:left w:w="105" w:type="dxa"/>
              <w:bottom w:w="0" w:type="dxa"/>
              <w:right w:w="105" w:type="dxa"/>
            </w:tcMar>
            <w:vAlign w:val="center"/>
          </w:tcPr>
          <w:p w14:paraId="1A1FFEE9">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w:t>
            </w:r>
          </w:p>
        </w:tc>
      </w:tr>
      <w:tr w14:paraId="39FA99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ign w:val="center"/>
          </w:tcPr>
          <w:p w14:paraId="50FB8B45">
            <w:pPr>
              <w:widowControl/>
              <w:spacing w:line="360" w:lineRule="auto"/>
              <w:jc w:val="left"/>
              <w:rPr>
                <w:rFonts w:ascii="宋体" w:hAnsi="宋体"/>
                <w:szCs w:val="21"/>
              </w:rPr>
            </w:pPr>
          </w:p>
        </w:tc>
        <w:tc>
          <w:tcPr>
            <w:tcW w:w="1709" w:type="dxa"/>
            <w:noWrap/>
            <w:tcMar>
              <w:top w:w="0" w:type="dxa"/>
              <w:left w:w="105" w:type="dxa"/>
              <w:bottom w:w="0" w:type="dxa"/>
              <w:right w:w="105" w:type="dxa"/>
            </w:tcMar>
            <w:vAlign w:val="center"/>
          </w:tcPr>
          <w:p w14:paraId="3BAD59D0">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资产总额（Z）</w:t>
            </w:r>
          </w:p>
        </w:tc>
        <w:tc>
          <w:tcPr>
            <w:tcW w:w="475" w:type="dxa"/>
            <w:noWrap/>
            <w:tcMar>
              <w:top w:w="0" w:type="dxa"/>
              <w:left w:w="105" w:type="dxa"/>
              <w:bottom w:w="0" w:type="dxa"/>
              <w:right w:w="105" w:type="dxa"/>
            </w:tcMar>
            <w:vAlign w:val="center"/>
          </w:tcPr>
          <w:p w14:paraId="35234B5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万万元</w:t>
            </w:r>
          </w:p>
        </w:tc>
        <w:tc>
          <w:tcPr>
            <w:tcW w:w="2059" w:type="dxa"/>
            <w:noWrap/>
            <w:tcMar>
              <w:top w:w="0" w:type="dxa"/>
              <w:left w:w="105" w:type="dxa"/>
              <w:bottom w:w="0" w:type="dxa"/>
              <w:right w:w="105" w:type="dxa"/>
            </w:tcMar>
            <w:vAlign w:val="center"/>
          </w:tcPr>
          <w:p w14:paraId="44CB6AA8">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8000≤Z＜120000</w:t>
            </w:r>
          </w:p>
        </w:tc>
        <w:tc>
          <w:tcPr>
            <w:tcW w:w="1679" w:type="dxa"/>
            <w:noWrap/>
            <w:tcMar>
              <w:top w:w="0" w:type="dxa"/>
              <w:left w:w="105" w:type="dxa"/>
              <w:bottom w:w="0" w:type="dxa"/>
              <w:right w:w="105" w:type="dxa"/>
            </w:tcMar>
            <w:vAlign w:val="center"/>
          </w:tcPr>
          <w:p w14:paraId="37BE3DE5">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100≤Z＜8000</w:t>
            </w:r>
          </w:p>
        </w:tc>
        <w:tc>
          <w:tcPr>
            <w:tcW w:w="1455" w:type="dxa"/>
            <w:noWrap/>
            <w:tcMar>
              <w:top w:w="0" w:type="dxa"/>
              <w:left w:w="105" w:type="dxa"/>
              <w:bottom w:w="0" w:type="dxa"/>
              <w:right w:w="105" w:type="dxa"/>
            </w:tcMar>
            <w:vAlign w:val="center"/>
          </w:tcPr>
          <w:p w14:paraId="5426697B">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Y＜100</w:t>
            </w:r>
          </w:p>
        </w:tc>
      </w:tr>
      <w:tr w14:paraId="0DA2044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noWrap/>
            <w:tcMar>
              <w:top w:w="0" w:type="dxa"/>
              <w:left w:w="105" w:type="dxa"/>
              <w:bottom w:w="0" w:type="dxa"/>
              <w:right w:w="105" w:type="dxa"/>
            </w:tcMar>
            <w:vAlign w:val="bottom"/>
          </w:tcPr>
          <w:p w14:paraId="5CD1D2C5">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其他未列明行业</w:t>
            </w:r>
          </w:p>
        </w:tc>
        <w:tc>
          <w:tcPr>
            <w:tcW w:w="1709" w:type="dxa"/>
            <w:noWrap/>
            <w:tcMar>
              <w:top w:w="0" w:type="dxa"/>
              <w:left w:w="105" w:type="dxa"/>
              <w:bottom w:w="0" w:type="dxa"/>
              <w:right w:w="105" w:type="dxa"/>
            </w:tcMar>
            <w:vAlign w:val="center"/>
          </w:tcPr>
          <w:p w14:paraId="76EEB27D">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从业人员（X）</w:t>
            </w:r>
          </w:p>
        </w:tc>
        <w:tc>
          <w:tcPr>
            <w:tcW w:w="475" w:type="dxa"/>
            <w:noWrap/>
            <w:tcMar>
              <w:top w:w="0" w:type="dxa"/>
              <w:left w:w="105" w:type="dxa"/>
              <w:bottom w:w="0" w:type="dxa"/>
              <w:right w:w="105" w:type="dxa"/>
            </w:tcMar>
            <w:vAlign w:val="center"/>
          </w:tcPr>
          <w:p w14:paraId="0CD68433">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人</w:t>
            </w:r>
          </w:p>
        </w:tc>
        <w:tc>
          <w:tcPr>
            <w:tcW w:w="2059" w:type="dxa"/>
            <w:noWrap/>
            <w:tcMar>
              <w:top w:w="0" w:type="dxa"/>
              <w:left w:w="105" w:type="dxa"/>
              <w:bottom w:w="0" w:type="dxa"/>
              <w:right w:w="105" w:type="dxa"/>
            </w:tcMar>
            <w:vAlign w:val="center"/>
          </w:tcPr>
          <w:p w14:paraId="7C275C1F">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100≤X＜300</w:t>
            </w:r>
          </w:p>
        </w:tc>
        <w:tc>
          <w:tcPr>
            <w:tcW w:w="1679" w:type="dxa"/>
            <w:noWrap/>
            <w:tcMar>
              <w:top w:w="0" w:type="dxa"/>
              <w:left w:w="105" w:type="dxa"/>
              <w:bottom w:w="0" w:type="dxa"/>
              <w:right w:w="105" w:type="dxa"/>
            </w:tcMar>
            <w:vAlign w:val="center"/>
          </w:tcPr>
          <w:p w14:paraId="6260406D">
            <w:pPr>
              <w:pStyle w:val="257"/>
              <w:widowControl/>
              <w:spacing w:after="150" w:line="360" w:lineRule="auto"/>
              <w:ind w:firstLine="420"/>
              <w:jc w:val="center"/>
              <w:rPr>
                <w:rFonts w:ascii="宋体" w:hAnsi="宋体"/>
                <w:sz w:val="21"/>
                <w:szCs w:val="21"/>
              </w:rPr>
            </w:pPr>
            <w:r>
              <w:rPr>
                <w:rStyle w:val="258"/>
                <w:rFonts w:hint="eastAsia" w:ascii="宋体" w:hAnsi="宋体" w:cs="仿宋"/>
                <w:sz w:val="21"/>
                <w:szCs w:val="21"/>
              </w:rPr>
              <w:t>10≤X＜100</w:t>
            </w:r>
          </w:p>
        </w:tc>
        <w:tc>
          <w:tcPr>
            <w:tcW w:w="1455" w:type="dxa"/>
            <w:noWrap/>
            <w:tcMar>
              <w:top w:w="0" w:type="dxa"/>
              <w:left w:w="105" w:type="dxa"/>
              <w:bottom w:w="0" w:type="dxa"/>
              <w:right w:w="105" w:type="dxa"/>
            </w:tcMar>
            <w:vAlign w:val="center"/>
          </w:tcPr>
          <w:p w14:paraId="64C49636">
            <w:pPr>
              <w:pStyle w:val="257"/>
              <w:widowControl/>
              <w:spacing w:after="150" w:line="360" w:lineRule="auto"/>
              <w:ind w:firstLine="420"/>
              <w:rPr>
                <w:rFonts w:ascii="宋体" w:hAnsi="宋体"/>
                <w:sz w:val="21"/>
                <w:szCs w:val="21"/>
              </w:rPr>
            </w:pPr>
            <w:r>
              <w:rPr>
                <w:rStyle w:val="258"/>
                <w:rFonts w:hint="eastAsia" w:ascii="宋体" w:hAnsi="宋体" w:cs="仿宋"/>
                <w:sz w:val="21"/>
                <w:szCs w:val="21"/>
              </w:rPr>
              <w:t>X＜10</w:t>
            </w:r>
          </w:p>
        </w:tc>
      </w:tr>
    </w:tbl>
    <w:p w14:paraId="7A3DA7AE">
      <w:pPr>
        <w:pStyle w:val="257"/>
        <w:widowControl/>
        <w:spacing w:before="300" w:after="452" w:line="360" w:lineRule="auto"/>
        <w:ind w:firstLine="420"/>
        <w:rPr>
          <w:rStyle w:val="258"/>
          <w:rFonts w:ascii="宋体" w:hAnsi="宋体" w:cs="仿宋"/>
          <w:sz w:val="21"/>
          <w:szCs w:val="21"/>
        </w:rPr>
      </w:pPr>
      <w:r>
        <w:rPr>
          <w:rStyle w:val="258"/>
          <w:rFonts w:hint="eastAsia" w:ascii="宋体" w:hAnsi="宋体" w:cs="仿宋"/>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875DC61">
      <w:pPr>
        <w:spacing w:line="360" w:lineRule="auto"/>
        <w:jc w:val="center"/>
        <w:rPr>
          <w:rFonts w:ascii="宋体" w:hAnsi="宋体"/>
          <w:b/>
          <w:szCs w:val="21"/>
        </w:rPr>
      </w:pPr>
      <w:r>
        <w:rPr>
          <w:rStyle w:val="258"/>
          <w:rFonts w:ascii="宋体" w:hAnsi="宋体" w:cs="仿宋"/>
          <w:szCs w:val="21"/>
        </w:rPr>
        <w:br w:type="page" w:clear="all"/>
      </w:r>
      <w:r>
        <w:rPr>
          <w:rFonts w:hint="eastAsia" w:ascii="宋体" w:hAnsi="宋体"/>
          <w:b/>
          <w:bCs/>
        </w:rPr>
        <w:t>残疾人福利性单位声明函</w:t>
      </w:r>
      <w:r>
        <w:rPr>
          <w:rFonts w:hint="eastAsia" w:ascii="宋体" w:hAnsi="宋体"/>
          <w:b/>
          <w:szCs w:val="21"/>
        </w:rPr>
        <w:t>（分包号：**）</w:t>
      </w:r>
    </w:p>
    <w:p w14:paraId="6951A542">
      <w:pPr>
        <w:spacing w:line="360" w:lineRule="auto"/>
        <w:ind w:firstLine="624"/>
        <w:rPr>
          <w:rFonts w:ascii="仿宋_GB2312" w:eastAsia="仿宋_GB2312"/>
          <w:spacing w:val="6"/>
          <w:sz w:val="30"/>
          <w:szCs w:val="30"/>
        </w:rPr>
      </w:pPr>
    </w:p>
    <w:p w14:paraId="289D1182">
      <w:pPr>
        <w:spacing w:line="360" w:lineRule="auto"/>
        <w:ind w:firstLine="42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2F875942">
      <w:pPr>
        <w:spacing w:line="360" w:lineRule="auto"/>
        <w:ind w:firstLine="420"/>
        <w:rPr>
          <w:rFonts w:ascii="宋体" w:hAnsi="宋体"/>
          <w:szCs w:val="21"/>
        </w:rPr>
      </w:pPr>
      <w:r>
        <w:rPr>
          <w:rFonts w:hint="eastAsia" w:ascii="宋体" w:hAnsi="宋体"/>
          <w:szCs w:val="21"/>
        </w:rPr>
        <w:t>本单位在本次政府采购活动中提供的残疾人福利单位产品报价合计为人民币（大写）圆整（￥：     ）。</w:t>
      </w:r>
    </w:p>
    <w:p w14:paraId="74D6AC8B">
      <w:pPr>
        <w:spacing w:line="360" w:lineRule="auto"/>
        <w:ind w:firstLine="420"/>
        <w:rPr>
          <w:rFonts w:ascii="宋体" w:hAnsi="宋体"/>
          <w:szCs w:val="21"/>
        </w:rPr>
      </w:pPr>
      <w:r>
        <w:rPr>
          <w:rFonts w:hint="eastAsia" w:ascii="宋体" w:hAnsi="宋体"/>
          <w:szCs w:val="21"/>
        </w:rPr>
        <w:t>本单位对上述声明的真实性负责。如有虚假，将依法承担相应责任。</w:t>
      </w:r>
    </w:p>
    <w:p w14:paraId="26E9A4DA">
      <w:pPr>
        <w:spacing w:line="360" w:lineRule="auto"/>
        <w:ind w:firstLine="420"/>
        <w:rPr>
          <w:rFonts w:ascii="宋体" w:hAnsi="宋体"/>
          <w:szCs w:val="21"/>
        </w:rPr>
      </w:pPr>
    </w:p>
    <w:p w14:paraId="2F018E77">
      <w:pPr>
        <w:spacing w:line="360" w:lineRule="auto"/>
        <w:ind w:firstLine="420"/>
        <w:rPr>
          <w:rFonts w:ascii="宋体" w:hAnsi="宋体"/>
          <w:szCs w:val="21"/>
        </w:rPr>
      </w:pPr>
      <w:r>
        <w:rPr>
          <w:rFonts w:hint="eastAsia" w:ascii="宋体" w:hAnsi="宋体"/>
          <w:szCs w:val="21"/>
        </w:rPr>
        <w:t>（备注：1、供应商如不提供此声明函，价格将不做相应扣除。2、成交供应商为残疾人福利单位的，此声明函将随成交结果同时公告，接受社会监督）</w:t>
      </w:r>
    </w:p>
    <w:p w14:paraId="48E49BDE">
      <w:pPr>
        <w:spacing w:line="360" w:lineRule="auto"/>
        <w:ind w:firstLine="444"/>
        <w:rPr>
          <w:rFonts w:ascii="仿宋_GB2312" w:eastAsia="仿宋_GB2312"/>
          <w:spacing w:val="6"/>
          <w:szCs w:val="21"/>
        </w:rPr>
      </w:pPr>
    </w:p>
    <w:p w14:paraId="05226C31">
      <w:pPr>
        <w:tabs>
          <w:tab w:val="left" w:pos="4860"/>
        </w:tabs>
        <w:spacing w:line="360" w:lineRule="auto"/>
        <w:ind w:right="1560" w:firstLine="444"/>
        <w:jc w:val="center"/>
        <w:rPr>
          <w:rFonts w:ascii="宋体" w:hAnsi="宋体"/>
          <w:szCs w:val="21"/>
        </w:rPr>
      </w:pPr>
      <w:r>
        <w:rPr>
          <w:rFonts w:hint="eastAsia" w:ascii="宋体" w:hAnsi="宋体"/>
          <w:szCs w:val="21"/>
        </w:rPr>
        <w:t xml:space="preserve">               供应商全称（盖章）：</w:t>
      </w:r>
    </w:p>
    <w:p w14:paraId="55646332">
      <w:pPr>
        <w:tabs>
          <w:tab w:val="left" w:pos="4860"/>
        </w:tabs>
        <w:spacing w:line="360" w:lineRule="auto"/>
        <w:ind w:right="1560" w:firstLine="420"/>
        <w:jc w:val="center"/>
        <w:rPr>
          <w:rFonts w:ascii="宋体" w:hAnsi="宋体"/>
          <w:szCs w:val="21"/>
        </w:rPr>
      </w:pPr>
      <w:r>
        <w:rPr>
          <w:rFonts w:hint="eastAsia" w:ascii="宋体" w:hAnsi="宋体"/>
          <w:szCs w:val="21"/>
        </w:rPr>
        <w:t xml:space="preserve">                              日  期：</w:t>
      </w:r>
    </w:p>
    <w:p w14:paraId="5D8DEBDB">
      <w:pPr>
        <w:spacing w:line="360" w:lineRule="auto"/>
        <w:jc w:val="center"/>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四、磋商响应报价表</w:t>
      </w:r>
    </w:p>
    <w:p w14:paraId="71F957A9">
      <w:pPr>
        <w:spacing w:line="360" w:lineRule="auto"/>
        <w:rPr>
          <w:rFonts w:ascii="宋体" w:hAnsi="宋体"/>
        </w:rPr>
      </w:pPr>
    </w:p>
    <w:p w14:paraId="4AE8D4F4">
      <w:pPr>
        <w:pStyle w:val="259"/>
        <w:spacing w:line="360" w:lineRule="auto"/>
        <w:rPr>
          <w:rFonts w:ascii="宋体" w:hAnsi="宋体" w:cs="宋体"/>
          <w:color w:val="000000"/>
          <w:sz w:val="21"/>
          <w:szCs w:val="21"/>
        </w:rPr>
      </w:pPr>
      <w:bookmarkStart w:id="42" w:name="_Toc109304978"/>
      <w:r>
        <w:rPr>
          <w:rFonts w:hint="eastAsia" w:ascii="宋体" w:hAnsi="宋体" w:cs="宋体"/>
          <w:color w:val="000000"/>
          <w:sz w:val="21"/>
          <w:szCs w:val="21"/>
        </w:rPr>
        <w:t xml:space="preserve">项目名称： </w:t>
      </w:r>
    </w:p>
    <w:p w14:paraId="05B06A87">
      <w:pPr>
        <w:spacing w:line="360" w:lineRule="auto"/>
        <w:rPr>
          <w:rFonts w:ascii="宋体" w:hAnsi="宋体" w:cs="宋体"/>
          <w:color w:val="000000"/>
          <w:szCs w:val="21"/>
        </w:rPr>
      </w:pPr>
      <w:r>
        <w:rPr>
          <w:rFonts w:hint="eastAsia" w:ascii="宋体" w:hAnsi="宋体" w:cs="宋体"/>
          <w:color w:val="000000"/>
          <w:szCs w:val="21"/>
        </w:rPr>
        <w:t>项目编号：</w:t>
      </w:r>
    </w:p>
    <w:p w14:paraId="238BCF9A">
      <w:pPr>
        <w:pStyle w:val="259"/>
        <w:spacing w:line="360" w:lineRule="auto"/>
        <w:rPr>
          <w:rFonts w:ascii="宋体" w:hAnsi="宋体" w:cs="宋体"/>
          <w:color w:val="000000"/>
          <w:szCs w:val="21"/>
        </w:rPr>
      </w:pP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13"/>
        <w:gridCol w:w="4942"/>
        <w:gridCol w:w="1823"/>
      </w:tblGrid>
      <w:tr w14:paraId="14445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1" w:hRule="atLeast"/>
          <w:jc w:val="center"/>
        </w:trPr>
        <w:tc>
          <w:tcPr>
            <w:tcW w:w="1913" w:type="dxa"/>
            <w:noWrap/>
            <w:vAlign w:val="center"/>
          </w:tcPr>
          <w:p w14:paraId="7CE5D6BC">
            <w:pPr>
              <w:pStyle w:val="234"/>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项目名称</w:t>
            </w:r>
          </w:p>
        </w:tc>
        <w:tc>
          <w:tcPr>
            <w:tcW w:w="4942" w:type="dxa"/>
            <w:noWrap/>
            <w:vAlign w:val="center"/>
          </w:tcPr>
          <w:p w14:paraId="64073308">
            <w:pPr>
              <w:spacing w:after="200" w:line="220" w:lineRule="atLeast"/>
              <w:jc w:val="center"/>
              <w:rPr>
                <w:rFonts w:ascii="宋体" w:hAnsi="宋体" w:cs="宋体"/>
                <w:color w:val="000000"/>
                <w:szCs w:val="21"/>
              </w:rPr>
            </w:pPr>
            <w:r>
              <w:rPr>
                <w:rFonts w:hint="eastAsia" w:ascii="宋体" w:hAnsi="宋体" w:cs="宋体"/>
                <w:color w:val="000000"/>
                <w:szCs w:val="21"/>
              </w:rPr>
              <w:t>第一轮报价</w:t>
            </w:r>
          </w:p>
        </w:tc>
        <w:tc>
          <w:tcPr>
            <w:tcW w:w="1823" w:type="dxa"/>
            <w:noWrap/>
            <w:vAlign w:val="center"/>
          </w:tcPr>
          <w:p w14:paraId="303ACCE2">
            <w:pPr>
              <w:spacing w:after="200" w:line="220" w:lineRule="atLeast"/>
              <w:rPr>
                <w:rFonts w:ascii="宋体" w:hAnsi="宋体" w:cs="宋体"/>
                <w:color w:val="000000"/>
                <w:szCs w:val="21"/>
              </w:rPr>
            </w:pPr>
            <w:r>
              <w:rPr>
                <w:rFonts w:hint="eastAsia" w:ascii="宋体" w:hAnsi="宋体" w:cs="宋体"/>
                <w:color w:val="000000"/>
                <w:szCs w:val="21"/>
              </w:rPr>
              <w:t>是否为小微企业</w:t>
            </w:r>
          </w:p>
        </w:tc>
      </w:tr>
      <w:tr w14:paraId="19994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4" w:hRule="atLeast"/>
          <w:jc w:val="center"/>
        </w:trPr>
        <w:tc>
          <w:tcPr>
            <w:tcW w:w="1913" w:type="dxa"/>
            <w:noWrap/>
            <w:vAlign w:val="center"/>
          </w:tcPr>
          <w:p w14:paraId="7215EDB9">
            <w:pPr>
              <w:pStyle w:val="234"/>
              <w:spacing w:line="300" w:lineRule="auto"/>
              <w:rPr>
                <w:rFonts w:ascii="宋体" w:hAnsi="宋体" w:eastAsia="宋体" w:cs="宋体"/>
                <w:color w:val="000000"/>
                <w:sz w:val="21"/>
                <w:szCs w:val="21"/>
              </w:rPr>
            </w:pPr>
          </w:p>
        </w:tc>
        <w:tc>
          <w:tcPr>
            <w:tcW w:w="4942" w:type="dxa"/>
            <w:noWrap/>
            <w:vAlign w:val="center"/>
          </w:tcPr>
          <w:p w14:paraId="6302194B">
            <w:pPr>
              <w:pStyle w:val="234"/>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大写：</w:t>
            </w:r>
          </w:p>
          <w:p w14:paraId="7AA8659E">
            <w:pPr>
              <w:pStyle w:val="254"/>
              <w:spacing w:before="0" w:after="0" w:line="500" w:lineRule="exact"/>
              <w:ind w:firstLine="0"/>
              <w:rPr>
                <w:rFonts w:ascii="宋体" w:hAnsi="宋体" w:cs="宋体"/>
                <w:color w:val="000000"/>
                <w:sz w:val="21"/>
                <w:szCs w:val="21"/>
              </w:rPr>
            </w:pPr>
            <w:r>
              <w:rPr>
                <w:rFonts w:hint="eastAsia" w:ascii="宋体" w:hAnsi="宋体" w:cs="宋体"/>
                <w:color w:val="000000"/>
                <w:sz w:val="21"/>
                <w:szCs w:val="21"/>
              </w:rPr>
              <w:t>小写：                           元（人民币）</w:t>
            </w:r>
          </w:p>
        </w:tc>
        <w:tc>
          <w:tcPr>
            <w:tcW w:w="1823" w:type="dxa"/>
            <w:noWrap/>
            <w:vAlign w:val="center"/>
          </w:tcPr>
          <w:p w14:paraId="559F5DDF">
            <w:pPr>
              <w:pStyle w:val="254"/>
              <w:spacing w:before="0" w:after="0" w:line="500" w:lineRule="exact"/>
              <w:ind w:firstLine="0"/>
              <w:rPr>
                <w:rFonts w:ascii="宋体" w:hAnsi="宋体" w:cs="宋体"/>
                <w:color w:val="000000"/>
                <w:sz w:val="21"/>
                <w:szCs w:val="21"/>
              </w:rPr>
            </w:pPr>
          </w:p>
        </w:tc>
      </w:tr>
      <w:tr w14:paraId="073D8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2" w:hRule="atLeast"/>
          <w:jc w:val="center"/>
        </w:trPr>
        <w:tc>
          <w:tcPr>
            <w:tcW w:w="1913" w:type="dxa"/>
            <w:noWrap/>
            <w:vAlign w:val="center"/>
          </w:tcPr>
          <w:p w14:paraId="50CBCFF7">
            <w:pPr>
              <w:pStyle w:val="234"/>
              <w:spacing w:line="30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备注</w:t>
            </w:r>
          </w:p>
        </w:tc>
        <w:tc>
          <w:tcPr>
            <w:tcW w:w="6765" w:type="dxa"/>
            <w:gridSpan w:val="2"/>
            <w:noWrap/>
            <w:vAlign w:val="center"/>
          </w:tcPr>
          <w:p w14:paraId="3D028FCE">
            <w:pPr>
              <w:pStyle w:val="234"/>
              <w:spacing w:line="300" w:lineRule="auto"/>
              <w:ind w:firstLine="1365"/>
              <w:rPr>
                <w:rFonts w:ascii="宋体" w:hAnsi="宋体" w:eastAsia="宋体" w:cs="宋体"/>
                <w:color w:val="000000"/>
                <w:sz w:val="21"/>
                <w:szCs w:val="21"/>
              </w:rPr>
            </w:pPr>
          </w:p>
        </w:tc>
      </w:tr>
    </w:tbl>
    <w:p w14:paraId="33702515">
      <w:pPr>
        <w:spacing w:line="360" w:lineRule="auto"/>
        <w:rPr>
          <w:rFonts w:ascii="宋体" w:hAnsi="宋体"/>
          <w:szCs w:val="21"/>
        </w:rPr>
      </w:pPr>
    </w:p>
    <w:p w14:paraId="7B4F434D">
      <w:pPr>
        <w:spacing w:line="360" w:lineRule="auto"/>
        <w:rPr>
          <w:rFonts w:ascii="宋体" w:hAnsi="宋体"/>
          <w:szCs w:val="21"/>
        </w:rPr>
      </w:pPr>
    </w:p>
    <w:p w14:paraId="62E3D1A6">
      <w:pPr>
        <w:spacing w:line="360" w:lineRule="auto"/>
        <w:rPr>
          <w:rFonts w:ascii="宋体" w:hAnsi="宋体"/>
          <w:szCs w:val="21"/>
        </w:rPr>
        <w:sectPr>
          <w:pgSz w:w="11906" w:h="16838"/>
          <w:pgMar w:top="1134" w:right="850" w:bottom="1134" w:left="850" w:header="851" w:footer="992" w:gutter="0"/>
          <w:cols w:space="1701" w:num="1"/>
          <w:docGrid w:linePitch="360" w:charSpace="0"/>
        </w:sectPr>
      </w:pPr>
      <w:r>
        <w:rPr>
          <w:rFonts w:hint="eastAsia" w:ascii="宋体" w:hAnsi="宋体"/>
          <w:szCs w:val="21"/>
        </w:rPr>
        <w:t xml:space="preserve">                                               日期：    年   月    日</w:t>
      </w:r>
    </w:p>
    <w:p w14:paraId="443468A8">
      <w:pPr>
        <w:pStyle w:val="260"/>
        <w:jc w:val="center"/>
        <w:outlineLvl w:val="9"/>
        <w:rPr>
          <w:rFonts w:ascii="宋体" w:hAnsi="宋体" w:cs="宋体"/>
        </w:rPr>
      </w:pPr>
      <w:bookmarkStart w:id="43" w:name="_Toc17791"/>
      <w:r>
        <w:rPr>
          <w:rFonts w:hint="eastAsia" w:ascii="宋体" w:hAnsi="宋体" w:cs="宋体"/>
          <w:bCs w:val="0"/>
        </w:rPr>
        <w:t>分项报价表</w:t>
      </w:r>
      <w:bookmarkEnd w:id="43"/>
    </w:p>
    <w:p w14:paraId="7C59803B">
      <w:pPr>
        <w:spacing w:line="360" w:lineRule="auto"/>
        <w:jc w:val="center"/>
        <w:rPr>
          <w:rFonts w:ascii="宋体" w:hAnsi="宋体" w:cs="宋体"/>
          <w:b/>
          <w:bCs/>
        </w:rPr>
      </w:pPr>
      <w:r>
        <w:rPr>
          <w:rFonts w:hint="eastAsia" w:ascii="宋体" w:hAnsi="宋体" w:cs="宋体"/>
          <w:b/>
          <w:bCs/>
        </w:rPr>
        <w:t>本次为首轮报价</w:t>
      </w:r>
    </w:p>
    <w:p w14:paraId="1B46F0B9">
      <w:pPr>
        <w:pStyle w:val="259"/>
        <w:spacing w:line="360" w:lineRule="auto"/>
        <w:ind w:firstLine="420"/>
        <w:rPr>
          <w:rFonts w:ascii="宋体" w:hAnsi="宋体" w:cs="宋体"/>
          <w:sz w:val="21"/>
          <w:szCs w:val="22"/>
        </w:rPr>
      </w:pPr>
      <w:r>
        <w:rPr>
          <w:rFonts w:hint="eastAsia" w:ascii="宋体" w:hAnsi="宋体" w:cs="宋体"/>
          <w:sz w:val="21"/>
          <w:szCs w:val="22"/>
        </w:rPr>
        <w:t xml:space="preserve">项目名称： </w:t>
      </w:r>
    </w:p>
    <w:p w14:paraId="330D8277">
      <w:pPr>
        <w:pStyle w:val="259"/>
        <w:spacing w:line="360" w:lineRule="auto"/>
        <w:ind w:firstLine="420"/>
        <w:rPr>
          <w:rFonts w:ascii="宋体" w:hAnsi="宋体" w:cs="宋体"/>
          <w:sz w:val="21"/>
          <w:szCs w:val="22"/>
        </w:rPr>
      </w:pPr>
      <w:r>
        <w:rPr>
          <w:rFonts w:hint="eastAsia" w:ascii="宋体" w:hAnsi="宋体" w:cs="宋体"/>
          <w:sz w:val="21"/>
          <w:szCs w:val="22"/>
        </w:rPr>
        <w:t>项目编号：</w:t>
      </w:r>
    </w:p>
    <w:p w14:paraId="0AE4B443">
      <w:pPr>
        <w:spacing w:line="360" w:lineRule="auto"/>
        <w:ind w:firstLine="420"/>
        <w:rPr>
          <w:rFonts w:ascii="宋体" w:hAnsi="宋体" w:cs="宋体"/>
          <w:color w:val="000000"/>
          <w:szCs w:val="21"/>
        </w:rPr>
      </w:pPr>
    </w:p>
    <w:p w14:paraId="24AB56E2">
      <w:pPr>
        <w:spacing w:line="360" w:lineRule="auto"/>
        <w:ind w:firstLine="420"/>
        <w:rPr>
          <w:rFonts w:ascii="宋体" w:hAnsi="宋体" w:cs="宋体"/>
          <w:color w:val="000000"/>
          <w:szCs w:val="21"/>
        </w:rPr>
      </w:pPr>
    </w:p>
    <w:p w14:paraId="6B6D619D">
      <w:pPr>
        <w:pStyle w:val="17"/>
      </w:pPr>
    </w:p>
    <w:p w14:paraId="1E575837">
      <w:pPr>
        <w:spacing w:line="360" w:lineRule="auto"/>
        <w:jc w:val="center"/>
        <w:outlineLvl w:val="9"/>
        <w:rPr>
          <w:rFonts w:ascii="宋体" w:hAnsi="宋体"/>
          <w:bCs w:val="0"/>
        </w:rPr>
      </w:pPr>
      <w:r>
        <w:rPr>
          <w:rFonts w:ascii="宋体" w:hAnsi="宋体"/>
          <w:bCs w:val="0"/>
        </w:rPr>
        <w:br w:type="page" w:clear="all"/>
      </w:r>
      <w:r>
        <w:rPr>
          <w:rFonts w:hint="eastAsia" w:ascii="宋体" w:hAnsi="宋体"/>
          <w:bCs w:val="0"/>
        </w:rPr>
        <w:t>五、技术参数响应及偏离表</w:t>
      </w:r>
    </w:p>
    <w:tbl>
      <w:tblPr>
        <w:tblStyle w:val="41"/>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409"/>
        <w:gridCol w:w="2284"/>
        <w:gridCol w:w="2016"/>
        <w:gridCol w:w="1137"/>
      </w:tblGrid>
      <w:tr w14:paraId="6816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984" w:type="dxa"/>
            <w:noWrap/>
            <w:vAlign w:val="center"/>
          </w:tcPr>
          <w:p w14:paraId="4C2D2828">
            <w:pPr>
              <w:spacing w:line="360" w:lineRule="auto"/>
              <w:jc w:val="center"/>
              <w:rPr>
                <w:rFonts w:ascii="宋体" w:hAnsi="宋体"/>
                <w:szCs w:val="21"/>
              </w:rPr>
            </w:pPr>
            <w:r>
              <w:rPr>
                <w:rFonts w:hint="eastAsia" w:ascii="宋体" w:hAnsi="宋体"/>
                <w:szCs w:val="21"/>
              </w:rPr>
              <w:t>序号</w:t>
            </w:r>
          </w:p>
        </w:tc>
        <w:tc>
          <w:tcPr>
            <w:tcW w:w="2409" w:type="dxa"/>
            <w:noWrap/>
            <w:vAlign w:val="center"/>
          </w:tcPr>
          <w:p w14:paraId="40E72D22">
            <w:pPr>
              <w:spacing w:line="360" w:lineRule="auto"/>
              <w:jc w:val="center"/>
              <w:rPr>
                <w:rFonts w:ascii="宋体" w:hAnsi="宋体"/>
                <w:szCs w:val="21"/>
              </w:rPr>
            </w:pPr>
            <w:r>
              <w:rPr>
                <w:rFonts w:hint="eastAsia" w:ascii="宋体" w:hAnsi="宋体"/>
                <w:szCs w:val="21"/>
              </w:rPr>
              <w:t>采购要求</w:t>
            </w:r>
          </w:p>
        </w:tc>
        <w:tc>
          <w:tcPr>
            <w:tcW w:w="2284" w:type="dxa"/>
            <w:noWrap/>
            <w:vAlign w:val="center"/>
          </w:tcPr>
          <w:p w14:paraId="595358D2">
            <w:pPr>
              <w:spacing w:line="360" w:lineRule="auto"/>
              <w:jc w:val="center"/>
              <w:rPr>
                <w:rFonts w:ascii="宋体" w:hAnsi="宋体"/>
                <w:szCs w:val="21"/>
              </w:rPr>
            </w:pPr>
            <w:r>
              <w:rPr>
                <w:rFonts w:hint="eastAsia" w:ascii="宋体" w:hAnsi="宋体"/>
                <w:szCs w:val="21"/>
              </w:rPr>
              <w:t>磋商响应</w:t>
            </w:r>
          </w:p>
        </w:tc>
        <w:tc>
          <w:tcPr>
            <w:tcW w:w="2016" w:type="dxa"/>
            <w:noWrap/>
            <w:vAlign w:val="center"/>
          </w:tcPr>
          <w:p w14:paraId="600F0CAD">
            <w:pPr>
              <w:spacing w:line="360" w:lineRule="auto"/>
              <w:jc w:val="center"/>
              <w:rPr>
                <w:rFonts w:ascii="宋体" w:hAnsi="宋体"/>
                <w:szCs w:val="21"/>
              </w:rPr>
            </w:pPr>
            <w:r>
              <w:rPr>
                <w:rFonts w:hint="eastAsia" w:ascii="宋体" w:hAnsi="宋体"/>
                <w:szCs w:val="21"/>
              </w:rPr>
              <w:t>超出、符合或偏离</w:t>
            </w:r>
          </w:p>
        </w:tc>
        <w:tc>
          <w:tcPr>
            <w:tcW w:w="1137" w:type="dxa"/>
            <w:noWrap/>
            <w:vAlign w:val="center"/>
          </w:tcPr>
          <w:p w14:paraId="670563CC">
            <w:pPr>
              <w:spacing w:line="360" w:lineRule="auto"/>
              <w:jc w:val="center"/>
              <w:rPr>
                <w:rFonts w:ascii="宋体" w:hAnsi="宋体"/>
                <w:szCs w:val="21"/>
              </w:rPr>
            </w:pPr>
            <w:r>
              <w:rPr>
                <w:rFonts w:hint="eastAsia" w:ascii="宋体" w:hAnsi="宋体"/>
                <w:szCs w:val="21"/>
              </w:rPr>
              <w:t>证明材料</w:t>
            </w:r>
          </w:p>
        </w:tc>
      </w:tr>
      <w:tr w14:paraId="47E0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0DFFC7D4">
            <w:pPr>
              <w:spacing w:line="360" w:lineRule="auto"/>
              <w:jc w:val="center"/>
              <w:rPr>
                <w:rFonts w:ascii="宋体" w:hAnsi="宋体"/>
                <w:szCs w:val="21"/>
              </w:rPr>
            </w:pPr>
          </w:p>
        </w:tc>
        <w:tc>
          <w:tcPr>
            <w:tcW w:w="2409" w:type="dxa"/>
            <w:noWrap/>
          </w:tcPr>
          <w:p w14:paraId="61916F70">
            <w:pPr>
              <w:spacing w:line="360" w:lineRule="auto"/>
              <w:jc w:val="center"/>
              <w:rPr>
                <w:rFonts w:ascii="宋体" w:hAnsi="宋体"/>
                <w:szCs w:val="21"/>
              </w:rPr>
            </w:pPr>
          </w:p>
        </w:tc>
        <w:tc>
          <w:tcPr>
            <w:tcW w:w="2284" w:type="dxa"/>
            <w:noWrap/>
          </w:tcPr>
          <w:p w14:paraId="520C0164">
            <w:pPr>
              <w:spacing w:line="360" w:lineRule="auto"/>
              <w:jc w:val="center"/>
              <w:rPr>
                <w:rFonts w:ascii="宋体" w:hAnsi="宋体"/>
                <w:szCs w:val="21"/>
              </w:rPr>
            </w:pPr>
          </w:p>
        </w:tc>
        <w:tc>
          <w:tcPr>
            <w:tcW w:w="2016" w:type="dxa"/>
            <w:noWrap/>
          </w:tcPr>
          <w:p w14:paraId="7B90D550">
            <w:pPr>
              <w:spacing w:line="360" w:lineRule="auto"/>
              <w:jc w:val="center"/>
              <w:rPr>
                <w:rFonts w:ascii="宋体" w:hAnsi="宋体"/>
                <w:szCs w:val="21"/>
              </w:rPr>
            </w:pPr>
          </w:p>
        </w:tc>
        <w:tc>
          <w:tcPr>
            <w:tcW w:w="1137" w:type="dxa"/>
            <w:noWrap/>
          </w:tcPr>
          <w:p w14:paraId="30851652">
            <w:pPr>
              <w:spacing w:line="360" w:lineRule="auto"/>
              <w:jc w:val="center"/>
              <w:rPr>
                <w:rFonts w:ascii="宋体" w:hAnsi="宋体"/>
                <w:szCs w:val="21"/>
              </w:rPr>
            </w:pPr>
          </w:p>
        </w:tc>
      </w:tr>
      <w:tr w14:paraId="75C6F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2B3B9A0C">
            <w:pPr>
              <w:spacing w:line="360" w:lineRule="auto"/>
              <w:jc w:val="center"/>
              <w:rPr>
                <w:rFonts w:ascii="宋体" w:hAnsi="宋体"/>
                <w:szCs w:val="21"/>
              </w:rPr>
            </w:pPr>
          </w:p>
        </w:tc>
        <w:tc>
          <w:tcPr>
            <w:tcW w:w="2409" w:type="dxa"/>
            <w:noWrap/>
          </w:tcPr>
          <w:p w14:paraId="6B194798">
            <w:pPr>
              <w:spacing w:line="360" w:lineRule="auto"/>
              <w:jc w:val="center"/>
              <w:rPr>
                <w:rFonts w:ascii="宋体" w:hAnsi="宋体"/>
                <w:szCs w:val="21"/>
              </w:rPr>
            </w:pPr>
          </w:p>
        </w:tc>
        <w:tc>
          <w:tcPr>
            <w:tcW w:w="2284" w:type="dxa"/>
            <w:noWrap/>
          </w:tcPr>
          <w:p w14:paraId="6025F666">
            <w:pPr>
              <w:spacing w:line="360" w:lineRule="auto"/>
              <w:jc w:val="center"/>
              <w:rPr>
                <w:rFonts w:ascii="宋体" w:hAnsi="宋体"/>
                <w:szCs w:val="21"/>
              </w:rPr>
            </w:pPr>
          </w:p>
        </w:tc>
        <w:tc>
          <w:tcPr>
            <w:tcW w:w="2016" w:type="dxa"/>
            <w:noWrap/>
          </w:tcPr>
          <w:p w14:paraId="365B76B2">
            <w:pPr>
              <w:spacing w:line="360" w:lineRule="auto"/>
              <w:jc w:val="center"/>
              <w:rPr>
                <w:rFonts w:ascii="宋体" w:hAnsi="宋体"/>
                <w:szCs w:val="21"/>
              </w:rPr>
            </w:pPr>
          </w:p>
        </w:tc>
        <w:tc>
          <w:tcPr>
            <w:tcW w:w="1137" w:type="dxa"/>
            <w:noWrap/>
          </w:tcPr>
          <w:p w14:paraId="7C479C87">
            <w:pPr>
              <w:spacing w:line="360" w:lineRule="auto"/>
              <w:jc w:val="center"/>
              <w:rPr>
                <w:rFonts w:ascii="宋体" w:hAnsi="宋体"/>
                <w:szCs w:val="21"/>
              </w:rPr>
            </w:pPr>
          </w:p>
        </w:tc>
      </w:tr>
      <w:tr w14:paraId="68C07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10E42A2F">
            <w:pPr>
              <w:spacing w:line="360" w:lineRule="auto"/>
              <w:jc w:val="center"/>
              <w:rPr>
                <w:rFonts w:ascii="宋体" w:hAnsi="宋体"/>
                <w:szCs w:val="21"/>
              </w:rPr>
            </w:pPr>
          </w:p>
        </w:tc>
        <w:tc>
          <w:tcPr>
            <w:tcW w:w="2409" w:type="dxa"/>
            <w:noWrap/>
          </w:tcPr>
          <w:p w14:paraId="71D6C820">
            <w:pPr>
              <w:spacing w:line="360" w:lineRule="auto"/>
              <w:jc w:val="center"/>
              <w:rPr>
                <w:rFonts w:ascii="宋体" w:hAnsi="宋体"/>
                <w:szCs w:val="21"/>
              </w:rPr>
            </w:pPr>
          </w:p>
        </w:tc>
        <w:tc>
          <w:tcPr>
            <w:tcW w:w="2284" w:type="dxa"/>
            <w:noWrap/>
          </w:tcPr>
          <w:p w14:paraId="0DD1CD26">
            <w:pPr>
              <w:spacing w:line="360" w:lineRule="auto"/>
              <w:jc w:val="center"/>
              <w:rPr>
                <w:rFonts w:ascii="宋体" w:hAnsi="宋体"/>
                <w:szCs w:val="21"/>
              </w:rPr>
            </w:pPr>
          </w:p>
        </w:tc>
        <w:tc>
          <w:tcPr>
            <w:tcW w:w="2016" w:type="dxa"/>
            <w:noWrap/>
          </w:tcPr>
          <w:p w14:paraId="7E5EAC8B">
            <w:pPr>
              <w:spacing w:line="360" w:lineRule="auto"/>
              <w:jc w:val="center"/>
              <w:rPr>
                <w:rFonts w:ascii="宋体" w:hAnsi="宋体"/>
                <w:szCs w:val="21"/>
              </w:rPr>
            </w:pPr>
          </w:p>
        </w:tc>
        <w:tc>
          <w:tcPr>
            <w:tcW w:w="1137" w:type="dxa"/>
            <w:noWrap/>
          </w:tcPr>
          <w:p w14:paraId="43F62838">
            <w:pPr>
              <w:spacing w:line="360" w:lineRule="auto"/>
              <w:jc w:val="center"/>
              <w:rPr>
                <w:rFonts w:ascii="宋体" w:hAnsi="宋体"/>
                <w:szCs w:val="21"/>
              </w:rPr>
            </w:pPr>
          </w:p>
        </w:tc>
      </w:tr>
      <w:tr w14:paraId="03D1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709A28C9">
            <w:pPr>
              <w:spacing w:line="360" w:lineRule="auto"/>
              <w:jc w:val="center"/>
              <w:rPr>
                <w:rFonts w:ascii="宋体" w:hAnsi="宋体"/>
                <w:szCs w:val="21"/>
              </w:rPr>
            </w:pPr>
          </w:p>
        </w:tc>
        <w:tc>
          <w:tcPr>
            <w:tcW w:w="2409" w:type="dxa"/>
            <w:noWrap/>
          </w:tcPr>
          <w:p w14:paraId="228057EE">
            <w:pPr>
              <w:spacing w:line="360" w:lineRule="auto"/>
              <w:jc w:val="center"/>
              <w:rPr>
                <w:rFonts w:ascii="宋体" w:hAnsi="宋体"/>
                <w:szCs w:val="21"/>
              </w:rPr>
            </w:pPr>
          </w:p>
        </w:tc>
        <w:tc>
          <w:tcPr>
            <w:tcW w:w="2284" w:type="dxa"/>
            <w:noWrap/>
          </w:tcPr>
          <w:p w14:paraId="3131D562">
            <w:pPr>
              <w:spacing w:line="360" w:lineRule="auto"/>
              <w:jc w:val="center"/>
              <w:rPr>
                <w:rFonts w:ascii="宋体" w:hAnsi="宋体"/>
                <w:szCs w:val="21"/>
              </w:rPr>
            </w:pPr>
          </w:p>
        </w:tc>
        <w:tc>
          <w:tcPr>
            <w:tcW w:w="2016" w:type="dxa"/>
            <w:noWrap/>
          </w:tcPr>
          <w:p w14:paraId="4ACC82C3">
            <w:pPr>
              <w:spacing w:line="360" w:lineRule="auto"/>
              <w:jc w:val="center"/>
              <w:rPr>
                <w:rFonts w:ascii="宋体" w:hAnsi="宋体"/>
                <w:szCs w:val="21"/>
              </w:rPr>
            </w:pPr>
          </w:p>
        </w:tc>
        <w:tc>
          <w:tcPr>
            <w:tcW w:w="1137" w:type="dxa"/>
            <w:noWrap/>
          </w:tcPr>
          <w:p w14:paraId="0130F52B">
            <w:pPr>
              <w:spacing w:line="360" w:lineRule="auto"/>
              <w:jc w:val="center"/>
              <w:rPr>
                <w:rFonts w:ascii="宋体" w:hAnsi="宋体"/>
                <w:szCs w:val="21"/>
              </w:rPr>
            </w:pPr>
          </w:p>
        </w:tc>
      </w:tr>
      <w:tr w14:paraId="7A8A0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360805FE">
            <w:pPr>
              <w:spacing w:line="360" w:lineRule="auto"/>
              <w:jc w:val="center"/>
              <w:rPr>
                <w:rFonts w:ascii="宋体" w:hAnsi="宋体"/>
                <w:szCs w:val="21"/>
              </w:rPr>
            </w:pPr>
          </w:p>
        </w:tc>
        <w:tc>
          <w:tcPr>
            <w:tcW w:w="2409" w:type="dxa"/>
            <w:noWrap/>
          </w:tcPr>
          <w:p w14:paraId="7DDE7D50">
            <w:pPr>
              <w:spacing w:line="360" w:lineRule="auto"/>
              <w:jc w:val="center"/>
              <w:rPr>
                <w:rFonts w:ascii="宋体" w:hAnsi="宋体"/>
                <w:szCs w:val="21"/>
              </w:rPr>
            </w:pPr>
          </w:p>
        </w:tc>
        <w:tc>
          <w:tcPr>
            <w:tcW w:w="2284" w:type="dxa"/>
            <w:noWrap/>
          </w:tcPr>
          <w:p w14:paraId="4C4C6D1B">
            <w:pPr>
              <w:spacing w:line="360" w:lineRule="auto"/>
              <w:jc w:val="center"/>
              <w:rPr>
                <w:rFonts w:ascii="宋体" w:hAnsi="宋体"/>
                <w:szCs w:val="21"/>
              </w:rPr>
            </w:pPr>
          </w:p>
        </w:tc>
        <w:tc>
          <w:tcPr>
            <w:tcW w:w="2016" w:type="dxa"/>
            <w:noWrap/>
          </w:tcPr>
          <w:p w14:paraId="07778091">
            <w:pPr>
              <w:spacing w:line="360" w:lineRule="auto"/>
              <w:jc w:val="center"/>
              <w:rPr>
                <w:rFonts w:ascii="宋体" w:hAnsi="宋体"/>
                <w:szCs w:val="21"/>
              </w:rPr>
            </w:pPr>
          </w:p>
        </w:tc>
        <w:tc>
          <w:tcPr>
            <w:tcW w:w="1137" w:type="dxa"/>
            <w:noWrap/>
          </w:tcPr>
          <w:p w14:paraId="4D86E228">
            <w:pPr>
              <w:spacing w:line="360" w:lineRule="auto"/>
              <w:jc w:val="center"/>
              <w:rPr>
                <w:rFonts w:ascii="宋体" w:hAnsi="宋体"/>
                <w:szCs w:val="21"/>
              </w:rPr>
            </w:pPr>
          </w:p>
        </w:tc>
      </w:tr>
      <w:tr w14:paraId="2AD0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19EC9D64">
            <w:pPr>
              <w:spacing w:line="360" w:lineRule="auto"/>
              <w:jc w:val="center"/>
              <w:rPr>
                <w:rFonts w:ascii="宋体" w:hAnsi="宋体"/>
                <w:szCs w:val="21"/>
              </w:rPr>
            </w:pPr>
          </w:p>
        </w:tc>
        <w:tc>
          <w:tcPr>
            <w:tcW w:w="2409" w:type="dxa"/>
            <w:noWrap/>
          </w:tcPr>
          <w:p w14:paraId="0FC4FE20">
            <w:pPr>
              <w:spacing w:line="360" w:lineRule="auto"/>
              <w:jc w:val="center"/>
              <w:rPr>
                <w:rFonts w:ascii="宋体" w:hAnsi="宋体"/>
                <w:szCs w:val="21"/>
              </w:rPr>
            </w:pPr>
          </w:p>
        </w:tc>
        <w:tc>
          <w:tcPr>
            <w:tcW w:w="2284" w:type="dxa"/>
            <w:noWrap/>
          </w:tcPr>
          <w:p w14:paraId="1FE17549">
            <w:pPr>
              <w:spacing w:line="360" w:lineRule="auto"/>
              <w:jc w:val="center"/>
              <w:rPr>
                <w:rFonts w:ascii="宋体" w:hAnsi="宋体"/>
                <w:szCs w:val="21"/>
              </w:rPr>
            </w:pPr>
          </w:p>
        </w:tc>
        <w:tc>
          <w:tcPr>
            <w:tcW w:w="2016" w:type="dxa"/>
            <w:noWrap/>
          </w:tcPr>
          <w:p w14:paraId="0D2116D8">
            <w:pPr>
              <w:spacing w:line="360" w:lineRule="auto"/>
              <w:jc w:val="center"/>
              <w:rPr>
                <w:rFonts w:ascii="宋体" w:hAnsi="宋体"/>
                <w:szCs w:val="21"/>
              </w:rPr>
            </w:pPr>
          </w:p>
        </w:tc>
        <w:tc>
          <w:tcPr>
            <w:tcW w:w="1137" w:type="dxa"/>
            <w:noWrap/>
          </w:tcPr>
          <w:p w14:paraId="3EEAC826">
            <w:pPr>
              <w:spacing w:line="360" w:lineRule="auto"/>
              <w:jc w:val="center"/>
              <w:rPr>
                <w:rFonts w:ascii="宋体" w:hAnsi="宋体"/>
                <w:szCs w:val="21"/>
              </w:rPr>
            </w:pPr>
          </w:p>
        </w:tc>
      </w:tr>
      <w:tr w14:paraId="5AD4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61731EC1">
            <w:pPr>
              <w:spacing w:line="360" w:lineRule="auto"/>
              <w:jc w:val="center"/>
              <w:rPr>
                <w:rFonts w:ascii="宋体" w:hAnsi="宋体"/>
                <w:szCs w:val="21"/>
              </w:rPr>
            </w:pPr>
          </w:p>
        </w:tc>
        <w:tc>
          <w:tcPr>
            <w:tcW w:w="2409" w:type="dxa"/>
            <w:noWrap/>
          </w:tcPr>
          <w:p w14:paraId="667E0782">
            <w:pPr>
              <w:spacing w:line="360" w:lineRule="auto"/>
              <w:jc w:val="center"/>
              <w:rPr>
                <w:rFonts w:ascii="宋体" w:hAnsi="宋体"/>
                <w:szCs w:val="21"/>
              </w:rPr>
            </w:pPr>
          </w:p>
        </w:tc>
        <w:tc>
          <w:tcPr>
            <w:tcW w:w="2284" w:type="dxa"/>
            <w:noWrap/>
          </w:tcPr>
          <w:p w14:paraId="267744EF">
            <w:pPr>
              <w:spacing w:line="360" w:lineRule="auto"/>
              <w:jc w:val="center"/>
              <w:rPr>
                <w:rFonts w:ascii="宋体" w:hAnsi="宋体"/>
                <w:szCs w:val="21"/>
              </w:rPr>
            </w:pPr>
          </w:p>
        </w:tc>
        <w:tc>
          <w:tcPr>
            <w:tcW w:w="2016" w:type="dxa"/>
            <w:noWrap/>
          </w:tcPr>
          <w:p w14:paraId="73383766">
            <w:pPr>
              <w:spacing w:line="360" w:lineRule="auto"/>
              <w:jc w:val="center"/>
              <w:rPr>
                <w:rFonts w:ascii="宋体" w:hAnsi="宋体"/>
                <w:szCs w:val="21"/>
              </w:rPr>
            </w:pPr>
          </w:p>
        </w:tc>
        <w:tc>
          <w:tcPr>
            <w:tcW w:w="1137" w:type="dxa"/>
            <w:noWrap/>
          </w:tcPr>
          <w:p w14:paraId="29E3A820">
            <w:pPr>
              <w:spacing w:line="360" w:lineRule="auto"/>
              <w:jc w:val="center"/>
              <w:rPr>
                <w:rFonts w:ascii="宋体" w:hAnsi="宋体"/>
                <w:szCs w:val="21"/>
              </w:rPr>
            </w:pPr>
          </w:p>
        </w:tc>
      </w:tr>
      <w:tr w14:paraId="3C604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tcPr>
          <w:p w14:paraId="6E41F549">
            <w:pPr>
              <w:spacing w:line="360" w:lineRule="auto"/>
              <w:jc w:val="center"/>
              <w:rPr>
                <w:rFonts w:ascii="宋体" w:hAnsi="宋体"/>
                <w:szCs w:val="21"/>
              </w:rPr>
            </w:pPr>
          </w:p>
        </w:tc>
        <w:tc>
          <w:tcPr>
            <w:tcW w:w="2409" w:type="dxa"/>
            <w:noWrap/>
          </w:tcPr>
          <w:p w14:paraId="05075180">
            <w:pPr>
              <w:spacing w:line="360" w:lineRule="auto"/>
              <w:jc w:val="center"/>
              <w:rPr>
                <w:rFonts w:ascii="宋体" w:hAnsi="宋体"/>
                <w:szCs w:val="21"/>
              </w:rPr>
            </w:pPr>
          </w:p>
        </w:tc>
        <w:tc>
          <w:tcPr>
            <w:tcW w:w="2284" w:type="dxa"/>
            <w:noWrap/>
          </w:tcPr>
          <w:p w14:paraId="7A9D91A2">
            <w:pPr>
              <w:spacing w:line="360" w:lineRule="auto"/>
              <w:jc w:val="center"/>
              <w:rPr>
                <w:rFonts w:ascii="宋体" w:hAnsi="宋体"/>
                <w:szCs w:val="21"/>
              </w:rPr>
            </w:pPr>
          </w:p>
        </w:tc>
        <w:tc>
          <w:tcPr>
            <w:tcW w:w="2016" w:type="dxa"/>
            <w:noWrap/>
          </w:tcPr>
          <w:p w14:paraId="6C2BCA68">
            <w:pPr>
              <w:spacing w:line="360" w:lineRule="auto"/>
              <w:jc w:val="center"/>
              <w:rPr>
                <w:rFonts w:ascii="宋体" w:hAnsi="宋体"/>
                <w:szCs w:val="21"/>
              </w:rPr>
            </w:pPr>
          </w:p>
        </w:tc>
        <w:tc>
          <w:tcPr>
            <w:tcW w:w="1137" w:type="dxa"/>
            <w:noWrap/>
          </w:tcPr>
          <w:p w14:paraId="7317BCA8">
            <w:pPr>
              <w:spacing w:line="360" w:lineRule="auto"/>
              <w:jc w:val="center"/>
              <w:rPr>
                <w:rFonts w:ascii="宋体" w:hAnsi="宋体"/>
                <w:szCs w:val="21"/>
              </w:rPr>
            </w:pPr>
          </w:p>
        </w:tc>
      </w:tr>
    </w:tbl>
    <w:p w14:paraId="52CA8013">
      <w:pPr>
        <w:spacing w:line="360" w:lineRule="auto"/>
        <w:rPr>
          <w:rFonts w:ascii="宋体" w:hAnsi="宋体"/>
          <w:sz w:val="24"/>
          <w:szCs w:val="24"/>
        </w:rPr>
      </w:pPr>
    </w:p>
    <w:p w14:paraId="4D13564A">
      <w:pPr>
        <w:spacing w:line="360" w:lineRule="auto"/>
        <w:rPr>
          <w:rFonts w:ascii="宋体" w:hAnsi="宋体"/>
          <w:szCs w:val="21"/>
        </w:rPr>
      </w:pPr>
      <w:r>
        <w:rPr>
          <w:rFonts w:hint="eastAsia" w:ascii="宋体" w:hAnsi="宋体"/>
          <w:szCs w:val="21"/>
        </w:rPr>
        <w:t>注：1、按照基本技术要求详细填列。</w:t>
      </w:r>
    </w:p>
    <w:p w14:paraId="4FE0CD3E">
      <w:pPr>
        <w:spacing w:line="360" w:lineRule="auto"/>
        <w:ind w:firstLine="420"/>
        <w:rPr>
          <w:rFonts w:ascii="宋体" w:hAnsi="宋体"/>
          <w:szCs w:val="21"/>
        </w:rPr>
      </w:pPr>
      <w:r>
        <w:rPr>
          <w:rFonts w:hint="eastAsia" w:ascii="宋体" w:hAnsi="宋体"/>
          <w:szCs w:val="21"/>
        </w:rPr>
        <w:t>2、行数不够，可自行添加。</w:t>
      </w:r>
    </w:p>
    <w:p w14:paraId="1AF43DB3">
      <w:pPr>
        <w:spacing w:line="360" w:lineRule="auto"/>
        <w:outlineLvl w:val="9"/>
        <w:rPr>
          <w:rFonts w:ascii="宋体" w:hAnsi="宋体"/>
          <w:szCs w:val="21"/>
        </w:rPr>
      </w:pPr>
    </w:p>
    <w:p w14:paraId="39623D05">
      <w:pPr>
        <w:pStyle w:val="245"/>
        <w:spacing w:line="360" w:lineRule="auto"/>
        <w:jc w:val="center"/>
        <w:outlineLvl w:val="9"/>
        <w:rPr>
          <w:rFonts w:ascii="宋体" w:hAnsi="宋体"/>
          <w:bCs w:val="0"/>
        </w:rPr>
      </w:pPr>
    </w:p>
    <w:p w14:paraId="28105BE1">
      <w:pPr>
        <w:pStyle w:val="245"/>
        <w:spacing w:line="360" w:lineRule="auto"/>
        <w:jc w:val="center"/>
        <w:outlineLvl w:val="9"/>
        <w:rPr>
          <w:rFonts w:ascii="宋体" w:hAnsi="宋体"/>
          <w:bCs w:val="0"/>
        </w:rPr>
      </w:pPr>
    </w:p>
    <w:p w14:paraId="31BD79A5">
      <w:pPr>
        <w:pStyle w:val="245"/>
        <w:spacing w:line="360" w:lineRule="auto"/>
        <w:jc w:val="center"/>
        <w:outlineLvl w:val="9"/>
        <w:rPr>
          <w:rFonts w:ascii="宋体" w:hAnsi="宋体"/>
          <w:bCs w:val="0"/>
        </w:rPr>
      </w:pPr>
    </w:p>
    <w:p w14:paraId="2D0FD401">
      <w:pPr>
        <w:pStyle w:val="245"/>
        <w:spacing w:line="360" w:lineRule="auto"/>
        <w:jc w:val="center"/>
        <w:outlineLvl w:val="9"/>
        <w:rPr>
          <w:rFonts w:ascii="宋体" w:hAnsi="宋体"/>
          <w:bCs w:val="0"/>
        </w:rPr>
      </w:pPr>
    </w:p>
    <w:p w14:paraId="213EC02F">
      <w:pPr>
        <w:pStyle w:val="245"/>
        <w:spacing w:line="360" w:lineRule="auto"/>
        <w:outlineLvl w:val="9"/>
        <w:rPr>
          <w:rFonts w:ascii="宋体" w:hAnsi="宋体"/>
          <w:bCs w:val="0"/>
        </w:rPr>
      </w:pPr>
    </w:p>
    <w:p w14:paraId="27F6FDF8">
      <w:pPr>
        <w:outlineLvl w:val="9"/>
        <w:rPr>
          <w:rFonts w:ascii="宋体" w:hAnsi="宋体"/>
        </w:rPr>
      </w:pPr>
      <w:bookmarkStart w:id="44" w:name="_Toc28283"/>
      <w:r>
        <w:rPr>
          <w:rFonts w:hint="eastAsia" w:ascii="宋体" w:hAnsi="宋体"/>
        </w:rPr>
        <w:br w:type="page" w:clear="all"/>
      </w:r>
      <w:bookmarkEnd w:id="42"/>
      <w:bookmarkEnd w:id="44"/>
    </w:p>
    <w:p w14:paraId="490687D4">
      <w:pPr>
        <w:spacing w:line="360" w:lineRule="auto"/>
        <w:jc w:val="center"/>
        <w:outlineLvl w:val="9"/>
      </w:pPr>
      <w:bookmarkStart w:id="45" w:name="_Toc26244"/>
      <w:bookmarkStart w:id="46" w:name="_Toc109304979"/>
      <w:r>
        <w:rPr>
          <w:rFonts w:hint="eastAsia" w:ascii="宋体" w:hAnsi="宋体"/>
          <w:bCs w:val="0"/>
        </w:rPr>
        <w:t>六、商务条款响应及偏离表</w:t>
      </w:r>
      <w:bookmarkEnd w:id="45"/>
      <w:bookmarkEnd w:id="46"/>
    </w:p>
    <w:tbl>
      <w:tblPr>
        <w:tblStyle w:val="4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675"/>
        <w:gridCol w:w="1843"/>
        <w:gridCol w:w="2693"/>
        <w:gridCol w:w="993"/>
        <w:gridCol w:w="2318"/>
      </w:tblGrid>
      <w:tr w14:paraId="2D2E530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jc w:val="center"/>
        </w:trPr>
        <w:tc>
          <w:tcPr>
            <w:tcW w:w="675" w:type="dxa"/>
            <w:noWrap/>
          </w:tcPr>
          <w:p w14:paraId="5342219F">
            <w:pPr>
              <w:pStyle w:val="240"/>
              <w:spacing w:before="156" w:after="200" w:line="220" w:lineRule="atLeast"/>
              <w:jc w:val="right"/>
              <w:outlineLvl w:val="9"/>
              <w:rPr>
                <w:rFonts w:ascii="宋体" w:hAnsi="宋体"/>
                <w:szCs w:val="21"/>
              </w:rPr>
            </w:pPr>
            <w:r>
              <w:rPr>
                <w:rFonts w:ascii="宋体" w:hAnsi="宋体"/>
                <w:szCs w:val="21"/>
              </w:rPr>
              <w:t>序号</w:t>
            </w:r>
          </w:p>
        </w:tc>
        <w:tc>
          <w:tcPr>
            <w:tcW w:w="1843" w:type="dxa"/>
            <w:noWrap/>
          </w:tcPr>
          <w:p w14:paraId="64C12113">
            <w:pPr>
              <w:pStyle w:val="240"/>
              <w:spacing w:before="156" w:after="200" w:line="220" w:lineRule="atLeast"/>
              <w:jc w:val="left"/>
              <w:outlineLvl w:val="9"/>
              <w:rPr>
                <w:rFonts w:ascii="仿宋_GB2312" w:hAnsi="宋体" w:eastAsia="仿宋_GB2312"/>
                <w:szCs w:val="21"/>
              </w:rPr>
            </w:pPr>
            <w:r>
              <w:rPr>
                <w:rFonts w:ascii="仿宋_GB2312" w:hAnsi="宋体"/>
                <w:szCs w:val="21"/>
              </w:rPr>
              <w:t>项目</w:t>
            </w:r>
          </w:p>
        </w:tc>
        <w:tc>
          <w:tcPr>
            <w:tcW w:w="2693" w:type="dxa"/>
            <w:noWrap/>
          </w:tcPr>
          <w:p w14:paraId="0AB848D2">
            <w:pPr>
              <w:pStyle w:val="240"/>
              <w:spacing w:before="156" w:after="200" w:line="220" w:lineRule="atLeast"/>
              <w:outlineLvl w:val="9"/>
              <w:rPr>
                <w:rFonts w:ascii="仿宋_GB2312" w:hAnsi="宋体" w:eastAsia="仿宋_GB2312"/>
                <w:szCs w:val="21"/>
              </w:rPr>
            </w:pPr>
            <w:r>
              <w:rPr>
                <w:rFonts w:ascii="仿宋_GB2312" w:hAnsi="宋体"/>
                <w:szCs w:val="21"/>
              </w:rPr>
              <w:t>磋商要求</w:t>
            </w:r>
          </w:p>
        </w:tc>
        <w:tc>
          <w:tcPr>
            <w:tcW w:w="993" w:type="dxa"/>
            <w:noWrap/>
          </w:tcPr>
          <w:p w14:paraId="3217159F">
            <w:pPr>
              <w:pStyle w:val="240"/>
              <w:spacing w:before="156" w:after="200" w:line="220" w:lineRule="atLeast"/>
              <w:outlineLvl w:val="9"/>
              <w:rPr>
                <w:rFonts w:ascii="仿宋_GB2312" w:hAnsi="宋体" w:eastAsia="仿宋_GB2312"/>
                <w:szCs w:val="21"/>
              </w:rPr>
            </w:pPr>
            <w:r>
              <w:rPr>
                <w:rFonts w:ascii="仿宋_GB2312" w:hAnsi="宋体"/>
                <w:szCs w:val="21"/>
              </w:rPr>
              <w:t>是否响应</w:t>
            </w:r>
          </w:p>
        </w:tc>
        <w:tc>
          <w:tcPr>
            <w:tcW w:w="2318" w:type="dxa"/>
            <w:noWrap/>
          </w:tcPr>
          <w:p w14:paraId="705AAF5B">
            <w:pPr>
              <w:pStyle w:val="240"/>
              <w:spacing w:before="156" w:after="200" w:line="220" w:lineRule="atLeast"/>
              <w:outlineLvl w:val="9"/>
              <w:rPr>
                <w:rFonts w:ascii="仿宋_GB2312" w:hAnsi="宋体" w:eastAsia="仿宋_GB2312"/>
                <w:szCs w:val="21"/>
              </w:rPr>
            </w:pPr>
            <w:r>
              <w:rPr>
                <w:rFonts w:ascii="仿宋_GB2312" w:hAnsi="宋体"/>
                <w:szCs w:val="21"/>
              </w:rPr>
              <w:t>供应商的承诺或说明</w:t>
            </w:r>
          </w:p>
        </w:tc>
      </w:tr>
      <w:tr w14:paraId="78E675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9" w:hRule="atLeast"/>
          <w:jc w:val="center"/>
        </w:trPr>
        <w:tc>
          <w:tcPr>
            <w:tcW w:w="675" w:type="dxa"/>
            <w:noWrap/>
            <w:vAlign w:val="center"/>
          </w:tcPr>
          <w:p w14:paraId="06AFE629">
            <w:pPr>
              <w:pStyle w:val="240"/>
              <w:spacing w:before="156" w:after="200" w:line="220" w:lineRule="atLeast"/>
              <w:jc w:val="center"/>
              <w:outlineLvl w:val="9"/>
              <w:rPr>
                <w:rFonts w:ascii="宋体" w:hAnsi="宋体"/>
                <w:szCs w:val="21"/>
              </w:rPr>
            </w:pPr>
            <w:r>
              <w:rPr>
                <w:rFonts w:ascii="宋体" w:hAnsi="宋体"/>
                <w:szCs w:val="21"/>
              </w:rPr>
              <w:t>1</w:t>
            </w:r>
          </w:p>
        </w:tc>
        <w:tc>
          <w:tcPr>
            <w:tcW w:w="1843" w:type="dxa"/>
            <w:noWrap/>
            <w:vAlign w:val="center"/>
          </w:tcPr>
          <w:p w14:paraId="49E98AD9">
            <w:pPr>
              <w:pStyle w:val="240"/>
              <w:spacing w:before="156" w:after="200" w:line="220" w:lineRule="atLeast"/>
              <w:jc w:val="left"/>
              <w:outlineLvl w:val="9"/>
              <w:rPr>
                <w:rFonts w:ascii="仿宋_GB2312" w:hAnsi="宋体" w:eastAsia="仿宋_GB2312"/>
                <w:szCs w:val="21"/>
              </w:rPr>
            </w:pPr>
            <w:r>
              <w:rPr>
                <w:rFonts w:hint="eastAsia" w:ascii="仿宋_GB2312"/>
                <w:szCs w:val="21"/>
              </w:rPr>
              <w:t>合同履行</w:t>
            </w:r>
            <w:r>
              <w:rPr>
                <w:rFonts w:ascii="仿宋_GB2312"/>
                <w:szCs w:val="21"/>
              </w:rPr>
              <w:t>期限</w:t>
            </w:r>
          </w:p>
        </w:tc>
        <w:tc>
          <w:tcPr>
            <w:tcW w:w="2693" w:type="dxa"/>
            <w:noWrap/>
          </w:tcPr>
          <w:p w14:paraId="0097AC03">
            <w:pPr>
              <w:pStyle w:val="240"/>
              <w:spacing w:before="156" w:after="200" w:line="220" w:lineRule="atLeast"/>
              <w:outlineLvl w:val="9"/>
              <w:rPr>
                <w:rFonts w:ascii="仿宋_GB2312" w:hAnsi="宋体" w:eastAsia="仿宋_GB2312"/>
                <w:szCs w:val="21"/>
              </w:rPr>
            </w:pPr>
          </w:p>
        </w:tc>
        <w:tc>
          <w:tcPr>
            <w:tcW w:w="993" w:type="dxa"/>
            <w:noWrap/>
          </w:tcPr>
          <w:p w14:paraId="781B0A91">
            <w:pPr>
              <w:pStyle w:val="240"/>
              <w:spacing w:before="156" w:after="200" w:line="220" w:lineRule="atLeast"/>
              <w:outlineLvl w:val="9"/>
              <w:rPr>
                <w:rFonts w:ascii="仿宋_GB2312" w:hAnsi="宋体" w:eastAsia="仿宋_GB2312"/>
                <w:szCs w:val="21"/>
              </w:rPr>
            </w:pPr>
          </w:p>
        </w:tc>
        <w:tc>
          <w:tcPr>
            <w:tcW w:w="2318" w:type="dxa"/>
            <w:noWrap/>
          </w:tcPr>
          <w:p w14:paraId="49B249B2">
            <w:pPr>
              <w:pStyle w:val="240"/>
              <w:spacing w:before="156" w:after="200" w:line="220" w:lineRule="atLeast"/>
              <w:outlineLvl w:val="9"/>
              <w:rPr>
                <w:rFonts w:ascii="仿宋_GB2312" w:hAnsi="宋体" w:eastAsia="仿宋_GB2312"/>
                <w:szCs w:val="21"/>
              </w:rPr>
            </w:pPr>
          </w:p>
        </w:tc>
      </w:tr>
      <w:tr w14:paraId="6A1CD4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20" w:hRule="atLeast"/>
          <w:jc w:val="center"/>
        </w:trPr>
        <w:tc>
          <w:tcPr>
            <w:tcW w:w="675" w:type="dxa"/>
            <w:noWrap/>
            <w:vAlign w:val="center"/>
          </w:tcPr>
          <w:p w14:paraId="4CF908AA">
            <w:pPr>
              <w:pStyle w:val="240"/>
              <w:spacing w:before="156" w:after="200" w:line="220" w:lineRule="atLeast"/>
              <w:jc w:val="center"/>
              <w:rPr>
                <w:rFonts w:ascii="宋体" w:hAnsi="宋体"/>
                <w:szCs w:val="21"/>
              </w:rPr>
            </w:pPr>
            <w:r>
              <w:rPr>
                <w:rFonts w:hint="eastAsia" w:ascii="宋体" w:hAnsi="宋体"/>
                <w:szCs w:val="21"/>
              </w:rPr>
              <w:t>2</w:t>
            </w:r>
          </w:p>
        </w:tc>
        <w:tc>
          <w:tcPr>
            <w:tcW w:w="1843" w:type="dxa"/>
            <w:noWrap/>
            <w:vAlign w:val="center"/>
          </w:tcPr>
          <w:p w14:paraId="18B0E3A4">
            <w:pPr>
              <w:pStyle w:val="240"/>
              <w:spacing w:before="156" w:after="200" w:line="220" w:lineRule="atLeast"/>
              <w:jc w:val="left"/>
              <w:rPr>
                <w:rFonts w:ascii="仿宋_GB2312" w:hAnsi="宋体" w:eastAsia="仿宋_GB2312"/>
                <w:szCs w:val="21"/>
              </w:rPr>
            </w:pPr>
            <w:r>
              <w:rPr>
                <w:rFonts w:ascii="仿宋_GB2312" w:hAnsi="宋体"/>
                <w:szCs w:val="21"/>
              </w:rPr>
              <w:t>付款方式</w:t>
            </w:r>
          </w:p>
        </w:tc>
        <w:tc>
          <w:tcPr>
            <w:tcW w:w="2693" w:type="dxa"/>
            <w:noWrap/>
          </w:tcPr>
          <w:p w14:paraId="59FC49CF">
            <w:pPr>
              <w:pStyle w:val="240"/>
              <w:spacing w:before="156" w:after="200" w:line="220" w:lineRule="atLeast"/>
              <w:rPr>
                <w:rFonts w:ascii="仿宋_GB2312" w:hAnsi="宋体" w:eastAsia="仿宋_GB2312"/>
                <w:sz w:val="24"/>
                <w:szCs w:val="20"/>
              </w:rPr>
            </w:pPr>
          </w:p>
        </w:tc>
        <w:tc>
          <w:tcPr>
            <w:tcW w:w="993" w:type="dxa"/>
            <w:noWrap/>
          </w:tcPr>
          <w:p w14:paraId="3D617582">
            <w:pPr>
              <w:pStyle w:val="240"/>
              <w:spacing w:before="156" w:after="200" w:line="220" w:lineRule="atLeast"/>
              <w:rPr>
                <w:rFonts w:ascii="仿宋_GB2312" w:hAnsi="宋体" w:eastAsia="仿宋_GB2312"/>
                <w:sz w:val="24"/>
                <w:szCs w:val="20"/>
              </w:rPr>
            </w:pPr>
          </w:p>
        </w:tc>
        <w:tc>
          <w:tcPr>
            <w:tcW w:w="2318" w:type="dxa"/>
            <w:noWrap/>
          </w:tcPr>
          <w:p w14:paraId="58550059">
            <w:pPr>
              <w:pStyle w:val="240"/>
              <w:spacing w:before="156" w:after="200" w:line="220" w:lineRule="atLeast"/>
              <w:rPr>
                <w:rFonts w:ascii="仿宋_GB2312" w:hAnsi="宋体" w:eastAsia="仿宋_GB2312"/>
                <w:sz w:val="24"/>
                <w:szCs w:val="20"/>
              </w:rPr>
            </w:pPr>
          </w:p>
        </w:tc>
      </w:tr>
      <w:tr w14:paraId="494A3AE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40" w:hRule="atLeast"/>
          <w:jc w:val="center"/>
        </w:trPr>
        <w:tc>
          <w:tcPr>
            <w:tcW w:w="675" w:type="dxa"/>
            <w:noWrap/>
            <w:vAlign w:val="center"/>
          </w:tcPr>
          <w:p w14:paraId="79393D29">
            <w:pPr>
              <w:pStyle w:val="240"/>
              <w:spacing w:before="156" w:after="200" w:line="220" w:lineRule="atLeast"/>
              <w:jc w:val="center"/>
              <w:rPr>
                <w:rFonts w:ascii="宋体" w:hAnsi="宋体"/>
                <w:szCs w:val="21"/>
              </w:rPr>
            </w:pPr>
            <w:r>
              <w:rPr>
                <w:rFonts w:hint="eastAsia" w:ascii="宋体" w:hAnsi="宋体"/>
                <w:szCs w:val="21"/>
              </w:rPr>
              <w:t>3</w:t>
            </w:r>
          </w:p>
        </w:tc>
        <w:tc>
          <w:tcPr>
            <w:tcW w:w="1843" w:type="dxa"/>
            <w:noWrap/>
            <w:vAlign w:val="center"/>
          </w:tcPr>
          <w:p w14:paraId="3A9C385E">
            <w:pPr>
              <w:pStyle w:val="240"/>
              <w:spacing w:before="156" w:after="200" w:line="220" w:lineRule="atLeast"/>
              <w:jc w:val="left"/>
              <w:rPr>
                <w:rFonts w:ascii="宋体" w:hAnsi="宋体"/>
                <w:szCs w:val="21"/>
              </w:rPr>
            </w:pPr>
            <w:r>
              <w:rPr>
                <w:rFonts w:ascii="宋体" w:hAnsi="宋体"/>
                <w:szCs w:val="21"/>
              </w:rPr>
              <w:t>磋商响应货币</w:t>
            </w:r>
          </w:p>
        </w:tc>
        <w:tc>
          <w:tcPr>
            <w:tcW w:w="2693" w:type="dxa"/>
            <w:noWrap/>
          </w:tcPr>
          <w:p w14:paraId="6EC2F75F">
            <w:pPr>
              <w:pStyle w:val="240"/>
              <w:spacing w:before="156" w:line="220" w:lineRule="atLeast"/>
              <w:rPr>
                <w:rFonts w:ascii="仿宋_GB2312" w:hAnsi="宋体" w:eastAsia="仿宋_GB2312"/>
                <w:sz w:val="24"/>
                <w:szCs w:val="20"/>
              </w:rPr>
            </w:pPr>
          </w:p>
          <w:p w14:paraId="28095E29">
            <w:pPr>
              <w:pStyle w:val="240"/>
              <w:spacing w:before="156" w:after="200" w:line="220" w:lineRule="atLeast"/>
              <w:rPr>
                <w:rFonts w:ascii="仿宋_GB2312" w:hAnsi="宋体" w:eastAsia="仿宋_GB2312"/>
                <w:sz w:val="24"/>
                <w:szCs w:val="20"/>
              </w:rPr>
            </w:pPr>
          </w:p>
        </w:tc>
        <w:tc>
          <w:tcPr>
            <w:tcW w:w="993" w:type="dxa"/>
            <w:noWrap/>
          </w:tcPr>
          <w:p w14:paraId="4878C231">
            <w:pPr>
              <w:pStyle w:val="240"/>
              <w:spacing w:before="156" w:after="200" w:line="220" w:lineRule="atLeast"/>
              <w:rPr>
                <w:rFonts w:ascii="仿宋_GB2312" w:hAnsi="宋体" w:eastAsia="仿宋_GB2312"/>
                <w:sz w:val="24"/>
                <w:szCs w:val="20"/>
              </w:rPr>
            </w:pPr>
          </w:p>
        </w:tc>
        <w:tc>
          <w:tcPr>
            <w:tcW w:w="2318" w:type="dxa"/>
            <w:noWrap/>
          </w:tcPr>
          <w:p w14:paraId="62F88167">
            <w:pPr>
              <w:pStyle w:val="240"/>
              <w:spacing w:before="156" w:after="200" w:line="220" w:lineRule="atLeast"/>
              <w:rPr>
                <w:rFonts w:ascii="仿宋_GB2312" w:hAnsi="宋体" w:eastAsia="仿宋_GB2312"/>
                <w:sz w:val="24"/>
                <w:szCs w:val="20"/>
              </w:rPr>
            </w:pPr>
          </w:p>
        </w:tc>
      </w:tr>
      <w:tr w14:paraId="4AA9A15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75" w:type="dxa"/>
            <w:noWrap/>
            <w:vAlign w:val="center"/>
          </w:tcPr>
          <w:p w14:paraId="118B94B1">
            <w:pPr>
              <w:pStyle w:val="240"/>
              <w:spacing w:before="156" w:after="200" w:line="220" w:lineRule="atLeast"/>
              <w:jc w:val="center"/>
              <w:rPr>
                <w:rFonts w:ascii="宋体" w:hAnsi="宋体"/>
                <w:szCs w:val="21"/>
              </w:rPr>
            </w:pPr>
            <w:r>
              <w:rPr>
                <w:rFonts w:hint="eastAsia" w:ascii="宋体" w:hAnsi="宋体"/>
                <w:szCs w:val="21"/>
              </w:rPr>
              <w:t>4</w:t>
            </w:r>
          </w:p>
        </w:tc>
        <w:tc>
          <w:tcPr>
            <w:tcW w:w="1843" w:type="dxa"/>
            <w:noWrap/>
            <w:vAlign w:val="center"/>
          </w:tcPr>
          <w:p w14:paraId="5C758815">
            <w:pPr>
              <w:pStyle w:val="240"/>
              <w:spacing w:before="156" w:after="200" w:line="220" w:lineRule="atLeast"/>
              <w:jc w:val="left"/>
              <w:rPr>
                <w:rFonts w:ascii="仿宋_GB2312" w:hAnsi="宋体" w:eastAsia="仿宋_GB2312"/>
                <w:szCs w:val="21"/>
              </w:rPr>
            </w:pPr>
            <w:r>
              <w:rPr>
                <w:rFonts w:ascii="仿宋_GB2312" w:hAnsi="宋体"/>
                <w:szCs w:val="21"/>
              </w:rPr>
              <w:t>其他</w:t>
            </w:r>
          </w:p>
        </w:tc>
        <w:tc>
          <w:tcPr>
            <w:tcW w:w="2693" w:type="dxa"/>
            <w:noWrap/>
          </w:tcPr>
          <w:p w14:paraId="0B71F3F4">
            <w:pPr>
              <w:pStyle w:val="240"/>
              <w:spacing w:before="156" w:after="200" w:line="220" w:lineRule="atLeast"/>
              <w:rPr>
                <w:rFonts w:ascii="仿宋_GB2312" w:hAnsi="宋体" w:eastAsia="仿宋_GB2312"/>
                <w:szCs w:val="21"/>
              </w:rPr>
            </w:pPr>
          </w:p>
        </w:tc>
        <w:tc>
          <w:tcPr>
            <w:tcW w:w="993" w:type="dxa"/>
            <w:noWrap/>
          </w:tcPr>
          <w:p w14:paraId="2AF31941">
            <w:pPr>
              <w:pStyle w:val="240"/>
              <w:spacing w:before="156" w:after="200" w:line="220" w:lineRule="atLeast"/>
              <w:rPr>
                <w:rFonts w:ascii="仿宋_GB2312" w:hAnsi="宋体" w:eastAsia="仿宋_GB2312"/>
                <w:szCs w:val="21"/>
              </w:rPr>
            </w:pPr>
          </w:p>
        </w:tc>
        <w:tc>
          <w:tcPr>
            <w:tcW w:w="2318" w:type="dxa"/>
            <w:noWrap/>
          </w:tcPr>
          <w:p w14:paraId="0E4E1913">
            <w:pPr>
              <w:pStyle w:val="240"/>
              <w:spacing w:before="156" w:after="200" w:line="220" w:lineRule="atLeast"/>
              <w:rPr>
                <w:rFonts w:ascii="仿宋_GB2312" w:hAnsi="宋体" w:eastAsia="仿宋_GB2312"/>
                <w:szCs w:val="21"/>
              </w:rPr>
            </w:pPr>
          </w:p>
        </w:tc>
      </w:tr>
      <w:tr w14:paraId="6017B0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75" w:type="dxa"/>
            <w:noWrap/>
            <w:vAlign w:val="center"/>
          </w:tcPr>
          <w:p w14:paraId="74E8F416">
            <w:pPr>
              <w:pStyle w:val="240"/>
              <w:spacing w:before="156" w:after="200" w:line="220" w:lineRule="atLeast"/>
              <w:jc w:val="center"/>
              <w:rPr>
                <w:rFonts w:ascii="宋体" w:hAnsi="宋体"/>
                <w:szCs w:val="21"/>
              </w:rPr>
            </w:pPr>
          </w:p>
        </w:tc>
        <w:tc>
          <w:tcPr>
            <w:tcW w:w="1843" w:type="dxa"/>
            <w:noWrap/>
            <w:vAlign w:val="center"/>
          </w:tcPr>
          <w:p w14:paraId="5CC209FE">
            <w:pPr>
              <w:pStyle w:val="240"/>
              <w:spacing w:before="156" w:after="200" w:line="220" w:lineRule="atLeast"/>
              <w:jc w:val="left"/>
              <w:rPr>
                <w:rFonts w:ascii="仿宋_GB2312" w:hAnsi="宋体"/>
                <w:szCs w:val="21"/>
              </w:rPr>
            </w:pPr>
            <w:r>
              <w:rPr>
                <w:rFonts w:hint="eastAsia" w:ascii="仿宋_GB2312" w:hAnsi="宋体"/>
                <w:szCs w:val="21"/>
              </w:rPr>
              <w:t>......</w:t>
            </w:r>
          </w:p>
        </w:tc>
        <w:tc>
          <w:tcPr>
            <w:tcW w:w="2693" w:type="dxa"/>
            <w:noWrap/>
          </w:tcPr>
          <w:p w14:paraId="7AAE9B7C">
            <w:pPr>
              <w:pStyle w:val="240"/>
              <w:spacing w:before="156" w:after="200" w:line="220" w:lineRule="atLeast"/>
              <w:rPr>
                <w:rFonts w:ascii="仿宋_GB2312" w:hAnsi="宋体" w:eastAsia="仿宋_GB2312"/>
                <w:szCs w:val="21"/>
              </w:rPr>
            </w:pPr>
          </w:p>
        </w:tc>
        <w:tc>
          <w:tcPr>
            <w:tcW w:w="993" w:type="dxa"/>
            <w:noWrap/>
          </w:tcPr>
          <w:p w14:paraId="0F0CCBA5">
            <w:pPr>
              <w:pStyle w:val="240"/>
              <w:spacing w:before="156" w:after="200" w:line="220" w:lineRule="atLeast"/>
              <w:rPr>
                <w:rFonts w:ascii="仿宋_GB2312" w:hAnsi="宋体" w:eastAsia="仿宋_GB2312"/>
                <w:szCs w:val="21"/>
              </w:rPr>
            </w:pPr>
          </w:p>
        </w:tc>
        <w:tc>
          <w:tcPr>
            <w:tcW w:w="2318" w:type="dxa"/>
            <w:noWrap/>
          </w:tcPr>
          <w:p w14:paraId="30AFEE44">
            <w:pPr>
              <w:pStyle w:val="240"/>
              <w:spacing w:before="156" w:after="200" w:line="220" w:lineRule="atLeast"/>
              <w:rPr>
                <w:rFonts w:ascii="仿宋_GB2312" w:hAnsi="宋体" w:eastAsia="仿宋_GB2312"/>
                <w:szCs w:val="21"/>
              </w:rPr>
            </w:pPr>
          </w:p>
        </w:tc>
      </w:tr>
      <w:tr w14:paraId="1E364A0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75" w:type="dxa"/>
            <w:noWrap/>
            <w:vAlign w:val="center"/>
          </w:tcPr>
          <w:p w14:paraId="531421EF">
            <w:pPr>
              <w:pStyle w:val="240"/>
              <w:spacing w:before="156" w:after="200" w:line="220" w:lineRule="atLeast"/>
              <w:jc w:val="center"/>
              <w:rPr>
                <w:rFonts w:ascii="宋体" w:hAnsi="宋体"/>
                <w:szCs w:val="21"/>
              </w:rPr>
            </w:pPr>
          </w:p>
        </w:tc>
        <w:tc>
          <w:tcPr>
            <w:tcW w:w="1843" w:type="dxa"/>
            <w:noWrap/>
            <w:vAlign w:val="center"/>
          </w:tcPr>
          <w:p w14:paraId="6966C913">
            <w:pPr>
              <w:pStyle w:val="240"/>
              <w:spacing w:before="156" w:after="200" w:line="220" w:lineRule="atLeast"/>
              <w:jc w:val="left"/>
              <w:rPr>
                <w:rFonts w:ascii="仿宋_GB2312" w:hAnsi="宋体"/>
                <w:szCs w:val="21"/>
              </w:rPr>
            </w:pPr>
          </w:p>
        </w:tc>
        <w:tc>
          <w:tcPr>
            <w:tcW w:w="2693" w:type="dxa"/>
            <w:noWrap/>
          </w:tcPr>
          <w:p w14:paraId="739FDA84">
            <w:pPr>
              <w:pStyle w:val="240"/>
              <w:spacing w:before="156" w:after="200" w:line="220" w:lineRule="atLeast"/>
              <w:rPr>
                <w:rFonts w:ascii="仿宋_GB2312" w:hAnsi="宋体" w:eastAsia="仿宋_GB2312"/>
                <w:szCs w:val="21"/>
              </w:rPr>
            </w:pPr>
          </w:p>
        </w:tc>
        <w:tc>
          <w:tcPr>
            <w:tcW w:w="993" w:type="dxa"/>
            <w:noWrap/>
          </w:tcPr>
          <w:p w14:paraId="16FF4D96">
            <w:pPr>
              <w:pStyle w:val="240"/>
              <w:spacing w:before="156" w:after="200" w:line="220" w:lineRule="atLeast"/>
              <w:rPr>
                <w:rFonts w:ascii="仿宋_GB2312" w:hAnsi="宋体" w:eastAsia="仿宋_GB2312"/>
                <w:szCs w:val="21"/>
              </w:rPr>
            </w:pPr>
          </w:p>
        </w:tc>
        <w:tc>
          <w:tcPr>
            <w:tcW w:w="2318" w:type="dxa"/>
            <w:noWrap/>
          </w:tcPr>
          <w:p w14:paraId="102F9FBF">
            <w:pPr>
              <w:pStyle w:val="240"/>
              <w:spacing w:before="156" w:after="200" w:line="220" w:lineRule="atLeast"/>
              <w:rPr>
                <w:rFonts w:ascii="仿宋_GB2312" w:hAnsi="宋体" w:eastAsia="仿宋_GB2312"/>
                <w:szCs w:val="21"/>
              </w:rPr>
            </w:pPr>
          </w:p>
        </w:tc>
      </w:tr>
      <w:tr w14:paraId="527B4E1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75" w:type="dxa"/>
            <w:noWrap/>
            <w:vAlign w:val="center"/>
          </w:tcPr>
          <w:p w14:paraId="22B7C149">
            <w:pPr>
              <w:pStyle w:val="240"/>
              <w:spacing w:before="156" w:after="200" w:line="220" w:lineRule="atLeast"/>
              <w:jc w:val="center"/>
              <w:rPr>
                <w:rFonts w:ascii="宋体" w:hAnsi="宋体"/>
                <w:szCs w:val="21"/>
              </w:rPr>
            </w:pPr>
          </w:p>
        </w:tc>
        <w:tc>
          <w:tcPr>
            <w:tcW w:w="1843" w:type="dxa"/>
            <w:noWrap/>
            <w:vAlign w:val="center"/>
          </w:tcPr>
          <w:p w14:paraId="04437265">
            <w:pPr>
              <w:pStyle w:val="240"/>
              <w:spacing w:before="156" w:after="200" w:line="220" w:lineRule="atLeast"/>
              <w:jc w:val="left"/>
              <w:rPr>
                <w:rFonts w:ascii="仿宋_GB2312" w:hAnsi="宋体"/>
                <w:szCs w:val="21"/>
              </w:rPr>
            </w:pPr>
          </w:p>
        </w:tc>
        <w:tc>
          <w:tcPr>
            <w:tcW w:w="2693" w:type="dxa"/>
            <w:noWrap/>
          </w:tcPr>
          <w:p w14:paraId="79CA01F7">
            <w:pPr>
              <w:pStyle w:val="240"/>
              <w:spacing w:before="156" w:after="200" w:line="220" w:lineRule="atLeast"/>
              <w:rPr>
                <w:rFonts w:ascii="仿宋_GB2312" w:hAnsi="宋体" w:eastAsia="仿宋_GB2312"/>
                <w:szCs w:val="21"/>
              </w:rPr>
            </w:pPr>
          </w:p>
        </w:tc>
        <w:tc>
          <w:tcPr>
            <w:tcW w:w="993" w:type="dxa"/>
            <w:noWrap/>
          </w:tcPr>
          <w:p w14:paraId="12A89DA7">
            <w:pPr>
              <w:pStyle w:val="240"/>
              <w:spacing w:before="156" w:after="200" w:line="220" w:lineRule="atLeast"/>
              <w:rPr>
                <w:rFonts w:ascii="仿宋_GB2312" w:hAnsi="宋体" w:eastAsia="仿宋_GB2312"/>
                <w:szCs w:val="21"/>
              </w:rPr>
            </w:pPr>
          </w:p>
        </w:tc>
        <w:tc>
          <w:tcPr>
            <w:tcW w:w="2318" w:type="dxa"/>
            <w:noWrap/>
          </w:tcPr>
          <w:p w14:paraId="733C54FD">
            <w:pPr>
              <w:pStyle w:val="240"/>
              <w:spacing w:before="156" w:after="200" w:line="220" w:lineRule="atLeast"/>
              <w:rPr>
                <w:rFonts w:ascii="仿宋_GB2312" w:hAnsi="宋体" w:eastAsia="仿宋_GB2312"/>
                <w:szCs w:val="21"/>
              </w:rPr>
            </w:pPr>
          </w:p>
        </w:tc>
      </w:tr>
    </w:tbl>
    <w:p w14:paraId="2D75789E">
      <w:pPr>
        <w:pStyle w:val="240"/>
        <w:rPr>
          <w:rFonts w:ascii="宋体" w:hAnsi="宋体"/>
          <w:szCs w:val="21"/>
        </w:rPr>
      </w:pPr>
    </w:p>
    <w:p w14:paraId="03ADAB65">
      <w:pPr>
        <w:pStyle w:val="240"/>
        <w:rPr>
          <w:rFonts w:ascii="宋体" w:hAnsi="宋体"/>
          <w:szCs w:val="21"/>
        </w:rPr>
      </w:pPr>
      <w:r>
        <w:rPr>
          <w:rFonts w:ascii="宋体" w:hAnsi="宋体"/>
          <w:szCs w:val="21"/>
        </w:rPr>
        <w:t>法定代表人或授权代表签字：</w:t>
      </w:r>
    </w:p>
    <w:p w14:paraId="786BBF46">
      <w:pPr>
        <w:pStyle w:val="240"/>
        <w:jc w:val="right"/>
        <w:rPr>
          <w:rFonts w:ascii="宋体" w:hAnsi="宋体"/>
          <w:szCs w:val="21"/>
        </w:rPr>
      </w:pPr>
    </w:p>
    <w:p w14:paraId="3BA37BF7">
      <w:pPr>
        <w:pStyle w:val="240"/>
        <w:jc w:val="right"/>
        <w:rPr>
          <w:rFonts w:ascii="宋体" w:hAnsi="宋体"/>
          <w:szCs w:val="21"/>
        </w:rPr>
      </w:pPr>
      <w:r>
        <w:rPr>
          <w:rFonts w:ascii="宋体" w:hAnsi="宋体"/>
          <w:szCs w:val="21"/>
        </w:rPr>
        <w:t>日期：     年    月     日</w:t>
      </w:r>
    </w:p>
    <w:p w14:paraId="19D46914">
      <w:pPr>
        <w:rPr>
          <w:rFonts w:ascii="宋体" w:hAnsi="宋体"/>
          <w:b/>
        </w:rPr>
      </w:pPr>
      <w:r>
        <w:rPr>
          <w:rFonts w:ascii="宋体" w:hAnsi="宋体"/>
          <w:b/>
        </w:rPr>
        <w:br w:type="page" w:clear="all"/>
      </w:r>
    </w:p>
    <w:p w14:paraId="5C6CFF19">
      <w:pPr>
        <w:pStyle w:val="40"/>
        <w:ind w:firstLine="540"/>
      </w:pPr>
    </w:p>
    <w:p w14:paraId="4267A0C5">
      <w:pPr>
        <w:spacing w:before="312" w:line="360" w:lineRule="auto"/>
        <w:jc w:val="center"/>
        <w:rPr>
          <w:rFonts w:ascii="宋体" w:hAnsi="宋体"/>
          <w:b/>
        </w:rPr>
      </w:pPr>
      <w:r>
        <w:rPr>
          <w:rFonts w:hint="eastAsia" w:ascii="宋体" w:hAnsi="宋体"/>
          <w:b/>
        </w:rPr>
        <w:t>主要标的信息（成交后将公示）</w:t>
      </w:r>
    </w:p>
    <w:p w14:paraId="47E808EC">
      <w:pPr>
        <w:widowControl/>
        <w:spacing w:line="360" w:lineRule="auto"/>
        <w:jc w:val="left"/>
        <w:rPr>
          <w:rFonts w:ascii="宋体" w:hAnsi="宋体" w:cs="宋体"/>
          <w:sz w:val="24"/>
          <w:szCs w:val="24"/>
        </w:rPr>
      </w:pPr>
      <w:r>
        <w:rPr>
          <w:rFonts w:hint="eastAsia" w:ascii="宋体" w:hAnsi="宋体"/>
        </w:rPr>
        <w:t>供应商全称：</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26C44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1" w:type="dxa"/>
            <w:noWrap/>
          </w:tcPr>
          <w:p w14:paraId="061F5370">
            <w:pPr>
              <w:jc w:val="center"/>
              <w:rPr>
                <w:rFonts w:ascii="宋体" w:hAnsi="宋体" w:cs="宋体"/>
              </w:rPr>
            </w:pPr>
            <w:r>
              <w:rPr>
                <w:rFonts w:hint="eastAsia" w:ascii="宋体" w:hAnsi="宋体" w:cs="宋体"/>
              </w:rPr>
              <w:t>货物类</w:t>
            </w:r>
          </w:p>
        </w:tc>
        <w:tc>
          <w:tcPr>
            <w:tcW w:w="3780" w:type="dxa"/>
            <w:noWrap/>
          </w:tcPr>
          <w:p w14:paraId="19692692">
            <w:pPr>
              <w:jc w:val="center"/>
              <w:rPr>
                <w:rFonts w:ascii="宋体" w:hAnsi="宋体" w:cs="宋体"/>
              </w:rPr>
            </w:pPr>
            <w:r>
              <w:rPr>
                <w:rFonts w:hint="eastAsia" w:ascii="宋体" w:hAnsi="宋体" w:cs="宋体"/>
              </w:rPr>
              <w:t>服务类</w:t>
            </w:r>
          </w:p>
        </w:tc>
      </w:tr>
      <w:tr w14:paraId="25FDC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jc w:val="center"/>
        </w:trPr>
        <w:tc>
          <w:tcPr>
            <w:tcW w:w="3901" w:type="dxa"/>
            <w:noWrap/>
          </w:tcPr>
          <w:p w14:paraId="3322841A">
            <w:pPr>
              <w:spacing w:line="360" w:lineRule="auto"/>
              <w:rPr>
                <w:rFonts w:ascii="宋体" w:hAnsi="宋体" w:cs="宋体"/>
              </w:rPr>
            </w:pPr>
            <w:r>
              <w:rPr>
                <w:rFonts w:hint="eastAsia" w:ascii="宋体" w:hAnsi="宋体" w:cs="宋体"/>
              </w:rPr>
              <w:t>名称：</w:t>
            </w:r>
          </w:p>
          <w:p w14:paraId="29A8DAD9">
            <w:pPr>
              <w:spacing w:line="360" w:lineRule="auto"/>
              <w:rPr>
                <w:rFonts w:ascii="宋体" w:hAnsi="宋体" w:cs="宋体"/>
              </w:rPr>
            </w:pPr>
            <w:r>
              <w:rPr>
                <w:rFonts w:hint="eastAsia" w:ascii="宋体" w:hAnsi="宋体" w:cs="宋体"/>
              </w:rPr>
              <w:t>品牌（如有）：</w:t>
            </w:r>
          </w:p>
          <w:p w14:paraId="2E9D3675">
            <w:pPr>
              <w:spacing w:line="360" w:lineRule="auto"/>
              <w:rPr>
                <w:rFonts w:ascii="宋体" w:hAnsi="宋体" w:cs="宋体"/>
              </w:rPr>
            </w:pPr>
            <w:r>
              <w:rPr>
                <w:rFonts w:hint="eastAsia" w:ascii="宋体" w:hAnsi="宋体" w:cs="宋体"/>
              </w:rPr>
              <w:t>规格型号：</w:t>
            </w:r>
          </w:p>
          <w:p w14:paraId="0CAE898F">
            <w:pPr>
              <w:spacing w:line="360" w:lineRule="auto"/>
              <w:rPr>
                <w:rFonts w:ascii="宋体" w:hAnsi="宋体" w:cs="宋体"/>
              </w:rPr>
            </w:pPr>
            <w:r>
              <w:rPr>
                <w:rFonts w:hint="eastAsia" w:ascii="宋体" w:hAnsi="宋体" w:cs="宋体"/>
              </w:rPr>
              <w:t>数量：</w:t>
            </w:r>
          </w:p>
          <w:p w14:paraId="33D42439">
            <w:pPr>
              <w:spacing w:line="360" w:lineRule="auto"/>
              <w:rPr>
                <w:rFonts w:ascii="宋体" w:hAnsi="宋体" w:cs="宋体"/>
              </w:rPr>
            </w:pPr>
            <w:r>
              <w:rPr>
                <w:rFonts w:hint="eastAsia" w:ascii="宋体" w:hAnsi="宋体" w:cs="宋体"/>
              </w:rPr>
              <w:t>单价：</w:t>
            </w:r>
          </w:p>
        </w:tc>
        <w:tc>
          <w:tcPr>
            <w:tcW w:w="3780" w:type="dxa"/>
            <w:noWrap/>
          </w:tcPr>
          <w:p w14:paraId="4561BF21">
            <w:pPr>
              <w:spacing w:line="360" w:lineRule="auto"/>
              <w:rPr>
                <w:rFonts w:ascii="宋体" w:hAnsi="宋体" w:cs="宋体"/>
              </w:rPr>
            </w:pPr>
            <w:r>
              <w:rPr>
                <w:rFonts w:hint="eastAsia" w:ascii="宋体" w:hAnsi="宋体" w:cs="宋体"/>
              </w:rPr>
              <w:t>名称：</w:t>
            </w:r>
          </w:p>
          <w:p w14:paraId="4ED03AB6">
            <w:pPr>
              <w:spacing w:line="360" w:lineRule="auto"/>
              <w:rPr>
                <w:rFonts w:ascii="宋体" w:hAnsi="宋体" w:cs="宋体"/>
              </w:rPr>
            </w:pPr>
            <w:r>
              <w:rPr>
                <w:rFonts w:hint="eastAsia" w:ascii="宋体" w:hAnsi="宋体" w:cs="宋体"/>
              </w:rPr>
              <w:t>服务范围：</w:t>
            </w:r>
          </w:p>
          <w:p w14:paraId="5C152127">
            <w:pPr>
              <w:spacing w:line="360" w:lineRule="auto"/>
              <w:rPr>
                <w:rFonts w:ascii="宋体" w:hAnsi="宋体" w:cs="宋体"/>
                <w:u w:val="single"/>
              </w:rPr>
            </w:pPr>
            <w:r>
              <w:rPr>
                <w:rFonts w:hint="eastAsia" w:ascii="宋体" w:hAnsi="宋体" w:cs="宋体"/>
              </w:rPr>
              <w:t>服务要求：</w:t>
            </w:r>
          </w:p>
          <w:p w14:paraId="2406A3A5">
            <w:pPr>
              <w:spacing w:line="360" w:lineRule="auto"/>
              <w:rPr>
                <w:rFonts w:ascii="宋体" w:hAnsi="宋体" w:cs="宋体"/>
                <w:u w:val="single"/>
              </w:rPr>
            </w:pPr>
            <w:r>
              <w:rPr>
                <w:rFonts w:hint="eastAsia" w:ascii="宋体" w:hAnsi="宋体" w:cs="宋体"/>
              </w:rPr>
              <w:t>服务时间：</w:t>
            </w:r>
          </w:p>
          <w:p w14:paraId="03745E91">
            <w:pPr>
              <w:spacing w:line="360" w:lineRule="auto"/>
              <w:rPr>
                <w:rFonts w:ascii="宋体" w:hAnsi="宋体" w:cs="宋体"/>
              </w:rPr>
            </w:pPr>
            <w:r>
              <w:rPr>
                <w:rFonts w:hint="eastAsia" w:ascii="宋体" w:hAnsi="宋体" w:cs="宋体"/>
              </w:rPr>
              <w:t>服务标准：</w:t>
            </w:r>
          </w:p>
        </w:tc>
      </w:tr>
    </w:tbl>
    <w:p w14:paraId="48534C0A">
      <w:pPr>
        <w:widowControl/>
        <w:spacing w:line="360" w:lineRule="auto"/>
        <w:jc w:val="left"/>
        <w:rPr>
          <w:rFonts w:ascii="宋体" w:hAnsi="宋体" w:cs="宋体"/>
          <w:sz w:val="24"/>
          <w:szCs w:val="24"/>
        </w:rPr>
      </w:pPr>
    </w:p>
    <w:p w14:paraId="605E0664">
      <w:pPr>
        <w:pStyle w:val="261"/>
        <w:ind w:left="69"/>
      </w:pPr>
    </w:p>
    <w:p w14:paraId="6E35E6FE">
      <w:pPr>
        <w:pStyle w:val="84"/>
        <w:rPr>
          <w:rFonts w:ascii="宋体"/>
        </w:rPr>
      </w:pPr>
    </w:p>
    <w:p w14:paraId="503D0781">
      <w:pPr>
        <w:pStyle w:val="86"/>
        <w:rPr>
          <w:rFonts w:hAnsi="宋体"/>
        </w:rPr>
      </w:pPr>
    </w:p>
    <w:p w14:paraId="2009DED6">
      <w:pPr>
        <w:pStyle w:val="82"/>
        <w:rPr>
          <w:rFonts w:hAnsi="宋体"/>
        </w:rPr>
      </w:pPr>
    </w:p>
    <w:p w14:paraId="55841455">
      <w:bookmarkStart w:id="47" w:name="_GoBack"/>
      <w:bookmarkEnd w:id="47"/>
    </w:p>
    <w:sectPr>
      <w:footerReference r:id="rId11" w:type="default"/>
      <w:pgSz w:w="11906" w:h="16838"/>
      <w:pgMar w:top="1134" w:right="850" w:bottom="1134" w:left="85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roman"/>
    <w:pitch w:val="default"/>
    <w:sig w:usb0="A00002EF" w:usb1="4000207B"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D9157">
    <w:pPr>
      <w:pStyle w:val="27"/>
      <w:jc w:val="center"/>
    </w:pPr>
  </w:p>
  <w:p w14:paraId="34EF939D">
    <w:pPr>
      <w:pStyle w:val="26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1835F">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D9A2A">
    <w:pPr>
      <w:pStyle w:val="27"/>
      <w:jc w:val="center"/>
    </w:pPr>
  </w:p>
  <w:p w14:paraId="749A98F4">
    <w:pPr>
      <w:pStyle w:val="26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911A">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419572B">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5Li5x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N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O5Li5xCAgAAfQQAAA4AAAAAAAAAAQAgAAAAHwEAAGRy&#10;cy9lMm9Eb2MueG1sUEsFBgAAAAAGAAYAWQEAANMFAAAAAA==&#10;">
              <v:fill on="f" focussize="0,0"/>
              <v:stroke on="f" weight="0.5pt"/>
              <v:imagedata o:title=""/>
              <o:lock v:ext="edit" aspectratio="f"/>
              <v:textbox inset="0mm,0mm,0mm,0mm" style="mso-fit-shape-to-text:t;">
                <w:txbxContent>
                  <w:p w14:paraId="1419572B">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B6AB4">
    <w:pPr>
      <w:pStyle w:val="26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160" cy="131445"/>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36989" cy="131433"/>
                      </a:xfrm>
                      <a:prstGeom prst="rect">
                        <a:avLst/>
                      </a:prstGeom>
                      <a:noFill/>
                      <a:ln w="6350">
                        <a:noFill/>
                      </a:ln>
                      <a:effectLst/>
                    </wps:spPr>
                    <wps:txbx>
                      <w:txbxContent>
                        <w:p w14:paraId="29F3853D">
                          <w:pPr>
                            <w:pStyle w:val="2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4" o:spid="_x0000_s1026" o:spt="202" type="#_x0000_t202" style="position:absolute;left:0pt;margin-top:0pt;height:10.35pt;width:10.8pt;mso-position-horizontal:center;mso-position-horizontal-relative:margin;z-index:251660288;mso-width-relative:page;mso-height-relative:page;" filled="f" stroked="f" coordsize="21600,21600" o:gfxdata="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D0X2ozSAAAAAwEAAA8AAAAAAAAAAQAgAAAAIgAA&#10;AGRycy9kb3ducmV2LnhtbFBLAQIUABQAAAAIAIdO4kBX8D/CRwIAAH0EAAAOAAAAAAAAAAEAIAAA&#10;ACEBAABkcnMvZTJvRG9jLnhtbFBLBQYAAAAABgAGAFkBAADaBQAAAAA=&#10;">
              <v:fill on="f" focussize="0,0"/>
              <v:stroke on="f" weight="0.5pt"/>
              <v:imagedata o:title=""/>
              <o:lock v:ext="edit" aspectratio="f"/>
              <v:textbox inset="0mm,0mm,0mm,0mm">
                <w:txbxContent>
                  <w:p w14:paraId="29F3853D">
                    <w:pPr>
                      <w:pStyle w:val="2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147F6">
    <w:pPr>
      <w:pStyle w:val="26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6380"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46575" cy="131433"/>
                      </a:xfrm>
                      <a:prstGeom prst="rect">
                        <a:avLst/>
                      </a:prstGeom>
                      <a:noFill/>
                      <a:ln w="6350">
                        <a:noFill/>
                      </a:ln>
                      <a:effectLst/>
                    </wps:spPr>
                    <wps:txbx>
                      <w:txbxContent>
                        <w:p w14:paraId="0BC2EF07">
                          <w:pPr>
                            <w:pStyle w:val="265"/>
                            <w:jc w:val="center"/>
                          </w:pPr>
                          <w:r>
                            <w:fldChar w:fldCharType="begin"/>
                          </w:r>
                          <w:r>
                            <w:instrText xml:space="preserve">PAGE   \* MERGEFORMAT</w:instrText>
                          </w:r>
                          <w:r>
                            <w:fldChar w:fldCharType="separate"/>
                          </w:r>
                          <w:r>
                            <w:rPr>
                              <w:lang w:val="zh-CN"/>
                            </w:rPr>
                            <w:t>46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0.35pt;width:19.4pt;mso-position-horizontal:center;mso-position-horizontal-relative:margin;z-index:251659264;mso-width-relative:page;mso-height-relative:page;" filled="f" stroked="f" coordsize="21600,21600" o:gfxdata="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hUByd0wAAAAMBAAAPAAAAAAAAAAEAIAAAACIAAABkcnMv&#10;ZG93bnJldi54bWxQSwECFAAUAAAACACHTuJA6F3G0kECAABxBAAADgAAAAAAAAABACAAAAAiAQAA&#10;ZHJzL2Uyb0RvYy54bWxQSwUGAAAAAAYABgBZAQAA1QUAAAAA&#10;">
              <v:fill on="f" focussize="0,0"/>
              <v:stroke on="f" weight="0.5pt"/>
              <v:imagedata o:title=""/>
              <o:lock v:ext="edit" aspectratio="f"/>
              <v:textbox inset="0mm,0mm,0mm,0mm">
                <w:txbxContent>
                  <w:p w14:paraId="0BC2EF07">
                    <w:pPr>
                      <w:pStyle w:val="265"/>
                      <w:jc w:val="center"/>
                    </w:pPr>
                    <w:r>
                      <w:fldChar w:fldCharType="begin"/>
                    </w:r>
                    <w:r>
                      <w:instrText xml:space="preserve">PAGE   \* MERGEFORMAT</w:instrText>
                    </w:r>
                    <w:r>
                      <w:fldChar w:fldCharType="separate"/>
                    </w:r>
                    <w:r>
                      <w:rPr>
                        <w:lang w:val="zh-CN"/>
                      </w:rPr>
                      <w:t>46</w:t>
                    </w:r>
                    <w:r>
                      <w:fldChar w:fldCharType="end"/>
                    </w:r>
                  </w:p>
                </w:txbxContent>
              </v:textbox>
            </v:shape>
          </w:pict>
        </mc:Fallback>
      </mc:AlternateContent>
    </w:r>
  </w:p>
  <w:p w14:paraId="72B5B717">
    <w:pPr>
      <w:pStyle w:val="26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44B50">
    <w:pPr>
      <w:pStyle w:val="264"/>
      <w:pBdr>
        <w:bottom w:val="single" w:color="auto" w:sz="4" w:space="1"/>
      </w:pBdr>
      <w:jc w:val="both"/>
      <w:rPr>
        <w:rFonts w:hint="default" w:eastAsia="宋体"/>
        <w:lang w:val="en-US" w:eastAsia="zh-CN"/>
      </w:rPr>
    </w:pPr>
    <w:r>
      <w:rPr>
        <w:rFonts w:hint="eastAsia"/>
      </w:rPr>
      <w:t>捷宏润安工程顾问有限公司扬州分公司</w:t>
    </w:r>
    <w:r>
      <w:rPr>
        <w:rFonts w:hint="eastAsia"/>
        <w:lang w:val="en-US" w:eastAsia="zh-CN"/>
      </w:rPr>
      <w:t xml:space="preserve">                                             </w:t>
    </w:r>
    <w:r>
      <w:rPr>
        <w:rFonts w:ascii="Segoe UI" w:hAnsi="Segoe UI" w:eastAsia="Segoe UI" w:cs="Segoe UI"/>
        <w:i w:val="0"/>
        <w:iCs w:val="0"/>
        <w:caps w:val="0"/>
        <w:spacing w:val="0"/>
        <w:sz w:val="21"/>
        <w:szCs w:val="21"/>
        <w:shd w:val="clear" w:fill="FFFFFF"/>
      </w:rPr>
      <w:t>JSZC-321002-JHRA-C2026-0030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7AA4F">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86238">
    <w:pPr>
      <w:pStyle w:val="29"/>
      <w:tabs>
        <w:tab w:val="left" w:pos="5577"/>
        <w:tab w:val="clear" w:pos="4153"/>
      </w:tabs>
      <w:ind w:firstLine="180"/>
      <w:jc w:val="both"/>
      <w:rPr>
        <w:rFonts w:hint="default" w:eastAsia="宋体"/>
        <w:lang w:val="en-US" w:eastAsia="zh-CN"/>
      </w:rPr>
    </w:pPr>
    <w:r>
      <w:rPr>
        <w:rFonts w:hint="eastAsia"/>
      </w:rPr>
      <w:t>捷宏润安工程顾问有限公司扬州分公司</w:t>
    </w:r>
    <w:r>
      <w:rPr>
        <w:rFonts w:hint="eastAsia"/>
        <w:lang w:val="en-US" w:eastAsia="zh-CN"/>
      </w:rPr>
      <w:t xml:space="preserve">                                           </w:t>
    </w:r>
    <w:r>
      <w:rPr>
        <w:rFonts w:ascii="Segoe UI" w:hAnsi="Segoe UI" w:eastAsia="Segoe UI" w:cs="Segoe UI"/>
        <w:i w:val="0"/>
        <w:iCs w:val="0"/>
        <w:caps w:val="0"/>
        <w:spacing w:val="0"/>
        <w:sz w:val="21"/>
        <w:szCs w:val="21"/>
        <w:shd w:val="clear" w:fill="FFFFFF"/>
      </w:rPr>
      <w:t>JSZC-321002-JHRA-C2026-0030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F3D0E"/>
    <w:multiLevelType w:val="singleLevel"/>
    <w:tmpl w:val="85BF3D0E"/>
    <w:lvl w:ilvl="0" w:tentative="0">
      <w:start w:val="5"/>
      <w:numFmt w:val="decimal"/>
      <w:suff w:val="nothing"/>
      <w:lvlText w:val="%1、"/>
      <w:lvlJc w:val="left"/>
    </w:lvl>
  </w:abstractNum>
  <w:abstractNum w:abstractNumId="1">
    <w:nsid w:val="CF092B84"/>
    <w:multiLevelType w:val="multilevel"/>
    <w:tmpl w:val="CF092B8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suff w:val="nothing"/>
      <w:lvlText w:val=""/>
      <w:lvlJc w:val="left"/>
      <w:pPr>
        <w:tabs>
          <w:tab w:val="left" w:pos="0"/>
        </w:tabs>
        <w:ind w:left="0" w:firstLine="0"/>
      </w:pPr>
    </w:lvl>
    <w:lvl w:ilvl="1" w:tentative="0">
      <w:start w:val="1"/>
      <w:numFmt w:val="decimal"/>
      <w:suff w:val="nothing"/>
      <w:lvlText w:val=""/>
      <w:lvlJc w:val="left"/>
      <w:pPr>
        <w:tabs>
          <w:tab w:val="left" w:pos="0"/>
        </w:tabs>
        <w:ind w:left="0" w:firstLine="0"/>
      </w:pPr>
    </w:lvl>
    <w:lvl w:ilvl="2" w:tentative="0">
      <w:start w:val="1"/>
      <w:numFmt w:val="decimal"/>
      <w:suff w:val="nothing"/>
      <w:lvlText w:val=""/>
      <w:lvlJc w:val="left"/>
      <w:pPr>
        <w:tabs>
          <w:tab w:val="left" w:pos="0"/>
        </w:tabs>
        <w:ind w:left="0" w:firstLine="0"/>
      </w:pPr>
    </w:lvl>
    <w:lvl w:ilvl="3" w:tentative="0">
      <w:start w:val="1"/>
      <w:numFmt w:val="decimal"/>
      <w:suff w:val="nothing"/>
      <w:lvlText w:val=""/>
      <w:lvlJc w:val="left"/>
      <w:pPr>
        <w:tabs>
          <w:tab w:val="left" w:pos="0"/>
        </w:tabs>
        <w:ind w:left="0" w:firstLine="0"/>
      </w:pPr>
    </w:lvl>
    <w:lvl w:ilvl="4" w:tentative="0">
      <w:start w:val="1"/>
      <w:numFmt w:val="decimal"/>
      <w:suff w:val="nothing"/>
      <w:lvlText w:val=""/>
      <w:lvlJc w:val="left"/>
      <w:pPr>
        <w:tabs>
          <w:tab w:val="left" w:pos="0"/>
        </w:tabs>
        <w:ind w:left="0" w:firstLine="0"/>
      </w:pPr>
    </w:lvl>
    <w:lvl w:ilvl="5" w:tentative="0">
      <w:start w:val="1"/>
      <w:numFmt w:val="decimal"/>
      <w:suff w:val="nothing"/>
      <w:lvlText w:val=""/>
      <w:lvlJc w:val="left"/>
      <w:pPr>
        <w:tabs>
          <w:tab w:val="left" w:pos="0"/>
        </w:tabs>
        <w:ind w:left="0" w:firstLine="0"/>
      </w:pPr>
    </w:lvl>
    <w:lvl w:ilvl="6" w:tentative="0">
      <w:start w:val="1"/>
      <w:numFmt w:val="decimal"/>
      <w:suff w:val="nothing"/>
      <w:lvlText w:val=""/>
      <w:lvlJc w:val="left"/>
      <w:pPr>
        <w:tabs>
          <w:tab w:val="left" w:pos="0"/>
        </w:tabs>
        <w:ind w:left="0" w:firstLine="0"/>
      </w:pPr>
    </w:lvl>
    <w:lvl w:ilvl="7" w:tentative="0">
      <w:start w:val="1"/>
      <w:numFmt w:val="decimal"/>
      <w:suff w:val="nothing"/>
      <w:lvlText w:val=""/>
      <w:lvlJc w:val="left"/>
      <w:pPr>
        <w:tabs>
          <w:tab w:val="left" w:pos="0"/>
        </w:tabs>
        <w:ind w:left="0" w:firstLine="0"/>
      </w:pPr>
    </w:lvl>
    <w:lvl w:ilvl="8" w:tentative="0">
      <w:start w:val="1"/>
      <w:numFmt w:val="decimal"/>
      <w:suff w:val="nothing"/>
      <w:lvlText w:val=""/>
      <w:lvlJc w:val="left"/>
      <w:pPr>
        <w:tabs>
          <w:tab w:val="left" w:pos="0"/>
        </w:tabs>
        <w:ind w:left="0" w:firstLine="0"/>
      </w:pPr>
    </w:lvl>
  </w:abstractNum>
  <w:abstractNum w:abstractNumId="3">
    <w:nsid w:val="2EE847CF"/>
    <w:multiLevelType w:val="multilevel"/>
    <w:tmpl w:val="2EE847CF"/>
    <w:lvl w:ilvl="0" w:tentative="0">
      <w:start w:val="1"/>
      <w:numFmt w:val="decimal"/>
      <w:suff w:val="nothing"/>
      <w:lvlText w:val=""/>
      <w:lvlJc w:val="left"/>
      <w:pPr>
        <w:tabs>
          <w:tab w:val="left" w:pos="0"/>
        </w:tabs>
        <w:ind w:left="0" w:firstLine="0"/>
      </w:pPr>
    </w:lvl>
    <w:lvl w:ilvl="1" w:tentative="0">
      <w:start w:val="1"/>
      <w:numFmt w:val="decimal"/>
      <w:suff w:val="nothing"/>
      <w:lvlText w:val=""/>
      <w:lvlJc w:val="left"/>
      <w:pPr>
        <w:tabs>
          <w:tab w:val="left" w:pos="0"/>
        </w:tabs>
        <w:ind w:left="0" w:firstLine="0"/>
      </w:pPr>
    </w:lvl>
    <w:lvl w:ilvl="2" w:tentative="0">
      <w:start w:val="1"/>
      <w:numFmt w:val="decimal"/>
      <w:suff w:val="nothing"/>
      <w:lvlText w:val=""/>
      <w:lvlJc w:val="left"/>
      <w:pPr>
        <w:tabs>
          <w:tab w:val="left" w:pos="0"/>
        </w:tabs>
        <w:ind w:left="0" w:firstLine="0"/>
      </w:pPr>
    </w:lvl>
    <w:lvl w:ilvl="3" w:tentative="0">
      <w:start w:val="1"/>
      <w:numFmt w:val="decimal"/>
      <w:suff w:val="nothing"/>
      <w:lvlText w:val=""/>
      <w:lvlJc w:val="left"/>
      <w:pPr>
        <w:tabs>
          <w:tab w:val="left" w:pos="0"/>
        </w:tabs>
        <w:ind w:left="0" w:firstLine="0"/>
      </w:pPr>
    </w:lvl>
    <w:lvl w:ilvl="4" w:tentative="0">
      <w:start w:val="1"/>
      <w:numFmt w:val="decimal"/>
      <w:suff w:val="nothing"/>
      <w:lvlText w:val=""/>
      <w:lvlJc w:val="left"/>
      <w:pPr>
        <w:tabs>
          <w:tab w:val="left" w:pos="0"/>
        </w:tabs>
        <w:ind w:left="0" w:firstLine="0"/>
      </w:pPr>
    </w:lvl>
    <w:lvl w:ilvl="5" w:tentative="0">
      <w:start w:val="1"/>
      <w:numFmt w:val="decimal"/>
      <w:suff w:val="nothing"/>
      <w:lvlText w:val=""/>
      <w:lvlJc w:val="left"/>
      <w:pPr>
        <w:tabs>
          <w:tab w:val="left" w:pos="0"/>
        </w:tabs>
        <w:ind w:left="0" w:firstLine="0"/>
      </w:pPr>
    </w:lvl>
    <w:lvl w:ilvl="6" w:tentative="0">
      <w:start w:val="1"/>
      <w:numFmt w:val="decimal"/>
      <w:suff w:val="nothing"/>
      <w:lvlText w:val=""/>
      <w:lvlJc w:val="left"/>
      <w:pPr>
        <w:tabs>
          <w:tab w:val="left" w:pos="0"/>
        </w:tabs>
        <w:ind w:left="0" w:firstLine="0"/>
      </w:pPr>
    </w:lvl>
    <w:lvl w:ilvl="7" w:tentative="0">
      <w:start w:val="1"/>
      <w:numFmt w:val="decimal"/>
      <w:suff w:val="nothing"/>
      <w:lvlText w:val=""/>
      <w:lvlJc w:val="left"/>
      <w:pPr>
        <w:tabs>
          <w:tab w:val="left" w:pos="0"/>
        </w:tabs>
        <w:ind w:left="0" w:firstLine="0"/>
      </w:pPr>
    </w:lvl>
    <w:lvl w:ilvl="8" w:tentative="0">
      <w:start w:val="1"/>
      <w:numFmt w:val="decimal"/>
      <w:suff w:val="nothing"/>
      <w:lvlText w:val=""/>
      <w:lvlJc w:val="left"/>
      <w:pPr>
        <w:tabs>
          <w:tab w:val="left" w:pos="0"/>
        </w:tabs>
        <w:ind w:left="0" w:firstLine="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BB6"/>
    <w:rsid w:val="00415C91"/>
    <w:rsid w:val="00497CEC"/>
    <w:rsid w:val="004F3A53"/>
    <w:rsid w:val="007F456A"/>
    <w:rsid w:val="00803BB6"/>
    <w:rsid w:val="009E3F57"/>
    <w:rsid w:val="00A46B44"/>
    <w:rsid w:val="00B871F1"/>
    <w:rsid w:val="00B966DA"/>
    <w:rsid w:val="00E530D0"/>
    <w:rsid w:val="00F5448D"/>
    <w:rsid w:val="00F717FE"/>
    <w:rsid w:val="019C0E2B"/>
    <w:rsid w:val="04BF2805"/>
    <w:rsid w:val="050A6C0A"/>
    <w:rsid w:val="053A7A98"/>
    <w:rsid w:val="0D3D5EE8"/>
    <w:rsid w:val="0DFB3B6E"/>
    <w:rsid w:val="0F4A13DB"/>
    <w:rsid w:val="113A1552"/>
    <w:rsid w:val="143F05CF"/>
    <w:rsid w:val="17D775E2"/>
    <w:rsid w:val="18BE70B8"/>
    <w:rsid w:val="1ACF0700"/>
    <w:rsid w:val="1AD66518"/>
    <w:rsid w:val="21132D8F"/>
    <w:rsid w:val="211427F1"/>
    <w:rsid w:val="212E5E1B"/>
    <w:rsid w:val="264F148B"/>
    <w:rsid w:val="281101F7"/>
    <w:rsid w:val="298E3D79"/>
    <w:rsid w:val="2A32072A"/>
    <w:rsid w:val="2B2250D9"/>
    <w:rsid w:val="2CDB6437"/>
    <w:rsid w:val="2E8B0409"/>
    <w:rsid w:val="30297EDA"/>
    <w:rsid w:val="31913B74"/>
    <w:rsid w:val="362934AA"/>
    <w:rsid w:val="394C1552"/>
    <w:rsid w:val="3A866E97"/>
    <w:rsid w:val="3AA80595"/>
    <w:rsid w:val="3C5C50CF"/>
    <w:rsid w:val="3DF4027E"/>
    <w:rsid w:val="3E95498C"/>
    <w:rsid w:val="461B5D11"/>
    <w:rsid w:val="46A9191C"/>
    <w:rsid w:val="4770244E"/>
    <w:rsid w:val="47A10846"/>
    <w:rsid w:val="48D271A6"/>
    <w:rsid w:val="4BBD2ADA"/>
    <w:rsid w:val="4F0302C7"/>
    <w:rsid w:val="51686983"/>
    <w:rsid w:val="55780E38"/>
    <w:rsid w:val="56665134"/>
    <w:rsid w:val="571E1E8D"/>
    <w:rsid w:val="5EB153BA"/>
    <w:rsid w:val="60E7533C"/>
    <w:rsid w:val="637D586B"/>
    <w:rsid w:val="68F82C54"/>
    <w:rsid w:val="69162D34"/>
    <w:rsid w:val="69F75AD9"/>
    <w:rsid w:val="70AB1C6A"/>
    <w:rsid w:val="71344A64"/>
    <w:rsid w:val="716F53FB"/>
    <w:rsid w:val="71DC07A0"/>
    <w:rsid w:val="73267CCD"/>
    <w:rsid w:val="742E508B"/>
    <w:rsid w:val="77663F5A"/>
    <w:rsid w:val="79894B12"/>
    <w:rsid w:val="7AD7329C"/>
    <w:rsid w:val="7BAD0F8C"/>
    <w:rsid w:val="7F9560E2"/>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nhideWhenUsed="0" w:uiPriority="1"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sz w:val="44"/>
      <w:szCs w:val="44"/>
    </w:rPr>
  </w:style>
  <w:style w:type="paragraph" w:styleId="4">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6" w:lineRule="auto"/>
      <w:outlineLvl w:val="2"/>
    </w:pPr>
    <w:rPr>
      <w:b/>
      <w:sz w:val="32"/>
      <w:szCs w:val="20"/>
    </w:rPr>
  </w:style>
  <w:style w:type="paragraph" w:styleId="6">
    <w:name w:val="heading 4"/>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2"/>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93"/>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qFormat/>
    <w:uiPriority w:val="1"/>
    <w:pPr>
      <w:ind w:left="1000"/>
      <w:outlineLvl w:val="7"/>
    </w:pPr>
    <w:rPr>
      <w:rFonts w:ascii="宋体" w:hAnsi="宋体" w:cs="宋体"/>
      <w:b/>
      <w:bCs/>
      <w:szCs w:val="21"/>
      <w:lang w:val="zh-CN" w:bidi="zh-CN"/>
    </w:rPr>
  </w:style>
  <w:style w:type="paragraph" w:styleId="11">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标题 311"/>
    <w:basedOn w:val="1"/>
    <w:next w:val="1"/>
    <w:qFormat/>
    <w:uiPriority w:val="0"/>
    <w:pPr>
      <w:keepNext/>
      <w:keepLines/>
      <w:spacing w:before="260" w:after="260" w:line="416" w:lineRule="auto"/>
      <w:outlineLvl w:val="2"/>
    </w:pPr>
    <w:rPr>
      <w:rFonts w:ascii="Calibri" w:hAnsi="Calibri"/>
      <w:b/>
      <w:bCs/>
      <w:sz w:val="32"/>
      <w:szCs w:val="32"/>
    </w:rPr>
  </w:style>
  <w:style w:type="paragraph" w:styleId="12">
    <w:name w:val="toc 7"/>
    <w:basedOn w:val="1"/>
    <w:next w:val="1"/>
    <w:unhideWhenUsed/>
    <w:qFormat/>
    <w:uiPriority w:val="39"/>
    <w:pPr>
      <w:spacing w:after="57"/>
      <w:ind w:left="1701"/>
    </w:pPr>
  </w:style>
  <w:style w:type="paragraph" w:styleId="13">
    <w:name w:val="Normal Indent"/>
    <w:basedOn w:val="1"/>
    <w:next w:val="1"/>
    <w:unhideWhenUsed/>
    <w:qFormat/>
    <w:uiPriority w:val="0"/>
    <w:pPr>
      <w:ind w:firstLine="420"/>
    </w:pPr>
    <w:rPr>
      <w:rFonts w:ascii="Calibri" w:hAnsi="Calibri"/>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ascii="Cambria" w:hAnsi="Cambria"/>
      <w:sz w:val="24"/>
    </w:rPr>
  </w:style>
  <w:style w:type="paragraph" w:styleId="16">
    <w:name w:val="annotation text"/>
    <w:basedOn w:val="1"/>
    <w:semiHidden/>
    <w:unhideWhenUsed/>
    <w:qFormat/>
    <w:uiPriority w:val="99"/>
    <w:pPr>
      <w:jc w:val="left"/>
    </w:pPr>
  </w:style>
  <w:style w:type="paragraph" w:styleId="17">
    <w:name w:val="Body Text"/>
    <w:basedOn w:val="1"/>
    <w:next w:val="18"/>
    <w:unhideWhenUsed/>
    <w:qFormat/>
    <w:uiPriority w:val="99"/>
    <w:rPr>
      <w:rFonts w:ascii="楷体_GB2312" w:hAnsi="Arial" w:eastAsia="楷体_GB2312"/>
      <w:sz w:val="28"/>
      <w:szCs w:val="28"/>
    </w:rPr>
  </w:style>
  <w:style w:type="paragraph" w:styleId="18">
    <w:name w:val="Body Text 2"/>
    <w:basedOn w:val="1"/>
    <w:qFormat/>
    <w:uiPriority w:val="0"/>
    <w:pPr>
      <w:spacing w:after="120" w:line="480" w:lineRule="auto"/>
    </w:pPr>
  </w:style>
  <w:style w:type="paragraph" w:styleId="19">
    <w:name w:val="Body Text Indent"/>
    <w:basedOn w:val="1"/>
    <w:next w:val="1"/>
    <w:unhideWhenUsed/>
    <w:qFormat/>
    <w:uiPriority w:val="99"/>
    <w:pPr>
      <w:spacing w:line="400" w:lineRule="exact"/>
      <w:ind w:firstLine="540"/>
    </w:pPr>
    <w:rPr>
      <w:sz w:val="24"/>
    </w:rPr>
  </w:style>
  <w:style w:type="paragraph" w:styleId="20">
    <w:name w:val="index 4"/>
    <w:basedOn w:val="1"/>
    <w:next w:val="1"/>
    <w:unhideWhenUsed/>
    <w:qFormat/>
    <w:uiPriority w:val="99"/>
    <w:pPr>
      <w:ind w:left="600"/>
    </w:pPr>
    <w:rPr>
      <w:rFonts w:ascii="Verdana" w:hAnsi="Verdana"/>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unhideWhenUsed/>
    <w:qFormat/>
    <w:uiPriority w:val="99"/>
    <w:rPr>
      <w:rFonts w:ascii="宋体" w:hAnsi="Courier New"/>
      <w:sz w:val="20"/>
      <w:szCs w:val="20"/>
    </w:rPr>
  </w:style>
  <w:style w:type="paragraph" w:styleId="24">
    <w:name w:val="toc 8"/>
    <w:basedOn w:val="1"/>
    <w:next w:val="1"/>
    <w:unhideWhenUsed/>
    <w:qFormat/>
    <w:uiPriority w:val="39"/>
    <w:pPr>
      <w:spacing w:after="57"/>
      <w:ind w:left="1984"/>
    </w:pPr>
  </w:style>
  <w:style w:type="paragraph" w:styleId="25">
    <w:name w:val="endnote text"/>
    <w:basedOn w:val="1"/>
    <w:link w:val="232"/>
    <w:semiHidden/>
    <w:unhideWhenUsed/>
    <w:qFormat/>
    <w:uiPriority w:val="99"/>
    <w:rPr>
      <w:sz w:val="20"/>
    </w:rPr>
  </w:style>
  <w:style w:type="paragraph" w:styleId="26">
    <w:name w:val="Balloon Text"/>
    <w:basedOn w:val="1"/>
    <w:link w:val="271"/>
    <w:qFormat/>
    <w:uiPriority w:val="0"/>
    <w:rPr>
      <w:sz w:val="18"/>
      <w:szCs w:val="18"/>
    </w:rPr>
  </w:style>
  <w:style w:type="paragraph" w:styleId="27">
    <w:name w:val="footer"/>
    <w:basedOn w:val="1"/>
    <w:link w:val="268"/>
    <w:qFormat/>
    <w:uiPriority w:val="99"/>
    <w:pPr>
      <w:tabs>
        <w:tab w:val="center" w:pos="4153"/>
        <w:tab w:val="right" w:pos="8306"/>
      </w:tabs>
      <w:jc w:val="left"/>
    </w:pPr>
    <w:rPr>
      <w:sz w:val="18"/>
      <w:szCs w:val="18"/>
    </w:rPr>
  </w:style>
  <w:style w:type="paragraph" w:styleId="28">
    <w:name w:val="envelope return"/>
    <w:basedOn w:val="1"/>
    <w:qFormat/>
    <w:uiPriority w:val="0"/>
    <w:rPr>
      <w:rFonts w:ascii="Calibri Light" w:hAnsi="Calibri Light"/>
    </w:rPr>
  </w:style>
  <w:style w:type="paragraph" w:styleId="29">
    <w:name w:val="header"/>
    <w:basedOn w:val="1"/>
    <w:link w:val="267"/>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rPr>
      <w:rFonts w:ascii="Calibri" w:hAnsi="Calibri"/>
    </w:rPr>
  </w:style>
  <w:style w:type="paragraph" w:styleId="31">
    <w:name w:val="toc 4"/>
    <w:basedOn w:val="1"/>
    <w:next w:val="1"/>
    <w:unhideWhenUsed/>
    <w:qFormat/>
    <w:uiPriority w:val="39"/>
    <w:pPr>
      <w:spacing w:after="57"/>
      <w:ind w:left="850"/>
    </w:pPr>
  </w:style>
  <w:style w:type="paragraph" w:styleId="32">
    <w:name w:val="Subtitle"/>
    <w:basedOn w:val="1"/>
    <w:next w:val="1"/>
    <w:link w:val="98"/>
    <w:qFormat/>
    <w:uiPriority w:val="11"/>
    <w:pPr>
      <w:spacing w:before="200" w:after="200"/>
    </w:pPr>
    <w:rPr>
      <w:sz w:val="24"/>
      <w:szCs w:val="24"/>
    </w:rPr>
  </w:style>
  <w:style w:type="paragraph" w:styleId="33">
    <w:name w:val="footnote text"/>
    <w:basedOn w:val="1"/>
    <w:link w:val="23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9">
    <w:name w:val="Title"/>
    <w:basedOn w:val="1"/>
    <w:next w:val="1"/>
    <w:link w:val="97"/>
    <w:qFormat/>
    <w:uiPriority w:val="10"/>
    <w:pPr>
      <w:spacing w:before="300" w:after="200"/>
      <w:contextualSpacing/>
    </w:pPr>
    <w:rPr>
      <w:sz w:val="48"/>
      <w:szCs w:val="48"/>
    </w:rPr>
  </w:style>
  <w:style w:type="paragraph" w:styleId="40">
    <w:name w:val="Body Text First Indent 2"/>
    <w:basedOn w:val="19"/>
    <w:next w:val="1"/>
    <w:qFormat/>
    <w:uiPriority w:val="0"/>
    <w:pPr>
      <w:ind w:firstLine="420"/>
    </w:p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basedOn w:val="43"/>
    <w:semiHidden/>
    <w:unhideWhenUsed/>
    <w:qFormat/>
    <w:uiPriority w:val="99"/>
    <w:rPr>
      <w:vertAlign w:val="superscript"/>
    </w:rPr>
  </w:style>
  <w:style w:type="character" w:styleId="45">
    <w:name w:val="Emphasis"/>
    <w:basedOn w:val="43"/>
    <w:qFormat/>
    <w:uiPriority w:val="20"/>
    <w:rPr>
      <w:i/>
    </w:rPr>
  </w:style>
  <w:style w:type="character" w:styleId="46">
    <w:name w:val="Hyperlink"/>
    <w:unhideWhenUsed/>
    <w:qFormat/>
    <w:uiPriority w:val="99"/>
    <w:rPr>
      <w:color w:val="0563C1" w:themeColor="hyperlink"/>
      <w:u w:val="single"/>
      <w14:textFill>
        <w14:solidFill>
          <w14:schemeClr w14:val="hlink"/>
        </w14:solidFill>
      </w14:textFill>
    </w:rPr>
  </w:style>
  <w:style w:type="character" w:styleId="47">
    <w:name w:val="footnote reference"/>
    <w:basedOn w:val="43"/>
    <w:unhideWhenUsed/>
    <w:qFormat/>
    <w:uiPriority w:val="99"/>
    <w:rPr>
      <w:vertAlign w:val="superscript"/>
    </w:rPr>
  </w:style>
  <w:style w:type="paragraph" w:customStyle="1" w:styleId="48">
    <w:name w:val="首行缩进"/>
    <w:basedOn w:val="1"/>
    <w:qFormat/>
    <w:uiPriority w:val="0"/>
    <w:pPr>
      <w:spacing w:line="360" w:lineRule="auto"/>
      <w:ind w:firstLine="420"/>
    </w:pPr>
  </w:style>
  <w:style w:type="paragraph" w:customStyle="1" w:styleId="49">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50">
    <w:name w:val="标题 11"/>
    <w:basedOn w:val="1"/>
    <w:next w:val="1"/>
    <w:qFormat/>
    <w:uiPriority w:val="9"/>
    <w:pPr>
      <w:keepNext/>
      <w:keepLines/>
      <w:spacing w:before="340" w:after="330" w:line="578" w:lineRule="auto"/>
      <w:outlineLvl w:val="0"/>
    </w:pPr>
    <w:rPr>
      <w:rFonts w:ascii="Calibri" w:hAnsi="Calibri"/>
      <w:b/>
      <w:bCs/>
      <w:sz w:val="44"/>
      <w:szCs w:val="44"/>
    </w:rPr>
  </w:style>
  <w:style w:type="character" w:customStyle="1" w:styleId="51">
    <w:name w:val="Heading 4 Char"/>
    <w:basedOn w:val="43"/>
    <w:qFormat/>
    <w:uiPriority w:val="9"/>
    <w:rPr>
      <w:rFonts w:ascii="Arial" w:hAnsi="Arial" w:eastAsia="Arial" w:cs="Arial"/>
      <w:b/>
      <w:bCs/>
      <w:sz w:val="26"/>
      <w:szCs w:val="26"/>
    </w:rPr>
  </w:style>
  <w:style w:type="character" w:customStyle="1" w:styleId="52">
    <w:name w:val="Heading 5 Char"/>
    <w:basedOn w:val="43"/>
    <w:qFormat/>
    <w:uiPriority w:val="9"/>
    <w:rPr>
      <w:rFonts w:ascii="Arial" w:hAnsi="Arial" w:eastAsia="Arial" w:cs="Arial"/>
      <w:b/>
      <w:bCs/>
      <w:sz w:val="24"/>
      <w:szCs w:val="24"/>
    </w:rPr>
  </w:style>
  <w:style w:type="character" w:customStyle="1" w:styleId="53">
    <w:name w:val="Heading 6 Char"/>
    <w:basedOn w:val="43"/>
    <w:qFormat/>
    <w:uiPriority w:val="9"/>
    <w:rPr>
      <w:rFonts w:ascii="Arial" w:hAnsi="Arial" w:eastAsia="Arial" w:cs="Arial"/>
      <w:b/>
      <w:bCs/>
      <w:sz w:val="22"/>
      <w:szCs w:val="22"/>
    </w:rPr>
  </w:style>
  <w:style w:type="character" w:customStyle="1" w:styleId="54">
    <w:name w:val="Heading 7 Char"/>
    <w:basedOn w:val="43"/>
    <w:qFormat/>
    <w:uiPriority w:val="9"/>
    <w:rPr>
      <w:rFonts w:ascii="Arial" w:hAnsi="Arial" w:eastAsia="Arial" w:cs="Arial"/>
      <w:b/>
      <w:bCs/>
      <w:i/>
      <w:iCs/>
      <w:sz w:val="22"/>
      <w:szCs w:val="22"/>
    </w:rPr>
  </w:style>
  <w:style w:type="character" w:customStyle="1" w:styleId="55">
    <w:name w:val="Heading 9 Char"/>
    <w:basedOn w:val="43"/>
    <w:qFormat/>
    <w:uiPriority w:val="9"/>
    <w:rPr>
      <w:rFonts w:ascii="Arial" w:hAnsi="Arial" w:eastAsia="Arial" w:cs="Arial"/>
      <w:i/>
      <w:iCs/>
      <w:sz w:val="21"/>
      <w:szCs w:val="21"/>
    </w:rPr>
  </w:style>
  <w:style w:type="character" w:customStyle="1" w:styleId="56">
    <w:name w:val="Title Char"/>
    <w:basedOn w:val="43"/>
    <w:qFormat/>
    <w:uiPriority w:val="10"/>
    <w:rPr>
      <w:sz w:val="48"/>
      <w:szCs w:val="48"/>
    </w:rPr>
  </w:style>
  <w:style w:type="character" w:customStyle="1" w:styleId="57">
    <w:name w:val="Subtitle Char"/>
    <w:basedOn w:val="43"/>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table" w:customStyle="1" w:styleId="60">
    <w:name w:val="Plain Table 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4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4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41"/>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41"/>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41"/>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标题1"/>
    <w:unhideWhenUsed/>
    <w:qFormat/>
    <w:uiPriority w:val="39"/>
    <w:rPr>
      <w:rFonts w:ascii="Times New Roman" w:hAnsi="Times New Roman" w:eastAsia="宋体" w:cs="Times New Roman"/>
      <w:lang w:val="en-US" w:eastAsia="zh-CN" w:bidi="ar-SA"/>
    </w:rPr>
  </w:style>
  <w:style w:type="paragraph" w:customStyle="1" w:styleId="82">
    <w:name w:val="正文1"/>
    <w:basedOn w:val="1"/>
    <w:next w:val="83"/>
    <w:qFormat/>
    <w:uiPriority w:val="0"/>
    <w:pPr>
      <w:spacing w:line="360" w:lineRule="atLeast"/>
      <w:jc w:val="left"/>
    </w:pPr>
    <w:rPr>
      <w:rFonts w:ascii="宋体" w:hAnsi="Calibri"/>
      <w:sz w:val="24"/>
      <w:szCs w:val="20"/>
    </w:rPr>
  </w:style>
  <w:style w:type="paragraph" w:customStyle="1" w:styleId="83">
    <w:name w:val="正文文本1"/>
    <w:basedOn w:val="82"/>
    <w:next w:val="84"/>
    <w:qFormat/>
    <w:uiPriority w:val="0"/>
    <w:pPr>
      <w:spacing w:after="120"/>
    </w:pPr>
    <w:rPr>
      <w:lang w:eastAsia="en-US"/>
    </w:rPr>
  </w:style>
  <w:style w:type="paragraph" w:customStyle="1" w:styleId="84">
    <w:name w:val="一级条标题"/>
    <w:basedOn w:val="85"/>
    <w:next w:val="8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5">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86">
    <w:name w:val="段"/>
    <w:basedOn w:val="82"/>
    <w:next w:val="1"/>
    <w:qFormat/>
    <w:uiPriority w:val="0"/>
    <w:pPr>
      <w:widowControl/>
      <w:ind w:firstLine="200"/>
    </w:pPr>
    <w:rPr>
      <w:sz w:val="20"/>
    </w:rPr>
  </w:style>
  <w:style w:type="character" w:customStyle="1" w:styleId="87">
    <w:name w:val="Heading 1 Char"/>
    <w:basedOn w:val="43"/>
    <w:qFormat/>
    <w:uiPriority w:val="9"/>
    <w:rPr>
      <w:rFonts w:ascii="Arial" w:hAnsi="Arial" w:eastAsia="Arial" w:cs="Arial"/>
      <w:sz w:val="40"/>
      <w:szCs w:val="40"/>
    </w:rPr>
  </w:style>
  <w:style w:type="character" w:customStyle="1" w:styleId="88">
    <w:name w:val="Heading 2 Char"/>
    <w:basedOn w:val="43"/>
    <w:qFormat/>
    <w:uiPriority w:val="9"/>
    <w:rPr>
      <w:rFonts w:ascii="Arial" w:hAnsi="Arial" w:eastAsia="Arial" w:cs="Arial"/>
      <w:sz w:val="34"/>
    </w:rPr>
  </w:style>
  <w:style w:type="character" w:customStyle="1" w:styleId="89">
    <w:name w:val="Heading 3 Char"/>
    <w:basedOn w:val="43"/>
    <w:qFormat/>
    <w:uiPriority w:val="9"/>
    <w:rPr>
      <w:rFonts w:ascii="Arial" w:hAnsi="Arial" w:eastAsia="Arial" w:cs="Arial"/>
      <w:sz w:val="30"/>
      <w:szCs w:val="30"/>
    </w:rPr>
  </w:style>
  <w:style w:type="character" w:customStyle="1" w:styleId="90">
    <w:name w:val="标题 4 Char"/>
    <w:basedOn w:val="43"/>
    <w:link w:val="6"/>
    <w:qFormat/>
    <w:uiPriority w:val="9"/>
    <w:rPr>
      <w:rFonts w:ascii="Arial" w:hAnsi="Arial" w:eastAsia="Arial" w:cs="Arial"/>
      <w:b/>
      <w:bCs/>
      <w:sz w:val="26"/>
      <w:szCs w:val="26"/>
    </w:rPr>
  </w:style>
  <w:style w:type="character" w:customStyle="1" w:styleId="91">
    <w:name w:val="标题 5 Char"/>
    <w:basedOn w:val="43"/>
    <w:link w:val="7"/>
    <w:qFormat/>
    <w:uiPriority w:val="9"/>
    <w:rPr>
      <w:rFonts w:ascii="Arial" w:hAnsi="Arial" w:eastAsia="Arial" w:cs="Arial"/>
      <w:b/>
      <w:bCs/>
      <w:sz w:val="24"/>
      <w:szCs w:val="24"/>
    </w:rPr>
  </w:style>
  <w:style w:type="character" w:customStyle="1" w:styleId="92">
    <w:name w:val="标题 6 Char"/>
    <w:basedOn w:val="43"/>
    <w:link w:val="8"/>
    <w:qFormat/>
    <w:uiPriority w:val="9"/>
    <w:rPr>
      <w:rFonts w:ascii="Arial" w:hAnsi="Arial" w:eastAsia="Arial" w:cs="Arial"/>
      <w:b/>
      <w:bCs/>
      <w:sz w:val="22"/>
      <w:szCs w:val="22"/>
    </w:rPr>
  </w:style>
  <w:style w:type="character" w:customStyle="1" w:styleId="93">
    <w:name w:val="标题 7 Char"/>
    <w:basedOn w:val="43"/>
    <w:link w:val="9"/>
    <w:qFormat/>
    <w:uiPriority w:val="9"/>
    <w:rPr>
      <w:rFonts w:ascii="Arial" w:hAnsi="Arial" w:eastAsia="Arial" w:cs="Arial"/>
      <w:b/>
      <w:bCs/>
      <w:i/>
      <w:iCs/>
      <w:sz w:val="22"/>
      <w:szCs w:val="22"/>
    </w:rPr>
  </w:style>
  <w:style w:type="character" w:customStyle="1" w:styleId="94">
    <w:name w:val="Heading 8 Char"/>
    <w:basedOn w:val="43"/>
    <w:qFormat/>
    <w:uiPriority w:val="9"/>
    <w:rPr>
      <w:rFonts w:ascii="Arial" w:hAnsi="Arial" w:eastAsia="Arial" w:cs="Arial"/>
      <w:i/>
      <w:iCs/>
      <w:sz w:val="22"/>
      <w:szCs w:val="22"/>
    </w:rPr>
  </w:style>
  <w:style w:type="character" w:customStyle="1" w:styleId="95">
    <w:name w:val="标题 9 Char"/>
    <w:basedOn w:val="43"/>
    <w:link w:val="11"/>
    <w:qFormat/>
    <w:uiPriority w:val="9"/>
    <w:rPr>
      <w:rFonts w:ascii="Arial" w:hAnsi="Arial" w:eastAsia="Arial" w:cs="Arial"/>
      <w:i/>
      <w:iCs/>
      <w:sz w:val="21"/>
      <w:szCs w:val="21"/>
    </w:rPr>
  </w:style>
  <w:style w:type="paragraph" w:styleId="96">
    <w:name w:val="No Spacing"/>
    <w:qFormat/>
    <w:uiPriority w:val="1"/>
    <w:rPr>
      <w:rFonts w:ascii="Times New Roman" w:hAnsi="Times New Roman" w:eastAsia="宋体" w:cs="Times New Roman"/>
      <w:lang w:val="en-US" w:eastAsia="zh-CN" w:bidi="ar-SA"/>
    </w:rPr>
  </w:style>
  <w:style w:type="character" w:customStyle="1" w:styleId="97">
    <w:name w:val="标题 Char"/>
    <w:basedOn w:val="43"/>
    <w:link w:val="39"/>
    <w:qFormat/>
    <w:uiPriority w:val="10"/>
    <w:rPr>
      <w:sz w:val="48"/>
      <w:szCs w:val="48"/>
    </w:rPr>
  </w:style>
  <w:style w:type="character" w:customStyle="1" w:styleId="98">
    <w:name w:val="副标题 Char"/>
    <w:basedOn w:val="43"/>
    <w:link w:val="32"/>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Char"/>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Header Char"/>
    <w:basedOn w:val="43"/>
    <w:qFormat/>
    <w:uiPriority w:val="99"/>
  </w:style>
  <w:style w:type="character" w:customStyle="1" w:styleId="104">
    <w:name w:val="Footer Char"/>
    <w:basedOn w:val="43"/>
    <w:qFormat/>
    <w:uiPriority w:val="99"/>
  </w:style>
  <w:style w:type="character" w:customStyle="1" w:styleId="105">
    <w:name w:val="Caption Char"/>
    <w:qFormat/>
    <w:uiPriority w:val="99"/>
  </w:style>
  <w:style w:type="table" w:customStyle="1" w:styleId="106">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7">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8">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9">
    <w:name w:val="无格式表格 31"/>
    <w:basedOn w:val="4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41"/>
    <w:basedOn w:val="4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51"/>
    <w:basedOn w:val="41"/>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3">
    <w:name w:val="Grid Table 1 Light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4">
    <w:name w:val="Grid Table 1 Light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5">
    <w:name w:val="Grid Table 1 Light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6">
    <w:name w:val="Grid Table 1 Light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7">
    <w:name w:val="Grid Table 1 Light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8">
    <w:name w:val="Grid Table 1 Light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9">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2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1">
    <w:name w:val="Grid Table 2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2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2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2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5">
    <w:name w:val="Grid Table 2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3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8">
    <w:name w:val="Grid Table 3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9">
    <w:name w:val="Grid Table 3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0">
    <w:name w:val="Grid Table 3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1">
    <w:name w:val="Grid Table 3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2">
    <w:name w:val="Grid Table 3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3">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4 - Accent 1"/>
    <w:basedOn w:val="4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5">
    <w:name w:val="Grid Table 4 - Accent 2"/>
    <w:basedOn w:val="4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6">
    <w:name w:val="Grid Table 4 - Accent 3"/>
    <w:basedOn w:val="4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7">
    <w:name w:val="Grid Table 4 - Accent 4"/>
    <w:basedOn w:val="4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8">
    <w:name w:val="Grid Table 4 - Accent 5"/>
    <w:basedOn w:val="41"/>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9">
    <w:name w:val="Grid Table 4 - Accent 6"/>
    <w:basedOn w:val="4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0">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1">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2">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3">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4">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5">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6">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7">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6 Colorful - Accent 1"/>
    <w:basedOn w:val="4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basedOn w:val="4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1">
    <w:name w:val="Grid Table 6 Colorful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basedOn w:val="41"/>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3">
    <w:name w:val="Grid Table 6 Colorful - Accent 6"/>
    <w:basedOn w:val="4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4">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7 Colorful - Accent 1"/>
    <w:basedOn w:val="4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basedOn w:val="4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basedOn w:val="4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8">
    <w:name w:val="Grid Table 7 Colorful - Accent 4"/>
    <w:basedOn w:val="4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basedOn w:val="41"/>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0">
    <w:name w:val="Grid Table 7 Colorful - Accent 6"/>
    <w:basedOn w:val="4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1">
    <w:name w:val="清单表 1 浅色1"/>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2">
    <w:name w:val="List Table 1 Light - Accent 1"/>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3">
    <w:name w:val="List Table 1 Light - Accent 2"/>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4">
    <w:name w:val="List Table 1 Light - Accent 3"/>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5">
    <w:name w:val="List Table 1 Light - Accent 4"/>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6">
    <w:name w:val="List Table 1 Light - Accent 5"/>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7">
    <w:name w:val="List Table 1 Light - Accent 6"/>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8">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2 - Accent 1"/>
    <w:basedOn w:val="4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0">
    <w:name w:val="List Table 2 - Accent 2"/>
    <w:basedOn w:val="4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1">
    <w:name w:val="List Table 2 - Accent 3"/>
    <w:basedOn w:val="4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2">
    <w:name w:val="List Table 2 - Accent 4"/>
    <w:basedOn w:val="4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3">
    <w:name w:val="List Table 2 - Accent 5"/>
    <w:basedOn w:val="41"/>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4">
    <w:name w:val="List Table 2 - Accent 6"/>
    <w:basedOn w:val="4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5">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6">
    <w:name w:val="List Table 3 - Accent 1"/>
    <w:basedOn w:val="4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7">
    <w:name w:val="List Table 3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8">
    <w:name w:val="List Table 3 - Accent 3"/>
    <w:basedOn w:val="4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9">
    <w:name w:val="List Table 3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0">
    <w:name w:val="List Table 3 - Accent 5"/>
    <w:basedOn w:val="41"/>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1">
    <w:name w:val="List Table 3 - Accent 6"/>
    <w:basedOn w:val="4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2">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4 - Accent 1"/>
    <w:basedOn w:val="4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4">
    <w:name w:val="List Table 4 - Accent 2"/>
    <w:basedOn w:val="4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5">
    <w:name w:val="List Table 4 - Accent 3"/>
    <w:basedOn w:val="4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6">
    <w:name w:val="List Table 4 - Accent 4"/>
    <w:basedOn w:val="4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7">
    <w:name w:val="List Table 4 - Accent 5"/>
    <w:basedOn w:val="41"/>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8">
    <w:name w:val="List Table 4 - Accent 6"/>
    <w:basedOn w:val="4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9">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0">
    <w:name w:val="List Table 5 Dark - Accent 1"/>
    <w:basedOn w:val="4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1">
    <w:name w:val="List Table 5 Dark - Accent 2"/>
    <w:basedOn w:val="4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2">
    <w:name w:val="List Table 5 Dark - Accent 3"/>
    <w:basedOn w:val="4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3">
    <w:name w:val="List Table 5 Dark - Accent 4"/>
    <w:basedOn w:val="4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4">
    <w:name w:val="List Table 5 Dark - Accent 5"/>
    <w:basedOn w:val="41"/>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5">
    <w:name w:val="List Table 5 Dark - Accent 6"/>
    <w:basedOn w:val="4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6">
    <w:name w:val="清单表 6 彩色1"/>
    <w:basedOn w:val="41"/>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7">
    <w:name w:val="List Table 6 Colorful - Accent 1"/>
    <w:basedOn w:val="41"/>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8">
    <w:name w:val="List Table 6 Colorful - Accent 2"/>
    <w:basedOn w:val="41"/>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basedOn w:val="41"/>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basedOn w:val="41"/>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basedOn w:val="41"/>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basedOn w:val="41"/>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3">
    <w:name w:val="清单表 7 彩色1"/>
    <w:basedOn w:val="41"/>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4">
    <w:name w:val="List Table 7 Colorful - Accent 1"/>
    <w:basedOn w:val="41"/>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5">
    <w:name w:val="List Table 7 Colorful - Accent 2"/>
    <w:basedOn w:val="41"/>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basedOn w:val="41"/>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basedOn w:val="41"/>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basedOn w:val="41"/>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basedOn w:val="41"/>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0">
    <w:name w:val="Lined - Accent"/>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2">
    <w:name w:val="Lined - Accent 2"/>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3">
    <w:name w:val="Lined - Accent 3"/>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4">
    <w:name w:val="Lined - Accent 4"/>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5">
    <w:name w:val="Lined - Accent 5"/>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6">
    <w:name w:val="Lined - Accent 6"/>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7">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basedOn w:val="4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9">
    <w:name w:val="Bordered &amp; Lined - Accent 2"/>
    <w:basedOn w:val="4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0">
    <w:name w:val="Bordered &amp; Lined - Accent 3"/>
    <w:basedOn w:val="4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1">
    <w:name w:val="Bordered &amp; Lined - Accent 4"/>
    <w:basedOn w:val="4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2">
    <w:name w:val="Bordered &amp; Lined - Accent 5"/>
    <w:basedOn w:val="41"/>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3">
    <w:name w:val="Bordered &amp; Lined - Accent 6"/>
    <w:basedOn w:val="4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4">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6">
    <w:name w:val="Bordered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7">
    <w:name w:val="Bordered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8">
    <w:name w:val="Bordered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9">
    <w:name w:val="Bordered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0">
    <w:name w:val="Bordered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1">
    <w:name w:val="脚注文本 Char"/>
    <w:link w:val="33"/>
    <w:qFormat/>
    <w:uiPriority w:val="99"/>
    <w:rPr>
      <w:sz w:val="18"/>
    </w:rPr>
  </w:style>
  <w:style w:type="character" w:customStyle="1" w:styleId="232">
    <w:name w:val="尾注文本 Char"/>
    <w:link w:val="25"/>
    <w:qFormat/>
    <w:uiPriority w:val="99"/>
    <w:rPr>
      <w:sz w:val="20"/>
    </w:rPr>
  </w:style>
  <w:style w:type="paragraph" w:customStyle="1" w:styleId="233">
    <w:name w:val="TOC 标题11"/>
    <w:unhideWhenUsed/>
    <w:qFormat/>
    <w:uiPriority w:val="39"/>
    <w:rPr>
      <w:rFonts w:ascii="Times New Roman" w:hAnsi="Times New Roman" w:eastAsia="宋体" w:cs="Times New Roman"/>
      <w:lang w:val="en-US" w:eastAsia="zh-CN" w:bidi="ar-SA"/>
    </w:rPr>
  </w:style>
  <w:style w:type="paragraph" w:customStyle="1" w:styleId="234">
    <w:name w:val="正文文本11"/>
    <w:basedOn w:val="1"/>
    <w:next w:val="1"/>
    <w:qFormat/>
    <w:uiPriority w:val="0"/>
    <w:rPr>
      <w:rFonts w:ascii="楷体_GB2312" w:hAnsi="Arial" w:eastAsia="楷体_GB2312"/>
      <w:sz w:val="28"/>
      <w:szCs w:val="28"/>
    </w:rPr>
  </w:style>
  <w:style w:type="paragraph" w:customStyle="1" w:styleId="235">
    <w:name w:val="正文文本 21"/>
    <w:basedOn w:val="1"/>
    <w:next w:val="236"/>
    <w:qFormat/>
    <w:uiPriority w:val="0"/>
    <w:pPr>
      <w:spacing w:after="120" w:line="480" w:lineRule="auto"/>
    </w:pPr>
  </w:style>
  <w:style w:type="paragraph" w:customStyle="1" w:styleId="236">
    <w:name w:val="默认段落字体 Para Char Char Char Char Char Char Char"/>
    <w:basedOn w:val="1"/>
    <w:next w:val="237"/>
    <w:qFormat/>
    <w:uiPriority w:val="0"/>
    <w:pPr>
      <w:ind w:firstLine="5632"/>
    </w:pPr>
  </w:style>
  <w:style w:type="paragraph" w:customStyle="1" w:styleId="237">
    <w:name w:val="样式 首行缩进:  2 字符"/>
    <w:basedOn w:val="1"/>
    <w:next w:val="238"/>
    <w:qFormat/>
    <w:uiPriority w:val="0"/>
    <w:pPr>
      <w:spacing w:line="360" w:lineRule="auto"/>
      <w:ind w:left="480" w:firstLine="5856"/>
    </w:pPr>
  </w:style>
  <w:style w:type="paragraph" w:customStyle="1" w:styleId="238">
    <w:name w:val="样式 段后: 0.25 行"/>
    <w:basedOn w:val="1"/>
    <w:next w:val="239"/>
    <w:qFormat/>
    <w:uiPriority w:val="0"/>
    <w:pPr>
      <w:widowControl/>
      <w:spacing w:line="300" w:lineRule="auto"/>
      <w:ind w:left="420" w:firstLine="5796"/>
    </w:pPr>
  </w:style>
  <w:style w:type="paragraph" w:customStyle="1" w:styleId="239">
    <w:name w:val="正文 New New New New New New New New New New New New New New"/>
    <w:next w:val="37"/>
    <w:qFormat/>
    <w:uiPriority w:val="0"/>
    <w:pPr>
      <w:widowControl w:val="0"/>
      <w:ind w:firstLine="2048"/>
      <w:jc w:val="both"/>
    </w:pPr>
    <w:rPr>
      <w:rFonts w:ascii="Times New Roman" w:hAnsi="Times New Roman" w:eastAsia="宋体" w:cs="Times New Roman"/>
      <w:lang w:val="en-US" w:eastAsia="zh-CN" w:bidi="ar-SA"/>
    </w:rPr>
  </w:style>
  <w:style w:type="paragraph" w:customStyle="1" w:styleId="240">
    <w:name w:val="正文11"/>
    <w:next w:val="24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41">
    <w:name w:val="正文首行缩进 21"/>
    <w:basedOn w:val="242"/>
    <w:next w:val="243"/>
    <w:qFormat/>
    <w:uiPriority w:val="0"/>
    <w:pPr>
      <w:ind w:firstLine="420"/>
    </w:pPr>
  </w:style>
  <w:style w:type="paragraph" w:customStyle="1" w:styleId="242">
    <w:name w:val="正文文本缩进1"/>
    <w:basedOn w:val="1"/>
    <w:next w:val="1"/>
    <w:unhideWhenUsed/>
    <w:qFormat/>
    <w:uiPriority w:val="99"/>
    <w:pPr>
      <w:spacing w:line="400" w:lineRule="exact"/>
      <w:ind w:firstLine="540"/>
    </w:pPr>
    <w:rPr>
      <w:sz w:val="24"/>
    </w:rPr>
  </w:style>
  <w:style w:type="paragraph" w:customStyle="1" w:styleId="243">
    <w:name w:val="正文首行缩进1"/>
    <w:basedOn w:val="234"/>
    <w:next w:val="1"/>
    <w:qFormat/>
    <w:uiPriority w:val="0"/>
    <w:pPr>
      <w:ind w:firstLine="420"/>
    </w:pPr>
  </w:style>
  <w:style w:type="paragraph" w:customStyle="1" w:styleId="244">
    <w:name w:val="目录 11"/>
    <w:basedOn w:val="1"/>
    <w:next w:val="1"/>
    <w:unhideWhenUsed/>
    <w:qFormat/>
    <w:uiPriority w:val="39"/>
    <w:rPr>
      <w:rFonts w:ascii="Calibri" w:hAnsi="Calibri"/>
    </w:rPr>
  </w:style>
  <w:style w:type="paragraph" w:customStyle="1" w:styleId="245">
    <w:name w:val="标题 21"/>
    <w:basedOn w:val="1"/>
    <w:next w:val="246"/>
    <w:qFormat/>
    <w:uiPriority w:val="9"/>
    <w:pPr>
      <w:keepNext/>
      <w:keepLines/>
      <w:spacing w:before="260" w:after="260" w:line="416" w:lineRule="auto"/>
      <w:outlineLvl w:val="1"/>
    </w:pPr>
    <w:rPr>
      <w:rFonts w:ascii="Cambria" w:hAnsi="Cambria"/>
      <w:b/>
      <w:bCs/>
      <w:sz w:val="32"/>
      <w:szCs w:val="32"/>
    </w:rPr>
  </w:style>
  <w:style w:type="paragraph" w:customStyle="1" w:styleId="246">
    <w:name w:val="正文缩进1"/>
    <w:basedOn w:val="1"/>
    <w:unhideWhenUsed/>
    <w:qFormat/>
    <w:uiPriority w:val="0"/>
    <w:pPr>
      <w:ind w:firstLine="420"/>
    </w:pPr>
    <w:rPr>
      <w:rFonts w:ascii="Calibri" w:hAnsi="Calibri"/>
    </w:rPr>
  </w:style>
  <w:style w:type="paragraph" w:customStyle="1" w:styleId="247">
    <w:name w:val="纯文本1"/>
    <w:basedOn w:val="240"/>
    <w:unhideWhenUsed/>
    <w:qFormat/>
    <w:uiPriority w:val="99"/>
    <w:rPr>
      <w:rFonts w:ascii="宋体" w:hAnsi="Courier New"/>
      <w:sz w:val="20"/>
      <w:szCs w:val="20"/>
    </w:rPr>
  </w:style>
  <w:style w:type="character" w:customStyle="1" w:styleId="248">
    <w:name w:val="htd0"/>
    <w:basedOn w:val="249"/>
    <w:qFormat/>
    <w:uiPriority w:val="0"/>
    <w:rPr>
      <w:rFonts w:hint="default" w:ascii="Times New Roman" w:hAnsi="Times New Roman" w:eastAsia="宋体" w:cs="Times New Roman"/>
      <w:sz w:val="21"/>
      <w:szCs w:val="22"/>
      <w:lang w:val="en-US" w:eastAsia="zh-CN" w:bidi="ar-SA"/>
    </w:rPr>
  </w:style>
  <w:style w:type="character" w:customStyle="1" w:styleId="249">
    <w:name w:val="默认段落字体1"/>
    <w:unhideWhenUsed/>
    <w:qFormat/>
    <w:uiPriority w:val="1"/>
  </w:style>
  <w:style w:type="paragraph" w:customStyle="1" w:styleId="250">
    <w:name w:val="正文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51">
    <w:name w:val="批注文字1"/>
    <w:basedOn w:val="1"/>
    <w:unhideWhenUsed/>
    <w:qFormat/>
    <w:uiPriority w:val="99"/>
    <w:pPr>
      <w:jc w:val="left"/>
    </w:pPr>
  </w:style>
  <w:style w:type="paragraph" w:customStyle="1" w:styleId="252">
    <w:name w:val="标题1"/>
    <w:basedOn w:val="1"/>
    <w:next w:val="1"/>
    <w:qFormat/>
    <w:uiPriority w:val="99"/>
    <w:pPr>
      <w:spacing w:before="240" w:after="60"/>
      <w:jc w:val="center"/>
      <w:outlineLvl w:val="0"/>
    </w:pPr>
    <w:rPr>
      <w:rFonts w:ascii="等线 Light" w:hAnsi="等线 Light"/>
      <w:b/>
      <w:bCs/>
      <w:sz w:val="32"/>
      <w:szCs w:val="32"/>
    </w:rPr>
  </w:style>
  <w:style w:type="paragraph" w:customStyle="1" w:styleId="253">
    <w:name w:val="Normal1"/>
    <w:qFormat/>
    <w:uiPriority w:val="99"/>
    <w:rPr>
      <w:rFonts w:ascii="Calibri" w:hAnsi="Calibri" w:eastAsia="宋体" w:cs="Times New Roman"/>
      <w:sz w:val="24"/>
      <w:szCs w:val="24"/>
      <w:lang w:val="en-US" w:eastAsia="zh-CN" w:bidi="ar-SA"/>
    </w:rPr>
  </w:style>
  <w:style w:type="paragraph" w:customStyle="1" w:styleId="25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5">
    <w:name w:val="正文文本缩进 21"/>
    <w:basedOn w:val="1"/>
    <w:unhideWhenUsed/>
    <w:qFormat/>
    <w:uiPriority w:val="99"/>
    <w:pPr>
      <w:spacing w:line="520" w:lineRule="exact"/>
      <w:ind w:firstLine="510"/>
    </w:pPr>
    <w:rPr>
      <w:rFonts w:ascii="华文仿宋" w:eastAsia="华文仿宋"/>
      <w:sz w:val="28"/>
    </w:rPr>
  </w:style>
  <w:style w:type="paragraph" w:customStyle="1" w:styleId="256">
    <w:name w:val="Char"/>
    <w:basedOn w:val="1"/>
    <w:qFormat/>
    <w:uiPriority w:val="0"/>
    <w:pPr>
      <w:tabs>
        <w:tab w:val="left" w:pos="360"/>
      </w:tabs>
      <w:ind w:firstLine="200"/>
    </w:pPr>
    <w:rPr>
      <w:sz w:val="28"/>
      <w:szCs w:val="30"/>
    </w:rPr>
  </w:style>
  <w:style w:type="paragraph" w:customStyle="1" w:styleId="257">
    <w:name w:val="普通(网站)1"/>
    <w:basedOn w:val="1"/>
    <w:unhideWhenUsed/>
    <w:qFormat/>
    <w:uiPriority w:val="0"/>
    <w:pPr>
      <w:jc w:val="left"/>
    </w:pPr>
    <w:rPr>
      <w:rFonts w:ascii="Calibri" w:hAnsi="Calibri"/>
      <w:sz w:val="24"/>
      <w:szCs w:val="24"/>
    </w:rPr>
  </w:style>
  <w:style w:type="character" w:customStyle="1" w:styleId="258">
    <w:name w:val="要点1"/>
    <w:qFormat/>
    <w:uiPriority w:val="0"/>
    <w:rPr>
      <w:b/>
    </w:rPr>
  </w:style>
  <w:style w:type="paragraph" w:customStyle="1" w:styleId="259">
    <w:name w:val="日期1"/>
    <w:basedOn w:val="1"/>
    <w:next w:val="1"/>
    <w:qFormat/>
    <w:uiPriority w:val="0"/>
    <w:rPr>
      <w:sz w:val="24"/>
      <w:szCs w:val="20"/>
    </w:rPr>
  </w:style>
  <w:style w:type="paragraph" w:customStyle="1" w:styleId="260">
    <w:name w:val="标题 31"/>
    <w:basedOn w:val="1"/>
    <w:next w:val="1"/>
    <w:qFormat/>
    <w:uiPriority w:val="0"/>
    <w:pPr>
      <w:keepNext/>
      <w:keepLines/>
      <w:spacing w:before="260" w:after="260" w:line="416" w:lineRule="auto"/>
      <w:outlineLvl w:val="2"/>
    </w:pPr>
    <w:rPr>
      <w:rFonts w:ascii="Calibri" w:hAnsi="Calibri"/>
      <w:b/>
      <w:bCs/>
      <w:sz w:val="32"/>
      <w:szCs w:val="32"/>
    </w:rPr>
  </w:style>
  <w:style w:type="paragraph" w:customStyle="1" w:styleId="261">
    <w:name w:val="标题 51"/>
    <w:basedOn w:val="1"/>
    <w:next w:val="1"/>
    <w:qFormat/>
    <w:uiPriority w:val="1"/>
    <w:pPr>
      <w:ind w:left="62"/>
      <w:jc w:val="center"/>
      <w:outlineLvl w:val="4"/>
    </w:pPr>
    <w:rPr>
      <w:rFonts w:ascii="宋体" w:hAnsi="宋体" w:cs="宋体"/>
      <w:b/>
      <w:bCs/>
      <w:sz w:val="24"/>
      <w:szCs w:val="24"/>
      <w:lang w:val="zh-CN" w:bidi="zh-CN"/>
    </w:rPr>
  </w:style>
  <w:style w:type="paragraph" w:customStyle="1" w:styleId="262">
    <w:name w:val="正文（缩进）"/>
    <w:basedOn w:val="1"/>
    <w:next w:val="263"/>
    <w:qFormat/>
    <w:uiPriority w:val="0"/>
    <w:pPr>
      <w:ind w:firstLine="480"/>
    </w:pPr>
  </w:style>
  <w:style w:type="paragraph" w:customStyle="1" w:styleId="263">
    <w:name w:val="Char Char Char Char Char Char Char Char Char"/>
    <w:basedOn w:val="1"/>
    <w:next w:val="235"/>
    <w:qFormat/>
    <w:uiPriority w:val="0"/>
    <w:pPr>
      <w:ind w:left="360" w:firstLine="5784"/>
    </w:pPr>
  </w:style>
  <w:style w:type="paragraph" w:customStyle="1" w:styleId="264">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65">
    <w:name w:val="页脚1"/>
    <w:basedOn w:val="1"/>
    <w:unhideWhenUsed/>
    <w:qFormat/>
    <w:uiPriority w:val="99"/>
    <w:pPr>
      <w:tabs>
        <w:tab w:val="center" w:pos="4153"/>
        <w:tab w:val="right" w:pos="8306"/>
      </w:tabs>
      <w:jc w:val="left"/>
    </w:pPr>
    <w:rPr>
      <w:sz w:val="18"/>
      <w:szCs w:val="18"/>
    </w:rPr>
  </w:style>
  <w:style w:type="paragraph" w:customStyle="1" w:styleId="266">
    <w:name w:val="列出段落11"/>
    <w:basedOn w:val="1"/>
    <w:qFormat/>
    <w:uiPriority w:val="34"/>
    <w:pPr>
      <w:ind w:firstLine="420"/>
    </w:pPr>
  </w:style>
  <w:style w:type="character" w:customStyle="1" w:styleId="267">
    <w:name w:val="页眉 Char"/>
    <w:basedOn w:val="43"/>
    <w:link w:val="29"/>
    <w:qFormat/>
    <w:uiPriority w:val="0"/>
    <w:rPr>
      <w:rFonts w:ascii="Times New Roman" w:hAnsi="Times New Roman" w:eastAsia="宋体" w:cs="Times New Roman"/>
      <w:sz w:val="18"/>
      <w:szCs w:val="18"/>
    </w:rPr>
  </w:style>
  <w:style w:type="character" w:customStyle="1" w:styleId="268">
    <w:name w:val="页脚 Char"/>
    <w:basedOn w:val="43"/>
    <w:link w:val="27"/>
    <w:qFormat/>
    <w:uiPriority w:val="99"/>
    <w:rPr>
      <w:rFonts w:ascii="Times New Roman" w:hAnsi="Times New Roman" w:eastAsia="宋体" w:cs="Times New Roman"/>
      <w:sz w:val="18"/>
      <w:szCs w:val="18"/>
    </w:rPr>
  </w:style>
  <w:style w:type="paragraph" w:styleId="269">
    <w:name w:val="List Paragraph"/>
    <w:basedOn w:val="1"/>
    <w:unhideWhenUsed/>
    <w:qFormat/>
    <w:uiPriority w:val="99"/>
    <w:pPr>
      <w:ind w:firstLine="420"/>
    </w:pPr>
  </w:style>
  <w:style w:type="paragraph" w:customStyle="1" w:styleId="270">
    <w:name w:val="Blockquote"/>
    <w:basedOn w:val="1"/>
    <w:qFormat/>
    <w:uiPriority w:val="0"/>
    <w:pPr>
      <w:spacing w:before="100" w:after="100"/>
      <w:ind w:left="360" w:right="360"/>
    </w:pPr>
    <w:rPr>
      <w:sz w:val="24"/>
    </w:rPr>
  </w:style>
  <w:style w:type="character" w:customStyle="1" w:styleId="271">
    <w:name w:val="批注框文本 Char"/>
    <w:basedOn w:val="43"/>
    <w:link w:val="26"/>
    <w:qFormat/>
    <w:uiPriority w:val="0"/>
    <w:rPr>
      <w:sz w:val="18"/>
      <w:szCs w:val="18"/>
    </w:rPr>
  </w:style>
  <w:style w:type="paragraph" w:customStyle="1" w:styleId="272">
    <w:name w:val="正文空2格  1."/>
    <w:basedOn w:val="1"/>
    <w:qFormat/>
    <w:uiPriority w:val="0"/>
    <w:pPr>
      <w:ind w:firstLine="480"/>
    </w:pPr>
    <w:rPr>
      <w:rFonts w:cs="宋体"/>
      <w:sz w:val="28"/>
      <w:szCs w:val="20"/>
    </w:rPr>
  </w:style>
  <w:style w:type="paragraph" w:customStyle="1" w:styleId="273">
    <w:name w:val="正文文本2"/>
    <w:basedOn w:val="240"/>
    <w:next w:val="235"/>
    <w:qFormat/>
    <w:uiPriority w:val="0"/>
    <w:rPr>
      <w:rFonts w:ascii="楷体_GB2312" w:hAnsi="Arial" w:eastAsia="楷体_GB2312"/>
      <w:sz w:val="28"/>
      <w:szCs w:val="28"/>
    </w:rPr>
  </w:style>
  <w:style w:type="paragraph" w:customStyle="1" w:styleId="274">
    <w:name w:val="Table Paragraph"/>
    <w:basedOn w:val="240"/>
    <w:qFormat/>
    <w:uiPriority w:val="0"/>
    <w:pPr>
      <w:jc w:val="left"/>
    </w:pPr>
    <w:rPr>
      <w:rFonts w:ascii="Calibri" w:hAnsi="Calibri"/>
      <w:sz w:val="22"/>
      <w:lang w:eastAsia="en-US"/>
    </w:rPr>
  </w:style>
  <w:style w:type="paragraph" w:customStyle="1" w:styleId="275">
    <w:name w:val="正文2"/>
    <w:qFormat/>
    <w:uiPriority w:val="0"/>
    <w:rPr>
      <w:rFonts w:ascii="Times New Roman" w:hAnsi="Times New Roman" w:eastAsia="宋体" w:cs="Times New Roman"/>
      <w:sz w:val="24"/>
      <w:szCs w:val="24"/>
      <w:lang w:val="en-US" w:eastAsia="zh-CN" w:bidi="ar-SA"/>
    </w:rPr>
  </w:style>
  <w:style w:type="paragraph" w:customStyle="1" w:styleId="276">
    <w:name w:val="标题 41"/>
    <w:basedOn w:val="275"/>
    <w:next w:val="275"/>
    <w:qFormat/>
    <w:uiPriority w:val="0"/>
    <w:pPr>
      <w:keepNext/>
      <w:keepLines/>
      <w:widowControl w:val="0"/>
      <w:spacing w:before="280" w:after="290" w:line="372" w:lineRule="auto"/>
      <w:jc w:val="both"/>
      <w:outlineLvl w:val="3"/>
    </w:pPr>
    <w:rPr>
      <w:rFonts w:ascii="Arial" w:hAnsi="Arial" w:eastAsia="黑体"/>
      <w:b/>
      <w:sz w:val="28"/>
      <w:szCs w:val="20"/>
    </w:rPr>
  </w:style>
  <w:style w:type="paragraph" w:customStyle="1" w:styleId="277">
    <w:name w:val="标题 32"/>
    <w:basedOn w:val="275"/>
    <w:next w:val="275"/>
    <w:qFormat/>
    <w:uiPriority w:val="0"/>
    <w:pPr>
      <w:keepNext/>
      <w:keepLines/>
      <w:widowControl w:val="0"/>
      <w:spacing w:before="260" w:after="260" w:line="413" w:lineRule="auto"/>
      <w:jc w:val="both"/>
      <w:outlineLvl w:val="2"/>
    </w:pPr>
    <w:rPr>
      <w:b/>
      <w:sz w:val="32"/>
      <w:szCs w:val="20"/>
    </w:rPr>
  </w:style>
  <w:style w:type="paragraph" w:customStyle="1" w:styleId="278">
    <w:name w:val="标题 4_0"/>
    <w:basedOn w:val="250"/>
    <w:next w:val="250"/>
    <w:qFormat/>
    <w:uiPriority w:val="0"/>
    <w:pPr>
      <w:keepNext/>
      <w:keepLines/>
      <w:spacing w:before="280" w:after="290" w:line="372" w:lineRule="auto"/>
      <w:outlineLvl w:val="3"/>
    </w:pPr>
    <w:rPr>
      <w:rFonts w:ascii="Cambria" w:hAnsi="Cambria"/>
      <w:b/>
      <w:bCs/>
      <w:sz w:val="28"/>
      <w:szCs w:val="28"/>
    </w:rPr>
  </w:style>
  <w:style w:type="paragraph" w:customStyle="1" w:styleId="279">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80">
    <w:name w:val="正文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81">
    <w:name w:val="正文111"/>
    <w:next w:val="282"/>
    <w:qFormat/>
    <w:uiPriority w:val="0"/>
    <w:pPr>
      <w:widowControl w:val="0"/>
      <w:jc w:val="both"/>
    </w:pPr>
    <w:rPr>
      <w:rFonts w:ascii="Calibri" w:hAnsi="Calibri" w:eastAsia="宋体" w:cs="Times New Roman"/>
      <w:sz w:val="21"/>
      <w:szCs w:val="24"/>
      <w:lang w:val="en-US" w:eastAsia="zh-CN" w:bidi="ar-SA"/>
    </w:rPr>
  </w:style>
  <w:style w:type="paragraph" w:customStyle="1" w:styleId="282">
    <w:name w:val="文本块1"/>
    <w:basedOn w:val="281"/>
    <w:qFormat/>
    <w:uiPriority w:val="0"/>
    <w:pPr>
      <w:widowControl/>
      <w:ind w:left="567" w:right="454" w:firstLine="498"/>
      <w:jc w:val="left"/>
    </w:pPr>
    <w:rPr>
      <w:rFonts w:ascii="仿宋_GB2312" w:eastAsia="仿宋_GB2312"/>
      <w:sz w:val="30"/>
      <w:szCs w:val="20"/>
    </w:rPr>
  </w:style>
  <w:style w:type="table" w:customStyle="1" w:styleId="283">
    <w:name w:val="网格型1"/>
    <w:basedOn w:val="284"/>
    <w:qFormat/>
    <w:uiPriority w:val="99"/>
    <w:pPr>
      <w:widowControl w:val="0"/>
      <w:jc w:val="both"/>
    </w:pPr>
    <w:rPr>
      <w:rFonts w:ascii="Calibri" w:hAnsi="Calibri"/>
    </w:rPr>
    <w:tblPr>
      <w:tblCellMar>
        <w:top w:w="0" w:type="dxa"/>
        <w:left w:w="0" w:type="dxa"/>
        <w:bottom w:w="0" w:type="dxa"/>
        <w:right w:w="0" w:type="dxa"/>
      </w:tblCellMar>
    </w:tblPr>
  </w:style>
  <w:style w:type="table" w:customStyle="1" w:styleId="284">
    <w:name w:val="普通表格1"/>
    <w:unhideWhenUsed/>
    <w:qFormat/>
    <w:uiPriority w:val="99"/>
    <w:tblPr>
      <w:tblCellMar>
        <w:top w:w="0" w:type="dxa"/>
        <w:left w:w="0" w:type="dxa"/>
        <w:bottom w:w="0" w:type="dxa"/>
        <w:right w:w="0" w:type="dxa"/>
      </w:tblCellMar>
    </w:tblPr>
  </w:style>
  <w:style w:type="paragraph" w:customStyle="1" w:styleId="285">
    <w:name w:val="纯文本11"/>
    <w:basedOn w:val="1"/>
    <w:qFormat/>
    <w:uiPriority w:val="99"/>
    <w:rPr>
      <w:rFonts w:ascii="宋体" w:hAnsi="Courier New"/>
      <w:sz w:val="20"/>
      <w:szCs w:val="21"/>
    </w:rPr>
  </w:style>
  <w:style w:type="paragraph" w:customStyle="1" w:styleId="286">
    <w:name w:val="寄信人地址1"/>
    <w:basedOn w:val="1"/>
    <w:unhideWhenUsed/>
    <w:qFormat/>
    <w:uiPriority w:val="99"/>
    <w:rPr>
      <w:rFonts w:ascii="Arial" w:hAnsi="Arial"/>
    </w:rPr>
  </w:style>
  <w:style w:type="paragraph" w:customStyle="1" w:styleId="287">
    <w:name w:val="Char Char Char Char Char"/>
    <w:basedOn w:val="1"/>
    <w:next w:val="1"/>
    <w:qFormat/>
    <w:uiPriority w:val="0"/>
    <w:pPr>
      <w:ind w:firstLine="5632"/>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47</Pages>
  <Words>27264</Words>
  <Characters>29259</Characters>
  <Lines>223</Lines>
  <Paragraphs>63</Paragraphs>
  <TotalTime>64</TotalTime>
  <ScaleCrop>false</ScaleCrop>
  <LinksUpToDate>false</LinksUpToDate>
  <CharactersWithSpaces>30086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2026-09-20T01:38:00Z</dcterms:created>
  <dc:creator>June</dc:creator>
  <cp:lastModifiedBy>R_</cp:lastModifiedBy>
  <cp:lastPrinted>2026-09-28T02:43:00Z</cp:lastPrinted>
  <dcterms:modified xsi:type="dcterms:W3CDTF">2026-10-23T02:16:01Z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87C7E423345C40F9A7BD326D86C67C24_13</vt:lpwstr>
  </property>
  <property fmtid="{D5CDD505-2E9C-101B-9397-08002B2CF9AE}" pid="4" name="KSOTemplateDocerSaveRecord">
    <vt:lpwstr>eyJoZGlkIjoiMjI0MjU4ZmEzYmNhYTVkYzQ3MjcyMDExOWEyYjdhNjUiLCJ1c2VySWQiOiI5OTAzNzUwNzcifQ==</vt:lpwstr>
  </property>
</Properties>
</file>