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jc w:val="center"/>
        <w:rPr>
          <w:rFonts w:hint="eastAsia" w:ascii="黑体" w:hAnsi="黑体" w:eastAsia="黑体"/>
          <w:b/>
          <w:sz w:val="84"/>
          <w:szCs w:val="84"/>
        </w:rPr>
      </w:pPr>
      <w:r>
        <w:rPr>
          <w:rFonts w:hint="eastAsia" w:ascii="黑体" w:hAnsi="黑体" w:eastAsia="黑体"/>
          <w:b/>
          <w:sz w:val="84"/>
          <w:szCs w:val="84"/>
        </w:rPr>
      </w:r>
      <w:r/>
    </w:p>
    <w:p>
      <w:pPr>
        <w:pStyle w:val="651"/>
        <w:jc w:val="center"/>
        <w:rPr>
          <w:rFonts w:hint="eastAsia" w:ascii="黑体" w:hAnsi="黑体" w:eastAsia="黑体"/>
          <w:b/>
          <w:sz w:val="84"/>
          <w:szCs w:val="84"/>
        </w:rPr>
      </w:pPr>
      <w:r>
        <w:rPr>
          <w:rFonts w:hint="eastAsia" w:ascii="黑体" w:hAnsi="黑体" w:eastAsia="黑体"/>
          <w:b/>
          <w:sz w:val="84"/>
          <w:szCs w:val="84"/>
        </w:rPr>
      </w:r>
      <w:r/>
    </w:p>
    <w:p>
      <w:pPr>
        <w:pStyle w:val="651"/>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65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5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5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5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51"/>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51"/>
        <w:spacing w:before="100" w:line="223" w:lineRule="auto"/>
        <w:rPr>
          <w:rFonts w:ascii="黑体" w:hAnsi="Arial" w:eastAsia="黑体"/>
          <w:b/>
          <w:color w:val="000000"/>
          <w:sz w:val="44"/>
          <w:szCs w:val="21"/>
        </w:rPr>
      </w:pPr>
      <w:r>
        <w:rPr>
          <w:rFonts w:hint="eastAsia" w:ascii="Arial" w:hAnsi="Arial"/>
          <w:b/>
          <w:bCs/>
          <w:color w:val="000000"/>
          <w:sz w:val="32"/>
          <w:szCs w:val="24"/>
        </w:rPr>
        <w:t xml:space="preserve">项目名称：赣榆区医共体信息化二期</w:t>
      </w:r>
      <w:r>
        <w:rPr>
          <w:rFonts w:ascii="Arial" w:hAnsi="Arial"/>
          <w:b/>
          <w:bCs/>
          <w:color w:val="000000"/>
          <w:sz w:val="32"/>
          <w:szCs w:val="24"/>
        </w:rPr>
        <w:t xml:space="preserve">（非专门面向中小企业）</w:t>
      </w:r>
      <w:r>
        <w:rPr>
          <w:rFonts w:ascii="黑体" w:hAnsi="Arial" w:eastAsia="黑体"/>
          <w:b/>
          <w:color w:val="000000"/>
          <w:sz w:val="44"/>
          <w:szCs w:val="21"/>
        </w:rPr>
      </w:r>
      <w:r/>
    </w:p>
    <w:p>
      <w:pPr>
        <w:pStyle w:val="651"/>
        <w:spacing w:line="480" w:lineRule="auto"/>
        <w:rPr>
          <w:rFonts w:ascii="黑体" w:hAnsi="Arial"/>
          <w:b/>
          <w:color w:val="ff0000"/>
          <w:sz w:val="44"/>
          <w:szCs w:val="21"/>
        </w:rPr>
      </w:pPr>
      <w:r>
        <w:rPr>
          <w:rFonts w:hint="eastAsia" w:ascii="Arial" w:hAnsi="Arial"/>
          <w:b/>
          <w:bCs/>
          <w:sz w:val="32"/>
          <w:szCs w:val="24"/>
        </w:rPr>
        <w:t xml:space="preserve">项目编号</w:t>
      </w:r>
      <w:r>
        <w:rPr>
          <w:rFonts w:hint="eastAsia" w:ascii="Arial" w:hAnsi="Arial"/>
          <w:b/>
          <w:bCs/>
          <w:color w:val="000000"/>
          <w:sz w:val="32"/>
          <w:szCs w:val="24"/>
        </w:rPr>
        <w:t xml:space="preserve">：</w:t>
      </w:r>
      <w:r>
        <w:rPr>
          <w:rFonts w:ascii="Arial" w:hAnsi="Arial"/>
          <w:b/>
          <w:bCs/>
          <w:color w:val="000000"/>
          <w:sz w:val="32"/>
          <w:szCs w:val="24"/>
        </w:rPr>
        <w:t xml:space="preserve">JSZC-320707-JZCG-G2026-0008</w:t>
      </w:r>
      <w:r>
        <w:rPr>
          <w:rFonts w:ascii="黑体" w:hAnsi="Arial"/>
          <w:b/>
          <w:color w:val="ff0000"/>
          <w:sz w:val="44"/>
          <w:szCs w:val="21"/>
        </w:rPr>
      </w:r>
      <w:r/>
    </w:p>
    <w:p>
      <w:pPr>
        <w:pStyle w:val="65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51"/>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51"/>
        <w:spacing w:line="480" w:lineRule="auto"/>
        <w:rPr>
          <w:rFonts w:ascii="黑体" w:hAnsi="Arial" w:eastAsia="黑体"/>
          <w:b/>
          <w:color w:val="000000"/>
          <w:sz w:val="44"/>
          <w:szCs w:val="21"/>
        </w:rPr>
      </w:pPr>
      <w:r>
        <w:rPr>
          <w:rFonts w:ascii="黑体" w:hAnsi="Arial" w:eastAsia="黑体"/>
          <w:b/>
          <w:color w:val="000000"/>
          <w:sz w:val="44"/>
          <w:szCs w:val="21"/>
        </w:rPr>
      </w:r>
      <w:r/>
    </w:p>
    <w:p>
      <w:pPr>
        <w:pStyle w:val="65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连云港市赣榆区公共资源交易中心</w:t>
      </w:r>
      <w:r/>
    </w:p>
    <w:p>
      <w:pPr>
        <w:pStyle w:val="667"/>
        <w:ind w:firstLine="0"/>
        <w:spacing w:line="360" w:lineRule="auto"/>
        <w:tabs>
          <w:tab w:val="right" w:pos="9638" w:leader="dot"/>
        </w:tabs>
      </w:pPr>
      <w:r>
        <w:rPr>
          <w:rFonts w:ascii="Arial" w:hAnsi="Arial"/>
          <w:b/>
          <w:bCs/>
          <w:color w:val="000000"/>
          <w:sz w:val="32"/>
          <w:szCs w:val="24"/>
        </w:rPr>
        <w:t xml:space="preserve">202</w:t>
      </w:r>
      <w:r>
        <w:rPr>
          <w:rFonts w:hint="eastAsia" w:ascii="Arial" w:hAnsi="Arial"/>
          <w:b/>
          <w:bCs/>
          <w:color w:val="000000"/>
          <w:sz w:val="32"/>
          <w:szCs w:val="24"/>
        </w:rPr>
        <w:t xml:space="preserve">6年10月</w:t>
      </w:r>
      <w:r>
        <w:br w:type="page" w:clear="all"/>
      </w:r>
      <w:r/>
    </w:p>
    <w:p>
      <w:pPr>
        <w:pStyle w:val="667"/>
        <w:spacing w:line="360" w:lineRule="auto"/>
        <w:tabs>
          <w:tab w:val="right" w:pos="9638" w:leader="dot"/>
        </w:tabs>
      </w:pPr>
      <w:r/>
      <w:r/>
    </w:p>
    <w:p>
      <w:pPr>
        <w:pStyle w:val="667"/>
        <w:jc w:val="center"/>
        <w:spacing w:line="360" w:lineRule="auto"/>
        <w:tabs>
          <w:tab w:val="right" w:pos="9638" w:leader="dot"/>
        </w:tabs>
        <w:rPr>
          <w:rFonts w:hint="eastAsia" w:ascii="黑体" w:hAnsi="黑体" w:eastAsia="黑体"/>
          <w:sz w:val="28"/>
          <w:szCs w:val="32"/>
        </w:rPr>
      </w:pPr>
      <w:r>
        <w:rPr>
          <w:rFonts w:hint="eastAsia" w:ascii="黑体" w:hAnsi="黑体" w:eastAsia="黑体"/>
          <w:sz w:val="28"/>
          <w:szCs w:val="32"/>
        </w:rPr>
        <w:t xml:space="preserve">目 录</w:t>
      </w:r>
      <w:r/>
    </w:p>
    <w:p>
      <w:pPr>
        <w:pStyle w:val="651"/>
        <w:jc w:val="center"/>
      </w:pPr>
      <w:r/>
      <w:r/>
    </w:p>
    <w:p>
      <w:pPr>
        <w:pStyle w:val="667"/>
        <w:spacing w:line="360" w:lineRule="auto"/>
        <w:tabs>
          <w:tab w:val="right" w:pos="9638" w:leader="dot"/>
        </w:tabs>
        <w:rPr>
          <w:sz w:val="24"/>
          <w:szCs w:val="28"/>
        </w:rPr>
      </w:pPr>
      <w:r>
        <w:fldChar w:fldCharType="begin"/>
      </w:r>
      <w:r>
        <w:instrText xml:space="preserve">TOC \o "1-1" \h \u </w:instrText>
      </w:r>
      <w:r>
        <w:fldChar w:fldCharType="separate"/>
      </w:r>
      <w:r>
        <w:rPr>
          <w:sz w:val="24"/>
          <w:szCs w:val="28"/>
        </w:rPr>
        <w:fldChar w:fldCharType="begin"/>
      </w:r>
      <w:r>
        <w:rPr>
          <w:sz w:val="24"/>
          <w:szCs w:val="28"/>
        </w:rPr>
        <w:instrText xml:space="preserve"> HYPERLINK \l _Toc32305 </w:instrText>
      </w:r>
      <w:r>
        <w:rPr>
          <w:sz w:val="24"/>
          <w:szCs w:val="28"/>
        </w:rPr>
        <w:fldChar w:fldCharType="separate"/>
      </w:r>
      <w:r>
        <w:rPr>
          <w:rFonts w:hint="eastAsia" w:ascii="黑体" w:hAnsi="黑体" w:eastAsia="黑体"/>
          <w:sz w:val="24"/>
          <w:szCs w:val="28"/>
        </w:rPr>
        <w:t xml:space="preserve">第一章  投标邀请</w:t>
      </w:r>
      <w:r>
        <w:rPr>
          <w:sz w:val="24"/>
          <w:szCs w:val="28"/>
        </w:rPr>
        <w:tab/>
      </w:r>
      <w:r>
        <w:rPr>
          <w:sz w:val="24"/>
          <w:szCs w:val="28"/>
        </w:rPr>
        <w:fldChar w:fldCharType="begin"/>
      </w:r>
      <w:r>
        <w:rPr>
          <w:sz w:val="24"/>
          <w:szCs w:val="28"/>
        </w:rPr>
        <w:instrText xml:space="preserve"> PAGEREF _Toc32305 \h </w:instrText>
      </w:r>
      <w:r>
        <w:rPr>
          <w:sz w:val="24"/>
          <w:szCs w:val="28"/>
        </w:rPr>
        <w:fldChar w:fldCharType="separate"/>
      </w:r>
      <w:r>
        <w:rPr>
          <w:sz w:val="24"/>
          <w:szCs w:val="28"/>
        </w:rPr>
        <w:t xml:space="preserve">3</w:t>
      </w:r>
      <w:r>
        <w:rPr>
          <w:sz w:val="24"/>
          <w:szCs w:val="28"/>
        </w:rPr>
        <w:fldChar w:fldCharType="end"/>
        <w:fldChar w:fldCharType="end"/>
      </w:r>
      <w:r>
        <w:rPr>
          <w:sz w:val="24"/>
          <w:szCs w:val="28"/>
        </w:rPr>
      </w:r>
      <w:r/>
    </w:p>
    <w:p>
      <w:pPr>
        <w:pStyle w:val="667"/>
        <w:spacing w:line="360" w:lineRule="auto"/>
        <w:tabs>
          <w:tab w:val="right" w:pos="9638" w:leader="dot"/>
        </w:tabs>
        <w:rPr>
          <w:sz w:val="24"/>
          <w:szCs w:val="28"/>
        </w:rPr>
      </w:pPr>
      <w:r>
        <w:rPr>
          <w:sz w:val="24"/>
          <w:szCs w:val="28"/>
        </w:rPr>
        <w:fldChar w:fldCharType="begin"/>
      </w:r>
      <w:r>
        <w:rPr>
          <w:sz w:val="24"/>
          <w:szCs w:val="28"/>
        </w:rPr>
        <w:instrText xml:space="preserve"> HYPERLINK \l _Toc9919 </w:instrText>
      </w:r>
      <w:r>
        <w:rPr>
          <w:sz w:val="24"/>
          <w:szCs w:val="28"/>
        </w:rPr>
        <w:fldChar w:fldCharType="separate"/>
      </w:r>
      <w:r>
        <w:rPr>
          <w:rFonts w:hint="eastAsia" w:ascii="黑体" w:hAnsi="黑体" w:eastAsia="黑体"/>
          <w:sz w:val="24"/>
          <w:szCs w:val="28"/>
        </w:rPr>
        <w:t xml:space="preserve">第二章  投标人须知</w:t>
      </w:r>
      <w:r>
        <w:rPr>
          <w:sz w:val="24"/>
          <w:szCs w:val="28"/>
        </w:rPr>
        <w:tab/>
      </w:r>
      <w:r>
        <w:rPr>
          <w:sz w:val="24"/>
          <w:szCs w:val="28"/>
        </w:rPr>
        <w:fldChar w:fldCharType="begin"/>
      </w:r>
      <w:r>
        <w:rPr>
          <w:sz w:val="24"/>
          <w:szCs w:val="28"/>
        </w:rPr>
        <w:instrText xml:space="preserve"> PAGEREF _Toc9919 \h </w:instrText>
      </w:r>
      <w:r>
        <w:rPr>
          <w:sz w:val="24"/>
          <w:szCs w:val="28"/>
        </w:rPr>
        <w:fldChar w:fldCharType="separate"/>
      </w:r>
      <w:r>
        <w:rPr>
          <w:sz w:val="24"/>
          <w:szCs w:val="28"/>
        </w:rPr>
        <w:t xml:space="preserve">8</w:t>
      </w:r>
      <w:r>
        <w:rPr>
          <w:sz w:val="24"/>
          <w:szCs w:val="28"/>
        </w:rPr>
        <w:fldChar w:fldCharType="end"/>
        <w:fldChar w:fldCharType="end"/>
      </w:r>
      <w:r>
        <w:rPr>
          <w:sz w:val="24"/>
          <w:szCs w:val="28"/>
        </w:rPr>
      </w:r>
      <w:r/>
    </w:p>
    <w:p>
      <w:pPr>
        <w:pStyle w:val="667"/>
        <w:spacing w:line="360" w:lineRule="auto"/>
        <w:tabs>
          <w:tab w:val="right" w:pos="9638" w:leader="dot"/>
        </w:tabs>
        <w:rPr>
          <w:sz w:val="24"/>
          <w:szCs w:val="28"/>
        </w:rPr>
      </w:pPr>
      <w:r>
        <w:rPr>
          <w:sz w:val="24"/>
          <w:szCs w:val="28"/>
        </w:rPr>
        <w:fldChar w:fldCharType="begin"/>
      </w:r>
      <w:r>
        <w:rPr>
          <w:sz w:val="24"/>
          <w:szCs w:val="28"/>
        </w:rPr>
        <w:instrText xml:space="preserve"> HYPERLINK \l _Toc11059 </w:instrText>
      </w:r>
      <w:r>
        <w:rPr>
          <w:sz w:val="24"/>
          <w:szCs w:val="28"/>
        </w:rPr>
        <w:fldChar w:fldCharType="separate"/>
      </w:r>
      <w:r>
        <w:rPr>
          <w:rFonts w:hint="eastAsia" w:ascii="黑体" w:hAnsi="黑体" w:eastAsia="黑体"/>
          <w:sz w:val="24"/>
          <w:szCs w:val="28"/>
        </w:rPr>
        <w:t xml:space="preserve">第三章  合同文本</w:t>
      </w:r>
      <w:r>
        <w:rPr>
          <w:sz w:val="24"/>
          <w:szCs w:val="28"/>
        </w:rPr>
        <w:tab/>
      </w:r>
      <w:r>
        <w:rPr>
          <w:sz w:val="24"/>
          <w:szCs w:val="28"/>
        </w:rPr>
        <w:fldChar w:fldCharType="begin"/>
      </w:r>
      <w:r>
        <w:rPr>
          <w:sz w:val="24"/>
          <w:szCs w:val="28"/>
        </w:rPr>
        <w:instrText xml:space="preserve"> PAGEREF _Toc11059 \h </w:instrText>
      </w:r>
      <w:r>
        <w:rPr>
          <w:sz w:val="24"/>
          <w:szCs w:val="28"/>
        </w:rPr>
        <w:fldChar w:fldCharType="separate"/>
      </w:r>
      <w:r>
        <w:rPr>
          <w:sz w:val="24"/>
          <w:szCs w:val="28"/>
        </w:rPr>
        <w:t xml:space="preserve">22</w:t>
      </w:r>
      <w:r>
        <w:rPr>
          <w:sz w:val="24"/>
          <w:szCs w:val="28"/>
        </w:rPr>
        <w:fldChar w:fldCharType="end"/>
        <w:fldChar w:fldCharType="end"/>
      </w:r>
      <w:r>
        <w:rPr>
          <w:sz w:val="24"/>
          <w:szCs w:val="28"/>
        </w:rPr>
      </w:r>
      <w:r/>
    </w:p>
    <w:p>
      <w:pPr>
        <w:pStyle w:val="667"/>
        <w:spacing w:line="360" w:lineRule="auto"/>
        <w:tabs>
          <w:tab w:val="right" w:pos="9638" w:leader="dot"/>
        </w:tabs>
        <w:rPr>
          <w:sz w:val="24"/>
          <w:szCs w:val="28"/>
        </w:rPr>
      </w:pPr>
      <w:r>
        <w:rPr>
          <w:sz w:val="24"/>
          <w:szCs w:val="28"/>
        </w:rPr>
        <w:fldChar w:fldCharType="begin"/>
      </w:r>
      <w:r>
        <w:rPr>
          <w:sz w:val="24"/>
          <w:szCs w:val="28"/>
        </w:rPr>
        <w:instrText xml:space="preserve"> HYPERLINK \l _Toc31789 </w:instrText>
      </w:r>
      <w:r>
        <w:rPr>
          <w:sz w:val="24"/>
          <w:szCs w:val="28"/>
        </w:rPr>
        <w:fldChar w:fldCharType="separate"/>
      </w:r>
      <w:r>
        <w:rPr>
          <w:rFonts w:hint="eastAsia" w:ascii="黑体" w:hAnsi="黑体" w:eastAsia="黑体"/>
          <w:sz w:val="24"/>
          <w:szCs w:val="28"/>
        </w:rPr>
        <w:t xml:space="preserve">第四章  采购需求</w:t>
      </w:r>
      <w:r>
        <w:rPr>
          <w:sz w:val="24"/>
          <w:szCs w:val="28"/>
        </w:rPr>
        <w:tab/>
      </w:r>
      <w:r>
        <w:rPr>
          <w:sz w:val="24"/>
          <w:szCs w:val="28"/>
        </w:rPr>
        <w:fldChar w:fldCharType="begin"/>
      </w:r>
      <w:r>
        <w:rPr>
          <w:sz w:val="24"/>
          <w:szCs w:val="28"/>
        </w:rPr>
        <w:instrText xml:space="preserve"> PAGEREF _Toc31789 \h </w:instrText>
      </w:r>
      <w:r>
        <w:rPr>
          <w:sz w:val="24"/>
          <w:szCs w:val="28"/>
        </w:rPr>
        <w:fldChar w:fldCharType="separate"/>
      </w:r>
      <w:r>
        <w:rPr>
          <w:sz w:val="24"/>
          <w:szCs w:val="28"/>
        </w:rPr>
        <w:t xml:space="preserve">26</w:t>
      </w:r>
      <w:r>
        <w:rPr>
          <w:sz w:val="24"/>
          <w:szCs w:val="28"/>
        </w:rPr>
        <w:fldChar w:fldCharType="end"/>
        <w:fldChar w:fldCharType="end"/>
      </w:r>
      <w:r>
        <w:rPr>
          <w:sz w:val="24"/>
          <w:szCs w:val="28"/>
        </w:rPr>
      </w:r>
      <w:r/>
    </w:p>
    <w:p>
      <w:pPr>
        <w:pStyle w:val="667"/>
        <w:spacing w:line="360" w:lineRule="auto"/>
        <w:tabs>
          <w:tab w:val="right" w:pos="9638" w:leader="dot"/>
        </w:tabs>
        <w:rPr>
          <w:sz w:val="24"/>
          <w:szCs w:val="28"/>
        </w:rPr>
      </w:pPr>
      <w:r>
        <w:rPr>
          <w:sz w:val="24"/>
          <w:szCs w:val="28"/>
        </w:rPr>
        <w:fldChar w:fldCharType="begin"/>
      </w:r>
      <w:r>
        <w:rPr>
          <w:sz w:val="24"/>
          <w:szCs w:val="28"/>
        </w:rPr>
        <w:instrText xml:space="preserve"> HYPERLINK \l _Toc9266 </w:instrText>
      </w:r>
      <w:r>
        <w:rPr>
          <w:sz w:val="24"/>
          <w:szCs w:val="28"/>
        </w:rPr>
        <w:fldChar w:fldCharType="separate"/>
      </w:r>
      <w:r>
        <w:rPr>
          <w:rFonts w:hint="eastAsia" w:eastAsia="黑体"/>
          <w:bCs/>
          <w:sz w:val="24"/>
          <w:szCs w:val="52"/>
        </w:rPr>
        <w:t xml:space="preserve">第五章</w:t>
      </w:r>
      <w:r>
        <w:rPr>
          <w:rFonts w:eastAsia="黑体"/>
          <w:bCs/>
          <w:sz w:val="24"/>
          <w:szCs w:val="52"/>
        </w:rPr>
        <w:t xml:space="preserve">  </w:t>
      </w:r>
      <w:r>
        <w:rPr>
          <w:rFonts w:hint="eastAsia" w:eastAsia="黑体"/>
          <w:bCs/>
          <w:sz w:val="24"/>
          <w:szCs w:val="52"/>
        </w:rPr>
        <w:t xml:space="preserve">评标方法与评标标准</w:t>
      </w:r>
      <w:r>
        <w:rPr>
          <w:sz w:val="24"/>
          <w:szCs w:val="28"/>
        </w:rPr>
        <w:tab/>
      </w:r>
      <w:r>
        <w:rPr>
          <w:sz w:val="24"/>
          <w:szCs w:val="28"/>
        </w:rPr>
        <w:fldChar w:fldCharType="begin"/>
      </w:r>
      <w:r>
        <w:rPr>
          <w:sz w:val="24"/>
          <w:szCs w:val="28"/>
        </w:rPr>
        <w:instrText xml:space="preserve"> PAGEREF _Toc9266 \h </w:instrText>
      </w:r>
      <w:r>
        <w:rPr>
          <w:sz w:val="24"/>
          <w:szCs w:val="28"/>
        </w:rPr>
        <w:fldChar w:fldCharType="separate"/>
      </w:r>
      <w:r>
        <w:rPr>
          <w:sz w:val="24"/>
          <w:szCs w:val="28"/>
        </w:rPr>
        <w:t xml:space="preserve">55</w:t>
      </w:r>
      <w:r>
        <w:rPr>
          <w:sz w:val="24"/>
          <w:szCs w:val="28"/>
        </w:rPr>
        <w:fldChar w:fldCharType="end"/>
        <w:fldChar w:fldCharType="end"/>
      </w:r>
      <w:r>
        <w:rPr>
          <w:sz w:val="24"/>
          <w:szCs w:val="28"/>
        </w:rPr>
      </w:r>
      <w:r/>
    </w:p>
    <w:p>
      <w:pPr>
        <w:pStyle w:val="667"/>
        <w:spacing w:line="360" w:lineRule="auto"/>
        <w:tabs>
          <w:tab w:val="right" w:pos="9638" w:leader="dot"/>
        </w:tabs>
      </w:pPr>
      <w:r>
        <w:rPr>
          <w:sz w:val="24"/>
          <w:szCs w:val="28"/>
        </w:rPr>
        <w:fldChar w:fldCharType="begin"/>
      </w:r>
      <w:r>
        <w:rPr>
          <w:sz w:val="24"/>
          <w:szCs w:val="28"/>
        </w:rPr>
        <w:instrText xml:space="preserve"> HYPERLINK \l _Toc31101 </w:instrText>
      </w:r>
      <w:r>
        <w:rPr>
          <w:sz w:val="24"/>
          <w:szCs w:val="28"/>
        </w:rPr>
        <w:fldChar w:fldCharType="separate"/>
      </w:r>
      <w:r>
        <w:rPr>
          <w:rFonts w:hint="eastAsia" w:ascii="黑体" w:hAnsi="黑体" w:eastAsia="黑体"/>
          <w:sz w:val="24"/>
          <w:szCs w:val="28"/>
        </w:rPr>
        <w:t xml:space="preserve">第六章  投标文件格式</w:t>
      </w:r>
      <w:r>
        <w:rPr>
          <w:sz w:val="24"/>
          <w:szCs w:val="28"/>
        </w:rPr>
        <w:tab/>
      </w:r>
      <w:r>
        <w:rPr>
          <w:sz w:val="24"/>
          <w:szCs w:val="28"/>
        </w:rPr>
        <w:fldChar w:fldCharType="begin"/>
      </w:r>
      <w:r>
        <w:rPr>
          <w:sz w:val="24"/>
          <w:szCs w:val="28"/>
        </w:rPr>
        <w:instrText xml:space="preserve"> PAGEREF _Toc31101 \h </w:instrText>
      </w:r>
      <w:r>
        <w:rPr>
          <w:sz w:val="24"/>
          <w:szCs w:val="28"/>
        </w:rPr>
        <w:fldChar w:fldCharType="separate"/>
      </w:r>
      <w:r>
        <w:rPr>
          <w:sz w:val="24"/>
          <w:szCs w:val="28"/>
        </w:rPr>
        <w:t xml:space="preserve">57</w:t>
      </w:r>
      <w:r>
        <w:rPr>
          <w:sz w:val="24"/>
          <w:szCs w:val="28"/>
        </w:rPr>
        <w:fldChar w:fldCharType="end"/>
        <w:fldChar w:fldCharType="end"/>
      </w:r>
      <w:r/>
    </w:p>
    <w:p>
      <w:pPr>
        <w:pStyle w:val="651"/>
        <w:sectPr>
          <w:footerReference w:type="default" r:id="rId9"/>
          <w:footnotePr/>
          <w:endnotePr/>
          <w:type w:val="nextPage"/>
          <w:pgSz w:w="11906" w:h="16838" w:orient="portrait"/>
          <w:pgMar w:top="907" w:right="1134" w:bottom="567" w:left="1134" w:header="851" w:footer="992" w:gutter="0"/>
          <w:pgNumType w:start="1"/>
          <w:cols w:num="1" w:sep="0" w:space="720" w:equalWidth="1"/>
          <w:docGrid w:linePitch="360"/>
        </w:sectPr>
      </w:pPr>
      <w:r>
        <w:fldChar w:fldCharType="end"/>
      </w:r>
      <w:r/>
    </w:p>
    <w:p>
      <w:pPr>
        <w:pStyle w:val="651"/>
      </w:pPr>
      <w:r/>
      <w:r/>
    </w:p>
    <w:p>
      <w:pPr>
        <w:pStyle w:val="652"/>
        <w:jc w:val="center"/>
        <w:spacing w:line="360" w:lineRule="auto"/>
        <w:rPr>
          <w:rFonts w:ascii="黑体" w:hAnsi="黑体" w:eastAsia="黑体"/>
          <w:b w:val="0"/>
        </w:rPr>
      </w:pPr>
      <w:r/>
      <w:bookmarkStart w:id="0" w:name="_Toc155796356"/>
      <w:r/>
      <w:bookmarkStart w:id="1" w:name="_Toc12039"/>
      <w:r/>
      <w:bookmarkStart w:id="2" w:name="_Toc32305"/>
      <w:r>
        <w:rPr>
          <w:rFonts w:hint="eastAsia" w:ascii="黑体" w:hAnsi="黑体" w:eastAsia="黑体"/>
          <w:b w:val="0"/>
        </w:rPr>
        <w:t xml:space="preserve">第一章  投标邀请</w:t>
      </w:r>
      <w:bookmarkEnd w:id="0"/>
      <w:r/>
      <w:bookmarkEnd w:id="1"/>
      <w:r/>
      <w:bookmarkEnd w:id="2"/>
      <w:r>
        <w:rPr>
          <w:rFonts w:ascii="黑体" w:hAnsi="黑体" w:eastAsia="黑体"/>
          <w:b w:val="0"/>
        </w:rPr>
      </w:r>
      <w:r/>
    </w:p>
    <w:p>
      <w:pPr>
        <w:pStyle w:val="651"/>
        <w:ind w:firstLine="480"/>
        <w:spacing w:line="500" w:lineRule="exact"/>
        <w:rPr>
          <w:sz w:val="24"/>
          <w:szCs w:val="24"/>
        </w:rPr>
      </w:pPr>
      <w:r>
        <w:rPr>
          <w:rFonts w:hint="eastAsia"/>
          <w:sz w:val="24"/>
          <w:szCs w:val="24"/>
        </w:rPr>
        <w:t xml:space="preserve">受</w:t>
      </w:r>
      <w:r>
        <w:rPr>
          <w:rFonts w:hint="eastAsia" w:ascii="宋体" w:hAnsi="宋体" w:cs="宋体"/>
          <w:spacing w:val="1"/>
          <w:sz w:val="24"/>
          <w:szCs w:val="24"/>
          <w:u w:val="single"/>
        </w:rPr>
        <w:t xml:space="preserve">赣榆区数据发展服务中心</w:t>
      </w:r>
      <w:r>
        <w:rPr>
          <w:rFonts w:hint="eastAsia"/>
          <w:sz w:val="24"/>
          <w:szCs w:val="24"/>
        </w:rPr>
        <w:t xml:space="preserve">的委托，连云港市赣榆区公共资源交易中心就</w:t>
      </w:r>
      <w:r>
        <w:rPr>
          <w:rFonts w:hint="eastAsia" w:ascii="宋体" w:hAnsi="宋体" w:cs="宋体"/>
          <w:spacing w:val="-6"/>
          <w:sz w:val="24"/>
          <w:szCs w:val="24"/>
          <w:u w:val="single"/>
        </w:rPr>
        <w:t xml:space="preserve">赣榆区医共体信息化二期</w:t>
      </w:r>
      <w:r>
        <w:rPr>
          <w:rFonts w:hint="eastAsia"/>
          <w:sz w:val="24"/>
          <w:szCs w:val="24"/>
        </w:rPr>
        <w:t xml:space="preserve">项目</w:t>
      </w:r>
      <w:r>
        <w:rPr>
          <w:rFonts w:hint="eastAsia" w:ascii="Segoe UI" w:hAnsi="Segoe UI" w:cs="Segoe UI"/>
          <w:szCs w:val="21"/>
          <w:shd w:val="clear" w:color="auto" w:fill="ffffff"/>
        </w:rPr>
        <w:t xml:space="preserve">（编号：</w:t>
      </w:r>
      <w:r>
        <w:rPr>
          <w:rFonts w:ascii="Segoe UI" w:hAnsi="Segoe UI" w:cs="Segoe UI"/>
          <w:szCs w:val="21"/>
          <w:shd w:val="clear" w:color="auto" w:fill="ffffff"/>
        </w:rPr>
        <w:t xml:space="preserve">JSZC-320707-JZCG-G2026-0008</w:t>
      </w:r>
      <w:r>
        <w:rPr>
          <w:rFonts w:hint="eastAsia"/>
          <w:sz w:val="24"/>
          <w:szCs w:val="24"/>
        </w:rPr>
        <w:t xml:space="preserve">）进行公开招标采购，欢迎符合条件的供应商投标。</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4"/>
      </w:tblGrid>
      <w:tr>
        <w:trPr/>
        <w:tc>
          <w:tcPr>
            <w:tcBorders>
              <w:top w:val="single" w:color="000000" w:sz="4" w:space="0"/>
              <w:left w:val="single" w:color="000000" w:sz="4" w:space="0"/>
              <w:bottom w:val="single" w:color="000000" w:sz="4" w:space="0"/>
              <w:right w:val="single" w:color="000000" w:sz="4" w:space="0"/>
            </w:tcBorders>
            <w:tcW w:w="9754" w:type="dxa"/>
            <w:vAlign w:val="top"/>
            <w:textDirection w:val="lrTb"/>
            <w:noWrap w:val="false"/>
          </w:tcPr>
          <w:p>
            <w:pPr>
              <w:pStyle w:val="651"/>
              <w:jc w:val="left"/>
              <w:spacing w:line="500" w:lineRule="exact"/>
              <w:rPr>
                <w:rFonts w:hint="eastAsia"/>
                <w:sz w:val="24"/>
                <w:szCs w:val="24"/>
              </w:rPr>
            </w:pPr>
            <w:r>
              <w:rPr>
                <w:rFonts w:hint="eastAsia"/>
                <w:sz w:val="24"/>
                <w:szCs w:val="24"/>
              </w:rPr>
              <w:t xml:space="preserve">项目概况：</w:t>
            </w:r>
            <w:r/>
          </w:p>
          <w:p>
            <w:pPr>
              <w:pStyle w:val="651"/>
              <w:ind w:firstLine="456"/>
              <w:jc w:val="left"/>
              <w:spacing w:line="500" w:lineRule="exact"/>
              <w:rPr>
                <w:sz w:val="24"/>
                <w:szCs w:val="24"/>
              </w:rPr>
            </w:pPr>
            <w:r>
              <w:rPr>
                <w:rFonts w:hint="eastAsia" w:ascii="宋体" w:hAnsi="宋体" w:cs="宋体"/>
                <w:spacing w:val="-6"/>
                <w:sz w:val="24"/>
                <w:szCs w:val="24"/>
                <w:u w:val="single"/>
              </w:rPr>
              <w:t xml:space="preserve">赣榆区医共体信息化二期</w:t>
            </w:r>
            <w:r>
              <w:rPr>
                <w:rFonts w:hint="eastAsia"/>
                <w:sz w:val="24"/>
                <w:szCs w:val="24"/>
              </w:rPr>
              <w:t xml:space="preserve">招标项目的潜在投标人应在江苏政府采购网自行免费下载招标文件，并于</w:t>
            </w:r>
            <w:r>
              <w:rPr>
                <w:sz w:val="24"/>
                <w:szCs w:val="24"/>
              </w:rPr>
              <w:t xml:space="preserve">202</w:t>
            </w:r>
            <w:r>
              <w:rPr>
                <w:rFonts w:hint="eastAsia"/>
                <w:sz w:val="24"/>
                <w:szCs w:val="24"/>
              </w:rPr>
              <w:t xml:space="preserve">6年</w:t>
            </w:r>
            <w:r>
              <w:rPr>
                <w:rFonts w:hint="eastAsia"/>
                <w:sz w:val="24"/>
                <w:szCs w:val="24"/>
              </w:rPr>
              <w:t xml:space="preserve">11</w:t>
            </w:r>
            <w:r>
              <w:rPr>
                <w:rFonts w:hint="eastAsia"/>
                <w:sz w:val="24"/>
                <w:szCs w:val="24"/>
              </w:rPr>
              <w:t xml:space="preserve">月</w:t>
            </w:r>
            <w:r>
              <w:rPr>
                <w:rFonts w:hint="eastAsia"/>
                <w:sz w:val="24"/>
                <w:szCs w:val="24"/>
              </w:rPr>
              <w:t xml:space="preserve">1</w:t>
            </w:r>
            <w:r>
              <w:rPr>
                <w:rFonts w:hint="eastAsia"/>
                <w:sz w:val="24"/>
                <w:szCs w:val="24"/>
              </w:rPr>
              <w:t xml:space="preserve">3</w:t>
            </w:r>
            <w:r>
              <w:rPr>
                <w:rFonts w:hint="eastAsia"/>
                <w:sz w:val="24"/>
                <w:szCs w:val="24"/>
              </w:rPr>
              <w:t xml:space="preserve">日09：</w:t>
            </w:r>
            <w:r>
              <w:rPr>
                <w:sz w:val="24"/>
                <w:szCs w:val="24"/>
              </w:rPr>
              <w:t xml:space="preserve">00</w:t>
            </w:r>
            <w:r>
              <w:rPr>
                <w:rFonts w:hint="eastAsia"/>
                <w:sz w:val="24"/>
                <w:szCs w:val="24"/>
              </w:rPr>
              <w:t xml:space="preserve">：</w:t>
            </w:r>
            <w:r>
              <w:rPr>
                <w:sz w:val="24"/>
                <w:szCs w:val="24"/>
              </w:rPr>
              <w:t xml:space="preserve">00</w:t>
            </w:r>
            <w:r>
              <w:rPr>
                <w:rFonts w:hint="eastAsia"/>
                <w:sz w:val="24"/>
                <w:szCs w:val="24"/>
              </w:rPr>
              <w:t xml:space="preserve">（北京时间）前递交（上传）投标文件。</w:t>
            </w:r>
            <w:r>
              <w:rPr>
                <w:sz w:val="24"/>
                <w:szCs w:val="24"/>
              </w:rPr>
            </w:r>
            <w:r/>
          </w:p>
        </w:tc>
      </w:tr>
    </w:tbl>
    <w:p>
      <w:pPr>
        <w:pStyle w:val="653"/>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651"/>
        <w:ind w:firstLine="480"/>
        <w:jc w:val="left"/>
        <w:spacing w:line="360" w:lineRule="auto"/>
        <w:rPr>
          <w:rFonts w:hint="eastAsia" w:ascii="宋体" w:hAnsi="宋体" w:cs="宋体"/>
          <w:sz w:val="24"/>
          <w:szCs w:val="24"/>
          <w:highlight w:val="yellow"/>
        </w:rPr>
      </w:pPr>
      <w:r>
        <w:rPr>
          <w:rFonts w:hint="eastAsia" w:ascii="宋体" w:hAnsi="宋体" w:cs="宋体"/>
          <w:sz w:val="24"/>
          <w:szCs w:val="24"/>
        </w:rPr>
        <w:t xml:space="preserve">项目编号：</w:t>
      </w:r>
      <w:r>
        <w:rPr>
          <w:rFonts w:ascii="Segoe UI" w:hAnsi="Segoe UI" w:cs="Segoe UI"/>
          <w:szCs w:val="21"/>
          <w:shd w:val="clear" w:color="auto" w:fill="ffffff"/>
        </w:rPr>
        <w:t xml:space="preserve">JSZC-320707-JZCG-G2026-0008</w:t>
      </w:r>
      <w:r>
        <w:rPr>
          <w:rFonts w:hint="eastAsia" w:ascii="宋体" w:hAnsi="宋体" w:cs="宋体"/>
          <w:sz w:val="24"/>
          <w:szCs w:val="24"/>
          <w:highlight w:val="yellow"/>
        </w:rPr>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pacing w:val="-6"/>
          <w:sz w:val="24"/>
          <w:szCs w:val="24"/>
        </w:rPr>
        <w:t xml:space="preserve">赣榆区医共体信息化二期</w:t>
      </w:r>
      <w:r>
        <w:rPr>
          <w:rFonts w:ascii="宋体" w:hAnsi="宋体" w:cs="宋体"/>
          <w:spacing w:val="-6"/>
          <w:sz w:val="24"/>
          <w:szCs w:val="24"/>
        </w:rPr>
        <w:t xml:space="preserve">（非专门面向中小企业）</w:t>
      </w:r>
      <w:r>
        <w:rPr>
          <w:rFonts w:hint="eastAsia" w:ascii="宋体" w:hAnsi="宋体" w:cs="宋体"/>
          <w:sz w:val="24"/>
          <w:szCs w:val="24"/>
        </w:rPr>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预算金额：人民币</w:t>
      </w:r>
      <w:r>
        <w:rPr>
          <w:rFonts w:ascii="宋体" w:hAnsi="宋体" w:cs="宋体"/>
          <w:sz w:val="24"/>
          <w:szCs w:val="24"/>
        </w:rPr>
        <w:t xml:space="preserve">755.31</w:t>
      </w:r>
      <w:r>
        <w:rPr>
          <w:rFonts w:hint="eastAsia" w:ascii="宋体" w:hAnsi="宋体" w:cs="宋体"/>
          <w:sz w:val="24"/>
          <w:szCs w:val="24"/>
        </w:rPr>
        <w:t xml:space="preserve">万元</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最高限价：人民币755.31万元，投标报价超过最高限价的投标无效。</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采购方式：公开招标</w:t>
      </w:r>
      <w:r/>
    </w:p>
    <w:p>
      <w:pPr>
        <w:pStyle w:val="651"/>
        <w:ind w:firstLine="480"/>
        <w:spacing w:line="360" w:lineRule="auto"/>
        <w:rPr>
          <w:rFonts w:hint="eastAsia" w:ascii="宋体" w:hAnsi="宋体" w:cs="宋体"/>
          <w:sz w:val="24"/>
          <w:szCs w:val="24"/>
        </w:rPr>
      </w:pPr>
      <w:r>
        <w:rPr>
          <w:rFonts w:hint="eastAsia" w:ascii="宋体" w:hAnsi="宋体" w:cs="宋体"/>
          <w:sz w:val="24"/>
          <w:szCs w:val="24"/>
        </w:rPr>
        <w:t xml:space="preserve">采购需求：</w:t>
      </w:r>
      <w:bookmarkStart w:id="3" w:name="OLE_LINK6"/>
      <w:r/>
      <w:bookmarkStart w:id="4" w:name="OLE_LINK5"/>
      <w:r>
        <w:rPr>
          <w:rFonts w:hint="eastAsia" w:ascii="宋体" w:hAnsi="宋体" w:cs="宋体"/>
          <w:sz w:val="24"/>
          <w:szCs w:val="24"/>
        </w:rPr>
        <w:t xml:space="preserve">本项目为赣榆区医共体信息化总体规划、分步实施的二期工程，整体架构遵循“基础设施层-数据资源层-平台服务层-业务应用层-安全保障体系-标准规范体系”六层设计：</w:t>
      </w:r>
      <w:r/>
    </w:p>
    <w:p>
      <w:pPr>
        <w:pStyle w:val="651"/>
        <w:ind w:firstLine="480"/>
        <w:spacing w:line="360" w:lineRule="auto"/>
        <w:rPr>
          <w:rFonts w:hint="eastAsia" w:ascii="宋体" w:hAnsi="宋体" w:cs="宋体"/>
          <w:sz w:val="24"/>
          <w:szCs w:val="24"/>
        </w:rPr>
      </w:pPr>
      <w:r>
        <w:rPr>
          <w:rFonts w:hint="eastAsia" w:ascii="宋体" w:hAnsi="宋体" w:cs="宋体"/>
          <w:sz w:val="24"/>
          <w:szCs w:val="24"/>
        </w:rPr>
        <w:t xml:space="preserve">一期已完成国产化硬件基础设施、医共体信息平台（含主数据、EMPI、协同引擎）、11个主题驾驶舱、9大业务协同中心（远程会诊、双向转诊等）建设，实现区域内医疗数据初步汇聚、基础业务协同打通，目前系统已上线运行约半年，处于待密评完成后验收总结阶段。</w:t>
      </w:r>
      <w:r/>
    </w:p>
    <w:p>
      <w:pPr>
        <w:pStyle w:val="684"/>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二期项目建设并非“修补一期缺陷”，而是落地总体规划中预留的三大核心能力——区域医保智慧预警、基层全科医生智能辅助、医共体财务运营，在一期底座基础上实现“临床-医保-运营”全链路数据贯通、业务闭环与管理统一，支撑医共体“一盘棋”发展。</w:t>
      </w:r>
      <w:bookmarkEnd w:id="3"/>
      <w:r/>
      <w:bookmarkEnd w:id="4"/>
      <w:r>
        <w:rPr>
          <w:rFonts w:hint="eastAsia" w:ascii="宋体" w:hAnsi="宋体" w:eastAsia="宋体" w:cs="宋体"/>
          <w:lang w:eastAsia="zh-CN"/>
        </w:rPr>
        <w:t xml:space="preserve"> </w:t>
      </w:r>
      <w:r/>
    </w:p>
    <w:p>
      <w:pPr>
        <w:pStyle w:val="651"/>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对本项目资格要求、采购需求、评标方法与评标标准等部分的询问、质疑请与采购人联系，由采购人负责答复。</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合同履行期限：</w:t>
      </w:r>
      <w:r>
        <w:rPr>
          <w:rFonts w:hint="eastAsia" w:ascii="宋体" w:hAnsi="宋体" w:cs="宋体"/>
          <w:spacing w:val="-4"/>
          <w:sz w:val="24"/>
          <w:szCs w:val="24"/>
        </w:rPr>
        <w:t xml:space="preserve">合同签订后360日历天内完成系统安装、调试工作并满足采购需求达到初步验收标准。</w:t>
      </w:r>
      <w:r>
        <w:rPr>
          <w:rFonts w:hint="eastAsia" w:ascii="宋体" w:hAnsi="宋体" w:cs="宋体"/>
          <w:sz w:val="24"/>
          <w:szCs w:val="24"/>
        </w:rPr>
        <w:t xml:space="preserve"> 签订合同后，采购人须在2个工作日内进行合同公告。</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本项目（是/否）接受联合体投标：接受联合体。</w:t>
      </w:r>
      <w:r/>
    </w:p>
    <w:p>
      <w:pPr>
        <w:pStyle w:val="651"/>
        <w:ind w:firstLine="480"/>
        <w:spacing w:line="360"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t xml:space="preserve">采用联合体投标的，应满足以下规定：</w:t>
      </w:r>
      <w:r/>
    </w:p>
    <w:p>
      <w:pPr>
        <w:pStyle w:val="651"/>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①联合体成员不得超过4家。</w:t>
      </w:r>
      <w:r/>
    </w:p>
    <w:p>
      <w:pPr>
        <w:pStyle w:val="651"/>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投标时需提交联合体协议作为要件之一（投标时须提供联合体协议扫描件），联合体协议中要载明联合体投标代表的牵头人，并声明联合体各方的权力和义务、相关工作范围。所有投标文件以联合体牵头人签字盖章为准。</w:t>
      </w:r>
      <w:r/>
    </w:p>
    <w:p>
      <w:pPr>
        <w:pStyle w:val="651"/>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③联合体各方均需满足申请人的资格要求，联合体各方均应提供证明材料。</w:t>
      </w:r>
      <w:r/>
    </w:p>
    <w:p>
      <w:pPr>
        <w:pStyle w:val="651"/>
        <w:ind w:firstLine="482"/>
        <w:spacing w:line="360" w:lineRule="auto"/>
        <w:rPr>
          <w:rFonts w:ascii="宋体" w:hAnsi="宋体" w:cs="宋体"/>
          <w:sz w:val="24"/>
          <w:szCs w:val="24"/>
        </w:rPr>
      </w:pPr>
      <w:r>
        <w:rPr>
          <w:rFonts w:hint="eastAsia" w:ascii="宋体" w:hAnsi="宋体" w:cs="宋体"/>
          <w:color w:val="000000"/>
          <w:sz w:val="24"/>
          <w:szCs w:val="24"/>
        </w:rPr>
        <w:t xml:space="preserve">④所有参与联合体投标的成员不得再以自己名义单独投标，也不得组成新的联合体或参加其他联合体在本项目中投标。</w:t>
      </w:r>
      <w:r>
        <w:rPr>
          <w:rFonts w:hint="eastAsia" w:ascii="宋体" w:hAnsi="宋体" w:cs="宋体"/>
          <w:sz w:val="24"/>
          <w:szCs w:val="24"/>
        </w:rPr>
        <w:t xml:space="preserve">与联合体一方的企业法人代表为同一个人或者存在控股和被控股关系企业不得再参加投标。存在以上情形的，属于重大偏差，视为未能对招标文件作出实质性响应，其投标作无效标处理。</w:t>
      </w:r>
      <w:r>
        <w:rPr>
          <w:rFonts w:ascii="宋体" w:hAnsi="宋体" w:cs="宋体"/>
          <w:sz w:val="24"/>
          <w:szCs w:val="24"/>
        </w:rPr>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⑤联合体中标后，其成员不得变更。</w:t>
      </w:r>
      <w:r/>
    </w:p>
    <w:p>
      <w:pPr>
        <w:pStyle w:val="653"/>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（一）满足《中华人民共和国政府采购法》第二十二条规定，并提供下列材料：</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2.上一年度的财务状况报告；（成立不满一年无需提供）</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（根据连财购〔2023〕4号文件精神，2、3项可以提供《财务状况报告及税收、社会保障资金缴纳情况承诺函》，详见第六章 响应文件格式）</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4.具备履行合同所必需的设备和专业技术能力的声明及证明材料；</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6.法律、行政法规规定的其他条件；（提供承诺，格式自拟）</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7.资格审查现场查询信用中国，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（二）落实政府采购政策需满足的资格要求：</w:t>
      </w:r>
      <w:r/>
    </w:p>
    <w:p>
      <w:pPr>
        <w:pStyle w:val="651"/>
        <w:ind w:firstLine="482"/>
        <w:spacing w:line="360" w:lineRule="auto"/>
        <w:rPr>
          <w:rFonts w:hint="eastAsia" w:ascii="宋体" w:hAnsi="宋体" w:cs="宋体"/>
          <w:sz w:val="24"/>
          <w:szCs w:val="24"/>
          <w:highlight w:val="yellow"/>
        </w:rPr>
      </w:pPr>
      <w:r/>
      <w:bookmarkStart w:id="5" w:name="OLE_LINK4"/>
      <w:r/>
      <w:bookmarkStart w:id="6" w:name="OLE_LINK7"/>
      <w:r>
        <w:rPr>
          <w:rFonts w:hint="eastAsia" w:ascii="宋体" w:hAnsi="宋体" w:cs="宋体"/>
          <w:sz w:val="24"/>
          <w:szCs w:val="24"/>
          <w:highlight w:val="yellow"/>
        </w:rPr>
        <w:t xml:space="preserve">本项目属于预留部分份额专门面向中小微企业采购。对于预留份额，提供的货物或服务由符合政策要求的中小微企业制造或承接，具体符合条件的情形详见《政府采购促进中小企业发展管理办法》。预留份额通过以下措施进行,投标人可选择以下其中任意一种方式参与：  </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1.投标人不属于中小微企业的，必须将本项目合同分包给一家或者多家中小微企业，中小微企业承担的合同份额占合同金额的比例不低于40%（其中预留给小微企业的部分不低于60%），接受分包合同的中小微企业与分包企业之间不得存在直接控股、管理关系。（投标文件中同时提供：1.符合上述比例的《分包意向协议书》；2.接受分包的中小微企业须同时提供《中小企业声明函》或《残疾人福利性单位声明函》或属于监狱企业的证明文件，否则投标无效）</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2.投标人属于中型企业的，必须将本项目合同分包给一家或者多家小微企业，小微企业承担的份额不低于合同金额的60%，接受分包合同的小微企业与分包企业之间不得存在直接控股、管理关系。（投标文件中同时提供：1.符合上述比例的《分包意向协议书》；2.分包企业与接受分包的小微企业须同时提供《中小企业声明函》或《残疾人福利性单位声明函》或属于监狱企业的证明文件，否则投标无效）</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3.投标人属于小微企业的，是否采取分包不作强制要求。</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3.1如不分包，投标文件中须提供《中小企业声明函》或《残疾人福利性单位声明函》或属于监狱企业的证明文件，否则投标无效。</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3.2如采取合同分包，则只能分包给小微企业。接受分包合同的小微企业与分包企业之间不得存在直接控股、管理关系。（投标文件中同时提供：1.《分包意向协议书》；2.分包企业与接受分包的小微企业须同时提供《中小企业声明函》或《残疾人福利性单位声明函》或属于监狱企业的证明文件，否则投标无效）</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4. 接受大中型企业与小微企业组成联合体或者允许大中型企业向一家或者多家小微企业分包的采购项目。联合体中，中小企业承担的合同份额占合同金额的比例不低于40%（其中预留给小微企业的部分不低于60%）。对于联合协议或者分包意向协议约定小微企业的合同份额占到合同总金额 30%以上的，采购人、采购代理机构应当对联合体或者大中型企业的报价给予4%（工程项目为2%）的扣除，用扣除后的价格参加评审。</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5. 对于独立参与投标的小型、微型企业（含监狱企业、残疾人福利性单位），或联合体所有成员均为小型、微型企业的，采购人、采购代理机构对其投标报价给予10%的价格扣除，用扣除后的价格参加评审。同一投标人同时符合多项小微企业视同情形的，不重复享受价格扣除优惠。</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注：</w:t>
      </w:r>
      <w:r/>
    </w:p>
    <w:p>
      <w:pPr>
        <w:pStyle w:val="660"/>
        <w:ind w:firstLine="472"/>
        <w:spacing w:line="360" w:lineRule="auto"/>
        <w:rPr>
          <w:rFonts w:hint="eastAsia" w:hAnsi="宋体" w:cs="宋体"/>
          <w:sz w:val="24"/>
          <w:szCs w:val="24"/>
        </w:rPr>
      </w:pPr>
      <w:r>
        <w:rPr>
          <w:rFonts w:hint="eastAsia" w:hAnsi="宋体" w:cs="宋体"/>
          <w:sz w:val="24"/>
          <w:szCs w:val="24"/>
        </w:rPr>
        <w:t xml:space="preserve">1）本项目分包企业指投标人。证明材料《分包意向协议书》详见第六章 投标文件格式 十三；《中小企业声明函》或《残疾人福利性单位声明函》详见第六章 投标文件格式 十一、格式十二。 </w:t>
      </w:r>
      <w:r/>
    </w:p>
    <w:p>
      <w:pPr>
        <w:pStyle w:val="660"/>
        <w:ind w:firstLine="472"/>
        <w:spacing w:line="360" w:lineRule="auto"/>
        <w:rPr>
          <w:rFonts w:hint="eastAsia" w:hAnsi="宋体" w:cs="宋体"/>
          <w:sz w:val="24"/>
          <w:szCs w:val="24"/>
        </w:rPr>
      </w:pPr>
      <w:r>
        <w:rPr>
          <w:rFonts w:hint="eastAsia" w:hAnsi="宋体" w:cs="宋体"/>
          <w:sz w:val="24"/>
          <w:szCs w:val="24"/>
        </w:rPr>
        <w:t xml:space="preserve">2）上述中小微企业应符合本项目采购标的对应的行业（软件和信息技术服务业）的政策划分标准，以提供的《中小企业声明函》为判定标准，残疾人福利性单位以提供的《残疾人福利性单位声明函》为判定标准，监狱企业须提供由省级以上监狱管理局、戒毒管理局（含新疆生产建设兵团）出具的属于监狱企业证明文件，否则投标无效。</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3）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4）享受扶持政策获得政府采购合同的，小微企业不得将合同分包给大中型企业，中型企业不得将合同分包给大型企业。</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5）本价格扣除仅用于评审，合同成交价款按投标人原投标报价执行。</w:t>
      </w:r>
      <w:r/>
    </w:p>
    <w:p>
      <w:pPr>
        <w:pStyle w:val="651"/>
        <w:ind w:firstLine="480"/>
        <w:jc w:val="left"/>
        <w:spacing w:line="360" w:lineRule="auto"/>
        <w:rPr>
          <w:rFonts w:hint="eastAsia" w:ascii="宋体" w:hAnsi="宋体" w:cs="宋体"/>
          <w:sz w:val="24"/>
          <w:szCs w:val="24"/>
        </w:rPr>
      </w:pPr>
      <w:r/>
      <w:bookmarkEnd w:id="5"/>
      <w:r/>
      <w:bookmarkEnd w:id="6"/>
      <w:r>
        <w:rPr>
          <w:rFonts w:hint="eastAsia" w:ascii="宋体" w:hAnsi="宋体" w:cs="宋体"/>
          <w:sz w:val="24"/>
          <w:szCs w:val="24"/>
        </w:rPr>
        <w:t xml:space="preserve">（三）本项目的特定资格要求：</w:t>
      </w:r>
      <w:r>
        <w:rPr>
          <w:rFonts w:hint="eastAsia" w:ascii="宋体" w:hAnsi="宋体" w:cs="宋体"/>
          <w:b/>
          <w:sz w:val="24"/>
          <w:szCs w:val="24"/>
          <w:u w:val="single"/>
        </w:rPr>
        <w:t xml:space="preserve">供应商/投标主体及其法定代表人、项目负责人未被列入“连云港市赣榆区行贿人联合惩戒信息库。” （投标时不需提供证明材料，评标时采购人/招标人和区公共资源交易中心通过赣榆区行贿人联合惩戒信息库，对供应商/投标主体情况进行内部查询，查询结果页面打印留存。)</w:t>
      </w:r>
      <w:r>
        <w:rPr>
          <w:rFonts w:hint="eastAsia" w:ascii="宋体" w:hAnsi="宋体" w:cs="宋体"/>
          <w:sz w:val="24"/>
          <w:szCs w:val="24"/>
        </w:rPr>
      </w:r>
      <w:r/>
    </w:p>
    <w:p>
      <w:pPr>
        <w:pStyle w:val="653"/>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时间：自公告发布之日起五个工作日</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地点：江苏政府采购网</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方式：投标人办理江苏省政府采购交易系统CA数字证书，登录“苏采云”政府采购交易系统，自行下载。</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售价：0.00元</w:t>
      </w:r>
      <w:r/>
    </w:p>
    <w:p>
      <w:pPr>
        <w:pStyle w:val="653"/>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651"/>
        <w:ind w:firstLine="480"/>
        <w:jc w:val="left"/>
        <w:spacing w:line="500" w:lineRule="exact"/>
        <w:rPr>
          <w:rFonts w:hint="eastAsia" w:ascii="宋体" w:hAnsi="宋体" w:cs="宋体"/>
          <w:sz w:val="24"/>
          <w:szCs w:val="24"/>
        </w:rPr>
      </w:pPr>
      <w:r>
        <w:rPr>
          <w:rFonts w:hint="eastAsia" w:ascii="宋体" w:hAnsi="宋体" w:cs="宋体"/>
          <w:sz w:val="24"/>
          <w:szCs w:val="24"/>
        </w:rPr>
        <w:t xml:space="preserve">提交投标文件截止时间：2026年</w:t>
      </w:r>
      <w:r>
        <w:rPr>
          <w:rFonts w:hint="eastAsia" w:ascii="宋体" w:hAnsi="宋体" w:cs="宋体"/>
          <w:sz w:val="24"/>
          <w:szCs w:val="24"/>
        </w:rPr>
        <w:t xml:space="preserve">11</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3</w:t>
      </w:r>
      <w:r>
        <w:rPr>
          <w:rFonts w:hint="eastAsia" w:ascii="宋体" w:hAnsi="宋体" w:cs="宋体"/>
          <w:sz w:val="24"/>
          <w:szCs w:val="24"/>
        </w:rPr>
        <w:t xml:space="preserve">日09：00：00（北京时间）</w:t>
      </w:r>
      <w:r/>
    </w:p>
    <w:p>
      <w:pPr>
        <w:pStyle w:val="651"/>
        <w:ind w:firstLine="480"/>
        <w:jc w:val="left"/>
        <w:spacing w:line="500" w:lineRule="exact"/>
        <w:rPr>
          <w:rFonts w:hint="eastAsia" w:ascii="宋体" w:hAnsi="宋体" w:cs="宋体"/>
          <w:sz w:val="24"/>
          <w:szCs w:val="24"/>
        </w:rPr>
      </w:pPr>
      <w:r>
        <w:rPr>
          <w:rFonts w:hint="eastAsia" w:ascii="宋体" w:hAnsi="宋体" w:cs="宋体"/>
          <w:sz w:val="24"/>
          <w:szCs w:val="24"/>
        </w:rPr>
        <w:t xml:space="preserve">开标时间：提交投标文件截止时间</w:t>
      </w:r>
      <w:r/>
    </w:p>
    <w:p>
      <w:pPr>
        <w:pStyle w:val="651"/>
        <w:ind w:firstLine="480"/>
        <w:jc w:val="left"/>
        <w:spacing w:line="500" w:lineRule="exact"/>
        <w:rPr>
          <w:rFonts w:hint="eastAsia" w:ascii="宋体" w:hAnsi="宋体" w:cs="宋体"/>
          <w:sz w:val="24"/>
          <w:szCs w:val="24"/>
        </w:rPr>
      </w:pPr>
      <w:r>
        <w:rPr>
          <w:rFonts w:hint="eastAsia" w:ascii="宋体" w:hAnsi="宋体" w:cs="宋体"/>
          <w:sz w:val="24"/>
          <w:szCs w:val="24"/>
        </w:rPr>
        <w:t xml:space="preserve">开标地点：“苏采云”政府采购交易系统网上开标大厅</w:t>
      </w:r>
      <w:r/>
    </w:p>
    <w:p>
      <w:pPr>
        <w:pStyle w:val="653"/>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651"/>
        <w:ind w:firstLine="480"/>
        <w:jc w:val="left"/>
        <w:spacing w:line="360" w:lineRule="auto"/>
        <w:rPr>
          <w:sz w:val="24"/>
          <w:szCs w:val="24"/>
        </w:rPr>
      </w:pPr>
      <w:r>
        <w:rPr>
          <w:rFonts w:hint="eastAsia"/>
          <w:sz w:val="24"/>
          <w:szCs w:val="24"/>
        </w:rPr>
        <w:t xml:space="preserve">自本公告发布之日起</w:t>
      </w:r>
      <w:r>
        <w:rPr>
          <w:sz w:val="24"/>
          <w:szCs w:val="24"/>
        </w:rPr>
        <w:t xml:space="preserve">5</w:t>
      </w:r>
      <w:r>
        <w:rPr>
          <w:rFonts w:hint="eastAsia"/>
          <w:sz w:val="24"/>
          <w:szCs w:val="24"/>
        </w:rPr>
        <w:t xml:space="preserve">个工作日。</w:t>
      </w:r>
      <w:r>
        <w:rPr>
          <w:sz w:val="24"/>
          <w:szCs w:val="24"/>
        </w:rPr>
      </w:r>
      <w:r/>
    </w:p>
    <w:p>
      <w:pPr>
        <w:pStyle w:val="653"/>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1.本次招标不收取投标保证金。</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2.本招标文件中斜体且有下划线部分为实质性要求和条件，由采购人根据实际情况设置，投标人须逐条明确作出满足实质性要求和条件的响应，否则将按无效响应处理。</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51"/>
        <w:ind w:firstLine="480"/>
        <w:jc w:val="left"/>
        <w:spacing w:line="360" w:lineRule="auto"/>
        <w:rPr>
          <w:rFonts w:hint="eastAsia" w:ascii="宋体" w:hAnsi="宋体" w:cs="宋体"/>
          <w:sz w:val="24"/>
          <w:szCs w:val="24"/>
        </w:rPr>
      </w:pPr>
      <w:r/>
      <w:bookmarkStart w:id="7" w:name="OLE_LINK21"/>
      <w:r>
        <w:rPr>
          <w:rFonts w:hint="eastAsia" w:ascii="宋体" w:hAnsi="宋体" w:cs="宋体"/>
          <w:sz w:val="24"/>
          <w:szCs w:val="24"/>
        </w:rPr>
        <w:t xml:space="preserve">5.采购本国产品的支持政策</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5.1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51"/>
        <w:jc w:val="left"/>
        <w:spacing w:line="360" w:lineRule="auto"/>
        <w:rPr>
          <w:rFonts w:hint="eastAsia" w:ascii="黑体" w:hAnsi="黑体" w:eastAsia="黑体"/>
          <w:b/>
          <w:bCs/>
          <w:sz w:val="32"/>
          <w:szCs w:val="32"/>
        </w:rPr>
      </w:pPr>
      <w:r/>
      <w:bookmarkEnd w:id="7"/>
      <w:r>
        <w:rPr>
          <w:rFonts w:hint="eastAsia" w:ascii="黑体" w:hAnsi="黑体" w:eastAsia="黑体"/>
          <w:b/>
          <w:bCs/>
          <w:sz w:val="32"/>
          <w:szCs w:val="32"/>
        </w:rPr>
        <w:t xml:space="preserve">七、对本次招标提出询问，请按以下方式联系</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pStyle w:val="651"/>
        <w:ind w:firstLine="480"/>
        <w:spacing w:before="183" w:line="360" w:lineRule="auto"/>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pacing w:val="-1"/>
          <w:sz w:val="24"/>
          <w:szCs w:val="24"/>
        </w:rPr>
        <w:t xml:space="preserve">赣榆区数据发展服务中心</w:t>
      </w:r>
      <w:r>
        <w:rPr>
          <w:rFonts w:hint="eastAsia" w:ascii="宋体" w:hAnsi="宋体" w:cs="宋体"/>
          <w:sz w:val="24"/>
          <w:szCs w:val="24"/>
        </w:rPr>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pacing w:val="-5"/>
          <w:sz w:val="24"/>
          <w:szCs w:val="24"/>
        </w:rPr>
        <w:t xml:space="preserve">赣榆区政务服务中心盛世路8</w:t>
      </w:r>
      <w:r>
        <w:rPr>
          <w:rFonts w:hint="eastAsia" w:ascii="宋体" w:hAnsi="宋体" w:cs="宋体"/>
          <w:spacing w:val="-4"/>
          <w:sz w:val="24"/>
          <w:szCs w:val="24"/>
        </w:rPr>
        <w:t xml:space="preserve">号</w:t>
      </w:r>
      <w:r>
        <w:rPr>
          <w:rFonts w:hint="eastAsia" w:ascii="宋体" w:hAnsi="宋体" w:cs="宋体"/>
          <w:sz w:val="24"/>
          <w:szCs w:val="24"/>
        </w:rPr>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联 系 人：徐科</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联系电话：18262831515</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名    称：连云港市赣榆区公共资源交易中心</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color w:val="000000"/>
          <w:sz w:val="24"/>
          <w:szCs w:val="24"/>
        </w:rPr>
        <w:t xml:space="preserve">赣榆区青口镇文化路东路300号行政中心东辅楼公共资源交易中心</w:t>
      </w:r>
      <w:r>
        <w:rPr>
          <w:rFonts w:hint="eastAsia" w:ascii="宋体" w:hAnsi="宋体" w:cs="宋体"/>
          <w:sz w:val="24"/>
          <w:szCs w:val="24"/>
        </w:rPr>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联 系 人：刘工</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联系电话：0518-86260257</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3.项目联系方式</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项目联系人：徐科</w:t>
      </w:r>
      <w:r/>
    </w:p>
    <w:p>
      <w:pPr>
        <w:pStyle w:val="651"/>
        <w:ind w:firstLine="480"/>
        <w:spacing w:line="360" w:lineRule="auto"/>
        <w:rPr>
          <w:rFonts w:hint="eastAsia" w:ascii="宋体" w:hAnsi="宋体" w:cs="宋体"/>
          <w:sz w:val="24"/>
          <w:szCs w:val="24"/>
        </w:rPr>
      </w:pPr>
      <w:r>
        <w:rPr>
          <w:rFonts w:hint="eastAsia" w:ascii="宋体" w:hAnsi="宋体" w:cs="宋体"/>
          <w:sz w:val="24"/>
          <w:szCs w:val="24"/>
        </w:rPr>
        <w:t xml:space="preserve">联系电话： 18262831515</w:t>
      </w:r>
      <w:r/>
    </w:p>
    <w:p>
      <w:pPr>
        <w:pStyle w:val="651"/>
        <w:spacing w:line="360" w:lineRule="auto"/>
        <w:rPr>
          <w:rFonts w:hint="eastAsia" w:ascii="宋体" w:hAnsi="宋体" w:cs="宋体"/>
          <w:sz w:val="24"/>
          <w:szCs w:val="24"/>
        </w:rPr>
      </w:pPr>
      <w:r>
        <w:rPr>
          <w:rFonts w:hint="eastAsia" w:ascii="宋体" w:hAnsi="宋体" w:cs="宋体"/>
          <w:sz w:val="24"/>
          <w:szCs w:val="24"/>
        </w:rPr>
      </w:r>
      <w:r/>
    </w:p>
    <w:p>
      <w:pPr>
        <w:pStyle w:val="675"/>
        <w:rPr>
          <w:rFonts w:hint="eastAsia"/>
        </w:rPr>
      </w:pPr>
      <w:r>
        <w:rPr>
          <w:rFonts w:hint="eastAsia"/>
        </w:rPr>
      </w:r>
      <w:r/>
    </w:p>
    <w:p>
      <w:pPr>
        <w:pStyle w:val="652"/>
        <w:jc w:val="center"/>
        <w:spacing w:line="360" w:lineRule="auto"/>
        <w:rPr>
          <w:rFonts w:ascii="黑体" w:hAnsi="黑体" w:eastAsia="黑体"/>
          <w:b w:val="0"/>
        </w:rPr>
      </w:pPr>
      <w:r/>
      <w:bookmarkStart w:id="8" w:name="_Toc155796357"/>
      <w:r/>
      <w:bookmarkStart w:id="9" w:name="_Toc9919"/>
      <w:r/>
      <w:bookmarkStart w:id="10" w:name="_Toc24205"/>
      <w:r>
        <w:rPr>
          <w:rFonts w:hint="eastAsia" w:ascii="黑体" w:hAnsi="黑体" w:eastAsia="黑体"/>
          <w:b w:val="0"/>
        </w:rPr>
        <w:br w:type="page" w:clear="all"/>
        <w:t xml:space="preserve">第二章  投标人须知</w:t>
      </w:r>
      <w:bookmarkEnd w:id="8"/>
      <w:r/>
      <w:bookmarkEnd w:id="9"/>
      <w:r/>
      <w:bookmarkEnd w:id="10"/>
      <w:r>
        <w:rPr>
          <w:rFonts w:ascii="黑体" w:hAnsi="黑体" w:eastAsia="黑体"/>
          <w:b w:val="0"/>
        </w:rPr>
      </w:r>
      <w:r/>
    </w:p>
    <w:p>
      <w:pPr>
        <w:pStyle w:val="653"/>
        <w:spacing w:before="0" w:after="0" w:line="360" w:lineRule="auto"/>
        <w:rPr>
          <w:rFonts w:hint="eastAsia" w:ascii="宋体" w:hAnsi="宋体" w:cs="宋体"/>
          <w:b w:val="0"/>
          <w:sz w:val="24"/>
          <w:szCs w:val="24"/>
        </w:rPr>
      </w:pPr>
      <w:r>
        <w:rPr>
          <w:rFonts w:hint="eastAsia" w:ascii="宋体" w:hAnsi="宋体" w:cs="宋体"/>
          <w:b w:val="0"/>
          <w:sz w:val="24"/>
          <w:szCs w:val="24"/>
        </w:rPr>
        <w:t xml:space="preserve">一、总则</w:t>
      </w:r>
      <w:r/>
    </w:p>
    <w:p>
      <w:pPr>
        <w:pStyle w:val="654"/>
        <w:ind w:firstLine="562"/>
        <w:jc w:val="left"/>
        <w:spacing w:before="0" w:after="0" w:line="360" w:lineRule="auto"/>
        <w:rPr>
          <w:rFonts w:hint="eastAsia" w:ascii="宋体" w:hAnsi="宋体" w:cs="宋体"/>
          <w:sz w:val="24"/>
          <w:szCs w:val="24"/>
        </w:rPr>
      </w:pPr>
      <w:r>
        <w:rPr>
          <w:rFonts w:hint="eastAsia" w:ascii="宋体" w:hAnsi="宋体" w:cs="宋体"/>
          <w:sz w:val="24"/>
          <w:szCs w:val="24"/>
        </w:rPr>
        <w:t xml:space="preserve">1、采购方式</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pStyle w:val="654"/>
        <w:ind w:firstLine="562"/>
        <w:jc w:val="left"/>
        <w:spacing w:before="0" w:after="0" w:line="360" w:lineRule="auto"/>
        <w:rPr>
          <w:rFonts w:hint="eastAsia" w:ascii="宋体" w:hAnsi="宋体" w:cs="宋体"/>
          <w:sz w:val="24"/>
          <w:szCs w:val="24"/>
        </w:rPr>
      </w:pPr>
      <w:r>
        <w:rPr>
          <w:rFonts w:hint="eastAsia" w:ascii="宋体" w:hAnsi="宋体" w:cs="宋体"/>
          <w:sz w:val="24"/>
          <w:szCs w:val="24"/>
        </w:rPr>
        <w:t xml:space="preserve">2、合格的投标人</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2.1 满足招标公告中申请人的资格要求的规定。</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2.3 满足本招标文件全部实质性要求和条件的规定。</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2.4 符合上述条件的投标人应承担投标及履约过程应承担的全部责任与义务。</w:t>
      </w:r>
      <w:r/>
    </w:p>
    <w:p>
      <w:pPr>
        <w:pStyle w:val="654"/>
        <w:ind w:firstLine="562"/>
        <w:jc w:val="left"/>
        <w:spacing w:before="0" w:after="0" w:line="360" w:lineRule="auto"/>
        <w:rPr>
          <w:rFonts w:hint="eastAsia" w:ascii="宋体" w:hAnsi="宋体" w:cs="宋体"/>
          <w:sz w:val="24"/>
          <w:szCs w:val="24"/>
        </w:rPr>
      </w:pPr>
      <w:r>
        <w:rPr>
          <w:rFonts w:hint="eastAsia" w:ascii="宋体" w:hAnsi="宋体" w:cs="宋体"/>
          <w:sz w:val="24"/>
          <w:szCs w:val="24"/>
        </w:rPr>
        <w:t xml:space="preserve">3、适用法律</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pStyle w:val="651"/>
        <w:ind w:firstLine="480"/>
        <w:spacing w:line="360" w:lineRule="auto"/>
        <w:rPr>
          <w:rFonts w:hint="eastAsia"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p>
    <w:p>
      <w:pPr>
        <w:pStyle w:val="654"/>
        <w:ind w:firstLine="562"/>
        <w:jc w:val="left"/>
        <w:spacing w:before="0" w:after="0" w:line="360" w:lineRule="auto"/>
        <w:rPr>
          <w:rFonts w:hint="eastAsia" w:ascii="宋体" w:hAnsi="宋体" w:cs="宋体"/>
          <w:sz w:val="24"/>
          <w:szCs w:val="24"/>
        </w:rPr>
      </w:pPr>
      <w:r>
        <w:rPr>
          <w:rFonts w:hint="eastAsia" w:ascii="宋体" w:hAnsi="宋体" w:cs="宋体"/>
          <w:sz w:val="24"/>
          <w:szCs w:val="24"/>
        </w:rPr>
        <w:t xml:space="preserve">4、投标费用</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4.2 本次招标采购人和交易中心不收取标书工本费与中标服务费。</w:t>
      </w:r>
      <w:r/>
    </w:p>
    <w:p>
      <w:pPr>
        <w:pStyle w:val="654"/>
        <w:ind w:firstLine="562"/>
        <w:jc w:val="left"/>
        <w:spacing w:before="0" w:after="0" w:line="360" w:lineRule="auto"/>
        <w:rPr>
          <w:rFonts w:hint="eastAsia" w:ascii="宋体" w:hAnsi="宋体" w:cs="宋体"/>
          <w:sz w:val="24"/>
          <w:szCs w:val="24"/>
        </w:rPr>
      </w:pPr>
      <w:r>
        <w:rPr>
          <w:rFonts w:hint="eastAsia" w:ascii="宋体" w:hAnsi="宋体" w:cs="宋体"/>
          <w:sz w:val="24"/>
          <w:szCs w:val="24"/>
        </w:rPr>
        <w:t xml:space="preserve">5、招标文件的约束力</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5.1 投标人一旦参与本项目采购活动，即被认为接受了本招标文件的规定和约束。</w:t>
      </w:r>
      <w:r/>
    </w:p>
    <w:p>
      <w:pPr>
        <w:pStyle w:val="653"/>
        <w:spacing w:before="0" w:after="0" w:line="360" w:lineRule="auto"/>
        <w:rPr>
          <w:rFonts w:hint="eastAsia" w:ascii="宋体" w:hAnsi="宋体" w:cs="宋体"/>
          <w:b w:val="0"/>
          <w:sz w:val="24"/>
          <w:szCs w:val="24"/>
        </w:rPr>
      </w:pPr>
      <w:r>
        <w:rPr>
          <w:rFonts w:hint="eastAsia" w:ascii="宋体" w:hAnsi="宋体" w:cs="宋体"/>
          <w:b w:val="0"/>
          <w:sz w:val="24"/>
          <w:szCs w:val="24"/>
        </w:rPr>
        <w:t xml:space="preserve">二、招标文件</w:t>
      </w:r>
      <w:r/>
    </w:p>
    <w:p>
      <w:pPr>
        <w:pStyle w:val="654"/>
        <w:ind w:firstLine="562"/>
        <w:jc w:val="left"/>
        <w:spacing w:before="0" w:after="0" w:line="360" w:lineRule="auto"/>
        <w:rPr>
          <w:rFonts w:hint="eastAsia" w:ascii="宋体" w:hAnsi="宋体" w:cs="宋体"/>
          <w:sz w:val="24"/>
          <w:szCs w:val="24"/>
        </w:rPr>
      </w:pPr>
      <w:r>
        <w:rPr>
          <w:rFonts w:hint="eastAsia" w:ascii="宋体" w:hAnsi="宋体" w:cs="宋体"/>
          <w:sz w:val="24"/>
          <w:szCs w:val="24"/>
        </w:rPr>
        <w:t xml:space="preserve">6、招标文件的构成</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6.1 招标文件由以下部分构成：</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（1）投标邀请</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（2）投标人须知</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（3）合同文本</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（4）采购需求</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（5）评标方法与评标标准</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（6）投标文件格式</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请仔细检查招标文件是否齐全，如有缺漏请立即与交易中心联系解决。</w:t>
      </w:r>
      <w:r/>
    </w:p>
    <w:p>
      <w:pPr>
        <w:pStyle w:val="65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1"/>
        <w:ind w:firstLine="480"/>
        <w:keepLines/>
        <w:keepNext/>
        <w:spacing w:line="360" w:lineRule="auto"/>
        <w:rPr>
          <w:rFonts w:hint="eastAsia" w:ascii="宋体" w:hAnsi="宋体" w:cs="宋体"/>
          <w:color w:val="000000"/>
          <w:sz w:val="24"/>
          <w:szCs w:val="24"/>
        </w:rPr>
        <w:outlineLvl w:val="3"/>
      </w:pPr>
      <w:r/>
      <w:bookmarkStart w:id="11" w:name="_Toc16938528"/>
      <w:r/>
      <w:bookmarkStart w:id="12" w:name="_Toc513029212"/>
      <w:r/>
      <w:bookmarkStart w:id="13" w:name="_Toc20823284"/>
      <w:r/>
      <w:bookmarkStart w:id="14" w:name="_Toc462564071"/>
      <w:r>
        <w:rPr>
          <w:rFonts w:hint="eastAsia" w:ascii="宋体" w:hAnsi="宋体" w:cs="宋体"/>
          <w:color w:val="000000"/>
          <w:sz w:val="24"/>
          <w:szCs w:val="24"/>
        </w:rPr>
        <w:t xml:space="preserve">7、招标文件的修改</w:t>
      </w:r>
      <w:bookmarkEnd w:id="11"/>
      <w:r/>
      <w:bookmarkEnd w:id="12"/>
      <w:r/>
      <w:bookmarkEnd w:id="13"/>
      <w:r/>
      <w:bookmarkEnd w:id="14"/>
      <w:r>
        <w:rPr>
          <w:rFonts w:hint="eastAsia" w:ascii="宋体" w:hAnsi="宋体" w:cs="宋体"/>
          <w:color w:val="000000"/>
          <w:sz w:val="24"/>
          <w:szCs w:val="24"/>
        </w:rPr>
      </w:r>
      <w:r/>
    </w:p>
    <w:p>
      <w:pPr>
        <w:pStyle w:val="65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在投标截止时间前，采购中心可以对招标文件进行修改。</w:t>
      </w:r>
      <w:r/>
    </w:p>
    <w:p>
      <w:pPr>
        <w:pStyle w:val="65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采购中心有权按照法定的要求推迟投标截止日期和开标日期。</w:t>
      </w:r>
      <w:r/>
    </w:p>
    <w:p>
      <w:pPr>
        <w:pStyle w:val="65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p>
    <w:p>
      <w:pPr>
        <w:pStyle w:val="651"/>
        <w:ind w:firstLine="361"/>
        <w:keepLines/>
        <w:keepNext/>
        <w:spacing w:before="120" w:after="120" w:line="360" w:lineRule="auto"/>
        <w:rPr>
          <w:rFonts w:hint="eastAsia" w:ascii="宋体" w:hAnsi="宋体" w:cs="宋体"/>
          <w:b/>
          <w:bCs/>
          <w:color w:val="000000"/>
          <w:sz w:val="24"/>
          <w:szCs w:val="24"/>
        </w:rPr>
        <w:outlineLvl w:val="2"/>
      </w:pPr>
      <w:r/>
      <w:bookmarkStart w:id="15" w:name="_Toc16938529"/>
      <w:r/>
      <w:bookmarkStart w:id="16" w:name="_Toc120614216"/>
      <w:r/>
      <w:bookmarkStart w:id="17" w:name="_Toc20823285"/>
      <w:r/>
      <w:bookmarkStart w:id="18" w:name="_Toc462564072"/>
      <w:r/>
      <w:bookmarkStart w:id="19" w:name="_Toc513029213"/>
      <w:r>
        <w:rPr>
          <w:rFonts w:hint="eastAsia" w:ascii="宋体" w:hAnsi="宋体" w:cs="宋体"/>
          <w:b/>
          <w:bCs/>
          <w:color w:val="000000"/>
          <w:sz w:val="24"/>
          <w:szCs w:val="24"/>
        </w:rPr>
        <w:t xml:space="preserve">三、投标文件的编制</w:t>
      </w:r>
      <w:bookmarkEnd w:id="15"/>
      <w:r/>
      <w:bookmarkEnd w:id="16"/>
      <w:r/>
      <w:bookmarkEnd w:id="17"/>
      <w:r/>
      <w:bookmarkEnd w:id="18"/>
      <w:r/>
      <w:bookmarkEnd w:id="19"/>
      <w:r>
        <w:rPr>
          <w:rFonts w:hint="eastAsia" w:ascii="宋体" w:hAnsi="宋体" w:cs="宋体"/>
          <w:b/>
          <w:bCs/>
          <w:color w:val="000000"/>
          <w:sz w:val="24"/>
          <w:szCs w:val="24"/>
        </w:rPr>
      </w:r>
      <w:r/>
    </w:p>
    <w:p>
      <w:pPr>
        <w:pStyle w:val="651"/>
        <w:ind w:firstLine="480"/>
        <w:keepLines/>
        <w:keepNext/>
        <w:spacing w:line="360" w:lineRule="auto"/>
        <w:rPr>
          <w:rFonts w:hint="eastAsia" w:ascii="宋体" w:hAnsi="宋体" w:cs="宋体"/>
          <w:b/>
          <w:color w:val="000000"/>
          <w:sz w:val="24"/>
          <w:szCs w:val="24"/>
        </w:rPr>
        <w:outlineLvl w:val="3"/>
      </w:pPr>
      <w:r/>
      <w:bookmarkStart w:id="20" w:name="_Toc513029214"/>
      <w:r/>
      <w:bookmarkStart w:id="21" w:name="_Toc462564073"/>
      <w:r/>
      <w:bookmarkStart w:id="22" w:name="_Toc20823286"/>
      <w:r/>
      <w:bookmarkStart w:id="23" w:name="_Toc16938530"/>
      <w:r>
        <w:rPr>
          <w:rFonts w:hint="eastAsia" w:ascii="宋体" w:hAnsi="宋体" w:cs="宋体"/>
          <w:color w:val="000000"/>
          <w:sz w:val="24"/>
          <w:szCs w:val="24"/>
        </w:rPr>
        <w:t xml:space="preserve">8、投标文件的语言及度量衡单位</w:t>
      </w:r>
      <w:bookmarkEnd w:id="20"/>
      <w:r/>
      <w:bookmarkEnd w:id="21"/>
      <w:r/>
      <w:bookmarkEnd w:id="22"/>
      <w:r/>
      <w:bookmarkEnd w:id="23"/>
      <w:r>
        <w:rPr>
          <w:rFonts w:hint="eastAsia" w:ascii="宋体" w:hAnsi="宋体" w:cs="宋体"/>
          <w:b/>
          <w:color w:val="000000"/>
          <w:sz w:val="24"/>
          <w:szCs w:val="24"/>
        </w:rPr>
      </w:r>
      <w:r/>
    </w:p>
    <w:p>
      <w:pPr>
        <w:pStyle w:val="65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投标人提交的投标文件以及投标人与采购中心就有关投标的所有来往通知、函件和文件均应使用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p>
    <w:p>
      <w:pPr>
        <w:pStyle w:val="65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p>
    <w:p>
      <w:pPr>
        <w:pStyle w:val="651"/>
        <w:ind w:firstLine="360"/>
        <w:keepLines/>
        <w:keepNext/>
        <w:spacing w:line="360" w:lineRule="auto"/>
        <w:rPr>
          <w:rFonts w:hint="eastAsia" w:ascii="宋体" w:hAnsi="宋体" w:cs="宋体"/>
          <w:color w:val="000000"/>
          <w:sz w:val="24"/>
          <w:szCs w:val="24"/>
        </w:rPr>
        <w:outlineLvl w:val="3"/>
      </w:pPr>
      <w:r/>
      <w:bookmarkStart w:id="24" w:name="_Toc20823287"/>
      <w:r/>
      <w:bookmarkStart w:id="25" w:name="_Toc513029215"/>
      <w:r/>
      <w:bookmarkStart w:id="26" w:name="_Toc462564074"/>
      <w:r/>
      <w:bookmarkStart w:id="27" w:name="_Toc16938531"/>
      <w:r>
        <w:rPr>
          <w:rFonts w:hint="eastAsia" w:ascii="宋体" w:hAnsi="宋体" w:cs="宋体"/>
          <w:color w:val="000000"/>
          <w:sz w:val="24"/>
          <w:szCs w:val="24"/>
        </w:rPr>
        <w:t xml:space="preserve">9、投标文件构成</w:t>
      </w:r>
      <w:bookmarkEnd w:id="24"/>
      <w:r/>
      <w:bookmarkEnd w:id="25"/>
      <w:r/>
      <w:bookmarkEnd w:id="26"/>
      <w:r/>
      <w:bookmarkEnd w:id="27"/>
      <w:r>
        <w:rPr>
          <w:rFonts w:hint="eastAsia" w:ascii="宋体" w:hAnsi="宋体" w:cs="宋体"/>
          <w:color w:val="000000"/>
          <w:sz w:val="24"/>
          <w:szCs w:val="24"/>
        </w:rPr>
      </w:r>
      <w:r/>
    </w:p>
    <w:p>
      <w:pPr>
        <w:pStyle w:val="651"/>
        <w:ind w:firstLine="480"/>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p>
    <w:p>
      <w:pPr>
        <w:pStyle w:val="651"/>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9.3投标人应充分考虑现场条件对报价、实施方案的影响，中标后不得以不了解现场情况为由提出增加费用、变更方案等诉求。招标人提供的参考资料仅供参考，不对投标人的判断负责。</w:t>
      </w:r>
      <w:r>
        <w:rPr>
          <w:rFonts w:hint="eastAsia" w:ascii="宋体" w:hAnsi="宋体" w:cs="宋体"/>
          <w:color w:val="000000"/>
          <w:sz w:val="24"/>
          <w:szCs w:val="24"/>
        </w:rPr>
      </w:r>
      <w:r/>
    </w:p>
    <w:p>
      <w:pPr>
        <w:pStyle w:val="651"/>
        <w:ind w:firstLine="360"/>
        <w:keepLines/>
        <w:keepNext/>
        <w:spacing w:line="360" w:lineRule="auto"/>
        <w:rPr>
          <w:rFonts w:hint="eastAsia" w:ascii="宋体" w:hAnsi="宋体" w:cs="宋体"/>
          <w:color w:val="000000"/>
          <w:sz w:val="24"/>
          <w:szCs w:val="24"/>
        </w:rPr>
        <w:outlineLvl w:val="3"/>
      </w:pPr>
      <w:r/>
      <w:bookmarkStart w:id="28" w:name="_Hlt26670360"/>
      <w:r/>
      <w:bookmarkEnd w:id="28"/>
      <w:r/>
      <w:bookmarkStart w:id="29" w:name="_Hlt26668975"/>
      <w:r/>
      <w:bookmarkEnd w:id="29"/>
      <w:r/>
      <w:bookmarkStart w:id="30" w:name="_Hlt26954838"/>
      <w:r/>
      <w:bookmarkEnd w:id="30"/>
      <w:r/>
      <w:bookmarkStart w:id="31" w:name="_Toc49090509"/>
      <w:r/>
      <w:bookmarkStart w:id="32" w:name="_Toc513029219"/>
      <w:r/>
      <w:bookmarkStart w:id="33" w:name="_Toc14577357"/>
      <w:r/>
      <w:bookmarkStart w:id="34" w:name="_Toc14577354"/>
      <w:r/>
      <w:bookmarkStart w:id="35" w:name="_Toc49090507"/>
      <w:r/>
      <w:bookmarkStart w:id="36" w:name="_Toc513029216"/>
      <w:r/>
      <w:bookmarkStart w:id="37" w:name="_Toc49090508"/>
      <w:r/>
      <w:bookmarkStart w:id="38" w:name="_Toc14577355"/>
      <w:r>
        <w:rPr>
          <w:rFonts w:hint="eastAsia" w:ascii="宋体" w:hAnsi="宋体" w:cs="宋体"/>
          <w:color w:val="000000"/>
          <w:sz w:val="24"/>
          <w:szCs w:val="24"/>
        </w:rPr>
        <w:t xml:space="preserve">10、证明投标人及投标标的符合招标文件规定的文件</w:t>
      </w:r>
      <w:bookmarkEnd w:id="31"/>
      <w:r/>
      <w:bookmarkEnd w:id="32"/>
      <w:r/>
      <w:bookmarkEnd w:id="33"/>
      <w:r>
        <w:rPr>
          <w:rFonts w:hint="eastAsia" w:ascii="宋体" w:hAnsi="宋体" w:cs="宋体"/>
          <w:color w:val="000000"/>
          <w:sz w:val="24"/>
          <w:szCs w:val="24"/>
        </w:rPr>
      </w:r>
      <w:r/>
    </w:p>
    <w:p>
      <w:pPr>
        <w:pStyle w:val="651"/>
        <w:spacing w:line="360" w:lineRule="auto"/>
        <w:rPr>
          <w:rFonts w:hint="eastAsia" w:ascii="宋体" w:hAnsi="宋体" w:cs="宋体"/>
          <w:color w:val="000000"/>
          <w:sz w:val="24"/>
          <w:szCs w:val="24"/>
        </w:rPr>
      </w:pPr>
      <w:r/>
      <w:bookmarkEnd w:id="34"/>
      <w:r/>
      <w:bookmarkEnd w:id="35"/>
      <w:r/>
      <w:bookmarkEnd w:id="36"/>
      <w:r>
        <w:rPr>
          <w:rFonts w:hint="eastAsia" w:ascii="宋体" w:hAnsi="宋体" w:cs="宋体"/>
          <w:color w:val="000000"/>
          <w:sz w:val="24"/>
          <w:szCs w:val="24"/>
        </w:rPr>
        <w:t xml:space="preserve">    10.1 投标人应按照招标文件要求提交证明文件，证明其及投标标的符合招标文件规定。</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r/>
    </w:p>
    <w:p>
      <w:pPr>
        <w:pStyle w:val="651"/>
        <w:ind w:firstLine="360"/>
        <w:keepLines/>
        <w:keepNext/>
        <w:spacing w:line="360" w:lineRule="auto"/>
        <w:rPr>
          <w:rFonts w:hint="eastAsia" w:ascii="宋体" w:hAnsi="宋体" w:cs="宋体"/>
          <w:color w:val="000000"/>
          <w:sz w:val="24"/>
          <w:szCs w:val="24"/>
        </w:rPr>
        <w:outlineLvl w:val="3"/>
      </w:pPr>
      <w:r/>
      <w:bookmarkEnd w:id="37"/>
      <w:r/>
      <w:bookmarkEnd w:id="38"/>
      <w:r>
        <w:rPr>
          <w:rFonts w:hint="eastAsia" w:ascii="宋体" w:hAnsi="宋体" w:cs="宋体"/>
          <w:color w:val="000000"/>
          <w:sz w:val="24"/>
          <w:szCs w:val="24"/>
        </w:rPr>
        <w:t xml:space="preserve">11、投标分项报价表</w:t>
      </w:r>
      <w:r/>
    </w:p>
    <w:p>
      <w:pPr>
        <w:pStyle w:val="651"/>
        <w:ind w:firstLine="480"/>
        <w:spacing w:line="360" w:lineRule="auto"/>
        <w:rPr>
          <w:rFonts w:hint="eastAsia"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39" w:name="_Hlt26954840"/>
      <w:r/>
      <w:bookmarkEnd w:id="39"/>
      <w:r>
        <w:rPr>
          <w:rFonts w:hint="eastAsia" w:ascii="宋体" w:hAnsi="宋体" w:cs="宋体"/>
          <w:sz w:val="24"/>
          <w:szCs w:val="24"/>
        </w:rPr>
        <w:t xml:space="preserve">标人按照招标文件规定格式填报投标分项报价表</w:t>
      </w:r>
      <w:bookmarkStart w:id="40" w:name="_Hlt26670399"/>
      <w:r/>
      <w:bookmarkEnd w:id="40"/>
      <w:r>
        <w:rPr>
          <w:rFonts w:hint="eastAsia" w:ascii="宋体" w:hAnsi="宋体" w:cs="宋体"/>
          <w:sz w:val="24"/>
          <w:szCs w:val="24"/>
        </w:rPr>
        <w:t xml:space="preserve">。</w:t>
      </w:r>
      <w:r>
        <w:rPr>
          <w:rFonts w:hint="eastAsia" w:ascii="宋体" w:hAnsi="宋体" w:cs="宋体"/>
          <w:bCs/>
          <w:sz w:val="24"/>
          <w:szCs w:val="24"/>
        </w:rPr>
      </w:r>
      <w:r/>
    </w:p>
    <w:p>
      <w:pPr>
        <w:pStyle w:val="651"/>
        <w:ind w:firstLine="480"/>
        <w:spacing w:line="360" w:lineRule="auto"/>
        <w:rPr>
          <w:rFonts w:hint="eastAsia"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651"/>
        <w:ind w:firstLine="360"/>
        <w:keepLines/>
        <w:keepNext/>
        <w:spacing w:line="360" w:lineRule="auto"/>
        <w:rPr>
          <w:rFonts w:hint="eastAsia" w:ascii="宋体" w:hAnsi="宋体" w:cs="宋体"/>
          <w:sz w:val="24"/>
          <w:szCs w:val="24"/>
        </w:rPr>
        <w:outlineLvl w:val="3"/>
      </w:pPr>
      <w:r/>
      <w:bookmarkStart w:id="41" w:name="_Hlt26954846"/>
      <w:r/>
      <w:bookmarkEnd w:id="41"/>
      <w:r/>
      <w:bookmarkStart w:id="42" w:name="_Hlt26670486"/>
      <w:r/>
      <w:bookmarkEnd w:id="42"/>
      <w:r/>
      <w:bookmarkStart w:id="43" w:name="_Hlt26954848"/>
      <w:r/>
      <w:bookmarkEnd w:id="43"/>
      <w:r/>
      <w:bookmarkStart w:id="44" w:name="_Hlt26954731"/>
      <w:r/>
      <w:bookmarkEnd w:id="44"/>
      <w:r/>
      <w:bookmarkStart w:id="45" w:name="_Hlt26670482"/>
      <w:r/>
      <w:bookmarkEnd w:id="45"/>
      <w:r>
        <w:rPr>
          <w:rFonts w:hint="eastAsia" w:ascii="宋体" w:hAnsi="宋体" w:cs="宋体"/>
          <w:sz w:val="24"/>
          <w:szCs w:val="24"/>
        </w:rPr>
        <w:t xml:space="preserve">12、技术要求响应及偏离表、商务要求响应及偏离表</w:t>
      </w:r>
      <w:r/>
    </w:p>
    <w:p>
      <w:pPr>
        <w:pStyle w:val="651"/>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p>
    <w:p>
      <w:pPr>
        <w:pStyle w:val="651"/>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p>
    <w:p>
      <w:pPr>
        <w:pStyle w:val="651"/>
        <w:ind w:firstLine="36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p>
    <w:p>
      <w:pPr>
        <w:pStyle w:val="65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rPr>
          <w:rFonts w:hint="eastAsia" w:ascii="宋体" w:hAnsi="宋体" w:cs="宋体"/>
          <w:color w:val="000000"/>
          <w:sz w:val="24"/>
          <w:szCs w:val="24"/>
        </w:rPr>
      </w:r>
      <w:r/>
    </w:p>
    <w:p>
      <w:pPr>
        <w:pStyle w:val="651"/>
        <w:ind w:firstLine="360"/>
        <w:keepLines/>
        <w:keepNext/>
        <w:spacing w:line="360" w:lineRule="auto"/>
        <w:rPr>
          <w:rFonts w:hint="eastAsia" w:ascii="宋体" w:hAnsi="宋体" w:cs="宋体"/>
          <w:color w:val="000000"/>
          <w:sz w:val="24"/>
          <w:szCs w:val="24"/>
        </w:rPr>
        <w:outlineLvl w:val="3"/>
      </w:pPr>
      <w:r/>
      <w:bookmarkStart w:id="46" w:name="_Toc14577359"/>
      <w:r/>
      <w:bookmarkStart w:id="47" w:name="_Toc49090510"/>
      <w:r>
        <w:rPr>
          <w:rFonts w:hint="eastAsia" w:ascii="宋体" w:hAnsi="宋体" w:cs="宋体"/>
          <w:color w:val="000000"/>
          <w:sz w:val="24"/>
          <w:szCs w:val="24"/>
        </w:rPr>
        <w:t xml:space="preserve">14、投标函和开标一览表</w:t>
      </w:r>
      <w:r/>
    </w:p>
    <w:p>
      <w:pPr>
        <w:pStyle w:val="65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14.1</w:t>
      </w:r>
      <w:r>
        <w:rPr>
          <w:rFonts w:hint="eastAsia" w:ascii="宋体" w:hAnsi="宋体" w:cs="宋体"/>
          <w:color w:val="000000"/>
          <w:sz w:val="24"/>
          <w:szCs w:val="24"/>
        </w:rPr>
        <w:t xml:space="preserve"> 投标人应按照招标文件中提供的格式完整、正确填写投标函、开标一览表。</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r/>
    </w:p>
    <w:p>
      <w:pPr>
        <w:pStyle w:val="651"/>
        <w:ind w:firstLine="360"/>
        <w:keepLines/>
        <w:keepNext/>
        <w:spacing w:line="360" w:lineRule="auto"/>
        <w:rPr>
          <w:rFonts w:hint="eastAsia" w:ascii="宋体" w:hAnsi="宋体" w:cs="宋体"/>
          <w:color w:val="000000"/>
          <w:sz w:val="24"/>
          <w:szCs w:val="24"/>
        </w:rPr>
        <w:outlineLvl w:val="3"/>
      </w:pPr>
      <w:r/>
      <w:bookmarkEnd w:id="46"/>
      <w:r/>
      <w:bookmarkEnd w:id="47"/>
      <w:r/>
      <w:bookmarkStart w:id="48" w:name="_Toc14577360"/>
      <w:r/>
      <w:bookmarkStart w:id="49" w:name="_Toc49090511"/>
      <w:r>
        <w:rPr>
          <w:rFonts w:hint="eastAsia" w:ascii="宋体" w:hAnsi="宋体" w:cs="宋体"/>
          <w:color w:val="000000"/>
          <w:sz w:val="24"/>
          <w:szCs w:val="24"/>
        </w:rPr>
        <w:t xml:space="preserve">15、投标有效期</w:t>
      </w:r>
      <w:bookmarkEnd w:id="48"/>
      <w:r/>
      <w:bookmarkEnd w:id="49"/>
      <w:r>
        <w:rPr>
          <w:rFonts w:hint="eastAsia" w:ascii="宋体" w:hAnsi="宋体" w:cs="宋体"/>
          <w:color w:val="000000"/>
          <w:sz w:val="24"/>
          <w:szCs w:val="24"/>
        </w:rPr>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15.1投标有效期为采购中心规定的开标之日后</w:t>
      </w:r>
      <w:r>
        <w:rPr>
          <w:rFonts w:hint="eastAsia" w:ascii="宋体" w:hAnsi="宋体" w:cs="宋体"/>
          <w:b/>
          <w:color w:val="000000"/>
          <w:sz w:val="24"/>
          <w:szCs w:val="24"/>
          <w:u w:val="single"/>
        </w:rPr>
        <w:t xml:space="preserve">六十（60）天</w:t>
      </w:r>
      <w:r>
        <w:rPr>
          <w:rFonts w:hint="eastAsia" w:ascii="宋体" w:hAnsi="宋体" w:cs="宋体"/>
          <w:bCs/>
          <w:color w:val="000000"/>
          <w:sz w:val="24"/>
          <w:szCs w:val="24"/>
        </w:rPr>
        <w:t xml:space="preserve">。投标有效期比规定短的将被视为未实质性响应招标文件而予以拒绝。</w:t>
      </w:r>
      <w:r/>
    </w:p>
    <w:p>
      <w:pPr>
        <w:pStyle w:val="651"/>
        <w:ind w:firstLine="36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16、投标有效期的延长</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s="宋体"/>
          <w:color w:val="000000"/>
          <w:sz w:val="24"/>
          <w:szCs w:val="24"/>
        </w:rPr>
        <w:t xml:space="preserve">受投标有效期约束的所有权利与义务均延长至新的有效期</w:t>
      </w:r>
      <w:r>
        <w:rPr>
          <w:rFonts w:hint="eastAsia" w:ascii="宋体" w:hAnsi="宋体" w:cs="宋体"/>
          <w:bCs/>
          <w:color w:val="000000"/>
          <w:sz w:val="24"/>
          <w:szCs w:val="24"/>
        </w:rPr>
        <w:t xml:space="preserve">。</w:t>
      </w:r>
      <w:r/>
    </w:p>
    <w:p>
      <w:pPr>
        <w:pStyle w:val="651"/>
        <w:keepLines/>
        <w:keepNext/>
        <w:spacing w:before="120" w:after="120" w:line="360" w:lineRule="auto"/>
        <w:rPr>
          <w:rFonts w:hint="eastAsia" w:ascii="宋体" w:hAnsi="宋体" w:cs="宋体"/>
          <w:b/>
          <w:bCs/>
          <w:color w:val="000000"/>
          <w:sz w:val="24"/>
          <w:szCs w:val="24"/>
        </w:rPr>
        <w:outlineLvl w:val="2"/>
      </w:pPr>
      <w:r/>
      <w:bookmarkStart w:id="50" w:name="_Hlt26954852"/>
      <w:r/>
      <w:bookmarkEnd w:id="50"/>
      <w:r/>
      <w:bookmarkStart w:id="51" w:name="_Hlt26954739"/>
      <w:r/>
      <w:bookmarkEnd w:id="51"/>
      <w:r/>
      <w:bookmarkStart w:id="52" w:name="_Toc16938540"/>
      <w:r/>
      <w:bookmarkStart w:id="53" w:name="_Toc120614217"/>
      <w:r/>
      <w:bookmarkStart w:id="54" w:name="_Toc20823296"/>
      <w:r/>
      <w:bookmarkStart w:id="55" w:name="_Toc513029224"/>
      <w:r>
        <w:rPr>
          <w:rFonts w:hint="eastAsia" w:ascii="宋体" w:hAnsi="宋体" w:cs="宋体"/>
          <w:b/>
          <w:bCs/>
          <w:color w:val="000000"/>
          <w:sz w:val="24"/>
          <w:szCs w:val="24"/>
        </w:rPr>
        <w:t xml:space="preserve">四、投标文件的递交</w:t>
      </w:r>
      <w:bookmarkEnd w:id="52"/>
      <w:r/>
      <w:bookmarkEnd w:id="53"/>
      <w:r/>
      <w:bookmarkEnd w:id="54"/>
      <w:r/>
      <w:bookmarkEnd w:id="55"/>
      <w:r>
        <w:rPr>
          <w:rFonts w:hint="eastAsia" w:ascii="宋体" w:hAnsi="宋体" w:cs="宋体"/>
          <w:b/>
          <w:bCs/>
          <w:color w:val="000000"/>
          <w:sz w:val="24"/>
          <w:szCs w:val="24"/>
        </w:rPr>
      </w:r>
      <w:r/>
    </w:p>
    <w:p>
      <w:pPr>
        <w:pStyle w:val="651"/>
        <w:ind w:firstLine="360"/>
        <w:keepLines/>
        <w:keepNext/>
        <w:spacing w:line="360" w:lineRule="auto"/>
        <w:rPr>
          <w:rFonts w:hint="eastAsia" w:ascii="宋体" w:hAnsi="宋体" w:cs="宋体"/>
          <w:color w:val="000000"/>
          <w:sz w:val="24"/>
          <w:szCs w:val="24"/>
        </w:rPr>
        <w:outlineLvl w:val="3"/>
      </w:pPr>
      <w:r/>
      <w:bookmarkStart w:id="56" w:name="_Toc513029225"/>
      <w:r/>
      <w:bookmarkStart w:id="57" w:name="_Toc16938541"/>
      <w:r/>
      <w:bookmarkStart w:id="58" w:name="_Toc462564084"/>
      <w:r/>
      <w:bookmarkStart w:id="59" w:name="_Toc20823297"/>
      <w:r>
        <w:rPr>
          <w:rFonts w:hint="eastAsia" w:ascii="宋体" w:hAnsi="宋体" w:cs="宋体"/>
          <w:color w:val="000000"/>
          <w:sz w:val="24"/>
          <w:szCs w:val="24"/>
        </w:rPr>
        <w:t xml:space="preserve">17、电子投标文件</w:t>
      </w:r>
      <w:bookmarkEnd w:id="56"/>
      <w:r/>
      <w:bookmarkEnd w:id="57"/>
      <w:r/>
      <w:bookmarkEnd w:id="58"/>
      <w:r/>
      <w:bookmarkEnd w:id="59"/>
      <w:r>
        <w:rPr>
          <w:rFonts w:hint="eastAsia" w:ascii="宋体" w:hAnsi="宋体" w:cs="宋体"/>
          <w:color w:val="000000"/>
          <w:sz w:val="24"/>
          <w:szCs w:val="24"/>
        </w:rPr>
        <w:t xml:space="preserve">的递交</w:t>
      </w:r>
      <w:r/>
    </w:p>
    <w:p>
      <w:pPr>
        <w:pStyle w:val="651"/>
        <w:ind w:left="52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17.1投标人应当按照《操作手册》规定，在投标截止时间前制作并上传电子投标文件。</w:t>
      </w:r>
      <w:bookmarkStart w:id="60" w:name="_Toc513029226"/>
      <w:r/>
      <w:bookmarkStart w:id="61" w:name="_Toc20823298"/>
      <w:r/>
      <w:bookmarkStart w:id="62" w:name="_Toc16938542"/>
      <w:r>
        <w:rPr>
          <w:rFonts w:hint="eastAsia" w:ascii="宋体" w:hAnsi="宋体" w:cs="宋体"/>
          <w:bCs/>
          <w:color w:val="000000"/>
          <w:sz w:val="24"/>
          <w:szCs w:val="24"/>
        </w:rPr>
      </w:r>
      <w:r/>
    </w:p>
    <w:p>
      <w:pPr>
        <w:pStyle w:val="651"/>
        <w:ind w:firstLine="36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18、</w:t>
      </w:r>
      <w:r>
        <w:rPr>
          <w:rFonts w:hint="eastAsia" w:ascii="宋体" w:hAnsi="宋体" w:cs="宋体"/>
          <w:color w:val="000000"/>
          <w:sz w:val="24"/>
          <w:szCs w:val="24"/>
        </w:rPr>
        <w:t xml:space="preserve">投标</w:t>
      </w:r>
      <w:r>
        <w:rPr>
          <w:rFonts w:hint="eastAsia" w:ascii="宋体" w:hAnsi="宋体" w:cs="宋体"/>
          <w:bCs/>
          <w:color w:val="000000"/>
          <w:sz w:val="24"/>
          <w:szCs w:val="24"/>
        </w:rPr>
        <w:t xml:space="preserve">截止日期</w:t>
      </w:r>
      <w:bookmarkEnd w:id="60"/>
      <w:r/>
      <w:bookmarkEnd w:id="61"/>
      <w:r/>
      <w:bookmarkEnd w:id="62"/>
      <w:r>
        <w:rPr>
          <w:rFonts w:hint="eastAsia" w:ascii="宋体" w:hAnsi="宋体" w:cs="宋体"/>
          <w:bCs/>
          <w:color w:val="000000"/>
          <w:sz w:val="24"/>
          <w:szCs w:val="24"/>
        </w:rPr>
      </w:r>
      <w:r/>
    </w:p>
    <w:p>
      <w:pPr>
        <w:pStyle w:val="651"/>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pStyle w:val="651"/>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采购中心可以按照规定，通过修改招标文件酌情延长投标截止日期，在此情况下，投标人的所有权利和义务以及投标人受制的截止日期均应以延长后新的截止日期为准。</w:t>
      </w:r>
      <w:r/>
    </w:p>
    <w:p>
      <w:pPr>
        <w:pStyle w:val="651"/>
        <w:ind w:firstLine="360"/>
        <w:keepLines/>
        <w:keepNext/>
        <w:spacing w:line="360" w:lineRule="auto"/>
        <w:rPr>
          <w:rFonts w:hint="eastAsia" w:ascii="宋体" w:hAnsi="宋体" w:cs="宋体"/>
          <w:color w:val="000000"/>
          <w:sz w:val="24"/>
          <w:szCs w:val="24"/>
        </w:rPr>
        <w:outlineLvl w:val="3"/>
      </w:pPr>
      <w:r/>
      <w:bookmarkStart w:id="63" w:name="_Toc16938543"/>
      <w:r/>
      <w:bookmarkStart w:id="64" w:name="_Toc20823299"/>
      <w:r/>
      <w:bookmarkStart w:id="65" w:name="_Toc513029227"/>
      <w:r>
        <w:rPr>
          <w:rFonts w:hint="eastAsia" w:ascii="宋体" w:hAnsi="宋体" w:cs="宋体"/>
          <w:color w:val="000000"/>
          <w:sz w:val="24"/>
          <w:szCs w:val="24"/>
        </w:rPr>
        <w:t xml:space="preserve">19、投标文件</w:t>
      </w:r>
      <w:bookmarkEnd w:id="63"/>
      <w:r/>
      <w:bookmarkEnd w:id="64"/>
      <w:r/>
      <w:bookmarkEnd w:id="65"/>
      <w:r>
        <w:rPr>
          <w:rFonts w:hint="eastAsia" w:ascii="宋体" w:hAnsi="宋体" w:cs="宋体"/>
          <w:color w:val="000000"/>
          <w:sz w:val="24"/>
          <w:szCs w:val="24"/>
        </w:rPr>
        <w:t xml:space="preserve">的拒收</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19.1 采购中心拒绝接收在其规定的投标截止时间后上传的任何投标文件。</w:t>
      </w:r>
      <w:r/>
    </w:p>
    <w:p>
      <w:pPr>
        <w:pStyle w:val="651"/>
        <w:ind w:firstLine="360"/>
        <w:keepLines/>
        <w:keepNext/>
        <w:spacing w:line="360" w:lineRule="auto"/>
        <w:rPr>
          <w:rFonts w:hint="eastAsia" w:ascii="宋体" w:hAnsi="宋体" w:cs="宋体"/>
          <w:color w:val="000000"/>
          <w:sz w:val="24"/>
          <w:szCs w:val="24"/>
        </w:rPr>
        <w:outlineLvl w:val="3"/>
      </w:pPr>
      <w:r/>
      <w:bookmarkStart w:id="66" w:name="_Toc513029228"/>
      <w:r/>
      <w:bookmarkStart w:id="67" w:name="_Toc20823300"/>
      <w:r/>
      <w:bookmarkStart w:id="68" w:name="_Toc16938544"/>
      <w:r>
        <w:rPr>
          <w:rFonts w:hint="eastAsia" w:ascii="宋体" w:hAnsi="宋体" w:cs="宋体"/>
          <w:color w:val="000000"/>
          <w:sz w:val="24"/>
          <w:szCs w:val="24"/>
        </w:rPr>
        <w:t xml:space="preserve">20、投标文件的撤回和修改</w:t>
      </w:r>
      <w:bookmarkEnd w:id="66"/>
      <w:r/>
      <w:bookmarkEnd w:id="67"/>
      <w:r/>
      <w:bookmarkEnd w:id="68"/>
      <w:r>
        <w:rPr>
          <w:rFonts w:hint="eastAsia" w:ascii="宋体" w:hAnsi="宋体" w:cs="宋体"/>
          <w:color w:val="000000"/>
          <w:sz w:val="24"/>
          <w:szCs w:val="24"/>
        </w:rPr>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 投标文件的撤回</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20.1.1 电子投标文件的撤回</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 投标文件的修改</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p>
    <w:p>
      <w:pPr>
        <w:pStyle w:val="651"/>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p>
    <w:p>
      <w:pPr>
        <w:pStyle w:val="651"/>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p>
    <w:p>
      <w:pPr>
        <w:pStyle w:val="651"/>
        <w:ind w:firstLine="361"/>
        <w:keepLines/>
        <w:keepNext/>
        <w:spacing w:before="120" w:after="120" w:line="360" w:lineRule="auto"/>
        <w:rPr>
          <w:rFonts w:hint="eastAsia" w:ascii="宋体" w:hAnsi="宋体" w:cs="宋体"/>
          <w:b/>
          <w:bCs/>
          <w:color w:val="000000"/>
          <w:sz w:val="24"/>
          <w:szCs w:val="24"/>
        </w:rPr>
        <w:outlineLvl w:val="2"/>
      </w:pPr>
      <w:r/>
      <w:bookmarkStart w:id="69" w:name="_Toc513029229"/>
      <w:r/>
      <w:bookmarkStart w:id="70" w:name="_Toc20823301"/>
      <w:r/>
      <w:bookmarkStart w:id="71" w:name="_Toc120614218"/>
      <w:r/>
      <w:bookmarkStart w:id="72" w:name="_Toc16938545"/>
      <w:r>
        <w:rPr>
          <w:rFonts w:hint="eastAsia" w:ascii="宋体" w:hAnsi="宋体" w:cs="宋体"/>
          <w:b/>
          <w:bCs/>
          <w:color w:val="000000"/>
          <w:sz w:val="24"/>
          <w:szCs w:val="24"/>
        </w:rPr>
        <w:t xml:space="preserve">五、开标与评标</w:t>
      </w:r>
      <w:bookmarkEnd w:id="69"/>
      <w:r/>
      <w:bookmarkEnd w:id="70"/>
      <w:r/>
      <w:bookmarkEnd w:id="71"/>
      <w:r/>
      <w:bookmarkEnd w:id="72"/>
      <w:r>
        <w:rPr>
          <w:rFonts w:hint="eastAsia" w:ascii="宋体" w:hAnsi="宋体" w:cs="宋体"/>
          <w:b/>
          <w:bCs/>
          <w:color w:val="000000"/>
          <w:sz w:val="24"/>
          <w:szCs w:val="24"/>
        </w:rPr>
      </w:r>
      <w:r/>
    </w:p>
    <w:p>
      <w:pPr>
        <w:pStyle w:val="651"/>
        <w:ind w:firstLine="360"/>
        <w:keepLines/>
        <w:keepNext/>
        <w:spacing w:line="360" w:lineRule="auto"/>
        <w:rPr>
          <w:rFonts w:hint="eastAsia" w:ascii="宋体" w:hAnsi="宋体" w:cs="宋体"/>
          <w:color w:val="000000"/>
          <w:sz w:val="24"/>
          <w:szCs w:val="24"/>
        </w:rPr>
        <w:outlineLvl w:val="3"/>
      </w:pPr>
      <w:r/>
      <w:bookmarkStart w:id="73" w:name="_Toc513029230"/>
      <w:r/>
      <w:bookmarkStart w:id="74" w:name="_Toc16938546"/>
      <w:r/>
      <w:bookmarkStart w:id="75" w:name="_Toc20823302"/>
      <w:r>
        <w:rPr>
          <w:rFonts w:hint="eastAsia" w:ascii="宋体" w:hAnsi="宋体" w:cs="宋体"/>
          <w:color w:val="000000"/>
          <w:sz w:val="24"/>
          <w:szCs w:val="24"/>
        </w:rPr>
        <w:t xml:space="preserve">21、开标</w:t>
      </w:r>
      <w:bookmarkEnd w:id="73"/>
      <w:r/>
      <w:bookmarkEnd w:id="74"/>
      <w:r/>
      <w:bookmarkEnd w:id="75"/>
      <w:r>
        <w:rPr>
          <w:rFonts w:hint="eastAsia" w:ascii="宋体" w:hAnsi="宋体" w:cs="宋体"/>
          <w:color w:val="000000"/>
          <w:sz w:val="24"/>
          <w:szCs w:val="24"/>
        </w:rPr>
      </w:r>
      <w:r/>
    </w:p>
    <w:p>
      <w:pPr>
        <w:pStyle w:val="651"/>
        <w:ind w:firstLine="480"/>
        <w:spacing w:line="360" w:lineRule="auto"/>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采购中心将在招标公告中规定的时间和地点组织公开开标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pStyle w:val="651"/>
        <w:ind w:firstLine="480"/>
        <w:spacing w:line="360" w:lineRule="auto"/>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开标仪式由采购中心组织。苏采云系统将自动对项目进行开标，并宣布各投标人名称和投标价格。</w:t>
      </w:r>
      <w:r/>
    </w:p>
    <w:p>
      <w:pPr>
        <w:pStyle w:val="651"/>
        <w:ind w:firstLine="480"/>
        <w:spacing w:line="360" w:lineRule="auto"/>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rPr>
          <w:rFonts w:hint="eastAsia" w:ascii="宋体" w:hAnsi="宋体" w:cs="宋体"/>
          <w:sz w:val="24"/>
          <w:szCs w:val="24"/>
        </w:rPr>
      </w:r>
      <w:r/>
    </w:p>
    <w:p>
      <w:pPr>
        <w:pStyle w:val="651"/>
        <w:ind w:firstLine="480"/>
        <w:spacing w:line="360" w:lineRule="auto"/>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pStyle w:val="651"/>
        <w:ind w:firstLine="360"/>
        <w:keepLines/>
        <w:keepNext/>
        <w:spacing w:line="360" w:lineRule="auto"/>
        <w:rPr>
          <w:rFonts w:hint="eastAsia" w:ascii="宋体" w:hAnsi="宋体" w:cs="宋体"/>
          <w:sz w:val="24"/>
          <w:szCs w:val="24"/>
        </w:rPr>
        <w:outlineLvl w:val="3"/>
      </w:pPr>
      <w:r/>
      <w:bookmarkStart w:id="76" w:name="_Toc16938547"/>
      <w:r/>
      <w:bookmarkStart w:id="77" w:name="_Toc513029231"/>
      <w:r/>
      <w:bookmarkStart w:id="78" w:name="_Toc20823303"/>
      <w:r>
        <w:rPr>
          <w:rFonts w:hint="eastAsia" w:ascii="宋体" w:hAnsi="宋体" w:cs="宋体"/>
          <w:sz w:val="24"/>
          <w:szCs w:val="24"/>
        </w:rPr>
        <w:t xml:space="preserve">22、评标委员会</w:t>
      </w:r>
      <w:r/>
    </w:p>
    <w:p>
      <w:pPr>
        <w:pStyle w:val="651"/>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 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开标后，采购中心将立即组织评标委员会（以下简称评委会）进行评标。</w:t>
      </w:r>
      <w:r>
        <w:rPr>
          <w:rFonts w:hint="eastAsia" w:ascii="宋体" w:hAnsi="宋体" w:cs="宋体"/>
          <w:b/>
          <w:color w:val="000000"/>
          <w:sz w:val="24"/>
          <w:szCs w:val="24"/>
        </w:rPr>
      </w:r>
      <w:r/>
    </w:p>
    <w:p>
      <w:pPr>
        <w:pStyle w:val="651"/>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 22.2 评委会由采购人代表和有关技术、经济等方面的专家组成，且人员构成符合政府采购有关规定。</w:t>
      </w:r>
      <w:r/>
    </w:p>
    <w:p>
      <w:pPr>
        <w:pStyle w:val="651"/>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 22.3评委会独立工作，负责评审所有投标文件并确定中标侯选人。</w:t>
      </w:r>
      <w:r/>
    </w:p>
    <w:p>
      <w:pPr>
        <w:pStyle w:val="651"/>
        <w:ind w:firstLine="36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23、评标过程的保密与公正</w:t>
      </w:r>
      <w:r/>
    </w:p>
    <w:p>
      <w:pPr>
        <w:pStyle w:val="651"/>
        <w:ind w:firstLine="480"/>
        <w:spacing w:line="360" w:lineRule="auto"/>
        <w:rPr>
          <w:rFonts w:hint="eastAsia" w:ascii="宋体" w:hAnsi="宋体" w:cs="宋体"/>
          <w:bCs/>
          <w:color w:val="000000"/>
          <w:sz w:val="24"/>
          <w:szCs w:val="24"/>
        </w:rPr>
      </w:pPr>
      <w:r/>
      <w:bookmarkEnd w:id="76"/>
      <w:r/>
      <w:bookmarkEnd w:id="77"/>
      <w:r/>
      <w:bookmarkEnd w:id="78"/>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凡是与审查、澄清、评价和比较投标的有关资料以及授标建议等，采购人、评委、采购中心均不得向投标人或与评标无关的其他人员透露。</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采购中心和评标委员会不向未中标的投标人解释未中标原因，也不公布评标过程中的相关细节。</w:t>
      </w:r>
      <w:r/>
    </w:p>
    <w:p>
      <w:pPr>
        <w:pStyle w:val="651"/>
        <w:ind w:firstLine="480"/>
        <w:spacing w:line="360" w:lineRule="auto"/>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pStyle w:val="651"/>
        <w:ind w:firstLine="360"/>
        <w:keepLines/>
        <w:keepNext/>
        <w:spacing w:line="360" w:lineRule="auto"/>
        <w:rPr>
          <w:rFonts w:hint="eastAsia" w:ascii="宋体" w:hAnsi="宋体" w:cs="宋体"/>
          <w:color w:val="000000"/>
          <w:sz w:val="24"/>
          <w:szCs w:val="24"/>
        </w:rPr>
        <w:outlineLvl w:val="3"/>
      </w:pPr>
      <w:r/>
      <w:bookmarkStart w:id="79" w:name="_Toc20823304"/>
      <w:r/>
      <w:bookmarkStart w:id="80" w:name="_Toc513029232"/>
      <w:r/>
      <w:bookmarkStart w:id="81" w:name="_Toc16938548"/>
      <w:r>
        <w:rPr>
          <w:rFonts w:hint="eastAsia" w:ascii="宋体" w:hAnsi="宋体" w:cs="宋体"/>
          <w:color w:val="000000"/>
          <w:sz w:val="24"/>
          <w:szCs w:val="24"/>
        </w:rPr>
        <w:t xml:space="preserve">24、投标文件的澄清</w:t>
      </w:r>
      <w:bookmarkEnd w:id="79"/>
      <w:r/>
      <w:bookmarkEnd w:id="80"/>
      <w:r/>
      <w:bookmarkEnd w:id="81"/>
      <w:r>
        <w:rPr>
          <w:rFonts w:hint="eastAsia" w:ascii="宋体" w:hAnsi="宋体" w:cs="宋体"/>
          <w:color w:val="000000"/>
          <w:sz w:val="24"/>
          <w:szCs w:val="24"/>
        </w:rPr>
      </w:r>
      <w:r/>
    </w:p>
    <w:p>
      <w:pPr>
        <w:pStyle w:val="651"/>
        <w:ind w:firstLine="480"/>
        <w:spacing w:line="360" w:lineRule="auto"/>
        <w:rPr>
          <w:rFonts w:hint="eastAsia" w:ascii="宋体" w:hAnsi="宋体" w:cs="宋体"/>
          <w:color w:val="000000"/>
          <w:sz w:val="24"/>
          <w:szCs w:val="24"/>
        </w:rPr>
      </w:pPr>
      <w:r/>
      <w:bookmarkStart w:id="82" w:name="_Toc20823305"/>
      <w:r/>
      <w:bookmarkStart w:id="83" w:name="_Toc513029233"/>
      <w:r/>
      <w:bookmarkStart w:id="84" w:name="_Toc16938549"/>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szCs w:val="24"/>
        </w:rPr>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p>
    <w:p>
      <w:pPr>
        <w:pStyle w:val="651"/>
        <w:ind w:firstLine="36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82"/>
      <w:r/>
      <w:bookmarkEnd w:id="83"/>
      <w:r/>
      <w:bookmarkEnd w:id="84"/>
      <w:r>
        <w:rPr>
          <w:rFonts w:hint="eastAsia" w:ascii="宋体" w:hAnsi="宋体" w:cs="宋体"/>
          <w:color w:val="000000"/>
          <w:sz w:val="24"/>
          <w:szCs w:val="24"/>
        </w:rPr>
      </w:r>
      <w:r/>
    </w:p>
    <w:p>
      <w:pPr>
        <w:pStyle w:val="651"/>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pStyle w:val="651"/>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未通过资格审查或符合性审查的投标人，采购中心将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中告知未通过资格审查或符合性审查的原因，评审结束后，采购中心将不再告知未通过资格审查或符合性审查的原因。</w:t>
      </w:r>
      <w:r/>
    </w:p>
    <w:p>
      <w:pPr>
        <w:pStyle w:val="651"/>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651"/>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p>
    <w:p>
      <w:pPr>
        <w:pStyle w:val="651"/>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pStyle w:val="651"/>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p>
    <w:p>
      <w:pPr>
        <w:pStyle w:val="651"/>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rPr>
          <w:rFonts w:hint="eastAsia" w:ascii="宋体" w:hAnsi="宋体" w:cs="宋体"/>
          <w:bCs/>
          <w:color w:val="000000"/>
          <w:sz w:val="24"/>
          <w:szCs w:val="24"/>
        </w:rPr>
      </w:r>
      <w:r/>
    </w:p>
    <w:p>
      <w:pPr>
        <w:pStyle w:val="651"/>
        <w:ind w:firstLine="480"/>
        <w:spacing w:line="360" w:lineRule="auto"/>
        <w:rPr>
          <w:rFonts w:hint="eastAsia" w:ascii="宋体" w:hAnsi="宋体" w:cs="宋体"/>
          <w:color w:val="000000"/>
          <w:sz w:val="24"/>
          <w:szCs w:val="24"/>
        </w:rPr>
      </w:pPr>
      <w:r/>
      <w:bookmarkStart w:id="85" w:name="_Toc513029234"/>
      <w:r/>
      <w:bookmarkStart w:id="86" w:name="_Toc16938550"/>
      <w:r/>
      <w:bookmarkStart w:id="87" w:name="_Toc20823306"/>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pStyle w:val="651"/>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p>
    <w:p>
      <w:pPr>
        <w:pStyle w:val="651"/>
        <w:ind w:firstLine="420"/>
        <w:spacing w:line="360" w:lineRule="auto"/>
        <w:rPr>
          <w:rFonts w:hint="eastAsia"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讯畅通，及时登录苏采云系统查阅、答复相关信息，并安排专人与采购中心及评标委员会联系。</w:t>
      </w:r>
      <w:r/>
    </w:p>
    <w:p>
      <w:pPr>
        <w:pStyle w:val="651"/>
        <w:ind w:firstLine="420"/>
        <w:spacing w:line="360" w:lineRule="auto"/>
        <w:rPr>
          <w:rFonts w:hint="eastAsia" w:ascii="宋体" w:hAnsi="宋体" w:cs="宋体"/>
          <w:sz w:val="24"/>
          <w:szCs w:val="24"/>
        </w:rPr>
      </w:pPr>
      <w:r>
        <w:rPr>
          <w:rFonts w:hint="eastAsia" w:ascii="宋体" w:hAnsi="宋体" w:cs="宋体"/>
          <w:sz w:val="24"/>
          <w:szCs w:val="24"/>
        </w:rPr>
        <w:t xml:space="preserve">25.8 异常低价投标审查</w:t>
      </w:r>
      <w:r/>
    </w:p>
    <w:p>
      <w:pPr>
        <w:pStyle w:val="651"/>
        <w:ind w:firstLine="420"/>
        <w:spacing w:line="360" w:lineRule="auto"/>
        <w:rPr>
          <w:rFonts w:hint="eastAsia" w:ascii="宋体" w:hAnsi="宋体" w:cs="宋体"/>
          <w:sz w:val="24"/>
          <w:szCs w:val="24"/>
        </w:rPr>
      </w:pPr>
      <w:r>
        <w:rPr>
          <w:rFonts w:hint="eastAsia" w:ascii="宋体" w:hAnsi="宋体" w:cs="宋体"/>
          <w:sz w:val="24"/>
          <w:szCs w:val="24"/>
        </w:rPr>
        <w:t xml:space="preserve">25.8.1 评标过程中出现下列情形之一的，评标委员会应当启动异常低价投标审查程序：</w:t>
      </w:r>
      <w:r/>
    </w:p>
    <w:p>
      <w:pPr>
        <w:pStyle w:val="651"/>
        <w:ind w:firstLine="420"/>
        <w:spacing w:line="360" w:lineRule="auto"/>
        <w:rPr>
          <w:rFonts w:hint="eastAsia" w:ascii="宋体" w:hAnsi="宋体" w:cs="宋体"/>
          <w:sz w:val="24"/>
          <w:szCs w:val="24"/>
        </w:rPr>
      </w:pPr>
      <w:r>
        <w:rPr>
          <w:rFonts w:hint="eastAsia" w:ascii="宋体" w:hAnsi="宋体" w:cs="宋体"/>
          <w:sz w:val="24"/>
          <w:szCs w:val="24"/>
        </w:rPr>
        <w:t xml:space="preserve">（1）投标报价低于采购项目预算50%的，即投标报价＜采购项目预算×50%；</w:t>
      </w:r>
      <w:r/>
    </w:p>
    <w:p>
      <w:pPr>
        <w:pStyle w:val="651"/>
        <w:ind w:firstLine="420"/>
        <w:spacing w:line="360" w:lineRule="auto"/>
        <w:rPr>
          <w:rFonts w:hint="eastAsia" w:ascii="宋体" w:hAnsi="宋体" w:cs="宋体"/>
          <w:sz w:val="24"/>
          <w:szCs w:val="24"/>
        </w:rPr>
      </w:pPr>
      <w:r>
        <w:rPr>
          <w:rFonts w:hint="eastAsia" w:ascii="宋体" w:hAnsi="宋体" w:cs="宋体"/>
          <w:sz w:val="24"/>
          <w:szCs w:val="24"/>
        </w:rPr>
        <w:t xml:space="preserve">（2）投标报价低于采购项目最高限价45%的，即投标报价＜采购项目最高限价×45%；</w:t>
      </w:r>
      <w:r/>
    </w:p>
    <w:p>
      <w:pPr>
        <w:pStyle w:val="651"/>
        <w:ind w:firstLine="420"/>
        <w:spacing w:line="360" w:lineRule="auto"/>
        <w:rPr>
          <w:rFonts w:hint="eastAsia" w:ascii="宋体" w:hAnsi="宋体" w:cs="宋体"/>
          <w:sz w:val="24"/>
          <w:szCs w:val="24"/>
        </w:rPr>
      </w:pPr>
      <w:r>
        <w:rPr>
          <w:rFonts w:hint="eastAsia" w:ascii="宋体" w:hAnsi="宋体" w:cs="宋体"/>
          <w:sz w:val="24"/>
          <w:szCs w:val="24"/>
        </w:rPr>
        <w:t xml:space="preserve">（3）评标委员会认定的供应商报价过低、有可能影响产品质量或者不能诚信履约的其他情形。</w:t>
      </w:r>
      <w:r/>
    </w:p>
    <w:p>
      <w:pPr>
        <w:pStyle w:val="651"/>
        <w:ind w:firstLine="420"/>
        <w:spacing w:line="360" w:lineRule="auto"/>
        <w:rPr>
          <w:rFonts w:hint="eastAsia" w:ascii="宋体" w:hAnsi="宋体" w:cs="宋体"/>
          <w:sz w:val="24"/>
          <w:szCs w:val="24"/>
        </w:rPr>
      </w:pPr>
      <w:r>
        <w:rPr>
          <w:rFonts w:hint="eastAsia" w:ascii="宋体" w:hAnsi="宋体" w:cs="宋体"/>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651"/>
        <w:ind w:firstLine="36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26、</w:t>
      </w:r>
      <w:bookmarkEnd w:id="85"/>
      <w:r/>
      <w:bookmarkEnd w:id="86"/>
      <w:r/>
      <w:bookmarkEnd w:id="87"/>
      <w:r>
        <w:rPr>
          <w:rFonts w:hint="eastAsia" w:ascii="宋体" w:hAnsi="宋体" w:cs="宋体"/>
          <w:sz w:val="24"/>
          <w:szCs w:val="24"/>
        </w:rPr>
        <w:t xml:space="preserve">无效投标条款和废标条款</w:t>
      </w:r>
      <w:r/>
    </w:p>
    <w:p>
      <w:pPr>
        <w:pStyle w:val="651"/>
        <w:ind w:left="479"/>
        <w:spacing w:line="360" w:lineRule="auto"/>
        <w:rPr>
          <w:rFonts w:hint="eastAsia" w:ascii="宋体" w:hAnsi="宋体" w:cs="宋体"/>
          <w:bCs/>
          <w:sz w:val="24"/>
          <w:szCs w:val="24"/>
        </w:rPr>
      </w:pPr>
      <w:r/>
      <w:bookmarkStart w:id="88" w:name="_Toc513029235"/>
      <w:r/>
      <w:bookmarkStart w:id="89" w:name="_Toc16938551"/>
      <w:r/>
      <w:bookmarkStart w:id="90" w:name="_Toc20823307"/>
      <w:r>
        <w:rPr>
          <w:rFonts w:hint="eastAsia" w:ascii="宋体" w:hAnsi="宋体" w:cs="宋体"/>
          <w:bCs/>
          <w:sz w:val="24"/>
          <w:szCs w:val="24"/>
        </w:rPr>
        <w:t xml:space="preserve">26.1无效投标条款</w:t>
      </w:r>
      <w:r/>
    </w:p>
    <w:p>
      <w:pPr>
        <w:pStyle w:val="651"/>
        <w:ind w:firstLine="480"/>
        <w:spacing w:line="360" w:lineRule="auto"/>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pStyle w:val="651"/>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p>
    <w:p>
      <w:pPr>
        <w:pStyle w:val="651"/>
        <w:ind w:left="479"/>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p>
    <w:p>
      <w:pPr>
        <w:pStyle w:val="651"/>
        <w:ind w:left="479"/>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p>
    <w:p>
      <w:pPr>
        <w:pStyle w:val="651"/>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rPr>
          <w:rFonts w:hint="eastAsia" w:ascii="宋体" w:hAnsi="宋体" w:cs="宋体"/>
          <w:bCs/>
          <w:i/>
          <w:color w:val="000000"/>
          <w:sz w:val="24"/>
          <w:szCs w:val="24"/>
          <w:u w:val="single"/>
        </w:rPr>
      </w:r>
      <w:r/>
    </w:p>
    <w:p>
      <w:pPr>
        <w:pStyle w:val="651"/>
        <w:ind w:firstLine="36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 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条款为实质性要求）</w:t>
      </w:r>
      <w:r>
        <w:rPr>
          <w:rFonts w:hint="eastAsia" w:ascii="宋体" w:hAnsi="宋体" w:cs="宋体"/>
          <w:bCs/>
          <w:i/>
          <w:color w:val="000000"/>
          <w:sz w:val="24"/>
          <w:szCs w:val="24"/>
          <w:u w:val="single"/>
        </w:rPr>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p>
    <w:p>
      <w:pPr>
        <w:pStyle w:val="651"/>
        <w:ind w:firstLine="420"/>
        <w:spacing w:line="360" w:lineRule="auto"/>
        <w:rPr>
          <w:rFonts w:hint="eastAsia"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p>
    <w:p>
      <w:pPr>
        <w:pStyle w:val="651"/>
        <w:ind w:firstLine="480"/>
        <w:spacing w:line="360" w:lineRule="auto"/>
        <w:rPr>
          <w:rFonts w:hint="eastAsia"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51"/>
        <w:ind w:firstLine="480"/>
        <w:spacing w:line="360" w:lineRule="auto"/>
        <w:rPr>
          <w:rFonts w:hint="eastAsia" w:ascii="宋体" w:hAnsi="宋体" w:cs="宋体"/>
          <w:bCs/>
          <w:sz w:val="24"/>
          <w:szCs w:val="24"/>
        </w:rPr>
      </w:pPr>
      <w:r>
        <w:rPr>
          <w:rFonts w:hint="eastAsia" w:ascii="宋体" w:hAnsi="宋体" w:cs="宋体"/>
          <w:bCs/>
          <w:sz w:val="24"/>
          <w:szCs w:val="24"/>
        </w:rPr>
        <w:t xml:space="preserve">26.1.12 投标文件未按照招标文件要求加盖CA电子公章的。</w:t>
      </w:r>
      <w:r/>
    </w:p>
    <w:p>
      <w:pPr>
        <w:pStyle w:val="651"/>
        <w:ind w:firstLine="480"/>
        <w:spacing w:line="360" w:lineRule="auto"/>
        <w:rPr>
          <w:rFonts w:hint="eastAsia"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p>
    <w:p>
      <w:pPr>
        <w:pStyle w:val="651"/>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w:t>
      </w:r>
      <w:r>
        <w:rPr>
          <w:rFonts w:hint="eastAsia" w:ascii="宋体" w:hAnsi="宋体" w:cs="宋体"/>
          <w:bCs/>
          <w:sz w:val="24"/>
          <w:szCs w:val="24"/>
        </w:rPr>
        <w:t xml:space="preserve">14所有参与联合体投标的成员不得再以自己名义单独投标，也不得组成新的联合体或参加其他联合体在本项目中投标。与联合体一方的企业法人代表为同一个人或者存在控股和被控股关系企业不得再参加投标。存在以上情形的，属于重大偏差，视为未能对招标文件作出实质性响应，其投标作无效标处理。</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26.1.15其他法律、法规及本招标文件规定的属无效投标的情形。</w:t>
      </w:r>
      <w:r/>
    </w:p>
    <w:p>
      <w:pPr>
        <w:pStyle w:val="651"/>
        <w:ind w:left="479"/>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.2废标条款 </w:t>
      </w:r>
      <w:r/>
    </w:p>
    <w:p>
      <w:pPr>
        <w:pStyle w:val="651"/>
        <w:ind w:left="479"/>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.2.1符合专业条件的供应商或者对招标文件作实质响应的供应商不足三</w:t>
      </w:r>
      <w:r/>
    </w:p>
    <w:p>
      <w:pPr>
        <w:pStyle w:val="651"/>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家的。</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p>
    <w:p>
      <w:pPr>
        <w:pStyle w:val="651"/>
        <w:ind w:left="479"/>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p>
    <w:p>
      <w:pPr>
        <w:pStyle w:val="651"/>
        <w:ind w:left="479"/>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w:t>
      </w:r>
      <w:r/>
    </w:p>
    <w:p>
      <w:pPr>
        <w:pStyle w:val="651"/>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行。</w:t>
      </w:r>
      <w:r/>
    </w:p>
    <w:p>
      <w:pPr>
        <w:pStyle w:val="651"/>
        <w:ind w:left="479"/>
        <w:spacing w:line="360" w:lineRule="auto"/>
        <w:rPr>
          <w:rFonts w:hint="eastAsia"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p>
    <w:p>
      <w:pPr>
        <w:pStyle w:val="651"/>
        <w:ind w:left="479"/>
        <w:spacing w:line="360" w:lineRule="auto"/>
        <w:rPr>
          <w:rFonts w:hint="eastAsia"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651"/>
        <w:ind w:firstLine="361"/>
        <w:keepLines/>
        <w:keepNext/>
        <w:spacing w:before="120" w:after="120" w:line="360" w:lineRule="auto"/>
        <w:rPr>
          <w:rFonts w:hint="eastAsia" w:ascii="宋体" w:hAnsi="宋体" w:cs="宋体"/>
          <w:b/>
          <w:bCs/>
          <w:color w:val="000000"/>
          <w:sz w:val="24"/>
          <w:szCs w:val="24"/>
        </w:rPr>
        <w:outlineLvl w:val="2"/>
      </w:pPr>
      <w:r/>
      <w:bookmarkStart w:id="91" w:name="_Toc120614219"/>
      <w:r>
        <w:rPr>
          <w:rFonts w:hint="eastAsia" w:ascii="宋体" w:hAnsi="宋体" w:cs="宋体"/>
          <w:b/>
          <w:bCs/>
          <w:color w:val="000000"/>
          <w:sz w:val="24"/>
          <w:szCs w:val="24"/>
        </w:rPr>
        <w:t xml:space="preserve">六、</w:t>
      </w:r>
      <w:bookmarkEnd w:id="88"/>
      <w:r/>
      <w:bookmarkEnd w:id="89"/>
      <w:r/>
      <w:bookmarkEnd w:id="90"/>
      <w:r>
        <w:rPr>
          <w:rFonts w:hint="eastAsia" w:ascii="宋体" w:hAnsi="宋体" w:cs="宋体"/>
          <w:b/>
          <w:bCs/>
          <w:color w:val="000000"/>
          <w:sz w:val="24"/>
          <w:szCs w:val="24"/>
        </w:rPr>
        <w:t xml:space="preserve">定标</w:t>
      </w:r>
      <w:bookmarkEnd w:id="91"/>
      <w:r>
        <w:rPr>
          <w:rFonts w:hint="eastAsia" w:ascii="宋体" w:hAnsi="宋体" w:cs="宋体"/>
          <w:b/>
          <w:bCs/>
          <w:color w:val="000000"/>
          <w:sz w:val="24"/>
          <w:szCs w:val="24"/>
        </w:rPr>
      </w:r>
      <w:r/>
    </w:p>
    <w:p>
      <w:pPr>
        <w:pStyle w:val="651"/>
        <w:ind w:firstLine="480"/>
        <w:keepLines/>
        <w:keepNext/>
        <w:spacing w:line="360" w:lineRule="auto"/>
        <w:rPr>
          <w:rFonts w:hint="eastAsia" w:ascii="宋体" w:hAnsi="宋体" w:cs="宋体"/>
          <w:bCs/>
          <w:color w:val="000000"/>
          <w:sz w:val="24"/>
          <w:szCs w:val="24"/>
        </w:rPr>
        <w:outlineLvl w:val="3"/>
      </w:pPr>
      <w:r/>
      <w:bookmarkStart w:id="92" w:name="_Toc513029238"/>
      <w:r/>
      <w:bookmarkStart w:id="93" w:name="_Toc16938554"/>
      <w:r/>
      <w:bookmarkStart w:id="94" w:name="_Toc20823310"/>
      <w:r>
        <w:rPr>
          <w:rFonts w:hint="eastAsia" w:ascii="宋体" w:hAnsi="宋体" w:cs="宋体"/>
          <w:bCs/>
          <w:color w:val="000000"/>
          <w:sz w:val="24"/>
          <w:szCs w:val="24"/>
        </w:rPr>
        <w:t xml:space="preserve">27、</w:t>
      </w:r>
      <w:bookmarkEnd w:id="92"/>
      <w:r>
        <w:rPr>
          <w:rFonts w:hint="eastAsia" w:ascii="宋体" w:hAnsi="宋体" w:cs="宋体"/>
          <w:bCs/>
          <w:color w:val="000000"/>
          <w:sz w:val="24"/>
          <w:szCs w:val="24"/>
        </w:rPr>
        <w:t xml:space="preserve">确定</w:t>
      </w:r>
      <w:bookmarkEnd w:id="93"/>
      <w:r/>
      <w:bookmarkEnd w:id="94"/>
      <w:r>
        <w:rPr>
          <w:rFonts w:hint="eastAsia" w:ascii="宋体" w:hAnsi="宋体" w:cs="宋体"/>
          <w:bCs/>
          <w:color w:val="000000"/>
          <w:sz w:val="24"/>
          <w:szCs w:val="24"/>
        </w:rPr>
        <w:t xml:space="preserve">中标单位</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p>
    <w:p>
      <w:pPr>
        <w:pStyle w:val="65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p>
    <w:p>
      <w:pPr>
        <w:pStyle w:val="65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采购中心将在“江苏政府采购网”发布中标公告，公告期限为1个工作日。</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27.4.1提供虚假材料谋取中标的。</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27.4.2向采购人、采购中心行贿或者提供其他不正当利益的。</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p>
    <w:p>
      <w:pPr>
        <w:pStyle w:val="651"/>
        <w:ind w:firstLine="480"/>
        <w:spacing w:line="360" w:lineRule="auto"/>
        <w:rPr>
          <w:rFonts w:hint="eastAsia" w:ascii="宋体" w:hAnsi="宋体" w:cs="宋体"/>
          <w:color w:val="000000"/>
          <w:sz w:val="24"/>
          <w:szCs w:val="24"/>
        </w:rPr>
      </w:pPr>
      <w:r/>
      <w:bookmarkStart w:id="95" w:name="_Toc200451960"/>
      <w:r>
        <w:rPr>
          <w:rFonts w:hint="eastAsia" w:ascii="宋体" w:hAnsi="宋体" w:cs="宋体"/>
          <w:color w:val="000000"/>
          <w:sz w:val="24"/>
          <w:szCs w:val="24"/>
        </w:rPr>
        <w:t xml:space="preserve">27.5 有下列情形之一的，视为投标人串通投标，投标无效：</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p>
    <w:p>
      <w:pPr>
        <w:pStyle w:val="651"/>
        <w:ind w:firstLine="48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28、质疑处理</w:t>
      </w:r>
      <w:bookmarkEnd w:id="95"/>
      <w:r>
        <w:rPr>
          <w:rFonts w:hint="eastAsia" w:ascii="宋体" w:hAnsi="宋体" w:cs="宋体"/>
          <w:bCs/>
          <w:color w:val="000000"/>
          <w:sz w:val="24"/>
          <w:szCs w:val="24"/>
        </w:rPr>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28.2.1对可以质疑的采购文件提出质疑的，为收到采购文件之日或者采购文件公告期限届满之日；</w:t>
        <w:br w:type="textWrapping" w:clear="all"/>
        <w:t xml:space="preserve">　　28.2.2对采购过程提出质疑的，为各采购程序环节结束之日；</w:t>
        <w:br w:type="textWrapping" w:clear="all"/>
        <w:t xml:space="preserve">　　28.2.3对中标或者成交结果提出质疑的，为中标或者成交结果公告期限届满之日。</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szCs w:val="24"/>
        </w:rPr>
      </w:r>
      <w:r/>
    </w:p>
    <w:p>
      <w:pPr>
        <w:pStyle w:val="651"/>
        <w:ind w:firstLine="480"/>
        <w:spacing w:line="360" w:lineRule="auto"/>
        <w:rPr>
          <w:rFonts w:hint="eastAsia"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cs="宋体"/>
          <w:b/>
          <w:sz w:val="24"/>
          <w:szCs w:val="24"/>
        </w:rPr>
      </w:r>
      <w:r/>
    </w:p>
    <w:p>
      <w:pPr>
        <w:pStyle w:val="651"/>
        <w:ind w:firstLine="480"/>
        <w:spacing w:line="360" w:lineRule="auto"/>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采购人及采购中心只接收以纸质原件形式送达的质疑,建议供应商尽量通过邮寄方式提交质疑（采购人和采购中心不接受无快递运单号的快递）。</w:t>
      </w:r>
      <w:r/>
    </w:p>
    <w:p>
      <w:pPr>
        <w:pStyle w:val="651"/>
        <w:ind w:firstLine="480"/>
        <w:spacing w:line="360" w:lineRule="auto"/>
        <w:rPr>
          <w:rFonts w:hint="eastAsia" w:ascii="宋体" w:hAnsi="宋体" w:cs="宋体"/>
          <w:sz w:val="24"/>
          <w:szCs w:val="24"/>
        </w:rPr>
      </w:pPr>
      <w:r>
        <w:rPr>
          <w:rFonts w:hint="eastAsia" w:ascii="宋体" w:hAnsi="宋体" w:cs="宋体"/>
          <w:sz w:val="24"/>
          <w:szCs w:val="24"/>
        </w:rPr>
        <w:t xml:space="preserve">采购中心质疑接收部门为业务科（快递运单上的收件人填写“业务科”即可），联系地址：赣榆区公共资源交易中心207室，联系电话：0518-86260257。</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采购人质疑接收人及联系方式见招标文件第一章。</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 以下情形的质疑不予受理</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28.5.2 超出政府采购法定期限的质疑。</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p>
    <w:p>
      <w:pPr>
        <w:pStyle w:val="65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p>
    <w:p>
      <w:pPr>
        <w:pStyle w:val="651"/>
        <w:ind w:firstLine="468"/>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1"/>
        <w:ind w:firstLine="48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29、中标通知书</w:t>
      </w:r>
      <w:r/>
    </w:p>
    <w:p>
      <w:pPr>
        <w:pStyle w:val="651"/>
        <w:ind w:firstLine="600"/>
        <w:spacing w:line="360" w:lineRule="auto"/>
        <w:rPr>
          <w:rFonts w:hint="eastAsia" w:ascii="宋体" w:hAnsi="宋体" w:cs="宋体"/>
          <w:sz w:val="24"/>
          <w:szCs w:val="24"/>
        </w:rPr>
      </w:pPr>
      <w:r>
        <w:rPr>
          <w:rFonts w:hint="eastAsia" w:ascii="宋体" w:hAnsi="宋体" w:cs="宋体"/>
          <w:color w:val="000000"/>
          <w:sz w:val="24"/>
          <w:szCs w:val="24"/>
        </w:rPr>
        <w:t xml:space="preserve">29.l中标结果确定后，采购中心将向中标供应商发出中标通知书。请中标供应商在中标结果公告届满之日起30日内,使用CA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651"/>
        <w:ind w:firstLine="600"/>
        <w:spacing w:line="360" w:lineRule="auto"/>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651"/>
        <w:keepLines/>
        <w:keepNext/>
        <w:spacing w:before="120" w:after="120" w:line="360" w:lineRule="auto"/>
        <w:rPr>
          <w:rFonts w:hint="eastAsia" w:ascii="宋体" w:hAnsi="宋体" w:cs="宋体"/>
          <w:b/>
          <w:bCs/>
          <w:color w:val="000000"/>
          <w:sz w:val="24"/>
          <w:szCs w:val="24"/>
        </w:rPr>
        <w:outlineLvl w:val="2"/>
      </w:pPr>
      <w:r/>
      <w:bookmarkStart w:id="96" w:name="_Toc120614220"/>
      <w:r/>
      <w:bookmarkStart w:id="97" w:name="_Toc513029236"/>
      <w:r/>
      <w:bookmarkStart w:id="98" w:name="_Toc16938552"/>
      <w:r/>
      <w:bookmarkStart w:id="99" w:name="_Toc20823308"/>
      <w:r>
        <w:rPr>
          <w:rFonts w:hint="eastAsia" w:ascii="宋体" w:hAnsi="宋体" w:cs="宋体"/>
          <w:b/>
          <w:bCs/>
          <w:color w:val="000000"/>
          <w:sz w:val="24"/>
          <w:szCs w:val="24"/>
        </w:rPr>
        <w:t xml:space="preserve">七、授予合同</w:t>
      </w:r>
      <w:bookmarkEnd w:id="96"/>
      <w:r>
        <w:rPr>
          <w:rFonts w:hint="eastAsia" w:ascii="宋体" w:hAnsi="宋体" w:cs="宋体"/>
          <w:b/>
          <w:bCs/>
          <w:color w:val="000000"/>
          <w:sz w:val="24"/>
          <w:szCs w:val="24"/>
        </w:rPr>
      </w:r>
      <w:r/>
    </w:p>
    <w:p>
      <w:pPr>
        <w:pStyle w:val="651"/>
        <w:ind w:firstLine="480"/>
        <w:keepLines/>
        <w:keepNext/>
        <w:spacing w:line="360" w:lineRule="auto"/>
        <w:rPr>
          <w:rFonts w:hint="eastAsia" w:ascii="宋体" w:hAnsi="宋体" w:cs="宋体"/>
          <w:bCs/>
          <w:color w:val="000000"/>
          <w:sz w:val="24"/>
          <w:szCs w:val="24"/>
        </w:rPr>
        <w:outlineLvl w:val="3"/>
      </w:pPr>
      <w:r/>
      <w:bookmarkEnd w:id="97"/>
      <w:r/>
      <w:bookmarkEnd w:id="98"/>
      <w:r/>
      <w:bookmarkEnd w:id="99"/>
      <w:r>
        <w:rPr>
          <w:rFonts w:hint="eastAsia" w:ascii="宋体" w:hAnsi="宋体" w:cs="宋体"/>
          <w:bCs/>
          <w:color w:val="000000"/>
          <w:sz w:val="24"/>
          <w:szCs w:val="24"/>
        </w:rPr>
        <w:t xml:space="preserve">30、签订合同</w:t>
      </w:r>
      <w:r/>
    </w:p>
    <w:p>
      <w:pPr>
        <w:pStyle w:val="651"/>
        <w:ind w:firstLine="60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p>
    <w:p>
      <w:pPr>
        <w:pStyle w:val="651"/>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p>
    <w:p>
      <w:pPr>
        <w:pStyle w:val="654"/>
        <w:ind w:firstLine="562"/>
        <w:jc w:val="left"/>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54"/>
        <w:ind w:firstLine="562"/>
        <w:jc w:val="left"/>
        <w:spacing w:before="0" w:after="0" w:line="360" w:lineRule="auto"/>
        <w:rPr>
          <w:rFonts w:hint="eastAsia" w:ascii="宋体" w:hAnsi="宋体" w:cs="宋体"/>
          <w:sz w:val="24"/>
          <w:szCs w:val="24"/>
        </w:rPr>
      </w:pPr>
      <w:r>
        <w:rPr>
          <w:rFonts w:hint="eastAsia" w:ascii="宋体" w:hAnsi="宋体" w:cs="宋体"/>
          <w:sz w:val="24"/>
          <w:szCs w:val="24"/>
        </w:rPr>
        <w:t xml:space="preserve">31、合同标的的追加</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54"/>
        <w:ind w:firstLine="562"/>
        <w:jc w:val="left"/>
        <w:spacing w:before="0" w:after="0" w:line="360" w:lineRule="auto"/>
        <w:rPr>
          <w:rFonts w:hint="eastAsia" w:ascii="宋体" w:hAnsi="宋体" w:cs="宋体"/>
          <w:sz w:val="24"/>
          <w:szCs w:val="24"/>
        </w:rPr>
      </w:pPr>
      <w:r>
        <w:rPr>
          <w:rFonts w:hint="eastAsia" w:ascii="宋体" w:hAnsi="宋体" w:cs="宋体"/>
          <w:sz w:val="24"/>
          <w:szCs w:val="24"/>
        </w:rPr>
        <w:t xml:space="preserve">32、政府采购履约资金扶持政策</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32.1 中标人可凭政府采购合同办理融资贷款，详情请见江苏政府采购网“政采贷”专栏。</w:t>
      </w:r>
      <w:r/>
    </w:p>
    <w:p>
      <w:pPr>
        <w:pStyle w:val="653"/>
        <w:spacing w:before="0" w:after="0" w:line="360" w:lineRule="auto"/>
        <w:rPr>
          <w:rFonts w:hint="eastAsia" w:ascii="宋体" w:hAnsi="宋体" w:cs="宋体"/>
          <w:b w:val="0"/>
          <w:sz w:val="24"/>
          <w:szCs w:val="24"/>
        </w:rPr>
      </w:pPr>
      <w:r>
        <w:rPr>
          <w:rFonts w:hint="eastAsia" w:ascii="宋体" w:hAnsi="宋体" w:cs="宋体"/>
          <w:b w:val="0"/>
          <w:sz w:val="24"/>
          <w:szCs w:val="24"/>
        </w:rPr>
        <w:t xml:space="preserve">八、政府采购政策功能</w:t>
      </w:r>
      <w:r/>
    </w:p>
    <w:p>
      <w:pPr>
        <w:pStyle w:val="654"/>
        <w:ind w:firstLine="562"/>
        <w:jc w:val="left"/>
        <w:spacing w:before="0" w:after="0" w:line="360" w:lineRule="auto"/>
        <w:rPr>
          <w:rFonts w:hint="eastAsia" w:ascii="宋体" w:hAnsi="宋体" w:cs="宋体"/>
          <w:sz w:val="24"/>
          <w:szCs w:val="24"/>
        </w:rPr>
      </w:pPr>
      <w:r>
        <w:rPr>
          <w:rFonts w:hint="eastAsia" w:ascii="宋体" w:hAnsi="宋体" w:cs="宋体"/>
          <w:sz w:val="24"/>
          <w:szCs w:val="24"/>
        </w:rPr>
        <w:t xml:space="preserve">33.采购本国产品的支持政策</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33.1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33.2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51"/>
        <w:ind w:firstLine="480"/>
        <w:jc w:val="left"/>
        <w:spacing w:line="360" w:lineRule="auto"/>
        <w:rPr>
          <w:rFonts w:hint="eastAsia" w:ascii="宋体" w:hAnsi="宋体" w:cs="宋体"/>
          <w:sz w:val="24"/>
          <w:szCs w:val="24"/>
        </w:rPr>
      </w:pPr>
      <w:r>
        <w:rPr>
          <w:rFonts w:hint="eastAsia" w:ascii="宋体" w:hAnsi="宋体" w:cs="宋体"/>
          <w:sz w:val="24"/>
          <w:szCs w:val="24"/>
        </w:rPr>
        <w:t xml:space="preserve">33.3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54"/>
        <w:ind w:firstLine="562"/>
        <w:jc w:val="left"/>
        <w:spacing w:before="0" w:after="0" w:line="360" w:lineRule="auto"/>
        <w:rPr>
          <w:rFonts w:hint="eastAsia" w:ascii="宋体" w:hAnsi="宋体" w:cs="宋体"/>
          <w:sz w:val="24"/>
          <w:szCs w:val="24"/>
        </w:rPr>
      </w:pPr>
      <w:r>
        <w:rPr>
          <w:rFonts w:hint="eastAsia" w:ascii="宋体" w:hAnsi="宋体" w:cs="宋体"/>
          <w:sz w:val="24"/>
          <w:szCs w:val="24"/>
        </w:rPr>
        <w:t xml:space="preserve">34、促进中小企业发展</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本项目属于预留部分份额专门面向中小微企业采购。对于预留份额，提供的货物或服务由符合政策要求的中小微企业制造或承接，具体符合条件的情形详见《政府采购促进中小企业发展管理办法》。预留份额通过以下措施进行,投标人可选择以下其中任意一种方式参与：  </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1.投标人不属于中小微企业的，必须将本项目合同分包给一家或者多家中小微企业，中小微企业承担的合同份额占合同金额的比例不低于40%（其中预留给小微企业的部分不低于60%），接受分包合同的中小微企业与分包企业之间不得存在直接控股、管理关系。（投标文件中同时提供：1.符合上述比例的《分包意向协议书》；2.接受分包的中小微企业须同时提供《中小企业声明函》或《残疾人福利性单位声明函》或属于监狱企业的证明文件，否则投标无效）</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2.投标人属于中型企业的，必须将本项目合同分包给一家或者多家小微企业，小微企业承担的份额不低于合同金额的60%，接受分包合同的小微企业与分包企业之间不得存在直接控股、管理关系。（投标文件中同时提供：1.符合上述比例的《分包意向协议书》；2.分包企业与接受分包的小微企业须同时提供《中小企业声明函》或《残疾人福利性单位声明函》或属于监狱企业的证明文件，否则投标无效）</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3.投标人属于小微企业的，是否采取分包不作强制要求。</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3.1如不分包，投标文件中须提供《中小企业声明函》或《残疾人福利性单位声明函》或属于监狱企业的证明文件，否则投标无效。</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3.2如采取合同分包，则只能分包给小微企业。接受分包合同的小微企业与分包企业之间不得存在直接控股、管理关系。（投标文件中同时提供：1.《分包意向协议书》；2.分包企业与接受分包的小微企业须同时提供《中小企业声明函》或《残疾人福利性单位声明函》或属于监狱企业的证明文件，否则投标无效）</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4. 接受大中型企业与小微企业组成联合体或者允许大中型企业向一家或者多家小微企业分包的采购项目。联合体中，中小企业承担的合同份额占合同金额的比例不低于40%（其中预留给小微企业的部分不低于60%）。对于联合协议或者分包意向协议约定小微企业的合同份额占到合同总金额 30%以上的，采购人、采购代理机构应当对联合体或者大中型企业的报价给予4%（工程项目为2%）的扣除，用扣除后的价格参加评审。</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5. 对于独立参与投标的小型、微型企业（含监狱企业、残疾人福利性单位），或联合体所有成员均为小型、微型企业的，采购人、采购代理机构对其投标报价给予10%的价格扣除，用扣除后的价格参加评审。同一投标人同时符合多项小微企业视同情形的，不重复享受价格扣除优惠。</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注：</w:t>
      </w:r>
      <w:r/>
    </w:p>
    <w:p>
      <w:pPr>
        <w:pStyle w:val="651"/>
        <w:ind w:firstLine="472"/>
        <w:spacing w:line="360" w:lineRule="auto"/>
        <w:rPr>
          <w:rFonts w:hint="eastAsia" w:ascii="宋体" w:hAnsi="宋体" w:cs="宋体"/>
          <w:sz w:val="24"/>
          <w:szCs w:val="24"/>
        </w:rPr>
      </w:pPr>
      <w:r>
        <w:rPr>
          <w:rFonts w:hint="eastAsia" w:ascii="宋体" w:hAnsi="宋体" w:cs="宋体"/>
          <w:sz w:val="24"/>
          <w:szCs w:val="24"/>
        </w:rPr>
        <w:t xml:space="preserve">1）本项目分包企业指投标人。证明材料《分包意向协议书》详见第六章 投标文件格式 十三；《中小企业声明函》或《残疾人福利性单位声明函》详见第六章 投标文件格式 十一、格式十二。 </w:t>
      </w:r>
      <w:r/>
    </w:p>
    <w:p>
      <w:pPr>
        <w:pStyle w:val="651"/>
        <w:ind w:firstLine="472"/>
        <w:spacing w:line="360" w:lineRule="auto"/>
        <w:rPr>
          <w:rFonts w:hint="eastAsia" w:ascii="宋体" w:hAnsi="宋体" w:cs="宋体"/>
          <w:sz w:val="24"/>
          <w:szCs w:val="24"/>
        </w:rPr>
      </w:pPr>
      <w:r>
        <w:rPr>
          <w:rFonts w:hint="eastAsia" w:ascii="宋体" w:hAnsi="宋体" w:cs="宋体"/>
          <w:sz w:val="24"/>
          <w:szCs w:val="24"/>
        </w:rPr>
        <w:t xml:space="preserve">2）上述中小微企业应符合本项目采购标的对应的行业（软件和信息技术服务业）的政策划分标准，以提供的《中小企业声明函》为判定标准，残疾人福利性单位以提供的《残疾人福利性单位声明函》为判定标准，监狱企业须提供由省级以上监狱管理局、戒毒管理局（含新疆生产建设兵团）出具的属于监狱企业证明文件，否则投标无效。</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3）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4）享受扶持政策获得政府采购合同的，小微企业不得将合同分包给大中型企业，中型企业不得将合同分包给大型企业。</w:t>
      </w:r>
      <w:r/>
    </w:p>
    <w:p>
      <w:pPr>
        <w:pStyle w:val="651"/>
        <w:ind w:firstLine="482"/>
        <w:spacing w:line="360" w:lineRule="auto"/>
        <w:rPr>
          <w:rFonts w:hint="eastAsia" w:ascii="宋体" w:hAnsi="宋体" w:cs="宋体"/>
          <w:sz w:val="24"/>
          <w:szCs w:val="24"/>
        </w:rPr>
      </w:pPr>
      <w:r>
        <w:rPr>
          <w:rFonts w:hint="eastAsia" w:ascii="宋体" w:hAnsi="宋体" w:cs="宋体"/>
          <w:sz w:val="24"/>
          <w:szCs w:val="24"/>
        </w:rPr>
        <w:t xml:space="preserve">5）本价格扣除仅用于评审，合同成交价款按投标人原投标报价执行。</w:t>
      </w:r>
      <w:r/>
    </w:p>
    <w:p>
      <w:pPr>
        <w:pStyle w:val="651"/>
        <w:ind w:firstLine="360"/>
        <w:jc w:val="left"/>
        <w:spacing w:line="360" w:lineRule="auto"/>
        <w:rPr>
          <w:rFonts w:hint="eastAsia" w:ascii="宋体" w:hAnsi="宋体" w:cs="宋体"/>
          <w:sz w:val="24"/>
          <w:szCs w:val="24"/>
        </w:rPr>
      </w:pPr>
      <w:r>
        <w:rPr>
          <w:rFonts w:hint="eastAsia" w:ascii="宋体" w:hAnsi="宋体" w:cs="宋体"/>
          <w:sz w:val="24"/>
          <w:szCs w:val="24"/>
        </w:rPr>
      </w:r>
      <w:r/>
    </w:p>
    <w:p>
      <w:pPr>
        <w:pStyle w:val="651"/>
        <w:jc w:val="left"/>
        <w:spacing w:line="360" w:lineRule="auto"/>
        <w:widowControl/>
        <w:rPr>
          <w:sz w:val="24"/>
          <w:szCs w:val="24"/>
        </w:rPr>
      </w:pPr>
      <w:r>
        <w:rPr>
          <w:rFonts w:hint="eastAsia" w:ascii="宋体" w:hAnsi="宋体" w:cs="宋体"/>
          <w:sz w:val="24"/>
          <w:szCs w:val="24"/>
        </w:rPr>
        <w:br w:type="page" w:clear="all"/>
      </w:r>
      <w:r>
        <w:rPr>
          <w:sz w:val="24"/>
          <w:szCs w:val="24"/>
        </w:rPr>
      </w:r>
      <w:r/>
    </w:p>
    <w:p>
      <w:pPr>
        <w:pStyle w:val="652"/>
        <w:jc w:val="center"/>
        <w:spacing w:before="120" w:after="120" w:line="360" w:lineRule="auto"/>
        <w:rPr>
          <w:rFonts w:ascii="黑体" w:hAnsi="黑体" w:eastAsia="黑体"/>
          <w:b w:val="0"/>
        </w:rPr>
      </w:pPr>
      <w:r/>
      <w:bookmarkStart w:id="100" w:name="_Toc11059"/>
      <w:r/>
      <w:bookmarkStart w:id="101" w:name="_Toc22473"/>
      <w:r/>
      <w:bookmarkStart w:id="102" w:name="_Toc155796358"/>
      <w:r/>
      <w:bookmarkStart w:id="103" w:name="_Toc155796359"/>
      <w:r>
        <w:rPr>
          <w:rFonts w:hint="eastAsia" w:ascii="黑体" w:hAnsi="黑体" w:eastAsia="黑体"/>
          <w:b w:val="0"/>
        </w:rPr>
        <w:t xml:space="preserve">第三章  合同文本</w:t>
      </w:r>
      <w:bookmarkEnd w:id="100"/>
      <w:r/>
      <w:bookmarkEnd w:id="101"/>
      <w:r/>
      <w:bookmarkEnd w:id="102"/>
      <w:r>
        <w:rPr>
          <w:rFonts w:ascii="黑体" w:hAnsi="黑体" w:eastAsia="黑体"/>
          <w:b w:val="0"/>
        </w:rPr>
      </w:r>
      <w:r/>
    </w:p>
    <w:p>
      <w:pPr>
        <w:pStyle w:val="651"/>
        <w:ind w:firstLine="480"/>
        <w:jc w:val="left"/>
        <w:spacing w:line="500" w:lineRule="exact"/>
        <w:rPr>
          <w:rFonts w:hint="eastAsia" w:ascii="Calibri" w:hAnsi="Calibri"/>
          <w:sz w:val="24"/>
          <w:szCs w:val="24"/>
        </w:rPr>
      </w:pPr>
      <w:r>
        <w:rPr>
          <w:rFonts w:hint="eastAsia"/>
          <w:sz w:val="24"/>
          <w:szCs w:val="24"/>
        </w:rPr>
        <w:t xml:space="preserve">（备注：以下为中标后签订本项目合同的通用条款，中标人不得提出实质性的修改，签订合同时请删除本条备注。）</w:t>
      </w:r>
      <w:r>
        <w:rPr>
          <w:rFonts w:hint="eastAsia" w:ascii="Calibri" w:hAnsi="Calibri"/>
          <w:sz w:val="24"/>
          <w:szCs w:val="24"/>
        </w:rPr>
      </w:r>
      <w:r/>
    </w:p>
    <w:p>
      <w:pPr>
        <w:pStyle w:val="651"/>
        <w:ind w:firstLine="480"/>
        <w:jc w:val="left"/>
        <w:spacing w:line="500" w:lineRule="exact"/>
        <w:rPr>
          <w:sz w:val="24"/>
          <w:szCs w:val="24"/>
        </w:rPr>
      </w:pPr>
      <w:r>
        <w:rPr>
          <w:sz w:val="24"/>
          <w:szCs w:val="24"/>
        </w:rPr>
      </w:r>
      <w:r/>
    </w:p>
    <w:p>
      <w:pPr>
        <w:pStyle w:val="651"/>
        <w:ind w:firstLine="480"/>
        <w:jc w:val="left"/>
        <w:spacing w:line="500" w:lineRule="exact"/>
        <w:rPr>
          <w:sz w:val="24"/>
          <w:szCs w:val="24"/>
        </w:rPr>
      </w:pPr>
      <w:r>
        <w:rPr>
          <w:sz w:val="24"/>
          <w:szCs w:val="24"/>
        </w:rPr>
      </w:r>
      <w:r/>
    </w:p>
    <w:p>
      <w:pPr>
        <w:pStyle w:val="651"/>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651"/>
        <w:jc w:val="center"/>
        <w:spacing w:line="500" w:lineRule="exact"/>
        <w:rPr>
          <w:rFonts w:hint="eastAsia" w:ascii="黑体" w:hAnsi="黑体" w:eastAsia="黑体"/>
          <w:sz w:val="28"/>
          <w:szCs w:val="24"/>
        </w:rPr>
      </w:pPr>
      <w:r>
        <w:rPr>
          <w:rFonts w:hint="eastAsia" w:ascii="黑体" w:hAnsi="黑体" w:eastAsia="黑体"/>
          <w:sz w:val="28"/>
          <w:szCs w:val="24"/>
        </w:rPr>
        <w:t xml:space="preserve">（合同编号：***）</w:t>
      </w:r>
      <w:r/>
    </w:p>
    <w:p>
      <w:pPr>
        <w:pStyle w:val="651"/>
        <w:jc w:val="left"/>
        <w:spacing w:line="500" w:lineRule="exact"/>
        <w:rPr>
          <w:rFonts w:hint="eastAsia" w:ascii="Calibri" w:hAnsi="Calibri"/>
          <w:sz w:val="24"/>
          <w:szCs w:val="24"/>
        </w:rPr>
      </w:pPr>
      <w:r>
        <w:rPr>
          <w:rFonts w:hint="eastAsia"/>
          <w:sz w:val="24"/>
          <w:szCs w:val="24"/>
        </w:rPr>
        <w:t xml:space="preserve">甲方：（买方）</w:t>
      </w:r>
      <w:r>
        <w:rPr>
          <w:sz w:val="24"/>
          <w:szCs w:val="24"/>
        </w:rPr>
        <w:t xml:space="preserve">_________</w:t>
      </w:r>
      <w:r>
        <w:rPr>
          <w:rFonts w:hint="eastAsia" w:ascii="Calibri" w:hAnsi="Calibri"/>
          <w:sz w:val="24"/>
          <w:szCs w:val="24"/>
        </w:rPr>
      </w:r>
      <w:r/>
    </w:p>
    <w:p>
      <w:pPr>
        <w:pStyle w:val="651"/>
        <w:jc w:val="left"/>
        <w:spacing w:line="500" w:lineRule="exact"/>
        <w:rPr>
          <w:sz w:val="24"/>
          <w:szCs w:val="24"/>
        </w:rPr>
      </w:pPr>
      <w:r>
        <w:rPr>
          <w:rFonts w:hint="eastAsia"/>
          <w:sz w:val="24"/>
          <w:szCs w:val="24"/>
        </w:rPr>
        <w:t xml:space="preserve">乙方：（卖方）</w:t>
      </w:r>
      <w:r>
        <w:rPr>
          <w:sz w:val="24"/>
          <w:szCs w:val="24"/>
        </w:rPr>
        <w:t xml:space="preserve">_________</w:t>
      </w:r>
      <w:r/>
    </w:p>
    <w:p>
      <w:pPr>
        <w:pStyle w:val="651"/>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sz w:val="24"/>
          <w:szCs w:val="24"/>
          <w:u w:val="single"/>
        </w:rPr>
        <w:t xml:space="preserve">         </w:t>
      </w:r>
      <w:r>
        <w:rPr>
          <w:rFonts w:hint="eastAsia"/>
          <w:sz w:val="24"/>
          <w:szCs w:val="24"/>
        </w:rPr>
        <w:t xml:space="preserve">项目（项目编号：</w:t>
      </w:r>
      <w:r>
        <w:rPr>
          <w:sz w:val="24"/>
          <w:szCs w:val="24"/>
          <w:u w:val="single"/>
        </w:rPr>
        <w:t xml:space="preserve">         </w:t>
      </w:r>
      <w:r>
        <w:rPr>
          <w:rFonts w:hint="eastAsia"/>
          <w:sz w:val="24"/>
          <w:szCs w:val="24"/>
        </w:rPr>
        <w:t xml:space="preserve">）公开招标的结果，签订本合同。</w:t>
      </w:r>
      <w:r>
        <w:rPr>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1.1 </w:t>
      </w:r>
      <w:r>
        <w:rPr>
          <w:rFonts w:hint="eastAsia"/>
          <w:sz w:val="24"/>
          <w:szCs w:val="24"/>
        </w:rPr>
        <w:t xml:space="preserve">服务内容：</w:t>
      </w:r>
      <w:r>
        <w:rPr>
          <w:sz w:val="24"/>
          <w:szCs w:val="24"/>
          <w:u w:val="single"/>
        </w:rPr>
        <w:t xml:space="preserve">      </w:t>
      </w:r>
      <w:r>
        <w:rPr>
          <w:rFonts w:hint="eastAsia"/>
          <w:sz w:val="24"/>
          <w:szCs w:val="24"/>
        </w:rPr>
        <w:t xml:space="preserve">。</w:t>
      </w:r>
      <w:r>
        <w:rPr>
          <w:rFonts w:hint="eastAsia" w:ascii="Calibri" w:hAnsi="Calibri"/>
          <w:sz w:val="24"/>
          <w:szCs w:val="24"/>
        </w:rPr>
      </w:r>
      <w:r/>
    </w:p>
    <w:p>
      <w:pPr>
        <w:pStyle w:val="651"/>
        <w:ind w:firstLine="480"/>
        <w:jc w:val="left"/>
        <w:spacing w:line="500" w:lineRule="exact"/>
        <w:rPr>
          <w:sz w:val="24"/>
          <w:szCs w:val="24"/>
        </w:rPr>
      </w:pPr>
      <w:r>
        <w:rPr>
          <w:sz w:val="24"/>
          <w:szCs w:val="24"/>
        </w:rPr>
        <w:t xml:space="preserve">1.2 </w:t>
      </w:r>
      <w:r>
        <w:rPr>
          <w:rFonts w:hint="eastAsia"/>
          <w:sz w:val="24"/>
          <w:szCs w:val="24"/>
        </w:rPr>
        <w:t xml:space="preserve">服务要求：</w:t>
      </w:r>
      <w:r>
        <w:rPr>
          <w:sz w:val="24"/>
          <w:szCs w:val="24"/>
          <w:u w:val="single"/>
        </w:rPr>
        <w:t xml:space="preserve">      </w:t>
      </w:r>
      <w:r>
        <w:rPr>
          <w:rFonts w:hint="eastAsia"/>
          <w:sz w:val="24"/>
          <w:szCs w:val="24"/>
        </w:rPr>
        <w:t xml:space="preserve">。</w:t>
      </w:r>
      <w:r>
        <w:rPr>
          <w:sz w:val="24"/>
          <w:szCs w:val="24"/>
        </w:rPr>
      </w:r>
      <w:r/>
    </w:p>
    <w:p>
      <w:pPr>
        <w:pStyle w:val="651"/>
        <w:ind w:firstLine="480"/>
        <w:jc w:val="left"/>
        <w:spacing w:line="500" w:lineRule="exact"/>
        <w:rPr>
          <w:sz w:val="24"/>
          <w:szCs w:val="24"/>
        </w:rPr>
      </w:pPr>
      <w:r>
        <w:rPr>
          <w:sz w:val="24"/>
          <w:szCs w:val="24"/>
        </w:rPr>
        <w:t xml:space="preserve">1.3 </w:t>
      </w:r>
      <w:r>
        <w:rPr>
          <w:rFonts w:hint="eastAsia"/>
          <w:sz w:val="24"/>
          <w:szCs w:val="24"/>
        </w:rPr>
        <w:t xml:space="preserve">服务标准：</w:t>
      </w:r>
      <w:r>
        <w:rPr>
          <w:sz w:val="24"/>
          <w:szCs w:val="24"/>
          <w:u w:val="single"/>
        </w:rPr>
        <w:t xml:space="preserve">      </w:t>
      </w:r>
      <w:r>
        <w:rPr>
          <w:rFonts w:hint="eastAsia"/>
          <w:sz w:val="24"/>
          <w:szCs w:val="24"/>
        </w:rPr>
        <w:t xml:space="preserve">。</w:t>
      </w:r>
      <w:r>
        <w:rPr>
          <w:sz w:val="24"/>
          <w:szCs w:val="24"/>
        </w:rPr>
      </w:r>
      <w:r/>
    </w:p>
    <w:p>
      <w:pPr>
        <w:pStyle w:val="651"/>
        <w:ind w:firstLine="480"/>
        <w:jc w:val="left"/>
        <w:spacing w:line="500" w:lineRule="exact"/>
        <w:rPr>
          <w:sz w:val="24"/>
          <w:szCs w:val="24"/>
        </w:rPr>
      </w:pPr>
      <w:r>
        <w:rPr>
          <w:sz w:val="24"/>
          <w:szCs w:val="24"/>
        </w:rPr>
        <w:t xml:space="preserve">1.4 </w:t>
      </w:r>
      <w:r>
        <w:rPr>
          <w:rFonts w:hint="eastAsia"/>
          <w:sz w:val="24"/>
          <w:szCs w:val="24"/>
        </w:rPr>
        <w:t xml:space="preserve">补充条款：</w:t>
      </w:r>
      <w:r>
        <w:rPr>
          <w:sz w:val="24"/>
          <w:szCs w:val="24"/>
          <w:u w:val="single"/>
        </w:rPr>
        <w:t xml:space="preserve">      </w:t>
      </w:r>
      <w:r>
        <w:rPr>
          <w:rFonts w:hint="eastAsia"/>
          <w:sz w:val="24"/>
          <w:szCs w:val="24"/>
        </w:rPr>
        <w:t xml:space="preserve">。</w:t>
      </w:r>
      <w:r>
        <w:rPr>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2.1 </w:t>
      </w:r>
      <w:r>
        <w:rPr>
          <w:rFonts w:hint="eastAsia"/>
          <w:sz w:val="24"/>
          <w:szCs w:val="24"/>
        </w:rPr>
        <w:t xml:space="preserve">本合同金额为人民币（大写）：</w:t>
      </w:r>
      <w:r>
        <w:rPr>
          <w:sz w:val="24"/>
          <w:szCs w:val="24"/>
          <w:u w:val="single"/>
        </w:rPr>
        <w:t xml:space="preserve">     </w:t>
      </w:r>
      <w:r>
        <w:rPr>
          <w:rFonts w:hint="eastAsia"/>
          <w:sz w:val="24"/>
          <w:szCs w:val="24"/>
        </w:rPr>
        <w:t xml:space="preserve">元（</w:t>
      </w:r>
      <w:r>
        <w:rPr>
          <w:sz w:val="24"/>
          <w:szCs w:val="24"/>
        </w:rPr>
        <w:t xml:space="preserve">¥</w:t>
      </w:r>
      <w:r>
        <w:rPr>
          <w:sz w:val="24"/>
          <w:szCs w:val="24"/>
          <w:u w:val="single"/>
        </w:rPr>
        <w:t xml:space="preserve">     </w:t>
      </w:r>
      <w:r>
        <w:rPr>
          <w:rFonts w:hint="eastAsia"/>
          <w:sz w:val="24"/>
          <w:szCs w:val="24"/>
        </w:rPr>
        <w:t xml:space="preserve">）。</w:t>
      </w:r>
      <w:r>
        <w:rPr>
          <w:rFonts w:hint="eastAsia" w:ascii="Calibri" w:hAnsi="Calibri"/>
          <w:sz w:val="24"/>
          <w:szCs w:val="24"/>
        </w:rPr>
      </w:r>
      <w:r/>
    </w:p>
    <w:p>
      <w:pPr>
        <w:pStyle w:val="651"/>
        <w:ind w:firstLine="480"/>
        <w:jc w:val="left"/>
        <w:spacing w:line="500" w:lineRule="exact"/>
        <w:rPr>
          <w:sz w:val="24"/>
          <w:szCs w:val="24"/>
        </w:rPr>
      </w:pPr>
      <w:r>
        <w:rPr>
          <w:sz w:val="24"/>
          <w:szCs w:val="24"/>
        </w:rPr>
        <w:t xml:space="preserve">2.2 </w:t>
      </w:r>
      <w:r>
        <w:rPr>
          <w:rFonts w:hint="eastAsia"/>
          <w:sz w:val="24"/>
          <w:szCs w:val="24"/>
        </w:rPr>
        <w:t xml:space="preserve">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3.1 </w:t>
      </w:r>
      <w:r>
        <w:rPr>
          <w:rFonts w:hint="eastAsia"/>
          <w:sz w:val="24"/>
          <w:szCs w:val="24"/>
        </w:rPr>
        <w:t xml:space="preserve">乙方应按招标文件规定的时间向甲方提供有关技术资料。</w:t>
      </w:r>
      <w:r>
        <w:rPr>
          <w:rFonts w:hint="eastAsia" w:ascii="Calibri" w:hAnsi="Calibri"/>
          <w:sz w:val="24"/>
          <w:szCs w:val="24"/>
        </w:rPr>
      </w:r>
      <w:r/>
    </w:p>
    <w:p>
      <w:pPr>
        <w:pStyle w:val="651"/>
        <w:ind w:firstLine="480"/>
        <w:jc w:val="left"/>
        <w:spacing w:line="500" w:lineRule="exact"/>
        <w:rPr>
          <w:sz w:val="24"/>
          <w:szCs w:val="24"/>
        </w:rPr>
      </w:pPr>
      <w:r>
        <w:rPr>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rPr>
          <w:rFonts w:hint="eastAsia" w:ascii="Calibri" w:hAnsi="Calibri"/>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5.1 </w:t>
      </w:r>
      <w:r>
        <w:rPr>
          <w:rFonts w:hint="eastAsia"/>
          <w:sz w:val="24"/>
          <w:szCs w:val="24"/>
        </w:rPr>
        <w:t xml:space="preserve">乙方保证所交付标的的所有权完全属于乙方且无任何抵押、查封等产权瑕疵。</w:t>
      </w:r>
      <w:r>
        <w:rPr>
          <w:rFonts w:hint="eastAsia" w:ascii="Calibri" w:hAnsi="Calibri"/>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6.1 </w:t>
      </w:r>
      <w:r>
        <w:rPr>
          <w:rFonts w:hint="eastAsia"/>
          <w:sz w:val="24"/>
          <w:szCs w:val="24"/>
        </w:rPr>
        <w:t xml:space="preserve">本合同不收取履约保证金。</w:t>
      </w:r>
      <w:r>
        <w:rPr>
          <w:rFonts w:hint="eastAsia" w:ascii="Calibri" w:hAnsi="Calibri"/>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651"/>
        <w:ind w:firstLine="480"/>
        <w:jc w:val="left"/>
        <w:spacing w:line="500" w:lineRule="exact"/>
        <w:rPr>
          <w:rFonts w:hint="eastAsia"/>
          <w:sz w:val="24"/>
          <w:szCs w:val="24"/>
        </w:rPr>
      </w:pPr>
      <w:r>
        <w:rPr>
          <w:sz w:val="24"/>
          <w:szCs w:val="24"/>
        </w:rPr>
        <w:t xml:space="preserve">7.1 </w:t>
      </w:r>
      <w:r>
        <w:rPr>
          <w:rFonts w:hint="eastAsia"/>
          <w:sz w:val="24"/>
          <w:szCs w:val="24"/>
        </w:rPr>
        <w:t xml:space="preserve">本合同范围内产品或服务，乙方不得转包或转让给任何第三方。乙方在投标文件中已载明拟分包承担主体及分包内容的，可按投标文件所列明的分包范围、分包承担主体进行分包；投标文件中未载明分包的，乙方不得以任何形式将本合同项下货物分包给第三方供应。</w:t>
      </w:r>
      <w:r/>
    </w:p>
    <w:p>
      <w:pPr>
        <w:pStyle w:val="651"/>
        <w:ind w:firstLine="480"/>
        <w:jc w:val="left"/>
        <w:spacing w:line="500" w:lineRule="exact"/>
        <w:rPr>
          <w:sz w:val="24"/>
          <w:szCs w:val="24"/>
        </w:rPr>
      </w:pPr>
      <w:r>
        <w:rPr>
          <w:sz w:val="24"/>
          <w:szCs w:val="24"/>
        </w:rPr>
        <w:t xml:space="preserve">7.2 </w:t>
      </w:r>
      <w:r>
        <w:rPr>
          <w:rFonts w:hint="eastAsia"/>
          <w:sz w:val="24"/>
          <w:szCs w:val="24"/>
        </w:rPr>
        <w:t xml:space="preserve">如有转让和未经甲方同意的分包行为，甲方有权终止合同。</w:t>
      </w:r>
      <w:r>
        <w:rPr>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651"/>
        <w:ind w:firstLine="480"/>
        <w:jc w:val="left"/>
        <w:spacing w:line="500" w:lineRule="exact"/>
        <w:rPr>
          <w:rFonts w:hint="eastAsia" w:ascii="黑体" w:hAnsi="黑体" w:eastAsia="黑体"/>
          <w:sz w:val="24"/>
          <w:szCs w:val="24"/>
        </w:rPr>
      </w:pPr>
      <w:r>
        <w:rPr>
          <w:sz w:val="24"/>
          <w:szCs w:val="24"/>
        </w:rPr>
        <w:t xml:space="preserve">8.1 </w:t>
      </w:r>
      <w:r>
        <w:rPr>
          <w:rFonts w:hint="eastAsia"/>
          <w:sz w:val="24"/>
          <w:szCs w:val="24"/>
        </w:rPr>
        <w:t xml:space="preserve">服务时间：</w:t>
      </w:r>
      <w:r>
        <w:rPr>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pStyle w:val="651"/>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九、合同内容的交付</w:t>
      </w:r>
      <w:r/>
    </w:p>
    <w:p>
      <w:pPr>
        <w:pStyle w:val="651"/>
        <w:ind w:firstLine="480"/>
        <w:jc w:val="left"/>
        <w:spacing w:line="500" w:lineRule="exact"/>
        <w:rPr>
          <w:rFonts w:hint="eastAsia" w:ascii="Calibri" w:hAnsi="Calibri"/>
          <w:sz w:val="24"/>
          <w:szCs w:val="24"/>
        </w:rPr>
      </w:pPr>
      <w:r>
        <w:rPr>
          <w:sz w:val="24"/>
          <w:szCs w:val="24"/>
        </w:rPr>
        <w:t xml:space="preserve">9.1 </w:t>
      </w:r>
      <w:r>
        <w:rPr>
          <w:rFonts w:hint="eastAsia"/>
          <w:sz w:val="24"/>
          <w:szCs w:val="24"/>
        </w:rPr>
        <w:t xml:space="preserve">交</w:t>
      </w:r>
      <w:r>
        <w:rPr>
          <w:sz w:val="24"/>
          <w:szCs w:val="24"/>
        </w:rPr>
        <w:t xml:space="preserve"> </w:t>
      </w:r>
      <w:r>
        <w:rPr>
          <w:rFonts w:hint="eastAsia"/>
          <w:sz w:val="24"/>
          <w:szCs w:val="24"/>
        </w:rPr>
        <w:t xml:space="preserve">付</w:t>
      </w:r>
      <w:r>
        <w:rPr>
          <w:sz w:val="24"/>
          <w:szCs w:val="24"/>
        </w:rPr>
        <w:t xml:space="preserve"> </w:t>
      </w:r>
      <w:r>
        <w:rPr>
          <w:rFonts w:hint="eastAsia"/>
          <w:sz w:val="24"/>
          <w:szCs w:val="24"/>
        </w:rPr>
        <w:t xml:space="preserve">期：</w:t>
      </w:r>
      <w:r>
        <w:rPr>
          <w:sz w:val="24"/>
          <w:szCs w:val="24"/>
        </w:rPr>
        <w:t xml:space="preserve">_________</w:t>
      </w:r>
      <w:r>
        <w:rPr>
          <w:rFonts w:hint="eastAsia"/>
          <w:sz w:val="24"/>
          <w:szCs w:val="24"/>
        </w:rPr>
        <w:t xml:space="preserve">。</w:t>
      </w:r>
      <w:r>
        <w:rPr>
          <w:rFonts w:hint="eastAsia" w:ascii="Calibri" w:hAnsi="Calibri"/>
          <w:sz w:val="24"/>
          <w:szCs w:val="24"/>
        </w:rPr>
      </w:r>
      <w:r/>
    </w:p>
    <w:p>
      <w:pPr>
        <w:pStyle w:val="651"/>
        <w:ind w:firstLine="480"/>
        <w:jc w:val="left"/>
        <w:spacing w:line="500" w:lineRule="exact"/>
        <w:rPr>
          <w:sz w:val="24"/>
          <w:szCs w:val="24"/>
        </w:rPr>
      </w:pPr>
      <w:r>
        <w:rPr>
          <w:sz w:val="24"/>
          <w:szCs w:val="24"/>
        </w:rPr>
        <w:t xml:space="preserve">9.2 </w:t>
      </w:r>
      <w:r>
        <w:rPr>
          <w:rFonts w:hint="eastAsia"/>
          <w:sz w:val="24"/>
          <w:szCs w:val="24"/>
        </w:rPr>
        <w:t xml:space="preserve">交付方式：</w:t>
      </w:r>
      <w:r>
        <w:rPr>
          <w:sz w:val="24"/>
          <w:szCs w:val="24"/>
        </w:rPr>
        <w:t xml:space="preserve">_________</w:t>
      </w:r>
      <w:r>
        <w:rPr>
          <w:rFonts w:hint="eastAsia"/>
          <w:sz w:val="24"/>
          <w:szCs w:val="24"/>
        </w:rPr>
        <w:t xml:space="preserve">。</w:t>
      </w:r>
      <w:r>
        <w:rPr>
          <w:sz w:val="24"/>
          <w:szCs w:val="24"/>
        </w:rPr>
      </w:r>
      <w:r/>
    </w:p>
    <w:p>
      <w:pPr>
        <w:pStyle w:val="651"/>
        <w:ind w:firstLine="480"/>
        <w:jc w:val="left"/>
        <w:spacing w:line="500" w:lineRule="exact"/>
        <w:rPr>
          <w:sz w:val="24"/>
          <w:szCs w:val="24"/>
        </w:rPr>
      </w:pPr>
      <w:r>
        <w:rPr>
          <w:sz w:val="24"/>
          <w:szCs w:val="24"/>
        </w:rPr>
        <w:t xml:space="preserve">9.3 </w:t>
      </w:r>
      <w:r>
        <w:rPr>
          <w:rFonts w:hint="eastAsia"/>
          <w:sz w:val="24"/>
          <w:szCs w:val="24"/>
        </w:rPr>
        <w:t xml:space="preserve">交付地点：</w:t>
      </w:r>
      <w:r>
        <w:rPr>
          <w:sz w:val="24"/>
          <w:szCs w:val="24"/>
        </w:rPr>
        <w:t xml:space="preserve">_________</w:t>
      </w:r>
      <w:r>
        <w:rPr>
          <w:rFonts w:hint="eastAsia"/>
          <w:sz w:val="24"/>
          <w:szCs w:val="24"/>
        </w:rPr>
        <w:t xml:space="preserve">。</w:t>
      </w:r>
      <w:r>
        <w:rPr>
          <w:sz w:val="24"/>
          <w:szCs w:val="24"/>
        </w:rPr>
      </w:r>
      <w:r/>
    </w:p>
    <w:p>
      <w:pPr>
        <w:pStyle w:val="651"/>
        <w:ind w:firstLine="480"/>
        <w:jc w:val="left"/>
        <w:spacing w:line="500" w:lineRule="exact"/>
        <w:rPr>
          <w:sz w:val="24"/>
          <w:szCs w:val="24"/>
        </w:rPr>
      </w:pPr>
      <w:r>
        <w:rPr>
          <w:sz w:val="24"/>
          <w:szCs w:val="24"/>
        </w:rPr>
        <w:t xml:space="preserve">9.4 </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651"/>
        <w:ind w:firstLine="480"/>
        <w:jc w:val="left"/>
        <w:spacing w:line="500" w:lineRule="exact"/>
        <w:rPr>
          <w:sz w:val="24"/>
          <w:szCs w:val="24"/>
        </w:rPr>
      </w:pPr>
      <w:r>
        <w:rPr>
          <w:sz w:val="24"/>
          <w:szCs w:val="24"/>
        </w:rPr>
        <w:t xml:space="preserve">9.5 </w:t>
      </w:r>
      <w:r>
        <w:rPr>
          <w:rFonts w:hint="eastAsia"/>
          <w:sz w:val="24"/>
          <w:szCs w:val="24"/>
        </w:rPr>
        <w:t xml:space="preserve">乙方在合同标的交付甲方</w:t>
      </w:r>
      <w:r>
        <w:rPr>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rPr>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651"/>
        <w:ind w:firstLine="480"/>
        <w:jc w:val="left"/>
        <w:spacing w:line="500" w:lineRule="exact"/>
        <w:rPr>
          <w:rFonts w:hint="eastAsia" w:ascii="Calibri" w:hAnsi="Calibri"/>
          <w:sz w:val="24"/>
          <w:szCs w:val="24"/>
          <w:u w:val="single"/>
        </w:rPr>
      </w:pPr>
      <w:r>
        <w:rPr>
          <w:sz w:val="24"/>
          <w:szCs w:val="24"/>
        </w:rPr>
        <w:t xml:space="preserve">10.1 </w:t>
      </w:r>
      <w:r>
        <w:rPr>
          <w:rFonts w:hint="eastAsia"/>
          <w:sz w:val="24"/>
          <w:szCs w:val="24"/>
        </w:rPr>
        <w:t xml:space="preserve">付款方式：</w:t>
      </w:r>
      <w:r>
        <w:rPr>
          <w:rFonts w:hint="eastAsia"/>
          <w:sz w:val="24"/>
          <w:szCs w:val="24"/>
          <w:u w:val="single"/>
        </w:rPr>
        <w:t xml:space="preserve">1）项目合同签订后，支付总额的30%为预付款；2）初步验收合格后支付总额的40%；3）项目终验合格后，支付总额的30%。</w:t>
      </w:r>
      <w:r>
        <w:rPr>
          <w:rFonts w:hint="eastAsia" w:ascii="Calibri" w:hAnsi="Calibri"/>
          <w:sz w:val="24"/>
          <w:szCs w:val="24"/>
          <w:u w:val="single"/>
        </w:rPr>
      </w:r>
      <w:r/>
    </w:p>
    <w:p>
      <w:pPr>
        <w:pStyle w:val="651"/>
        <w:ind w:firstLine="480"/>
        <w:jc w:val="left"/>
        <w:spacing w:line="500" w:lineRule="exact"/>
        <w:rPr>
          <w:rFonts w:hint="eastAsia"/>
          <w:sz w:val="24"/>
          <w:szCs w:val="24"/>
        </w:rPr>
      </w:pPr>
      <w:r>
        <w:rPr>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当采购数量与实际使用数量不一致时，乙方应根据实际使用量提供产品和服务，合同的最终结算金额按实际使用量乘以中标单价计算。</w:t>
      </w:r>
      <w:r/>
    </w:p>
    <w:p>
      <w:pPr>
        <w:pStyle w:val="651"/>
        <w:ind w:firstLine="480"/>
        <w:jc w:val="left"/>
        <w:spacing w:line="500" w:lineRule="exact"/>
        <w:rPr>
          <w:rFonts w:hint="eastAsia"/>
          <w:sz w:val="24"/>
          <w:szCs w:val="24"/>
        </w:rPr>
      </w:pPr>
      <w:r>
        <w:rPr>
          <w:rFonts w:hint="eastAsia"/>
          <w:sz w:val="24"/>
          <w:szCs w:val="24"/>
        </w:rPr>
        <w:t xml:space="preserve">10.3每次付款前乙方向甲方开具正规发票，甲方自收到发票后10工作日内将资金支付至合同约定的乙方账户（发票开具日期计算）</w:t>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11.1 </w:t>
      </w:r>
      <w:r>
        <w:rPr>
          <w:rFonts w:hint="eastAsia"/>
          <w:sz w:val="24"/>
          <w:szCs w:val="24"/>
        </w:rPr>
        <w:t xml:space="preserve">本合同执行中相关的一切税费均由乙方负担。</w:t>
      </w:r>
      <w:r>
        <w:rPr>
          <w:rFonts w:hint="eastAsia" w:ascii="Calibri" w:hAnsi="Calibri"/>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12.1 </w:t>
      </w:r>
      <w:r>
        <w:rPr>
          <w:rFonts w:hint="eastAsia"/>
          <w:sz w:val="24"/>
          <w:szCs w:val="24"/>
        </w:rPr>
        <w:t xml:space="preserve">乙方应按招标文件规定和投标文件承诺的性能、技术要求、质量标准向甲方提供产品或服务。</w:t>
      </w:r>
      <w:r>
        <w:rPr>
          <w:rFonts w:hint="eastAsia" w:ascii="Calibri" w:hAnsi="Calibri"/>
          <w:sz w:val="24"/>
          <w:szCs w:val="24"/>
        </w:rPr>
      </w:r>
      <w:r/>
    </w:p>
    <w:p>
      <w:pPr>
        <w:pStyle w:val="651"/>
        <w:ind w:firstLine="480"/>
        <w:jc w:val="left"/>
        <w:spacing w:line="500" w:lineRule="exact"/>
        <w:rPr>
          <w:sz w:val="24"/>
          <w:szCs w:val="24"/>
        </w:rPr>
      </w:pPr>
      <w:r>
        <w:rPr>
          <w:sz w:val="24"/>
          <w:szCs w:val="24"/>
        </w:rPr>
        <w:t xml:space="preserve">12.2 </w:t>
      </w:r>
      <w:r>
        <w:rPr>
          <w:rFonts w:hint="eastAsia"/>
          <w:sz w:val="24"/>
          <w:szCs w:val="24"/>
        </w:rPr>
        <w:t xml:space="preserve">乙方提供的产品或服务在服务期内因其本身出现质量问题，根据实际情况，经双方协商，可按以下办法处理：</w:t>
      </w:r>
      <w:r>
        <w:rPr>
          <w:sz w:val="24"/>
          <w:szCs w:val="24"/>
        </w:rPr>
      </w:r>
      <w:r/>
    </w:p>
    <w:p>
      <w:pPr>
        <w:pStyle w:val="651"/>
        <w:ind w:firstLine="480"/>
        <w:jc w:val="left"/>
        <w:spacing w:line="50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）更换：由乙方承担所产生的全部费用。</w:t>
      </w:r>
      <w:r>
        <w:rPr>
          <w:sz w:val="24"/>
          <w:szCs w:val="24"/>
        </w:rPr>
      </w:r>
      <w:r/>
    </w:p>
    <w:p>
      <w:pPr>
        <w:pStyle w:val="651"/>
        <w:ind w:firstLine="480"/>
        <w:jc w:val="left"/>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rPr>
          <w:sz w:val="24"/>
          <w:szCs w:val="24"/>
        </w:rPr>
      </w:r>
      <w:r/>
    </w:p>
    <w:p>
      <w:pPr>
        <w:pStyle w:val="651"/>
        <w:ind w:firstLine="480"/>
        <w:jc w:val="left"/>
        <w:spacing w:line="500" w:lineRule="exact"/>
        <w:rPr>
          <w:sz w:val="24"/>
          <w:szCs w:val="24"/>
        </w:rPr>
      </w:pPr>
      <w:r>
        <w:rPr>
          <w:sz w:val="24"/>
          <w:szCs w:val="24"/>
        </w:rPr>
        <w:t xml:space="preserve">12.3 </w:t>
      </w:r>
      <w:r>
        <w:rPr>
          <w:rFonts w:hint="eastAsia"/>
          <w:sz w:val="24"/>
          <w:szCs w:val="24"/>
        </w:rPr>
        <w:t xml:space="preserve">如在使用过程中发生质量问题，乙方在接到甲方通知后</w:t>
      </w:r>
      <w:r>
        <w:rPr>
          <w:sz w:val="24"/>
          <w:szCs w:val="24"/>
          <w:u w:val="single"/>
        </w:rPr>
        <w:t xml:space="preserve">   </w:t>
      </w:r>
      <w:r>
        <w:rPr>
          <w:rFonts w:hint="eastAsia"/>
          <w:sz w:val="24"/>
          <w:szCs w:val="24"/>
        </w:rPr>
        <w:t xml:space="preserve">小时内到达甲方现场。</w:t>
      </w:r>
      <w:r>
        <w:rPr>
          <w:sz w:val="24"/>
          <w:szCs w:val="24"/>
        </w:rPr>
      </w:r>
      <w:r/>
    </w:p>
    <w:p>
      <w:pPr>
        <w:pStyle w:val="651"/>
        <w:ind w:firstLine="480"/>
        <w:jc w:val="left"/>
        <w:spacing w:line="500" w:lineRule="exact"/>
        <w:rPr>
          <w:rFonts w:hint="eastAsia"/>
          <w:sz w:val="24"/>
          <w:szCs w:val="24"/>
        </w:rPr>
      </w:pPr>
      <w:r>
        <w:rPr>
          <w:sz w:val="24"/>
          <w:szCs w:val="24"/>
        </w:rPr>
        <w:t xml:space="preserve">12.4 </w:t>
      </w:r>
      <w:r>
        <w:rPr>
          <w:rFonts w:hint="eastAsia"/>
          <w:sz w:val="24"/>
          <w:szCs w:val="24"/>
        </w:rPr>
        <w:t xml:space="preserve">在服务期内，乙方应对产品或服务出现的质量及安全问题负责处理解决并承担一切费用。</w:t>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13.1 </w:t>
      </w:r>
      <w:r>
        <w:rPr>
          <w:rFonts w:hint="eastAsia"/>
          <w:sz w:val="24"/>
          <w:szCs w:val="24"/>
        </w:rPr>
        <w:t xml:space="preserve">甲方依法组织履约验收工作。</w:t>
      </w:r>
      <w:r>
        <w:rPr>
          <w:rFonts w:hint="eastAsia" w:ascii="Calibri" w:hAnsi="Calibri"/>
          <w:sz w:val="24"/>
          <w:szCs w:val="24"/>
        </w:rPr>
      </w:r>
      <w:r/>
    </w:p>
    <w:p>
      <w:pPr>
        <w:pStyle w:val="651"/>
        <w:ind w:firstLine="480"/>
        <w:jc w:val="left"/>
        <w:spacing w:line="500" w:lineRule="exact"/>
        <w:rPr>
          <w:sz w:val="24"/>
          <w:szCs w:val="24"/>
        </w:rPr>
      </w:pPr>
      <w:r>
        <w:rPr>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651"/>
        <w:ind w:firstLine="480"/>
        <w:jc w:val="left"/>
        <w:spacing w:line="500" w:lineRule="exact"/>
        <w:rPr>
          <w:sz w:val="24"/>
          <w:szCs w:val="24"/>
        </w:rPr>
      </w:pPr>
      <w:r>
        <w:rPr>
          <w:sz w:val="24"/>
          <w:szCs w:val="24"/>
        </w:rPr>
        <w:t xml:space="preserve">13.3 </w:t>
      </w:r>
      <w:r>
        <w:rPr>
          <w:rFonts w:hint="eastAsia"/>
          <w:sz w:val="24"/>
          <w:szCs w:val="24"/>
        </w:rPr>
        <w:t xml:space="preserve">对于实际使用人和甲方分离的项目，甲方邀请实际使用人参与验收。</w:t>
      </w:r>
      <w:r>
        <w:rPr>
          <w:sz w:val="24"/>
          <w:szCs w:val="24"/>
        </w:rPr>
      </w:r>
      <w:r/>
    </w:p>
    <w:p>
      <w:pPr>
        <w:pStyle w:val="651"/>
        <w:ind w:firstLine="480"/>
        <w:jc w:val="left"/>
        <w:spacing w:line="500" w:lineRule="exact"/>
        <w:rPr>
          <w:sz w:val="24"/>
          <w:szCs w:val="24"/>
        </w:rPr>
      </w:pPr>
      <w:r>
        <w:rPr>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rPr>
          <w:sz w:val="24"/>
          <w:szCs w:val="24"/>
        </w:rPr>
      </w:r>
      <w:r/>
    </w:p>
    <w:p>
      <w:pPr>
        <w:pStyle w:val="651"/>
        <w:ind w:firstLine="480"/>
        <w:jc w:val="left"/>
        <w:spacing w:line="500" w:lineRule="exact"/>
        <w:rPr>
          <w:sz w:val="24"/>
          <w:szCs w:val="24"/>
        </w:rPr>
      </w:pPr>
      <w:r>
        <w:rPr>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rPr>
          <w:sz w:val="24"/>
          <w:szCs w:val="24"/>
        </w:rPr>
      </w:r>
      <w:r/>
    </w:p>
    <w:p>
      <w:pPr>
        <w:pStyle w:val="651"/>
        <w:ind w:firstLine="480"/>
        <w:jc w:val="left"/>
        <w:spacing w:line="500" w:lineRule="exact"/>
        <w:rPr>
          <w:rFonts w:hint="eastAsia"/>
          <w:sz w:val="24"/>
          <w:szCs w:val="24"/>
        </w:rPr>
      </w:pPr>
      <w:r>
        <w:rPr>
          <w:sz w:val="24"/>
          <w:szCs w:val="24"/>
        </w:rPr>
        <w:t xml:space="preserve">13.6 </w:t>
      </w:r>
      <w:r>
        <w:rPr>
          <w:rFonts w:hint="eastAsia"/>
          <w:sz w:val="24"/>
          <w:szCs w:val="24"/>
        </w:rPr>
        <w:t xml:space="preserve">验收合格的项目，甲方根据采购合同的约定及时向乙方支付合同款项。验收不合格的项目，甲方依法及时处理。采购合同的履行、违约责任和解决争议的方式等适用《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pStyle w:val="651"/>
        <w:ind w:firstLine="480"/>
        <w:jc w:val="left"/>
        <w:spacing w:line="500" w:lineRule="exact"/>
        <w:rPr>
          <w:rFonts w:hint="eastAsia"/>
          <w:sz w:val="24"/>
          <w:szCs w:val="24"/>
        </w:rPr>
      </w:pPr>
      <w:r>
        <w:rPr>
          <w:rFonts w:hint="eastAsia"/>
          <w:sz w:val="24"/>
          <w:szCs w:val="24"/>
        </w:rPr>
        <w:t xml:space="preserve">13.7投标人提供的软件系统本身知识产权归投标人所有；招标人获得本合同约定范围内永久的非独占使用权。本项目实施过程中由招标人提出并专门定制开发的二次改造、定制功能成果知识产权归招标人所有。招标人业务数据全部归属招标人。</w:t>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14.1 </w:t>
      </w:r>
      <w:r>
        <w:rPr>
          <w:rFonts w:hint="eastAsia"/>
          <w:sz w:val="24"/>
          <w:szCs w:val="24"/>
        </w:rPr>
        <w:t xml:space="preserve">甲方无正当理由拒收的，甲方向乙方偿付拒收标的总额</w:t>
      </w:r>
      <w:r>
        <w:rPr>
          <w:sz w:val="24"/>
          <w:szCs w:val="24"/>
          <w:u w:val="single"/>
        </w:rPr>
        <w:t xml:space="preserve"> </w:t>
      </w:r>
      <w:r>
        <w:rPr>
          <w:rFonts w:hint="eastAsia"/>
          <w:sz w:val="24"/>
          <w:szCs w:val="24"/>
          <w:u w:val="single"/>
        </w:rPr>
        <w:t xml:space="preserve">百分之五</w:t>
      </w:r>
      <w:r>
        <w:rPr>
          <w:rFonts w:hint="eastAsia"/>
          <w:sz w:val="24"/>
          <w:szCs w:val="24"/>
        </w:rPr>
        <w:t xml:space="preserve">的违约金。</w:t>
      </w:r>
      <w:r>
        <w:rPr>
          <w:rFonts w:hint="eastAsia" w:ascii="Calibri" w:hAnsi="Calibri"/>
          <w:sz w:val="24"/>
          <w:szCs w:val="24"/>
        </w:rPr>
      </w:r>
      <w:r/>
    </w:p>
    <w:p>
      <w:pPr>
        <w:pStyle w:val="651"/>
        <w:ind w:firstLine="480"/>
        <w:jc w:val="left"/>
        <w:spacing w:line="500" w:lineRule="exact"/>
        <w:rPr>
          <w:sz w:val="24"/>
          <w:szCs w:val="24"/>
        </w:rPr>
      </w:pPr>
      <w:r>
        <w:rPr>
          <w:sz w:val="24"/>
          <w:szCs w:val="24"/>
        </w:rPr>
        <w:t xml:space="preserve">14.2 </w:t>
      </w:r>
      <w:r>
        <w:rPr>
          <w:rFonts w:hint="eastAsia"/>
          <w:sz w:val="24"/>
          <w:szCs w:val="24"/>
        </w:rPr>
        <w:t xml:space="preserve">甲方无故逾期验收和办理合同款支付手续的，甲方应按逾期付款总额每日</w:t>
      </w:r>
      <w:r>
        <w:rPr>
          <w:sz w:val="24"/>
          <w:szCs w:val="24"/>
          <w:u w:val="single"/>
        </w:rPr>
        <w:t xml:space="preserve"> </w:t>
      </w:r>
      <w:r>
        <w:rPr>
          <w:rFonts w:hint="eastAsia"/>
          <w:sz w:val="24"/>
          <w:szCs w:val="24"/>
          <w:u w:val="single"/>
        </w:rPr>
        <w:t xml:space="preserve">千分之五</w:t>
      </w:r>
      <w:r>
        <w:rPr>
          <w:sz w:val="24"/>
          <w:szCs w:val="24"/>
          <w:u w:val="single"/>
        </w:rPr>
        <w:t xml:space="preserve"> </w:t>
      </w:r>
      <w:r>
        <w:rPr>
          <w:rFonts w:hint="eastAsia"/>
          <w:sz w:val="24"/>
          <w:szCs w:val="24"/>
        </w:rPr>
        <w:t xml:space="preserve">向乙方支付违约金。</w:t>
      </w:r>
      <w:r>
        <w:rPr>
          <w:sz w:val="24"/>
          <w:szCs w:val="24"/>
        </w:rPr>
      </w:r>
      <w:r/>
    </w:p>
    <w:p>
      <w:pPr>
        <w:pStyle w:val="651"/>
        <w:ind w:firstLine="480"/>
        <w:jc w:val="left"/>
        <w:spacing w:line="500" w:lineRule="exact"/>
        <w:rPr>
          <w:sz w:val="24"/>
          <w:szCs w:val="24"/>
        </w:rPr>
      </w:pPr>
      <w:r>
        <w:rPr>
          <w:sz w:val="24"/>
          <w:szCs w:val="24"/>
        </w:rPr>
        <w:t xml:space="preserve">14.3 </w:t>
      </w:r>
      <w:r>
        <w:rPr>
          <w:rFonts w:hint="eastAsia"/>
          <w:sz w:val="24"/>
          <w:szCs w:val="24"/>
        </w:rPr>
        <w:t xml:space="preserve">乙方逾期交付合同标的的，乙方应按逾期交付总额每日</w:t>
      </w:r>
      <w:r>
        <w:rPr>
          <w:rFonts w:hint="eastAsia"/>
          <w:sz w:val="24"/>
          <w:szCs w:val="24"/>
          <w:u w:val="single"/>
        </w:rPr>
        <w:t xml:space="preserve">千分之五</w:t>
      </w:r>
      <w:r>
        <w:rPr>
          <w:sz w:val="24"/>
          <w:szCs w:val="24"/>
          <w:u w:val="single"/>
        </w:rPr>
        <w:t xml:space="preserve">  </w:t>
      </w:r>
      <w:r>
        <w:rPr>
          <w:rFonts w:hint="eastAsia"/>
          <w:sz w:val="24"/>
          <w:szCs w:val="24"/>
        </w:rPr>
        <w:t xml:space="preserve">向甲方支付违约金，由甲方从待付合同款中扣除。逾期超过约定日期</w:t>
      </w:r>
      <w:r>
        <w:rPr>
          <w:sz w:val="24"/>
          <w:szCs w:val="24"/>
          <w:u w:val="single"/>
        </w:rPr>
        <w:t xml:space="preserve"> </w:t>
      </w:r>
      <w:r>
        <w:rPr>
          <w:rFonts w:hint="eastAsia"/>
          <w:sz w:val="24"/>
          <w:szCs w:val="24"/>
          <w:u w:val="single"/>
        </w:rPr>
        <w:t xml:space="preserve">5个工作日</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30%</w:t>
      </w:r>
      <w:r>
        <w:rPr>
          <w:sz w:val="24"/>
          <w:szCs w:val="24"/>
          <w:u w:val="single"/>
        </w:rPr>
        <w:t xml:space="preserve"> </w:t>
      </w:r>
      <w:r>
        <w:rPr>
          <w:rFonts w:hint="eastAsia"/>
          <w:sz w:val="24"/>
          <w:szCs w:val="24"/>
        </w:rPr>
        <w:t xml:space="preserve">的违约金，如造成甲方损失超过违约金的，超出部分由乙方继续承担赔偿责任。</w:t>
      </w:r>
      <w:r>
        <w:rPr>
          <w:sz w:val="24"/>
          <w:szCs w:val="24"/>
        </w:rPr>
        <w:t xml:space="preserve"> </w:t>
      </w:r>
      <w:r/>
    </w:p>
    <w:p>
      <w:pPr>
        <w:pStyle w:val="651"/>
        <w:ind w:firstLine="480"/>
        <w:jc w:val="left"/>
        <w:spacing w:line="500" w:lineRule="exact"/>
        <w:rPr>
          <w:sz w:val="24"/>
          <w:szCs w:val="24"/>
        </w:rPr>
      </w:pPr>
      <w:r>
        <w:rPr>
          <w:sz w:val="24"/>
          <w:szCs w:val="24"/>
        </w:rPr>
        <w:t xml:space="preserve">14.4 </w:t>
      </w:r>
      <w:r>
        <w:rPr>
          <w:rFonts w:hint="eastAsia"/>
          <w:sz w:val="24"/>
          <w:szCs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同时乙方应按照本合同总价款的20%向甲方支付违约金并赔偿由此造成的一切损失，该损失包但不限于诉讼费、差旅费、鉴定费、评估费、律师代理费等为实现债权而支付的其他相关费用。</w:t>
      </w:r>
      <w:r>
        <w:rPr>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rPr>
          <w:rFonts w:hint="eastAsia" w:ascii="Calibri" w:hAnsi="Calibri"/>
          <w:sz w:val="24"/>
          <w:szCs w:val="24"/>
        </w:rPr>
      </w:r>
      <w:r/>
    </w:p>
    <w:p>
      <w:pPr>
        <w:pStyle w:val="651"/>
        <w:ind w:firstLine="480"/>
        <w:jc w:val="left"/>
        <w:spacing w:line="500" w:lineRule="exact"/>
        <w:rPr>
          <w:sz w:val="24"/>
          <w:szCs w:val="24"/>
        </w:rPr>
      </w:pPr>
      <w:r>
        <w:rPr>
          <w:sz w:val="24"/>
          <w:szCs w:val="24"/>
        </w:rPr>
        <w:t xml:space="preserve">15.2 </w:t>
      </w:r>
      <w:r>
        <w:rPr>
          <w:rFonts w:hint="eastAsia"/>
          <w:sz w:val="24"/>
          <w:szCs w:val="24"/>
        </w:rPr>
        <w:t xml:space="preserve">不可抗力事件发生后，应立即通知对方，并寄送有关权威机构出具的证明。</w:t>
      </w:r>
      <w:r>
        <w:rPr>
          <w:sz w:val="24"/>
          <w:szCs w:val="24"/>
        </w:rPr>
      </w:r>
      <w:r/>
    </w:p>
    <w:p>
      <w:pPr>
        <w:pStyle w:val="651"/>
        <w:ind w:firstLine="480"/>
        <w:jc w:val="left"/>
        <w:spacing w:line="500" w:lineRule="exact"/>
        <w:rPr>
          <w:sz w:val="24"/>
          <w:szCs w:val="24"/>
        </w:rPr>
      </w:pPr>
      <w:r>
        <w:rPr>
          <w:sz w:val="24"/>
          <w:szCs w:val="24"/>
        </w:rPr>
        <w:t xml:space="preserve">15.3 </w:t>
      </w:r>
      <w:r>
        <w:rPr>
          <w:rFonts w:hint="eastAsia"/>
          <w:sz w:val="24"/>
          <w:szCs w:val="24"/>
        </w:rPr>
        <w:t xml:space="preserve">不可抗力事件延续</w:t>
      </w:r>
      <w:r>
        <w:rPr>
          <w:sz w:val="24"/>
          <w:szCs w:val="24"/>
        </w:rPr>
        <w:t xml:space="preserve">120</w:t>
      </w:r>
      <w:r>
        <w:rPr>
          <w:rFonts w:hint="eastAsia"/>
          <w:sz w:val="24"/>
          <w:szCs w:val="24"/>
        </w:rPr>
        <w:t xml:space="preserve">天以上，双方应通过友好协商，确定是否继续履行合同。</w:t>
      </w:r>
      <w:r>
        <w:rPr>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16.1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sz w:val="24"/>
          <w:szCs w:val="24"/>
          <w:u w:val="single"/>
        </w:rPr>
        <w:t xml:space="preserve">1</w:t>
      </w:r>
      <w:r>
        <w:rPr>
          <w:rFonts w:hint="eastAsia"/>
          <w:sz w:val="24"/>
          <w:szCs w:val="24"/>
          <w:u w:val="single"/>
        </w:rPr>
        <w:t xml:space="preserve">）</w:t>
      </w:r>
      <w:r>
        <w:rPr>
          <w:rFonts w:hint="eastAsia"/>
          <w:sz w:val="24"/>
          <w:szCs w:val="24"/>
        </w:rPr>
        <w:t xml:space="preserve">种方式解决：</w:t>
      </w:r>
      <w:r>
        <w:rPr>
          <w:rFonts w:hint="eastAsia" w:ascii="Calibri" w:hAnsi="Calibri"/>
          <w:sz w:val="24"/>
          <w:szCs w:val="24"/>
        </w:rPr>
      </w:r>
      <w:r/>
    </w:p>
    <w:p>
      <w:pPr>
        <w:pStyle w:val="651"/>
        <w:ind w:firstLine="480"/>
        <w:jc w:val="left"/>
        <w:spacing w:line="50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）向连云港仲裁委员会申请仲裁。</w:t>
      </w:r>
      <w:r>
        <w:rPr>
          <w:sz w:val="24"/>
          <w:szCs w:val="24"/>
        </w:rPr>
      </w:r>
      <w:r/>
    </w:p>
    <w:p>
      <w:pPr>
        <w:pStyle w:val="651"/>
        <w:ind w:firstLine="480"/>
        <w:jc w:val="left"/>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）向合同签订地法院起诉，合同签订地在此约定为连云港市。</w:t>
      </w:r>
      <w:r>
        <w:rPr>
          <w:sz w:val="24"/>
          <w:szCs w:val="24"/>
        </w:rPr>
      </w:r>
      <w:r/>
    </w:p>
    <w:p>
      <w:pPr>
        <w:pStyle w:val="651"/>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651"/>
        <w:ind w:firstLine="480"/>
        <w:jc w:val="left"/>
        <w:spacing w:line="500" w:lineRule="exact"/>
        <w:rPr>
          <w:rFonts w:hint="eastAsia" w:ascii="Calibri" w:hAnsi="Calibri"/>
          <w:sz w:val="24"/>
          <w:szCs w:val="24"/>
        </w:rPr>
      </w:pPr>
      <w:r>
        <w:rPr>
          <w:sz w:val="24"/>
          <w:szCs w:val="24"/>
        </w:rPr>
        <w:t xml:space="preserve">17.1 </w:t>
      </w:r>
      <w:r>
        <w:rPr>
          <w:rFonts w:hint="eastAsia"/>
          <w:sz w:val="24"/>
          <w:szCs w:val="24"/>
        </w:rPr>
        <w:t xml:space="preserve">合同经双方法定代表人或授权代表签字并加盖单位公章后生效。</w:t>
      </w:r>
      <w:r>
        <w:rPr>
          <w:rFonts w:hint="eastAsia" w:ascii="Calibri" w:hAnsi="Calibri"/>
          <w:sz w:val="24"/>
          <w:szCs w:val="24"/>
        </w:rPr>
      </w:r>
      <w:r/>
    </w:p>
    <w:p>
      <w:pPr>
        <w:pStyle w:val="651"/>
        <w:ind w:firstLine="480"/>
        <w:jc w:val="left"/>
        <w:spacing w:line="500" w:lineRule="exact"/>
        <w:rPr>
          <w:sz w:val="24"/>
          <w:szCs w:val="24"/>
        </w:rPr>
      </w:pPr>
      <w:r>
        <w:rPr>
          <w:sz w:val="24"/>
          <w:szCs w:val="24"/>
        </w:rPr>
        <w:t xml:space="preserve">17.2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651"/>
        <w:ind w:firstLine="480"/>
        <w:jc w:val="left"/>
        <w:spacing w:line="500" w:lineRule="exact"/>
        <w:rPr>
          <w:sz w:val="24"/>
          <w:szCs w:val="24"/>
        </w:rPr>
      </w:pPr>
      <w:r>
        <w:rPr>
          <w:sz w:val="24"/>
          <w:szCs w:val="24"/>
        </w:rPr>
        <w:t xml:space="preserve">17.3 </w:t>
      </w:r>
      <w:r>
        <w:rPr>
          <w:rFonts w:hint="eastAsia"/>
          <w:sz w:val="24"/>
          <w:szCs w:val="24"/>
        </w:rPr>
        <w:t xml:space="preserve">本合同正本一式四份，具有同等法律效力，甲方执二份、乙方执一份，甲方报一份至政府采购监督管理部门。</w:t>
      </w:r>
      <w:r>
        <w:rPr>
          <w:sz w:val="24"/>
          <w:szCs w:val="24"/>
        </w:rPr>
      </w:r>
      <w:r/>
    </w:p>
    <w:p>
      <w:pPr>
        <w:pStyle w:val="651"/>
        <w:ind w:firstLine="480"/>
        <w:jc w:val="left"/>
        <w:spacing w:line="500" w:lineRule="exact"/>
        <w:rPr>
          <w:sz w:val="24"/>
          <w:szCs w:val="24"/>
        </w:rPr>
      </w:pPr>
      <w:r>
        <w:rPr>
          <w:sz w:val="24"/>
          <w:szCs w:val="24"/>
        </w:rPr>
      </w:r>
      <w:r/>
    </w:p>
    <w:p>
      <w:pPr>
        <w:pStyle w:val="651"/>
        <w:ind w:firstLine="480"/>
        <w:jc w:val="left"/>
        <w:spacing w:line="500" w:lineRule="exact"/>
        <w:rPr>
          <w:sz w:val="24"/>
          <w:szCs w:val="24"/>
        </w:rPr>
      </w:pPr>
      <w:r>
        <w:rPr>
          <w:sz w:val="24"/>
          <w:szCs w:val="24"/>
        </w:rPr>
      </w:r>
      <w:r/>
    </w:p>
    <w:p>
      <w:pPr>
        <w:pStyle w:val="651"/>
        <w:ind w:firstLine="480"/>
        <w:jc w:val="left"/>
        <w:spacing w:line="500" w:lineRule="exact"/>
        <w:rPr>
          <w:sz w:val="24"/>
          <w:szCs w:val="24"/>
        </w:rPr>
      </w:pPr>
      <w:r>
        <w:rPr>
          <w:rFonts w:hint="eastAsia"/>
          <w:sz w:val="24"/>
          <w:szCs w:val="24"/>
        </w:rPr>
        <w:t xml:space="preserve">甲方：</w:t>
      </w:r>
      <w:r>
        <w:rPr>
          <w:sz w:val="24"/>
          <w:szCs w:val="24"/>
        </w:rPr>
        <w:t xml:space="preserve">                        </w:t>
      </w:r>
      <w:r>
        <w:rPr>
          <w:rFonts w:hint="eastAsia"/>
          <w:sz w:val="24"/>
          <w:szCs w:val="24"/>
        </w:rPr>
        <w:t xml:space="preserve">乙方：</w:t>
      </w:r>
      <w:r>
        <w:rPr>
          <w:sz w:val="24"/>
          <w:szCs w:val="24"/>
        </w:rPr>
        <w:t xml:space="preserve"> </w:t>
      </w:r>
      <w:r/>
    </w:p>
    <w:p>
      <w:pPr>
        <w:pStyle w:val="651"/>
        <w:ind w:firstLine="480"/>
        <w:jc w:val="left"/>
        <w:spacing w:line="500" w:lineRule="exact"/>
        <w:rPr>
          <w:sz w:val="24"/>
          <w:szCs w:val="24"/>
        </w:rPr>
      </w:pPr>
      <w:r>
        <w:rPr>
          <w:rFonts w:hint="eastAsia"/>
          <w:sz w:val="24"/>
          <w:szCs w:val="24"/>
        </w:rPr>
        <w:t xml:space="preserve">地址：</w:t>
      </w:r>
      <w:r>
        <w:rPr>
          <w:sz w:val="24"/>
          <w:szCs w:val="24"/>
        </w:rPr>
        <w:t xml:space="preserve">                        </w:t>
      </w:r>
      <w:r>
        <w:rPr>
          <w:rFonts w:hint="eastAsia"/>
          <w:sz w:val="24"/>
          <w:szCs w:val="24"/>
        </w:rPr>
        <w:t xml:space="preserve">地址：</w:t>
      </w:r>
      <w:r>
        <w:rPr>
          <w:sz w:val="24"/>
          <w:szCs w:val="24"/>
        </w:rPr>
        <w:t xml:space="preserve"> </w:t>
      </w:r>
      <w:r/>
    </w:p>
    <w:p>
      <w:pPr>
        <w:pStyle w:val="651"/>
        <w:ind w:firstLine="480"/>
        <w:jc w:val="left"/>
        <w:spacing w:line="500" w:lineRule="exact"/>
        <w:rPr>
          <w:sz w:val="24"/>
          <w:szCs w:val="24"/>
        </w:rPr>
      </w:pPr>
      <w:r>
        <w:rPr>
          <w:rFonts w:hint="eastAsia"/>
          <w:sz w:val="24"/>
          <w:szCs w:val="24"/>
        </w:rPr>
        <w:t xml:space="preserve">法定代表人或授权代表：</w:t>
      </w:r>
      <w:r>
        <w:rPr>
          <w:sz w:val="24"/>
          <w:szCs w:val="24"/>
        </w:rPr>
        <w:t xml:space="preserve">        </w:t>
      </w:r>
      <w:r>
        <w:rPr>
          <w:rFonts w:hint="eastAsia"/>
          <w:sz w:val="24"/>
          <w:szCs w:val="24"/>
        </w:rPr>
        <w:t xml:space="preserve">法定代表人或授权代表：</w:t>
      </w:r>
      <w:r>
        <w:rPr>
          <w:sz w:val="24"/>
          <w:szCs w:val="24"/>
        </w:rPr>
      </w:r>
      <w:r/>
    </w:p>
    <w:p>
      <w:pPr>
        <w:pStyle w:val="651"/>
        <w:ind w:firstLine="480"/>
        <w:jc w:val="left"/>
        <w:spacing w:line="500" w:lineRule="exact"/>
        <w:rPr>
          <w:sz w:val="24"/>
          <w:szCs w:val="24"/>
        </w:rPr>
      </w:pPr>
      <w:r>
        <w:rPr>
          <w:rFonts w:hint="eastAsia"/>
          <w:sz w:val="24"/>
          <w:szCs w:val="24"/>
        </w:rPr>
        <w:t xml:space="preserve">联系电话：</w:t>
      </w:r>
      <w:r>
        <w:rPr>
          <w:sz w:val="24"/>
          <w:szCs w:val="24"/>
        </w:rPr>
        <w:t xml:space="preserve">                    </w:t>
      </w:r>
      <w:r>
        <w:rPr>
          <w:rFonts w:hint="eastAsia"/>
          <w:sz w:val="24"/>
          <w:szCs w:val="24"/>
        </w:rPr>
        <w:t xml:space="preserve">联系电话：</w:t>
      </w:r>
      <w:r>
        <w:rPr>
          <w:sz w:val="24"/>
          <w:szCs w:val="24"/>
        </w:rPr>
        <w:t xml:space="preserve">     </w:t>
      </w:r>
      <w:r/>
    </w:p>
    <w:p>
      <w:pPr>
        <w:pStyle w:val="651"/>
        <w:ind w:firstLine="480"/>
        <w:jc w:val="left"/>
        <w:spacing w:line="500" w:lineRule="exact"/>
        <w:rPr>
          <w:sz w:val="24"/>
          <w:szCs w:val="24"/>
        </w:rPr>
      </w:pPr>
      <w:r>
        <w:rPr>
          <w:sz w:val="24"/>
          <w:szCs w:val="24"/>
        </w:rPr>
        <w:t xml:space="preserve">                                     </w:t>
      </w:r>
      <w:r/>
    </w:p>
    <w:p>
      <w:pPr>
        <w:pStyle w:val="651"/>
        <w:ind w:firstLine="480"/>
        <w:jc w:val="left"/>
        <w:spacing w:line="500" w:lineRule="exact"/>
        <w:rPr>
          <w:sz w:val="24"/>
          <w:szCs w:val="24"/>
        </w:rPr>
      </w:pPr>
      <w:r>
        <w:rPr>
          <w:rFonts w:hint="eastAsia"/>
          <w:sz w:val="24"/>
          <w:szCs w:val="24"/>
        </w:rPr>
        <w:t xml:space="preserve">签订日期：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rPr>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1"/>
        <w:jc w:val="left"/>
        <w:widowControl/>
        <w:rPr>
          <w:rFonts w:hint="eastAsia"/>
          <w:sz w:val="24"/>
          <w:szCs w:val="24"/>
        </w:rPr>
      </w:pPr>
      <w:r>
        <w:rPr>
          <w:rFonts w:hint="eastAsia"/>
          <w:sz w:val="24"/>
          <w:szCs w:val="24"/>
        </w:rPr>
      </w:r>
      <w:r/>
    </w:p>
    <w:p>
      <w:pPr>
        <w:pStyle w:val="652"/>
        <w:numPr>
          <w:ilvl w:val="0"/>
          <w:numId w:val="7"/>
        </w:numPr>
        <w:jc w:val="center"/>
        <w:spacing w:line="360" w:lineRule="auto"/>
        <w:rPr>
          <w:rFonts w:ascii="黑体" w:hAnsi="黑体" w:eastAsia="黑体"/>
          <w:b w:val="0"/>
        </w:rPr>
      </w:pPr>
      <w:r>
        <w:rPr>
          <w:rFonts w:hint="eastAsia" w:ascii="黑体" w:hAnsi="黑体" w:eastAsia="黑体"/>
          <w:b w:val="0"/>
        </w:rPr>
        <w:br w:type="page" w:clear="all"/>
        <w:t xml:space="preserve"> </w:t>
      </w:r>
      <w:bookmarkEnd w:id="103"/>
      <w:r/>
      <w:bookmarkStart w:id="104" w:name="_Toc155796361"/>
      <w:r>
        <w:rPr>
          <w:rFonts w:hint="eastAsia" w:ascii="黑体" w:hAnsi="黑体" w:eastAsia="黑体"/>
          <w:b w:val="0"/>
        </w:rPr>
        <w:t xml:space="preserve"> </w:t>
      </w:r>
      <w:bookmarkStart w:id="105" w:name="_Toc31789"/>
      <w:r/>
      <w:bookmarkStart w:id="106" w:name="_Toc8603"/>
      <w:r>
        <w:rPr>
          <w:rFonts w:hint="eastAsia" w:ascii="黑体" w:hAnsi="黑体" w:eastAsia="黑体"/>
          <w:b w:val="0"/>
        </w:rPr>
        <w:t xml:space="preserve">采购需求</w:t>
      </w:r>
      <w:bookmarkEnd w:id="105"/>
      <w:r/>
      <w:bookmarkEnd w:id="106"/>
      <w:r>
        <w:rPr>
          <w:rFonts w:ascii="黑体" w:hAnsi="黑体" w:eastAsia="黑体"/>
          <w:b w:val="0"/>
        </w:rPr>
      </w:r>
      <w:r/>
    </w:p>
    <w:p>
      <w:pPr>
        <w:pStyle w:val="651"/>
        <w:ind w:firstLine="480"/>
        <w:jc w:val="left"/>
        <w:spacing w:line="360" w:lineRule="auto"/>
        <w:rPr>
          <w:rFonts w:ascii="宋体" w:hAnsi="宋体" w:cs="宋体"/>
          <w:szCs w:val="21"/>
        </w:rPr>
      </w:pPr>
      <w:r>
        <w:rPr>
          <w:rFonts w:hint="eastAsia"/>
          <w:szCs w:val="21"/>
        </w:rPr>
        <w:t xml:space="preserve">说明：</w:t>
      </w:r>
      <w:r>
        <w:rPr>
          <w:rFonts w:hint="eastAsia" w:ascii="宋体" w:hAnsi="宋体" w:cs="宋体"/>
          <w:szCs w:val="21"/>
        </w:rPr>
        <w:t xml:space="preserve">本项目属性为</w:t>
      </w:r>
      <w:r>
        <w:rPr>
          <w:rFonts w:hint="eastAsia" w:ascii="宋体" w:hAnsi="宋体" w:cs="宋体"/>
          <w:b/>
          <w:bCs/>
          <w:szCs w:val="21"/>
        </w:rPr>
        <w:t xml:space="preserve">服务</w:t>
      </w:r>
      <w:r>
        <w:rPr>
          <w:rFonts w:hint="eastAsia" w:ascii="宋体" w:hAnsi="宋体" w:cs="宋体"/>
          <w:szCs w:val="21"/>
        </w:rPr>
        <w:t xml:space="preserve">，采购标的对应的中小企业划分标准所属行业为：</w:t>
      </w:r>
      <w:r>
        <w:rPr>
          <w:rFonts w:hint="eastAsia" w:ascii="宋体" w:hAnsi="宋体" w:cs="宋体"/>
          <w:b/>
          <w:bCs/>
          <w:szCs w:val="21"/>
          <w:u w:val="single"/>
        </w:rPr>
        <w:t xml:space="preserve">软件和信息技术服务业</w:t>
      </w:r>
      <w:r>
        <w:rPr>
          <w:rFonts w:hint="eastAsia" w:ascii="宋体" w:hAnsi="宋体" w:cs="宋体"/>
          <w:szCs w:val="21"/>
        </w:rPr>
        <w:t xml:space="preserve">。</w:t>
      </w:r>
      <w:r>
        <w:rPr>
          <w:rFonts w:ascii="宋体" w:hAnsi="宋体" w:cs="宋体"/>
          <w:szCs w:val="21"/>
        </w:rPr>
      </w:r>
      <w:r/>
    </w:p>
    <w:p>
      <w:pPr>
        <w:pStyle w:val="651"/>
        <w:ind w:firstLine="480"/>
        <w:jc w:val="left"/>
        <w:spacing w:line="360" w:lineRule="auto"/>
        <w:rPr>
          <w:rFonts w:hint="eastAsia" w:ascii="Calibri" w:hAnsi="Calibri"/>
          <w:szCs w:val="21"/>
        </w:rPr>
      </w:pPr>
      <w:r>
        <w:rPr>
          <w:szCs w:val="21"/>
        </w:rPr>
        <w:t xml:space="preserve">1</w:t>
      </w:r>
      <w:r>
        <w:rPr>
          <w:rFonts w:hint="eastAsia"/>
          <w:szCs w:val="21"/>
        </w:rPr>
        <w:t xml:space="preserve">、根据《政府采购需求管理办法》等有关规定，采购人确定采购需求。</w:t>
      </w:r>
      <w:r>
        <w:rPr>
          <w:rFonts w:hint="eastAsia" w:ascii="Calibri" w:hAnsi="Calibri"/>
          <w:szCs w:val="21"/>
        </w:rPr>
      </w:r>
      <w:r/>
    </w:p>
    <w:p>
      <w:pPr>
        <w:pStyle w:val="651"/>
        <w:ind w:firstLine="480"/>
        <w:jc w:val="left"/>
        <w:spacing w:line="360" w:lineRule="auto"/>
        <w:rPr>
          <w:szCs w:val="21"/>
        </w:rPr>
      </w:pPr>
      <w:r>
        <w:rPr>
          <w:szCs w:val="21"/>
        </w:rPr>
        <w:t xml:space="preserve">2</w:t>
      </w:r>
      <w:r>
        <w:rPr>
          <w:rFonts w:hint="eastAsia"/>
          <w:szCs w:val="21"/>
        </w:rPr>
        <w:t xml:space="preserve">、</w:t>
      </w:r>
      <w:r>
        <w:rPr>
          <w:rFonts w:hint="eastAsia"/>
          <w:b/>
          <w:szCs w:val="21"/>
        </w:rPr>
        <w:t xml:space="preserve">本招标文件中</w:t>
      </w:r>
      <w:r>
        <w:rPr>
          <w:rFonts w:hint="eastAsia"/>
          <w:b/>
          <w:i/>
          <w:color w:val="ff0000"/>
          <w:szCs w:val="21"/>
          <w:u w:val="single"/>
        </w:rPr>
        <w:t xml:space="preserve">斜体且有下划线部分</w:t>
      </w:r>
      <w:r>
        <w:rPr>
          <w:rFonts w:hint="eastAsia"/>
          <w:b/>
          <w:szCs w:val="21"/>
        </w:rPr>
        <w:t xml:space="preserve">为实质性要求和条件</w:t>
      </w:r>
      <w:r>
        <w:rPr>
          <w:rFonts w:hint="eastAsia"/>
          <w:szCs w:val="21"/>
        </w:rPr>
        <w:t xml:space="preserve">，由采购人根据实际情况设置，投标人须逐条明确作出满足实质性要求和条件的响应，否则将按无效响应处理。</w:t>
      </w:r>
      <w:r>
        <w:rPr>
          <w:szCs w:val="21"/>
        </w:rPr>
      </w:r>
      <w:r/>
    </w:p>
    <w:p>
      <w:pPr>
        <w:pStyle w:val="651"/>
        <w:ind w:firstLine="482"/>
        <w:spacing w:line="360" w:lineRule="auto"/>
        <w:rPr>
          <w:b/>
          <w:bCs/>
          <w:szCs w:val="21"/>
        </w:rPr>
      </w:pPr>
      <w:r>
        <w:rPr>
          <w:rFonts w:hint="eastAsia"/>
          <w:b/>
          <w:bCs/>
          <w:szCs w:val="21"/>
        </w:rPr>
        <w:t xml:space="preserve">一、项目建设背景</w:t>
      </w:r>
      <w:r>
        <w:rPr>
          <w:b/>
          <w:bCs/>
          <w:szCs w:val="21"/>
        </w:rPr>
      </w:r>
      <w:r/>
    </w:p>
    <w:p>
      <w:pPr>
        <w:pStyle w:val="651"/>
        <w:ind w:firstLine="480"/>
        <w:spacing w:line="360" w:lineRule="auto"/>
        <w:rPr>
          <w:szCs w:val="21"/>
        </w:rPr>
      </w:pPr>
      <w:r/>
      <w:bookmarkStart w:id="107" w:name="OLE_LINK10"/>
      <w:r/>
      <w:bookmarkStart w:id="108" w:name="OLE_LINK9"/>
      <w:r>
        <w:rPr>
          <w:rFonts w:hint="eastAsia"/>
          <w:szCs w:val="21"/>
        </w:rPr>
        <w:t xml:space="preserve">本项目为赣榆区医共体信息化总体规划、分步实施的二期工程，整体架构遵循“基础设施层</w:t>
      </w:r>
      <w:r>
        <w:rPr>
          <w:szCs w:val="21"/>
        </w:rPr>
        <w:t xml:space="preserve">-</w:t>
      </w:r>
      <w:r>
        <w:rPr>
          <w:rFonts w:hint="eastAsia"/>
          <w:szCs w:val="21"/>
        </w:rPr>
        <w:t xml:space="preserve">数据资源层</w:t>
      </w:r>
      <w:r>
        <w:rPr>
          <w:szCs w:val="21"/>
        </w:rPr>
        <w:t xml:space="preserve">-</w:t>
      </w:r>
      <w:r>
        <w:rPr>
          <w:rFonts w:hint="eastAsia"/>
          <w:szCs w:val="21"/>
        </w:rPr>
        <w:t xml:space="preserve">平台服务层</w:t>
      </w:r>
      <w:r>
        <w:rPr>
          <w:szCs w:val="21"/>
        </w:rPr>
        <w:t xml:space="preserve">-</w:t>
      </w:r>
      <w:r>
        <w:rPr>
          <w:rFonts w:hint="eastAsia"/>
          <w:szCs w:val="21"/>
        </w:rPr>
        <w:t xml:space="preserve">业务应用层</w:t>
      </w:r>
      <w:r>
        <w:rPr>
          <w:szCs w:val="21"/>
        </w:rPr>
        <w:t xml:space="preserve">-</w:t>
      </w:r>
      <w:r>
        <w:rPr>
          <w:rFonts w:hint="eastAsia"/>
          <w:szCs w:val="21"/>
        </w:rPr>
        <w:t xml:space="preserve">安全保障体系</w:t>
      </w:r>
      <w:r>
        <w:rPr>
          <w:szCs w:val="21"/>
        </w:rPr>
        <w:t xml:space="preserve">-</w:t>
      </w:r>
      <w:r>
        <w:rPr>
          <w:rFonts w:hint="eastAsia"/>
          <w:szCs w:val="21"/>
        </w:rPr>
        <w:t xml:space="preserve">标准规范体系”六层设计：</w:t>
      </w:r>
      <w:r>
        <w:rPr>
          <w:szCs w:val="21"/>
        </w:rPr>
      </w:r>
      <w:r/>
    </w:p>
    <w:p>
      <w:pPr>
        <w:pStyle w:val="651"/>
        <w:ind w:firstLine="480"/>
        <w:spacing w:line="360" w:lineRule="auto"/>
        <w:rPr>
          <w:szCs w:val="21"/>
        </w:rPr>
      </w:pPr>
      <w:r>
        <w:rPr>
          <w:rFonts w:hint="eastAsia"/>
          <w:szCs w:val="21"/>
        </w:rPr>
        <w:t xml:space="preserve">一期已完成国产化硬件基础设施、医共体信息平台（含主数据、</w:t>
      </w:r>
      <w:r>
        <w:rPr>
          <w:szCs w:val="21"/>
        </w:rPr>
        <w:t xml:space="preserve">EMPI</w:t>
      </w:r>
      <w:r>
        <w:rPr>
          <w:rFonts w:hint="eastAsia"/>
          <w:szCs w:val="21"/>
        </w:rPr>
        <w:t xml:space="preserve">、协同引擎）、</w:t>
      </w:r>
      <w:r>
        <w:rPr>
          <w:szCs w:val="21"/>
        </w:rPr>
        <w:t xml:space="preserve">11</w:t>
      </w:r>
      <w:r>
        <w:rPr>
          <w:rFonts w:hint="eastAsia"/>
          <w:szCs w:val="21"/>
        </w:rPr>
        <w:t xml:space="preserve">个主题驾驶舱、</w:t>
      </w:r>
      <w:r>
        <w:rPr>
          <w:szCs w:val="21"/>
        </w:rPr>
        <w:t xml:space="preserve">9</w:t>
      </w:r>
      <w:r>
        <w:rPr>
          <w:rFonts w:hint="eastAsia"/>
          <w:szCs w:val="21"/>
        </w:rPr>
        <w:t xml:space="preserve">大业务协同中心（远程会诊、双向转诊等）建设，实现区域内医疗数据初步汇聚、基础业务协同打通，目前系统已上线运行约半年，处于待密评完成后验收总结阶段。</w:t>
      </w:r>
      <w:r>
        <w:rPr>
          <w:szCs w:val="21"/>
        </w:rPr>
      </w:r>
      <w:r/>
    </w:p>
    <w:p>
      <w:pPr>
        <w:pStyle w:val="651"/>
        <w:ind w:firstLine="480"/>
        <w:spacing w:line="360" w:lineRule="auto"/>
        <w:rPr>
          <w:szCs w:val="21"/>
        </w:rPr>
      </w:pPr>
      <w:r>
        <w:rPr>
          <w:rFonts w:hint="eastAsia"/>
          <w:szCs w:val="21"/>
        </w:rPr>
        <w:t xml:space="preserve">二期项目建设并非“修补一期缺陷”，而是落地总体规划中预留的三大核心能力——区域医保智慧预警、基层全科医生智能辅助、医共体财务运营，在一期底座基础上实现“临床</w:t>
      </w:r>
      <w:r>
        <w:rPr>
          <w:szCs w:val="21"/>
        </w:rPr>
        <w:t xml:space="preserve">-</w:t>
      </w:r>
      <w:r>
        <w:rPr>
          <w:rFonts w:hint="eastAsia"/>
          <w:szCs w:val="21"/>
        </w:rPr>
        <w:t xml:space="preserve">医保</w:t>
      </w:r>
      <w:r>
        <w:rPr>
          <w:szCs w:val="21"/>
        </w:rPr>
        <w:t xml:space="preserve">-</w:t>
      </w:r>
      <w:r>
        <w:rPr>
          <w:rFonts w:hint="eastAsia"/>
          <w:szCs w:val="21"/>
        </w:rPr>
        <w:t xml:space="preserve">运营”全链路数据贯通、业务闭环与管理统一，支撑医共体“一盘棋”发展。</w:t>
      </w:r>
      <w:bookmarkEnd w:id="107"/>
      <w:r/>
      <w:bookmarkEnd w:id="108"/>
      <w:r>
        <w:rPr>
          <w:szCs w:val="21"/>
        </w:rPr>
      </w:r>
      <w:r/>
    </w:p>
    <w:p>
      <w:pPr>
        <w:pStyle w:val="651"/>
        <w:ind w:left="420"/>
        <w:spacing w:line="360" w:lineRule="auto"/>
        <w:tabs>
          <w:tab w:val="left" w:pos="0" w:leader="none"/>
          <w:tab w:val="left" w:pos="420" w:leader="none"/>
        </w:tabs>
        <w:rPr>
          <w:rFonts w:ascii="宋体" w:hAnsi="宋体" w:cs="宋体"/>
          <w:b/>
          <w:bCs/>
          <w:szCs w:val="21"/>
        </w:rPr>
        <w:outlineLvl w:val="1"/>
      </w:pPr>
      <w:r/>
      <w:bookmarkStart w:id="109" w:name="_Toc30109"/>
      <w:r>
        <w:rPr>
          <w:rFonts w:hint="eastAsia" w:ascii="宋体" w:hAnsi="宋体" w:cs="宋体"/>
          <w:b/>
          <w:bCs/>
          <w:szCs w:val="21"/>
        </w:rPr>
        <w:t xml:space="preserve">二、项目建设</w:t>
      </w:r>
      <w:bookmarkEnd w:id="109"/>
      <w:r>
        <w:rPr>
          <w:rFonts w:hint="eastAsia" w:ascii="宋体" w:hAnsi="宋体" w:cs="宋体"/>
          <w:b/>
          <w:bCs/>
          <w:szCs w:val="21"/>
        </w:rPr>
        <w:t xml:space="preserve">需求</w:t>
      </w:r>
      <w:r>
        <w:rPr>
          <w:rFonts w:ascii="宋体" w:hAnsi="宋体" w:cs="宋体"/>
          <w:b/>
          <w:bCs/>
          <w:szCs w:val="21"/>
        </w:rPr>
      </w:r>
      <w:r/>
    </w:p>
    <w:p>
      <w:pPr>
        <w:pStyle w:val="651"/>
        <w:ind w:firstLine="482"/>
        <w:spacing w:line="360" w:lineRule="auto"/>
        <w:tabs>
          <w:tab w:val="left" w:pos="0" w:leader="none"/>
        </w:tabs>
        <w:rPr>
          <w:rFonts w:hint="eastAsia" w:ascii="宋体" w:hAnsi="宋体" w:cs="宋体"/>
          <w:b/>
          <w:bCs/>
          <w:szCs w:val="21"/>
        </w:rPr>
        <w:outlineLvl w:val="2"/>
      </w:pPr>
      <w:r>
        <w:rPr>
          <w:rFonts w:hint="eastAsia" w:ascii="宋体" w:hAnsi="宋体" w:cs="宋体"/>
          <w:b/>
          <w:bCs/>
          <w:szCs w:val="21"/>
        </w:rPr>
        <w:t xml:space="preserve">1、项目建设架构</w:t>
      </w:r>
      <w:r/>
    </w:p>
    <w:p>
      <w:pPr>
        <w:pStyle w:val="651"/>
        <w:ind w:firstLine="480"/>
        <w:jc w:val="left"/>
        <w:spacing w:line="360" w:lineRule="auto"/>
        <w:rPr>
          <w:rFonts w:hint="eastAsia" w:ascii="Calibri" w:hAnsi="Calibri"/>
          <w:bCs/>
          <w:szCs w:val="21"/>
        </w:rPr>
      </w:pPr>
      <w:r>
        <w:rPr>
          <w:rFonts w:hint="eastAsia"/>
          <w:bCs/>
          <w:szCs w:val="21"/>
        </w:rPr>
        <w:t xml:space="preserve">赣榆区医共体信息化二期重点建设内容区域医保智慧预警、基层全科医生智能辅助、医共体财务运营三大核心子系统，三大核心系统在医共体现有信息平台与数据标准体系基础上，通过统一的数据治理、业务协同与管理闭环，实现</w:t>
      </w:r>
      <w:r>
        <w:rPr>
          <w:bCs/>
          <w:szCs w:val="21"/>
        </w:rPr>
        <w:t xml:space="preserve">“</w:t>
      </w:r>
      <w:r>
        <w:rPr>
          <w:rFonts w:hint="eastAsia"/>
          <w:bCs/>
          <w:szCs w:val="21"/>
        </w:rPr>
        <w:t xml:space="preserve">数据一体化、业务一体化、管理一体化</w:t>
      </w:r>
      <w:r>
        <w:rPr>
          <w:bCs/>
          <w:szCs w:val="21"/>
        </w:rPr>
        <w:t xml:space="preserve">”</w:t>
      </w:r>
      <w:r>
        <w:rPr>
          <w:rFonts w:hint="eastAsia"/>
          <w:bCs/>
          <w:szCs w:val="21"/>
        </w:rPr>
        <w:t xml:space="preserve">的深度融合设计。</w:t>
      </w:r>
      <w:r>
        <w:rPr>
          <w:rFonts w:hint="eastAsia" w:ascii="Calibri" w:hAnsi="Calibri"/>
          <w:bCs/>
          <w:szCs w:val="21"/>
        </w:rPr>
      </w:r>
      <w:r/>
    </w:p>
    <w:p>
      <w:pPr>
        <w:pStyle w:val="651"/>
        <w:ind w:firstLine="480"/>
        <w:jc w:val="left"/>
        <w:spacing w:line="360" w:lineRule="auto"/>
        <w:rPr>
          <w:bCs/>
          <w:szCs w:val="21"/>
        </w:rPr>
      </w:pPr>
      <w:r>
        <w:rPr>
          <w:rFonts w:hint="eastAsia"/>
          <w:bCs/>
          <w:szCs w:val="21"/>
        </w:rPr>
        <w:t xml:space="preserve">区域医保智慧预警系统建设主要由等级医院和基层医院两套版本范围覆盖医共体内所有医疗机构，构建事前预警一事中控制一事后追溯全流程医保智能监管体系。</w:t>
      </w:r>
      <w:r>
        <w:rPr>
          <w:bCs/>
          <w:szCs w:val="21"/>
        </w:rPr>
      </w:r>
      <w:r/>
    </w:p>
    <w:p>
      <w:pPr>
        <w:pStyle w:val="651"/>
        <w:ind w:firstLine="480"/>
        <w:jc w:val="left"/>
        <w:spacing w:line="360" w:lineRule="auto"/>
        <w:rPr>
          <w:bCs/>
          <w:szCs w:val="21"/>
        </w:rPr>
      </w:pPr>
      <w:r>
        <w:rPr>
          <w:rFonts w:hint="eastAsia"/>
          <w:bCs/>
          <w:szCs w:val="21"/>
        </w:rPr>
        <w:t xml:space="preserve">基层全科医生智能辅助系统聚焦赣榆区基层诊疗场景和“一院一品”特色专科建设要求，打造基层医生端智能辅助系统、医共体管理端平台等核心功能模块，系统对接与数据管理确保系统与现有医共体信息化平台、基层</w:t>
      </w:r>
      <w:r>
        <w:rPr>
          <w:bCs/>
          <w:szCs w:val="21"/>
        </w:rPr>
        <w:t xml:space="preserve">HIS</w:t>
      </w:r>
      <w:r>
        <w:rPr>
          <w:rFonts w:hint="eastAsia"/>
          <w:bCs/>
          <w:szCs w:val="21"/>
        </w:rPr>
        <w:t xml:space="preserve">、</w:t>
      </w:r>
      <w:r>
        <w:rPr>
          <w:bCs/>
          <w:szCs w:val="21"/>
        </w:rPr>
        <w:t xml:space="preserve">LIS</w:t>
      </w:r>
      <w:r>
        <w:rPr>
          <w:rFonts w:hint="eastAsia"/>
          <w:bCs/>
          <w:szCs w:val="21"/>
        </w:rPr>
        <w:t xml:space="preserve">、电子病历等系统无缝对接，实现数据互通共享，适配基层全科医生工作需求，借鉴成熟应用经验，贴合省级基层</w:t>
      </w:r>
      <w:r>
        <w:rPr>
          <w:bCs/>
          <w:szCs w:val="21"/>
        </w:rPr>
        <w:t xml:space="preserve">AI</w:t>
      </w:r>
      <w:r>
        <w:rPr>
          <w:rFonts w:hint="eastAsia"/>
          <w:bCs/>
          <w:szCs w:val="21"/>
        </w:rPr>
        <w:t xml:space="preserve">应用场景要求，同时适配中心卫生院、一般卫生院、薄弱卫生院、村卫生室的不同需求。</w:t>
      </w:r>
      <w:r>
        <w:rPr>
          <w:bCs/>
          <w:szCs w:val="21"/>
        </w:rPr>
      </w:r>
      <w:r/>
    </w:p>
    <w:p>
      <w:pPr>
        <w:pStyle w:val="651"/>
        <w:ind w:firstLine="480"/>
        <w:jc w:val="left"/>
        <w:spacing w:line="360" w:lineRule="auto"/>
        <w:rPr>
          <w:bCs/>
          <w:szCs w:val="21"/>
        </w:rPr>
      </w:pPr>
      <w:r>
        <w:rPr>
          <w:rFonts w:hint="eastAsia"/>
          <w:bCs/>
          <w:szCs w:val="21"/>
        </w:rPr>
        <w:t xml:space="preserve">医共体财务运营系统集全面预算管理、财务核算、报销管理、科室成本管理、项目成本管理、病种成本管理、</w:t>
      </w:r>
      <w:r>
        <w:rPr>
          <w:bCs/>
          <w:szCs w:val="21"/>
        </w:rPr>
        <w:t xml:space="preserve">DIP</w:t>
      </w:r>
      <w:r>
        <w:rPr>
          <w:rFonts w:hint="eastAsia"/>
          <w:bCs/>
          <w:szCs w:val="21"/>
        </w:rPr>
        <w:t xml:space="preserve">成本管理、固定资产管理、资产管理、人力资源管理、</w:t>
      </w:r>
      <w:r>
        <w:rPr>
          <w:bCs/>
          <w:szCs w:val="21"/>
        </w:rPr>
        <w:t xml:space="preserve">AI</w:t>
      </w:r>
      <w:r>
        <w:rPr>
          <w:rFonts w:hint="eastAsia"/>
          <w:bCs/>
          <w:szCs w:val="21"/>
        </w:rPr>
        <w:t xml:space="preserve">智能体平台等核心模块于一体的</w:t>
      </w:r>
      <w:r>
        <w:rPr>
          <w:bCs/>
          <w:szCs w:val="21"/>
        </w:rPr>
        <w:t xml:space="preserve">HRP</w:t>
      </w:r>
      <w:r>
        <w:rPr>
          <w:rFonts w:hint="eastAsia"/>
          <w:bCs/>
          <w:szCs w:val="21"/>
        </w:rPr>
        <w:t xml:space="preserve">系统，并同步搭建覆盖财务、资产、成本、预算四大主题的医共体监管决策大屏，以此实现业务与财务深度融合、系统数据全域共享，全面支撑医院运营治理体系现代化建设。明确</w:t>
      </w:r>
      <w:r>
        <w:rPr>
          <w:bCs/>
          <w:szCs w:val="21"/>
        </w:rPr>
        <w:t xml:space="preserve">AI</w:t>
      </w:r>
      <w:r>
        <w:rPr>
          <w:rFonts w:hint="eastAsia"/>
          <w:bCs/>
          <w:szCs w:val="21"/>
        </w:rPr>
        <w:t xml:space="preserve">智能体经过国家认可的第三方检测机构做信创适配测试，验证可适配国产</w:t>
      </w:r>
      <w:r>
        <w:rPr>
          <w:bCs/>
          <w:szCs w:val="21"/>
        </w:rPr>
        <w:t xml:space="preserve">CPU</w:t>
      </w:r>
      <w:r>
        <w:rPr>
          <w:rFonts w:hint="eastAsia"/>
          <w:bCs/>
          <w:szCs w:val="21"/>
        </w:rPr>
        <w:t xml:space="preserve">、国产操作系统、国产数据库，要求完成适配备案，拿到适配证明</w:t>
      </w:r>
      <w:r>
        <w:rPr>
          <w:bCs/>
          <w:szCs w:val="21"/>
        </w:rPr>
        <w:t xml:space="preserve">/</w:t>
      </w:r>
      <w:r>
        <w:rPr>
          <w:rFonts w:hint="eastAsia"/>
          <w:bCs/>
          <w:szCs w:val="21"/>
        </w:rPr>
        <w:t xml:space="preserve">证书。</w:t>
      </w:r>
      <w:r>
        <w:rPr>
          <w:bCs/>
          <w:szCs w:val="21"/>
        </w:rPr>
        <w:t xml:space="preserve">AI </w:t>
      </w:r>
      <w:r>
        <w:rPr>
          <w:rFonts w:hint="eastAsia"/>
          <w:bCs/>
          <w:szCs w:val="21"/>
        </w:rPr>
        <w:t xml:space="preserve">大模型</w:t>
      </w:r>
      <w:r>
        <w:rPr>
          <w:bCs/>
          <w:szCs w:val="21"/>
        </w:rPr>
        <w:t xml:space="preserve">/</w:t>
      </w:r>
      <w:r>
        <w:rPr>
          <w:rFonts w:hint="eastAsia"/>
          <w:bCs/>
          <w:szCs w:val="21"/>
        </w:rPr>
        <w:t xml:space="preserve">算法备案根据服务性质和风险等级分流到不同监管部门完成备案要求，包括网信办、卫健委、药监局、医保局等。</w:t>
      </w:r>
      <w:r>
        <w:rPr>
          <w:bCs/>
          <w:szCs w:val="21"/>
        </w:rPr>
      </w:r>
      <w:r/>
    </w:p>
    <w:p>
      <w:pPr>
        <w:pStyle w:val="651"/>
        <w:ind w:firstLine="480"/>
        <w:jc w:val="left"/>
        <w:spacing w:line="360" w:lineRule="auto"/>
        <w:rPr>
          <w:bCs/>
          <w:szCs w:val="21"/>
        </w:rPr>
      </w:pPr>
      <w:r>
        <w:rPr>
          <w:rFonts w:hint="eastAsia"/>
          <w:bCs/>
          <w:szCs w:val="21"/>
        </w:rPr>
        <w:t xml:space="preserve">在数据一体化方面，依托一期已建成的医共体主数据管理（</w:t>
      </w:r>
      <w:r>
        <w:rPr>
          <w:bCs/>
          <w:szCs w:val="21"/>
        </w:rPr>
        <w:t xml:space="preserve">MDM</w:t>
      </w:r>
      <w:r>
        <w:rPr>
          <w:rFonts w:hint="eastAsia"/>
          <w:bCs/>
          <w:szCs w:val="21"/>
        </w:rPr>
        <w:t xml:space="preserve">）与患者主索引（</w:t>
      </w:r>
      <w:r>
        <w:rPr>
          <w:bCs/>
          <w:szCs w:val="21"/>
        </w:rPr>
        <w:t xml:space="preserve">EMPI</w:t>
      </w:r>
      <w:r>
        <w:rPr>
          <w:rFonts w:hint="eastAsia"/>
          <w:bCs/>
          <w:szCs w:val="21"/>
        </w:rPr>
        <w:t xml:space="preserve">），三大系统共用一套标准数据底座。区域医保智慧预警的药品耗材医保目录、基层全科医生智能辅助的疾病知识库与药品说明书、医共体财务运营的系统物资与收费项目字典，均通过统一数据源头进行映射与同步，确保同一药品、同一诊疗项目在医保审核规则、临床辅助决策、财务成本核算中的定义完全一致。同时，三大系统产生的核心数据统一汇聚至医共体数据中心，形成</w:t>
      </w:r>
      <w:r>
        <w:rPr>
          <w:bCs/>
          <w:szCs w:val="21"/>
        </w:rPr>
        <w:t xml:space="preserve">“</w:t>
      </w:r>
      <w:r>
        <w:rPr>
          <w:rFonts w:hint="eastAsia"/>
          <w:bCs/>
          <w:szCs w:val="21"/>
        </w:rPr>
        <w:t xml:space="preserve">临床</w:t>
      </w:r>
      <w:r>
        <w:rPr>
          <w:bCs/>
          <w:szCs w:val="21"/>
        </w:rPr>
        <w:t xml:space="preserve">—</w:t>
      </w:r>
      <w:r>
        <w:rPr>
          <w:rFonts w:hint="eastAsia"/>
          <w:bCs/>
          <w:szCs w:val="21"/>
        </w:rPr>
        <w:t xml:space="preserve">医保</w:t>
      </w:r>
      <w:r>
        <w:rPr>
          <w:bCs/>
          <w:szCs w:val="21"/>
        </w:rPr>
        <w:t xml:space="preserve">—</w:t>
      </w:r>
      <w:r>
        <w:rPr>
          <w:rFonts w:hint="eastAsia"/>
          <w:bCs/>
          <w:szCs w:val="21"/>
        </w:rPr>
        <w:t xml:space="preserve">运营</w:t>
      </w:r>
      <w:r>
        <w:rPr>
          <w:bCs/>
          <w:szCs w:val="21"/>
        </w:rPr>
        <w:t xml:space="preserve">”</w:t>
      </w:r>
      <w:r>
        <w:rPr>
          <w:rFonts w:hint="eastAsia"/>
          <w:bCs/>
          <w:szCs w:val="21"/>
        </w:rPr>
        <w:t xml:space="preserve">全链路数据资产：基层辅诊系统生成的病历与处方数据实时供给医保系统用于事中审核，医保系统的结算与扣款数据自动回流至财务系统生成会计凭证，财务系统的病种成本分析结果反向支撑医保支付标准测算，彻底消除跨系统的数据壁垒与二次录入。</w:t>
      </w:r>
      <w:r>
        <w:rPr>
          <w:bCs/>
          <w:szCs w:val="21"/>
        </w:rPr>
      </w:r>
      <w:r/>
    </w:p>
    <w:p>
      <w:pPr>
        <w:pStyle w:val="651"/>
        <w:ind w:firstLine="480"/>
        <w:jc w:val="left"/>
        <w:spacing w:line="360" w:lineRule="auto"/>
        <w:rPr>
          <w:bCs/>
          <w:szCs w:val="21"/>
        </w:rPr>
      </w:pPr>
      <w:r>
        <w:rPr>
          <w:rFonts w:hint="eastAsia"/>
          <w:bCs/>
          <w:szCs w:val="21"/>
        </w:rPr>
        <w:t xml:space="preserve">在业务一体化方面，三大系统通过统一的业务流程引擎实现跨系统闭环管理。基层医生在诊疗过程中，由全科医生智能辅助系统提供诊断与用药建议，同时调用医保智慧预警系统的事前提醒接口，对超适应症用药、超量开药等违规行为进行实时拦截；经医生确认的合规处方推送至</w:t>
      </w:r>
      <w:r>
        <w:rPr>
          <w:bCs/>
          <w:szCs w:val="21"/>
        </w:rPr>
        <w:t xml:space="preserve">HIS</w:t>
      </w:r>
      <w:r>
        <w:rPr>
          <w:rFonts w:hint="eastAsia"/>
          <w:bCs/>
          <w:szCs w:val="21"/>
        </w:rPr>
        <w:t xml:space="preserve">计费，再由医保系统完成事中审核与预结算，整个过程在同一工作界面完成，无需医生切换系统。医保结算完成后，业务数据自动触发财务运营系统的凭证生成机制，实现</w:t>
      </w:r>
      <w:r>
        <w:rPr>
          <w:bCs/>
          <w:szCs w:val="21"/>
        </w:rPr>
        <w:t xml:space="preserve">“</w:t>
      </w:r>
      <w:r>
        <w:rPr>
          <w:rFonts w:hint="eastAsia"/>
          <w:bCs/>
          <w:szCs w:val="21"/>
        </w:rPr>
        <w:t xml:space="preserve">业务发生即财务记账</w:t>
      </w:r>
      <w:r>
        <w:rPr>
          <w:bCs/>
          <w:szCs w:val="21"/>
        </w:rPr>
        <w:t xml:space="preserve">”</w:t>
      </w:r>
      <w:r>
        <w:rPr>
          <w:rFonts w:hint="eastAsia"/>
          <w:bCs/>
          <w:szCs w:val="21"/>
        </w:rPr>
        <w:t xml:space="preserve">；同时，财务系统归集的药耗成本、人力成本数据，通过统一的</w:t>
      </w:r>
      <w:r>
        <w:rPr>
          <w:bCs/>
          <w:szCs w:val="21"/>
        </w:rPr>
        <w:t xml:space="preserve">DIP</w:t>
      </w:r>
      <w:r>
        <w:rPr>
          <w:rFonts w:hint="eastAsia"/>
          <w:bCs/>
          <w:szCs w:val="21"/>
        </w:rPr>
        <w:t xml:space="preserve">成本核算模型，输出病种盈亏分析结果，为临床路径优化与医保控费提供数据支撑，形成</w:t>
      </w:r>
      <w:r>
        <w:rPr>
          <w:bCs/>
          <w:szCs w:val="21"/>
        </w:rPr>
        <w:t xml:space="preserve">“</w:t>
      </w:r>
      <w:r>
        <w:rPr>
          <w:rFonts w:hint="eastAsia"/>
          <w:bCs/>
          <w:szCs w:val="21"/>
        </w:rPr>
        <w:t xml:space="preserve">基层诊疗</w:t>
      </w:r>
      <w:r>
        <w:rPr>
          <w:bCs/>
          <w:szCs w:val="21"/>
        </w:rPr>
        <w:t xml:space="preserve">—</w:t>
      </w:r>
      <w:r>
        <w:rPr>
          <w:rFonts w:hint="eastAsia"/>
          <w:bCs/>
          <w:szCs w:val="21"/>
        </w:rPr>
        <w:t xml:space="preserve">医保控费</w:t>
      </w:r>
      <w:r>
        <w:rPr>
          <w:bCs/>
          <w:szCs w:val="21"/>
        </w:rPr>
        <w:t xml:space="preserve">—</w:t>
      </w:r>
      <w:r>
        <w:rPr>
          <w:rFonts w:hint="eastAsia"/>
          <w:bCs/>
          <w:szCs w:val="21"/>
        </w:rPr>
        <w:t xml:space="preserve">财务管控</w:t>
      </w:r>
      <w:r>
        <w:rPr>
          <w:bCs/>
          <w:szCs w:val="21"/>
        </w:rPr>
        <w:t xml:space="preserve">”</w:t>
      </w:r>
      <w:r>
        <w:rPr>
          <w:rFonts w:hint="eastAsia"/>
          <w:bCs/>
          <w:szCs w:val="21"/>
        </w:rPr>
        <w:t xml:space="preserve">的业务闭环。</w:t>
      </w:r>
      <w:r>
        <w:rPr>
          <w:bCs/>
          <w:szCs w:val="21"/>
        </w:rPr>
      </w:r>
      <w:r/>
    </w:p>
    <w:p>
      <w:pPr>
        <w:pStyle w:val="651"/>
        <w:ind w:firstLine="480"/>
        <w:jc w:val="left"/>
        <w:spacing w:line="360" w:lineRule="auto"/>
        <w:rPr>
          <w:bCs/>
          <w:szCs w:val="21"/>
        </w:rPr>
      </w:pPr>
      <w:r>
        <w:rPr>
          <w:rFonts w:hint="eastAsia"/>
          <w:bCs/>
          <w:szCs w:val="21"/>
        </w:rPr>
        <w:t xml:space="preserve">在管理一体化方</w:t>
      </w:r>
      <w:r>
        <w:rPr>
          <w:rFonts w:hint="eastAsia"/>
          <w:bCs/>
          <w:szCs w:val="21"/>
        </w:rPr>
        <w:t xml:space="preserve">面，依托统一的组织权限体系与监管大屏，实现医共体层面的集中管控与分级授权。三大系统采用统一的身份认证与单点登录机制，医共体管理者可通过一体化监管大屏，实时查看基层辅诊使用率、病历合格率、医保违规率、预算执行率、资产利用率等跨系统综合指标，打破单一系统的管理视角局限。财务运营的预算管理模块对基层机构的辅诊设备采购、医保违规扣款等支出进行事前预算占用与事中刚性控制；医保系统的违规数据按机构、科室、医生维度归集后，同步至人力资源系统用于绩效考评；资产管理系统对基层辅诊设备的采购、折旧、绩效进行全生命周期追踪，确保</w:t>
      </w:r>
      <w:r>
        <w:rPr>
          <w:bCs/>
          <w:szCs w:val="21"/>
        </w:rPr>
        <w:t xml:space="preserve">“</w:t>
      </w:r>
      <w:r>
        <w:rPr>
          <w:rFonts w:hint="eastAsia"/>
          <w:bCs/>
          <w:szCs w:val="21"/>
        </w:rPr>
        <w:t xml:space="preserve">预算</w:t>
      </w:r>
      <w:r>
        <w:rPr>
          <w:bCs/>
          <w:szCs w:val="21"/>
        </w:rPr>
        <w:t xml:space="preserve">—</w:t>
      </w:r>
      <w:r>
        <w:rPr>
          <w:rFonts w:hint="eastAsia"/>
          <w:bCs/>
          <w:szCs w:val="21"/>
        </w:rPr>
        <w:t xml:space="preserve">执行</w:t>
      </w:r>
      <w:r>
        <w:rPr>
          <w:bCs/>
          <w:szCs w:val="21"/>
        </w:rPr>
        <w:t xml:space="preserve">—</w:t>
      </w:r>
      <w:r>
        <w:rPr>
          <w:rFonts w:hint="eastAsia"/>
          <w:bCs/>
          <w:szCs w:val="21"/>
        </w:rPr>
        <w:t xml:space="preserve">核算</w:t>
      </w:r>
      <w:r>
        <w:rPr>
          <w:bCs/>
          <w:szCs w:val="21"/>
        </w:rPr>
        <w:t xml:space="preserve">—</w:t>
      </w:r>
      <w:r>
        <w:rPr>
          <w:rFonts w:hint="eastAsia"/>
          <w:bCs/>
          <w:szCs w:val="21"/>
        </w:rPr>
        <w:t xml:space="preserve">考核</w:t>
      </w:r>
      <w:r>
        <w:rPr>
          <w:bCs/>
          <w:szCs w:val="21"/>
        </w:rPr>
        <w:t xml:space="preserve">”</w:t>
      </w:r>
      <w:r>
        <w:rPr>
          <w:rFonts w:hint="eastAsia"/>
          <w:bCs/>
          <w:szCs w:val="21"/>
        </w:rPr>
        <w:t xml:space="preserve">全流程可控，真正实现医共体</w:t>
      </w:r>
      <w:r>
        <w:rPr>
          <w:bCs/>
          <w:szCs w:val="21"/>
        </w:rPr>
        <w:t xml:space="preserve">“</w:t>
      </w:r>
      <w:r>
        <w:rPr>
          <w:rFonts w:hint="eastAsia"/>
          <w:bCs/>
          <w:szCs w:val="21"/>
        </w:rPr>
        <w:t xml:space="preserve">一本账</w:t>
      </w:r>
      <w:r>
        <w:rPr>
          <w:bCs/>
          <w:szCs w:val="21"/>
        </w:rPr>
        <w:t xml:space="preserve">”</w:t>
      </w:r>
      <w:r>
        <w:rPr>
          <w:rFonts w:hint="eastAsia"/>
          <w:bCs/>
          <w:szCs w:val="21"/>
        </w:rPr>
        <w:t xml:space="preserve">管理。</w:t>
      </w:r>
      <w:r>
        <w:rPr>
          <w:bCs/>
          <w:szCs w:val="21"/>
        </w:rPr>
      </w:r>
      <w:r/>
    </w:p>
    <w:p>
      <w:pPr>
        <w:pStyle w:val="651"/>
        <w:ind w:firstLine="480"/>
        <w:jc w:val="left"/>
        <w:spacing w:line="360" w:lineRule="auto"/>
        <w:rPr>
          <w:rFonts w:ascii="宋体" w:hAnsi="宋体" w:cs="宋体"/>
          <w:b/>
          <w:bCs/>
          <w:szCs w:val="21"/>
        </w:rPr>
      </w:pPr>
      <w:r>
        <w:rPr>
          <w:rFonts w:hint="eastAsia"/>
          <w:bCs/>
          <w:szCs w:val="21"/>
        </w:rPr>
        <w:t xml:space="preserve">通过这种一体化设计，使三大系统从</w:t>
      </w:r>
      <w:r>
        <w:rPr>
          <w:bCs/>
          <w:szCs w:val="21"/>
        </w:rPr>
        <w:t xml:space="preserve">“</w:t>
      </w:r>
      <w:r>
        <w:rPr>
          <w:rFonts w:hint="eastAsia"/>
          <w:bCs/>
          <w:szCs w:val="21"/>
        </w:rPr>
        <w:t xml:space="preserve">并行建设</w:t>
      </w:r>
      <w:r>
        <w:rPr>
          <w:bCs/>
          <w:szCs w:val="21"/>
        </w:rPr>
        <w:t xml:space="preserve">”</w:t>
      </w:r>
      <w:r>
        <w:rPr>
          <w:rFonts w:hint="eastAsia"/>
          <w:bCs/>
          <w:szCs w:val="21"/>
        </w:rPr>
        <w:t xml:space="preserve">转变为</w:t>
      </w:r>
      <w:r>
        <w:rPr>
          <w:bCs/>
          <w:szCs w:val="21"/>
        </w:rPr>
        <w:t xml:space="preserve">“</w:t>
      </w:r>
      <w:r>
        <w:rPr>
          <w:rFonts w:hint="eastAsia"/>
          <w:bCs/>
          <w:szCs w:val="21"/>
        </w:rPr>
        <w:t xml:space="preserve">协同运行</w:t>
      </w:r>
      <w:r>
        <w:rPr>
          <w:bCs/>
          <w:szCs w:val="21"/>
        </w:rPr>
        <w:t xml:space="preserve">”</w:t>
      </w:r>
      <w:r>
        <w:rPr>
          <w:rFonts w:hint="eastAsia"/>
          <w:bCs/>
          <w:szCs w:val="21"/>
        </w:rPr>
        <w:t xml:space="preserve">，既保留了各系统的专业特性，又实现了数据互通、业务联动与管理统一，全面支撑医共体</w:t>
      </w:r>
      <w:r>
        <w:rPr>
          <w:bCs/>
          <w:szCs w:val="21"/>
        </w:rPr>
        <w:t xml:space="preserve">“</w:t>
      </w:r>
      <w:r>
        <w:rPr>
          <w:rFonts w:hint="eastAsia"/>
          <w:bCs/>
          <w:szCs w:val="21"/>
        </w:rPr>
        <w:t xml:space="preserve">一盘棋</w:t>
      </w:r>
      <w:r>
        <w:rPr>
          <w:bCs/>
          <w:szCs w:val="21"/>
        </w:rPr>
        <w:t xml:space="preserve">”</w:t>
      </w:r>
      <w:r>
        <w:rPr>
          <w:rFonts w:hint="eastAsia"/>
          <w:bCs/>
          <w:szCs w:val="21"/>
        </w:rPr>
        <w:t xml:space="preserve">发展格局。</w:t>
      </w:r>
      <w:r>
        <w:rPr>
          <w:rFonts w:ascii="宋体" w:hAnsi="宋体" w:cs="宋体"/>
          <w:b/>
          <w:bCs/>
          <w:szCs w:val="21"/>
        </w:rPr>
      </w:r>
      <w:r/>
    </w:p>
    <w:p>
      <w:pPr>
        <w:pStyle w:val="651"/>
        <w:ind w:firstLine="482"/>
        <w:spacing w:line="360" w:lineRule="auto"/>
        <w:tabs>
          <w:tab w:val="left" w:pos="0" w:leader="none"/>
        </w:tabs>
        <w:rPr>
          <w:rFonts w:hint="eastAsia" w:ascii="宋体" w:hAnsi="宋体" w:cs="宋体"/>
          <w:b/>
          <w:bCs/>
          <w:szCs w:val="21"/>
        </w:rPr>
        <w:outlineLvl w:val="2"/>
      </w:pPr>
      <w:r>
        <w:rPr>
          <w:rFonts w:hint="eastAsia" w:ascii="宋体" w:hAnsi="宋体" w:cs="宋体"/>
          <w:b/>
          <w:bCs/>
          <w:szCs w:val="21"/>
        </w:rPr>
        <w:t xml:space="preserve">2、项目建设目标</w:t>
      </w:r>
      <w:r/>
    </w:p>
    <w:p>
      <w:pPr>
        <w:pStyle w:val="651"/>
        <w:ind w:firstLine="480"/>
        <w:jc w:val="left"/>
        <w:spacing w:line="360" w:lineRule="auto"/>
        <w:rPr>
          <w:rFonts w:hint="eastAsia" w:ascii="Calibri" w:hAnsi="Calibri"/>
          <w:bCs/>
          <w:szCs w:val="21"/>
        </w:rPr>
      </w:pPr>
      <w:r>
        <w:rPr>
          <w:rFonts w:hint="eastAsia"/>
          <w:bCs/>
          <w:szCs w:val="21"/>
        </w:rPr>
        <w:t xml:space="preserve">本次赣榆区医共体信息化二期需在已建成的医共体信息平台与数据标准体系基础上，通过统一数据治理、业务协同与管理闭环，实现</w:t>
      </w:r>
      <w:r>
        <w:rPr>
          <w:bCs/>
          <w:szCs w:val="21"/>
        </w:rPr>
        <w:t xml:space="preserve"> "</w:t>
      </w:r>
      <w:r>
        <w:rPr>
          <w:rFonts w:hint="eastAsia"/>
          <w:bCs/>
          <w:szCs w:val="21"/>
        </w:rPr>
        <w:t xml:space="preserve">数据一体化、业务一体化、管理一体化</w:t>
      </w:r>
      <w:r>
        <w:rPr>
          <w:bCs/>
          <w:szCs w:val="21"/>
        </w:rPr>
        <w:t xml:space="preserve">" </w:t>
      </w:r>
      <w:r>
        <w:rPr>
          <w:rFonts w:hint="eastAsia"/>
          <w:bCs/>
          <w:szCs w:val="21"/>
        </w:rPr>
        <w:t xml:space="preserve">的深度融合，支撑医共体</w:t>
      </w:r>
      <w:r>
        <w:rPr>
          <w:bCs/>
          <w:szCs w:val="21"/>
        </w:rPr>
        <w:t xml:space="preserve"> "</w:t>
      </w:r>
      <w:r>
        <w:rPr>
          <w:rFonts w:hint="eastAsia"/>
          <w:bCs/>
          <w:szCs w:val="21"/>
        </w:rPr>
        <w:t xml:space="preserve">一盘棋</w:t>
      </w:r>
      <w:r>
        <w:rPr>
          <w:bCs/>
          <w:szCs w:val="21"/>
        </w:rPr>
        <w:t xml:space="preserve">" </w:t>
      </w:r>
      <w:r>
        <w:rPr>
          <w:rFonts w:hint="eastAsia"/>
          <w:bCs/>
          <w:szCs w:val="21"/>
        </w:rPr>
        <w:t xml:space="preserve">发展格局。</w:t>
      </w:r>
      <w:r>
        <w:rPr>
          <w:rFonts w:hint="eastAsia" w:ascii="Calibri" w:hAnsi="Calibri"/>
          <w:bCs/>
          <w:szCs w:val="21"/>
        </w:rPr>
      </w:r>
      <w:r/>
    </w:p>
    <w:p>
      <w:pPr>
        <w:pStyle w:val="651"/>
        <w:ind w:firstLine="480"/>
        <w:jc w:val="left"/>
        <w:spacing w:line="360" w:lineRule="auto"/>
        <w:rPr>
          <w:bCs/>
          <w:szCs w:val="21"/>
        </w:rPr>
      </w:pPr>
      <w:r>
        <w:rPr>
          <w:rFonts w:hint="eastAsia"/>
          <w:bCs/>
          <w:szCs w:val="21"/>
        </w:rPr>
        <w:t xml:space="preserve">区域医保智慧预警系统，为赣榆区医保局切实强化医保基金监管主体责任，全面构建医保基金监管新模式，进一步健全医保基金监管长效机制，推动医保基金监管取得实效。随着医保支付方式改革的深入推进，</w:t>
      </w:r>
      <w:r>
        <w:rPr>
          <w:bCs/>
          <w:szCs w:val="21"/>
        </w:rPr>
        <w:t xml:space="preserve">DIP</w:t>
      </w:r>
      <w:r>
        <w:rPr>
          <w:rFonts w:hint="eastAsia"/>
          <w:bCs/>
          <w:szCs w:val="21"/>
        </w:rPr>
        <w:t xml:space="preserve">逐渐成为医保控费的核心工具。区县作为医疗资源相对薄弱的地区，面临医保基金使用效率低、医疗机构控费能力不足、信息化水平滞后等问题，部分医院因不合理诊疗导致的医保违规案例频发，亟需通过技术与管理创新实现控费目标。</w:t>
      </w:r>
      <w:r>
        <w:rPr>
          <w:bCs/>
          <w:szCs w:val="21"/>
        </w:rPr>
      </w:r>
      <w:r/>
    </w:p>
    <w:p>
      <w:pPr>
        <w:pStyle w:val="651"/>
        <w:ind w:firstLine="480"/>
        <w:jc w:val="left"/>
        <w:spacing w:line="360" w:lineRule="auto"/>
        <w:rPr>
          <w:bCs/>
          <w:szCs w:val="21"/>
        </w:rPr>
      </w:pPr>
      <w:r>
        <w:rPr>
          <w:rFonts w:hint="eastAsia"/>
          <w:bCs/>
          <w:szCs w:val="21"/>
        </w:rPr>
        <w:t xml:space="preserve">基层全科医生智能辅助提升基层全科医生服务</w:t>
      </w:r>
      <w:r>
        <w:rPr>
          <w:rFonts w:hint="eastAsia"/>
          <w:bCs/>
          <w:szCs w:val="21"/>
        </w:rPr>
        <w:t xml:space="preserve">能力：通过智能问诊、风险预警、推荐用药、大模型知识学习、中医辅诊等功能，弥补基层医生专业短板，降低漏误诊率，提升合理用药水平，助力基层医生快速提升诊疗能力；强化基层诊疗质量管控：搭建项目管理端平台，实现基层诊疗数据的采集、分析、可视化监管，重点监控病历质量、诊断合理性、处方规范性等，为医共体管理提供决策支撑，推动基层诊疗质量持续提升；赋能基层中医药服务发展：整合中医适宜技术资源，为基层医生提供中医辅诊、适宜技术指导等功能，推动基层中医馆、中医阁规范化建设，提升基层中医药服务能力，落实中医药传承创新发展要求。</w:t>
      </w:r>
      <w:r>
        <w:rPr>
          <w:bCs/>
          <w:szCs w:val="21"/>
        </w:rPr>
      </w:r>
      <w:r/>
    </w:p>
    <w:p>
      <w:pPr>
        <w:pStyle w:val="651"/>
        <w:ind w:firstLine="480"/>
        <w:jc w:val="left"/>
        <w:spacing w:line="360" w:lineRule="auto"/>
        <w:rPr>
          <w:bCs/>
          <w:szCs w:val="21"/>
        </w:rPr>
      </w:pPr>
      <w:r>
        <w:rPr>
          <w:rFonts w:hint="eastAsia"/>
          <w:bCs/>
          <w:szCs w:val="21"/>
        </w:rPr>
        <w:t xml:space="preserve">医共体财务运营总体目标为建设一套集全面预算管理、财务会计核算、固定资产管理、科室成本管理、项目成本管理、病种成本管理、</w:t>
      </w:r>
      <w:r>
        <w:rPr>
          <w:bCs/>
          <w:szCs w:val="21"/>
        </w:rPr>
        <w:t xml:space="preserve">DIP</w:t>
      </w:r>
      <w:r>
        <w:rPr>
          <w:rFonts w:hint="eastAsia"/>
          <w:bCs/>
          <w:szCs w:val="21"/>
        </w:rPr>
        <w:t xml:space="preserve">成本管理、报销管理、资产管理、人力资源管理等核心模块于一体的</w:t>
      </w:r>
      <w:r>
        <w:rPr>
          <w:bCs/>
          <w:szCs w:val="21"/>
        </w:rPr>
        <w:t xml:space="preserve">HRP</w:t>
      </w:r>
      <w:r>
        <w:rPr>
          <w:rFonts w:hint="eastAsia"/>
          <w:bCs/>
          <w:szCs w:val="21"/>
        </w:rPr>
        <w:t xml:space="preserve">系统，并同步搭建财务主题、资产主题、成本主题、预算主题医共体监管决策大屏，实现财务管理精细化、人力资源配置高效化、资产管控规范化、决策支持智能化，统筹覆盖本院及医共体各成员单位核心运营管理需求，具体建设内容涵盖以下核心模块及相关配套建设，全面支撑项目建设目标落地，助力医共体一体化运营管理提质增效。</w:t>
      </w:r>
      <w:r>
        <w:rPr>
          <w:bCs/>
          <w:szCs w:val="21"/>
        </w:rPr>
      </w:r>
      <w:r/>
    </w:p>
    <w:p>
      <w:pPr>
        <w:pStyle w:val="651"/>
        <w:ind w:firstLine="482"/>
        <w:spacing w:line="360" w:lineRule="auto"/>
        <w:tabs>
          <w:tab w:val="left" w:pos="0" w:leader="none"/>
        </w:tabs>
        <w:rPr>
          <w:rFonts w:ascii="宋体" w:hAnsi="宋体" w:cs="宋体"/>
          <w:b/>
          <w:bCs/>
          <w:szCs w:val="21"/>
        </w:rPr>
        <w:outlineLvl w:val="2"/>
      </w:pPr>
      <w:r>
        <w:rPr>
          <w:rFonts w:hint="eastAsia" w:ascii="宋体" w:hAnsi="宋体" w:cs="宋体"/>
          <w:b/>
          <w:bCs/>
          <w:szCs w:val="21"/>
        </w:rPr>
        <w:t xml:space="preserve">3、满足信创要求</w:t>
      </w:r>
      <w:bookmarkStart w:id="110" w:name="_Toc4495"/>
      <w:r>
        <w:rPr>
          <w:rFonts w:ascii="宋体" w:hAnsi="宋体" w:cs="宋体"/>
          <w:b/>
          <w:bCs/>
          <w:szCs w:val="21"/>
        </w:rPr>
      </w:r>
      <w:r/>
    </w:p>
    <w:p>
      <w:pPr>
        <w:pStyle w:val="651"/>
        <w:ind w:firstLine="480"/>
        <w:spacing w:line="360" w:lineRule="auto"/>
        <w:rPr>
          <w:rFonts w:hint="eastAsia" w:ascii="宋体" w:hAnsi="宋体" w:cs="宋体"/>
          <w:szCs w:val="21"/>
        </w:rPr>
      </w:pPr>
      <w:r>
        <w:rPr>
          <w:rFonts w:hint="eastAsia" w:ascii="宋体" w:hAnsi="宋体" w:cs="宋体"/>
          <w:szCs w:val="21"/>
        </w:rPr>
        <w:t xml:space="preserve">1、信创环境可以保障医疗数据安全</w:t>
      </w:r>
      <w:r/>
    </w:p>
    <w:p>
      <w:pPr>
        <w:pStyle w:val="651"/>
        <w:ind w:firstLine="480"/>
        <w:spacing w:line="360" w:lineRule="auto"/>
        <w:rPr>
          <w:rFonts w:hint="eastAsia" w:ascii="宋体" w:hAnsi="宋体" w:cs="宋体"/>
          <w:szCs w:val="21"/>
        </w:rPr>
      </w:pPr>
      <w:r>
        <w:rPr>
          <w:rFonts w:hint="eastAsia" w:ascii="宋体" w:hAnsi="宋体" w:cs="宋体"/>
          <w:szCs w:val="21"/>
        </w:rPr>
        <w:t xml:space="preserve">医疗数据包含患者的个人隐私信息，如身份信息、病情诊断、治疗方案等，数据敏感度高。在信创环境下，采用国产自主可控的硬件和软件，可以减少因国外技术漏洞或恶意攻击导致的数据泄露风险。例如，国产操作系统可以从底层架构上对数据访问进行严格控制，防止未经授权的数据获取行为。</w:t>
      </w:r>
      <w:r/>
    </w:p>
    <w:p>
      <w:pPr>
        <w:pStyle w:val="651"/>
        <w:ind w:firstLine="480"/>
        <w:spacing w:line="360" w:lineRule="auto"/>
        <w:rPr>
          <w:rFonts w:hint="eastAsia" w:ascii="宋体" w:hAnsi="宋体" w:cs="宋体"/>
          <w:szCs w:val="21"/>
        </w:rPr>
      </w:pPr>
      <w:r>
        <w:rPr>
          <w:rFonts w:hint="eastAsia" w:ascii="宋体" w:hAnsi="宋体" w:cs="宋体"/>
          <w:szCs w:val="21"/>
        </w:rPr>
        <w:t xml:space="preserve">信创环境中的加密技术能够保障医疗数据在存储和传输过程中的安全。比如，在医院内部网络传输电子病历等重要数据时，通过国产加密算法对数据进行加密处理，即使数据被截获，也无法被破解和篡改。</w:t>
      </w:r>
      <w:r/>
    </w:p>
    <w:p>
      <w:pPr>
        <w:pStyle w:val="651"/>
        <w:ind w:firstLine="480"/>
        <w:spacing w:line="360" w:lineRule="auto"/>
        <w:rPr>
          <w:rFonts w:hint="eastAsia" w:ascii="宋体" w:hAnsi="宋体" w:cs="宋体"/>
          <w:szCs w:val="21"/>
        </w:rPr>
      </w:pPr>
      <w:r>
        <w:rPr>
          <w:rFonts w:hint="eastAsia" w:ascii="宋体" w:hAnsi="宋体" w:cs="宋体"/>
          <w:szCs w:val="21"/>
        </w:rPr>
        <w:t xml:space="preserve">2、信创建设符合政策法规要求</w:t>
      </w:r>
      <w:r/>
    </w:p>
    <w:p>
      <w:pPr>
        <w:pStyle w:val="651"/>
        <w:ind w:firstLine="480"/>
        <w:spacing w:line="360" w:lineRule="auto"/>
        <w:rPr>
          <w:rFonts w:hint="eastAsia" w:ascii="宋体" w:hAnsi="宋体" w:cs="宋体"/>
          <w:szCs w:val="21"/>
        </w:rPr>
      </w:pPr>
      <w:r>
        <w:rPr>
          <w:rFonts w:hint="eastAsia" w:ascii="宋体" w:hAnsi="宋体" w:cs="宋体"/>
          <w:szCs w:val="21"/>
        </w:rPr>
        <w:t xml:space="preserve">随着国家对信息安全的重视，相关政策法规不断出台，要求关键信息基础设施行业包括医疗行业加强自主可控建设。医院作为重要的公共服务机构，有责任和义务遵守这些政策。例如，政府要求医院逐步替换国外信息技术产品，实现关键系统的国产化，以保障国家信息安全和公共利益。</w:t>
      </w:r>
      <w:r/>
    </w:p>
    <w:p>
      <w:pPr>
        <w:pStyle w:val="651"/>
        <w:ind w:firstLine="480"/>
        <w:spacing w:line="360" w:lineRule="auto"/>
        <w:rPr>
          <w:rFonts w:hint="eastAsia" w:ascii="宋体" w:hAnsi="宋体" w:cs="宋体"/>
          <w:szCs w:val="21"/>
        </w:rPr>
      </w:pPr>
      <w:r>
        <w:rPr>
          <w:rFonts w:hint="eastAsia" w:ascii="宋体" w:hAnsi="宋体" w:cs="宋体"/>
          <w:szCs w:val="21"/>
        </w:rPr>
        <w:t xml:space="preserve">一些地方政府对医院信息化建设有明确的信创指标，医院需要在规定时间内完成系统的信创适配，以获得政策支持和避免违规处罚。</w:t>
      </w:r>
      <w:r/>
    </w:p>
    <w:p>
      <w:pPr>
        <w:pStyle w:val="651"/>
        <w:ind w:firstLine="480"/>
        <w:spacing w:line="360" w:lineRule="auto"/>
        <w:rPr>
          <w:rFonts w:hint="eastAsia" w:ascii="宋体" w:hAnsi="宋体" w:cs="宋体"/>
          <w:szCs w:val="21"/>
        </w:rPr>
      </w:pPr>
      <w:r>
        <w:rPr>
          <w:rFonts w:hint="eastAsia" w:ascii="宋体" w:hAnsi="宋体" w:cs="宋体"/>
          <w:szCs w:val="21"/>
        </w:rPr>
        <w:t xml:space="preserve">国家层面法律法规</w:t>
      </w:r>
      <w:r/>
    </w:p>
    <w:p>
      <w:pPr>
        <w:pStyle w:val="651"/>
        <w:ind w:firstLine="480"/>
        <w:spacing w:line="360" w:lineRule="auto"/>
        <w:rPr>
          <w:rFonts w:hint="eastAsia" w:ascii="宋体" w:hAnsi="宋体" w:cs="宋体"/>
          <w:szCs w:val="21"/>
        </w:rPr>
      </w:pPr>
      <w:r>
        <w:rPr>
          <w:rFonts w:hint="eastAsia" w:ascii="宋体" w:hAnsi="宋体" w:cs="宋体"/>
          <w:szCs w:val="21"/>
        </w:rPr>
        <w:t xml:space="preserve">1）《网络安全法》</w:t>
      </w:r>
      <w:r/>
    </w:p>
    <w:p>
      <w:pPr>
        <w:pStyle w:val="651"/>
        <w:ind w:firstLine="480"/>
        <w:spacing w:line="360" w:lineRule="auto"/>
        <w:rPr>
          <w:rFonts w:hint="eastAsia" w:ascii="宋体" w:hAnsi="宋体" w:cs="宋体"/>
          <w:szCs w:val="21"/>
        </w:rPr>
      </w:pPr>
      <w:r>
        <w:rPr>
          <w:rFonts w:hint="eastAsia" w:ascii="宋体" w:hAnsi="宋体" w:cs="宋体"/>
          <w:szCs w:val="21"/>
        </w:rPr>
        <w:t xml:space="preserve">规定了网络运营者的安全义务，医院作为网络运营者，其信息系统有责任保障网络安全、稳定运行。信创改造有助于医院采取技术措施和其他必要措施，保障网络安全、稳定运行，有效应对网络安全事件，保护个人信息安全等。例如，要求医院对其信息系统中的患者数据采取加密、访问控制等安全防护措施，信创改造可以通过采用国产自主可控的加密技术和安全机制来满足这一要求。</w:t>
      </w:r>
      <w:r/>
    </w:p>
    <w:p>
      <w:pPr>
        <w:pStyle w:val="651"/>
        <w:ind w:firstLine="480"/>
        <w:spacing w:line="360" w:lineRule="auto"/>
        <w:rPr>
          <w:rFonts w:hint="eastAsia" w:ascii="宋体" w:hAnsi="宋体" w:cs="宋体"/>
          <w:szCs w:val="21"/>
        </w:rPr>
      </w:pPr>
      <w:r>
        <w:rPr>
          <w:rFonts w:hint="eastAsia" w:ascii="宋体" w:hAnsi="宋体" w:cs="宋体"/>
          <w:szCs w:val="21"/>
        </w:rPr>
        <w:t xml:space="preserve">强调保障网络数据的完整性、保密性和可用性。医院信息系统中的医疗数据关系到患者的生命健康和隐私，信创改造能够从硬件和软件基础上提升对这些数据的保护能力，防止数据泄露、篡改等安全问题。</w:t>
      </w:r>
      <w:r/>
    </w:p>
    <w:p>
      <w:pPr>
        <w:pStyle w:val="651"/>
        <w:ind w:firstLine="480"/>
        <w:spacing w:line="360" w:lineRule="auto"/>
        <w:rPr>
          <w:rFonts w:hint="eastAsia" w:ascii="宋体" w:hAnsi="宋体" w:cs="宋体"/>
          <w:szCs w:val="21"/>
        </w:rPr>
      </w:pPr>
      <w:r>
        <w:rPr>
          <w:rFonts w:hint="eastAsia" w:ascii="宋体" w:hAnsi="宋体" w:cs="宋体"/>
          <w:szCs w:val="21"/>
        </w:rPr>
        <w:t xml:space="preserve">2）《数据安全法》</w:t>
      </w:r>
      <w:r/>
    </w:p>
    <w:p>
      <w:pPr>
        <w:pStyle w:val="651"/>
        <w:ind w:firstLine="480"/>
        <w:spacing w:line="360" w:lineRule="auto"/>
        <w:rPr>
          <w:rFonts w:hint="eastAsia" w:ascii="宋体" w:hAnsi="宋体" w:cs="宋体"/>
          <w:szCs w:val="21"/>
        </w:rPr>
      </w:pPr>
      <w:r>
        <w:rPr>
          <w:rFonts w:hint="eastAsia" w:ascii="宋体" w:hAnsi="宋体" w:cs="宋体"/>
          <w:szCs w:val="21"/>
        </w:rPr>
        <w:t xml:space="preserve">明确了数据安全保护义务，医院在处理大量患者医疗数据时，必须建立健全全流程数据安全管理制度。信创改造可促使医院采用符合国内安全标准的数据库和数据处理软件，确保医疗数据在存储、使用、加工、传输等环节的安全。</w:t>
      </w:r>
      <w:r/>
    </w:p>
    <w:p>
      <w:pPr>
        <w:pStyle w:val="651"/>
        <w:ind w:firstLine="480"/>
        <w:spacing w:line="360" w:lineRule="auto"/>
        <w:rPr>
          <w:rFonts w:hint="eastAsia" w:ascii="宋体" w:hAnsi="宋体" w:cs="宋体"/>
          <w:szCs w:val="21"/>
        </w:rPr>
      </w:pPr>
      <w:r>
        <w:rPr>
          <w:rFonts w:hint="eastAsia" w:ascii="宋体" w:hAnsi="宋体" w:cs="宋体"/>
          <w:szCs w:val="21"/>
        </w:rPr>
        <w:t xml:space="preserve">规定了重要数据的保护措施，医疗数据通常属于重要数据范畴。通过信创改造，医院可以利用国产信创产品在数据分类分级、数据安全风险评估等方面的技术优势，加强对医疗重要数据的保护。</w:t>
      </w:r>
      <w:r/>
    </w:p>
    <w:p>
      <w:pPr>
        <w:pStyle w:val="651"/>
        <w:ind w:firstLine="480"/>
        <w:spacing w:line="360" w:lineRule="auto"/>
        <w:rPr>
          <w:rFonts w:hint="eastAsia" w:ascii="宋体" w:hAnsi="宋体" w:cs="宋体"/>
          <w:szCs w:val="21"/>
        </w:rPr>
      </w:pPr>
      <w:r>
        <w:rPr>
          <w:rFonts w:hint="eastAsia" w:ascii="宋体" w:hAnsi="宋体" w:cs="宋体"/>
          <w:szCs w:val="21"/>
        </w:rPr>
        <w:t xml:space="preserve">3）《密码法》</w:t>
      </w:r>
      <w:r/>
    </w:p>
    <w:p>
      <w:pPr>
        <w:pStyle w:val="651"/>
        <w:ind w:firstLine="480"/>
        <w:spacing w:line="360" w:lineRule="auto"/>
        <w:rPr>
          <w:rFonts w:hint="eastAsia" w:ascii="宋体" w:hAnsi="宋体" w:cs="宋体"/>
          <w:szCs w:val="21"/>
        </w:rPr>
      </w:pPr>
      <w:r>
        <w:rPr>
          <w:rFonts w:hint="eastAsia" w:ascii="宋体" w:hAnsi="宋体" w:cs="宋体"/>
          <w:szCs w:val="21"/>
        </w:rPr>
        <w:t xml:space="preserve">规范了密码应用和管理，医院信息系统在数据传输和存储过程中需要运用密码技术保障安全。信创改造使医院能够采用国产的密码算法和密码产品，例如国产加密芯片和加密软件，确保符合国家密码管理政策，保障医疗信息的保密性和完整性。</w:t>
      </w:r>
      <w:r/>
    </w:p>
    <w:p>
      <w:pPr>
        <w:pStyle w:val="651"/>
        <w:ind w:firstLine="480"/>
        <w:spacing w:line="360" w:lineRule="auto"/>
        <w:rPr>
          <w:rFonts w:hint="eastAsia" w:ascii="宋体" w:hAnsi="宋体" w:cs="宋体"/>
          <w:szCs w:val="21"/>
        </w:rPr>
      </w:pPr>
      <w:r>
        <w:rPr>
          <w:rFonts w:hint="eastAsia" w:ascii="宋体" w:hAnsi="宋体" w:cs="宋体"/>
          <w:szCs w:val="21"/>
        </w:rPr>
        <w:t xml:space="preserve">行业政策要求：</w:t>
      </w:r>
      <w:r/>
    </w:p>
    <w:p>
      <w:pPr>
        <w:pStyle w:val="651"/>
        <w:ind w:firstLine="480"/>
        <w:spacing w:line="360" w:lineRule="auto"/>
        <w:rPr>
          <w:rFonts w:hint="eastAsia" w:ascii="宋体" w:hAnsi="宋体" w:cs="宋体"/>
          <w:szCs w:val="21"/>
        </w:rPr>
      </w:pPr>
      <w:r>
        <w:rPr>
          <w:rFonts w:hint="eastAsia" w:ascii="宋体" w:hAnsi="宋体" w:cs="宋体"/>
          <w:szCs w:val="21"/>
        </w:rPr>
        <w:t xml:space="preserve">1）卫生健康行业信息化规划</w:t>
      </w:r>
      <w:r/>
    </w:p>
    <w:p>
      <w:pPr>
        <w:pStyle w:val="651"/>
        <w:ind w:firstLine="480"/>
        <w:spacing w:line="360" w:lineRule="auto"/>
        <w:rPr>
          <w:rFonts w:hint="eastAsia" w:ascii="宋体" w:hAnsi="宋体" w:cs="宋体"/>
          <w:szCs w:val="21"/>
        </w:rPr>
      </w:pPr>
      <w:r>
        <w:rPr>
          <w:rFonts w:hint="eastAsia" w:ascii="宋体" w:hAnsi="宋体" w:cs="宋体"/>
          <w:szCs w:val="21"/>
        </w:rPr>
        <w:t xml:space="preserve">国家卫生健康委发布的相关信息化发展规划中，往往强调加强卫生健康行业网络安全保障能力建设。这包括推进信息技术应用创新，医院信息系统作为卫生健康行业信息化的重要组成部分，需要积极开展信创改造，以提升整个行业的信息安全水平。</w:t>
      </w:r>
      <w:r/>
    </w:p>
    <w:p>
      <w:pPr>
        <w:pStyle w:val="651"/>
        <w:ind w:firstLine="480"/>
        <w:spacing w:line="360" w:lineRule="auto"/>
        <w:rPr>
          <w:rFonts w:hint="eastAsia" w:ascii="宋体" w:hAnsi="宋体" w:cs="宋体"/>
          <w:szCs w:val="21"/>
        </w:rPr>
      </w:pPr>
      <w:r>
        <w:rPr>
          <w:rFonts w:hint="eastAsia" w:ascii="宋体" w:hAnsi="宋体" w:cs="宋体"/>
          <w:szCs w:val="21"/>
        </w:rPr>
        <w:t xml:space="preserve">规划可能提出在一定时期内，提高行业内国产自主可控信息技术产品的应用比例。例如，要求一定比例的医院在核心信息系统（如HIS医院信息系统、LIS实验室信息系统、PACS医学影像存档与通信系统等）中采用信创产品，以保障医疗服务的稳定和安全。</w:t>
      </w:r>
      <w:r/>
    </w:p>
    <w:p>
      <w:pPr>
        <w:pStyle w:val="651"/>
        <w:ind w:firstLine="480"/>
        <w:spacing w:line="360" w:lineRule="auto"/>
        <w:rPr>
          <w:rFonts w:hint="eastAsia" w:ascii="宋体" w:hAnsi="宋体" w:cs="宋体"/>
          <w:szCs w:val="21"/>
        </w:rPr>
      </w:pPr>
      <w:r>
        <w:rPr>
          <w:rFonts w:hint="eastAsia" w:ascii="宋体" w:hAnsi="宋体" w:cs="宋体"/>
          <w:szCs w:val="21"/>
        </w:rPr>
        <w:t xml:space="preserve">江苏省医保部门鼓励或要求本地医疗机构在涉及医保结算等相关信息系统方面进行信创改造，以符合当地医保信息化发展的整体布局和安全需求。</w:t>
      </w:r>
      <w:bookmarkEnd w:id="110"/>
      <w:r>
        <w:rPr>
          <w:rFonts w:hint="eastAsia" w:ascii="宋体" w:hAnsi="宋体" w:cs="宋体"/>
          <w:szCs w:val="21"/>
        </w:rPr>
      </w:r>
      <w:r/>
    </w:p>
    <w:p>
      <w:pPr>
        <w:pStyle w:val="651"/>
        <w:ind w:firstLine="482"/>
        <w:spacing w:line="360" w:lineRule="auto"/>
        <w:tabs>
          <w:tab w:val="left" w:pos="0" w:leader="none"/>
        </w:tabs>
        <w:rPr>
          <w:rFonts w:hint="eastAsia" w:ascii="宋体" w:hAnsi="宋体" w:cs="宋体"/>
          <w:b/>
          <w:bCs/>
          <w:szCs w:val="21"/>
        </w:rPr>
        <w:outlineLvl w:val="2"/>
      </w:pPr>
      <w:r>
        <w:rPr>
          <w:rFonts w:hint="eastAsia" w:ascii="宋体" w:hAnsi="宋体" w:cs="宋体"/>
          <w:b/>
          <w:bCs/>
          <w:szCs w:val="21"/>
        </w:rPr>
        <w:t xml:space="preserve">4、补充内容</w:t>
      </w:r>
      <w:r/>
    </w:p>
    <w:p>
      <w:pPr>
        <w:pStyle w:val="651"/>
        <w:ind w:firstLine="480"/>
        <w:spacing w:line="360" w:lineRule="auto"/>
        <w:rPr>
          <w:rFonts w:hint="eastAsia" w:ascii="Calibri" w:hAnsi="Calibri"/>
          <w:szCs w:val="21"/>
        </w:rPr>
      </w:pPr>
      <w:r>
        <w:rPr>
          <w:rFonts w:hint="eastAsia" w:ascii="宋体" w:hAnsi="宋体" w:cs="宋体"/>
          <w:szCs w:val="21"/>
        </w:rPr>
        <w:t xml:space="preserve">投标人提供的软件系统本身知识产权归投标人所有；招标人获得本合同约定范围内永久的非独占使用权。本项目实施过程中由招标人提出并专门定制开发的二次改造、定制功能成果知识产权归招标人所有。招标人业务数据全部归属招标人。</w:t>
      </w:r>
      <w:r>
        <w:rPr>
          <w:rFonts w:hint="eastAsia" w:ascii="Calibri" w:hAnsi="Calibri"/>
          <w:szCs w:val="21"/>
        </w:rPr>
      </w:r>
      <w:r/>
    </w:p>
    <w:p>
      <w:pPr>
        <w:pStyle w:val="651"/>
        <w:ind w:firstLine="480"/>
        <w:rPr>
          <w:rFonts w:ascii="宋体" w:hAnsi="宋体" w:cs="宋体"/>
          <w:szCs w:val="24"/>
        </w:rPr>
      </w:pPr>
      <w:r>
        <w:rPr>
          <w:rFonts w:ascii="宋体" w:hAnsi="宋体" w:cs="宋体"/>
          <w:szCs w:val="24"/>
        </w:rPr>
      </w:r>
      <w:r/>
    </w:p>
    <w:p>
      <w:pPr>
        <w:pStyle w:val="651"/>
        <w:ind w:firstLine="482"/>
        <w:tabs>
          <w:tab w:val="left" w:pos="0" w:leader="none"/>
        </w:tabs>
        <w:rPr>
          <w:rFonts w:hint="eastAsia" w:ascii="宋体" w:hAnsi="宋体" w:cs="宋体"/>
          <w:b/>
          <w:bCs/>
          <w:szCs w:val="24"/>
        </w:rPr>
        <w:outlineLvl w:val="1"/>
      </w:pPr>
      <w:r>
        <w:rPr>
          <w:rFonts w:hint="eastAsia" w:ascii="宋体" w:hAnsi="宋体" w:cs="宋体"/>
          <w:b/>
          <w:bCs/>
          <w:szCs w:val="24"/>
        </w:rPr>
        <w:t xml:space="preserve">三、项目建设内容</w:t>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80"/>
        <w:gridCol w:w="1537"/>
        <w:gridCol w:w="2807"/>
        <w:gridCol w:w="2856"/>
        <w:gridCol w:w="661"/>
        <w:gridCol w:w="796"/>
      </w:tblGrid>
      <w:tr>
        <w:trPr>
          <w:cantSplit/>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85"/>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685"/>
            </w:pPr>
            <w:r>
              <w:rPr>
                <w:rFonts w:hint="eastAsia"/>
              </w:rPr>
              <w:t xml:space="preserve">所属项目</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平台及系统</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子系统</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数量</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685"/>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pStyle w:val="685"/>
            </w:pPr>
            <w:r>
              <w:rPr>
                <w:rFonts w:hint="eastAsia"/>
              </w:rPr>
              <w:t xml:space="preserve">区域医保智慧预警</w:t>
            </w:r>
            <w:r/>
          </w:p>
        </w:tc>
        <w:tc>
          <w:tcPr>
            <w:tcBorders>
              <w:top w:val="single" w:color="000000" w:sz="4" w:space="0"/>
              <w:left w:val="single" w:color="000000" w:sz="4" w:space="0"/>
              <w:bottom w:val="single" w:color="000000" w:sz="4" w:space="0"/>
              <w:right w:val="single" w:color="000000" w:sz="4" w:space="0"/>
            </w:tcBorders>
            <w:tcW w:w="2807" w:type="dxa"/>
            <w:vAlign w:val="center"/>
            <w:vMerge w:val="restart"/>
            <w:textDirection w:val="lrTb"/>
            <w:noWrap w:val="false"/>
          </w:tcPr>
          <w:p>
            <w:pPr>
              <w:pStyle w:val="685"/>
            </w:pPr>
            <w:r>
              <w:rPr>
                <w:rFonts w:hint="eastAsia"/>
              </w:rPr>
              <w:t xml:space="preserve">区域医保智慧预警系统</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医保审核</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审核结果查询</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违规分析</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AI审核能力</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医保知识库</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医共体管理端系统</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医共体管理端系统</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系统管理</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系统管理</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685"/>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pStyle w:val="685"/>
            </w:pPr>
            <w:r>
              <w:rPr>
                <w:rFonts w:hint="eastAsia"/>
              </w:rPr>
              <w:t xml:space="preserve">基层全科医生智能辅助</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基层辅助诊疗系统</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基层辅助诊疗系统</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运行监管系统</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运行监管系统</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pStyle w:val="685"/>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pStyle w:val="685"/>
            </w:pPr>
            <w:r>
              <w:rPr>
                <w:rFonts w:hint="eastAsia"/>
              </w:rPr>
              <w:t xml:space="preserve">医共体财务运营</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系统平台</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系统平台</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全面预算</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全面预算</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财务会计</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财务会计</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固定资产</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固定资产</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报销管理</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报销管理</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成本管理</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成本管理</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资产管理</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资产管理</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人力资源管理</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人力资源管理</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AI智能体平台</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AI智能体平台</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651"/>
              <w:jc w:val="left"/>
              <w:widowControl/>
              <w:rPr>
                <w:rFonts w:ascii="宋体" w:hAnsi="Courier New"/>
                <w:szCs w:val="20"/>
              </w:rPr>
            </w:pPr>
            <w:r>
              <w:rPr>
                <w:rFonts w:ascii="宋体" w:hAnsi="Courier New"/>
                <w:szCs w:val="20"/>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685"/>
            </w:pPr>
            <w:r>
              <w:rPr>
                <w:rFonts w:hint="eastAsia"/>
              </w:rPr>
              <w:t xml:space="preserve">医共体监管决策大屏</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pStyle w:val="685"/>
            </w:pPr>
            <w:r>
              <w:rPr>
                <w:rFonts w:hint="eastAsia"/>
              </w:rPr>
              <w:t xml:space="preserve">医共体监管决策大屏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r>
        <w:trPr>
          <w:cantSplit/>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85"/>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685"/>
            </w:pPr>
            <w:r>
              <w:rPr>
                <w:rFonts w:hint="eastAsia"/>
              </w:rPr>
              <w:t xml:space="preserve">系统接口和服务</w:t>
            </w:r>
            <w:r/>
          </w:p>
        </w:tc>
        <w:tc>
          <w:tcPr>
            <w:gridSpan w:val="2"/>
            <w:tcBorders>
              <w:top w:val="single" w:color="000000" w:sz="4" w:space="0"/>
              <w:left w:val="single" w:color="000000" w:sz="4" w:space="0"/>
              <w:bottom w:val="single" w:color="000000" w:sz="4" w:space="0"/>
              <w:right w:val="single" w:color="000000" w:sz="4" w:space="0"/>
            </w:tcBorders>
            <w:tcW w:w="5663" w:type="dxa"/>
            <w:vAlign w:val="center"/>
            <w:textDirection w:val="lrTb"/>
            <w:noWrap w:val="false"/>
          </w:tcPr>
          <w:p>
            <w:pPr>
              <w:pStyle w:val="685"/>
            </w:pPr>
            <w:r>
              <w:rPr>
                <w:rFonts w:hint="eastAsia"/>
              </w:rPr>
              <w:t xml:space="preserve">1.系统接口：提供适用于本项目所投产品的标准化接口集成服务，支持与 HIS 系统、药品管理系统、辅助诊疗系统等第三方业务系统对接，实现机构信息、医生信息、患者就诊、病历、处方、医嘱、收费明细等核心数据交互、业务联动，满足医共体多机构业务集成需求，</w:t>
            </w:r>
            <w:r>
              <w:rPr>
                <w:rFonts w:hint="eastAsia" w:ascii="Times New Roman" w:hAnsi="Times New Roman"/>
              </w:rPr>
              <w:t xml:space="preserve">并按照政府、上级主管部门要求完成数据上传对接服务。</w:t>
            </w:r>
            <w:r>
              <w:rPr>
                <w:rFonts w:hint="eastAsia"/>
              </w:rPr>
              <w:t xml:space="preserve">接口需符合所有接口均遵循国家医疗信息化标准、区域卫生信息平台接口规范，支持HTTP/HTTPS、TCP/IP、WS、RESTful主流协议，兼容相关业务系统，具体根据项目实际需求及业务流程提供接口技术服务。</w:t>
            </w:r>
            <w:r/>
          </w:p>
          <w:p>
            <w:pPr>
              <w:pStyle w:val="651"/>
              <w:jc w:val="left"/>
              <w:widowControl/>
              <w:rPr>
                <w:rFonts w:hint="eastAsia" w:ascii="宋体" w:hAnsi="Courier New"/>
                <w:szCs w:val="20"/>
              </w:rPr>
            </w:pPr>
            <w:r>
              <w:rPr>
                <w:rFonts w:hint="eastAsia" w:ascii="宋体" w:hAnsi="Courier New"/>
                <w:szCs w:val="20"/>
              </w:rPr>
              <w:t xml:space="preserve">2.AI算力租赁（1年）：CPU：≥48核*4；内存：≥64GB*16；</w:t>
            </w:r>
            <w:r/>
          </w:p>
          <w:p>
            <w:pPr>
              <w:pStyle w:val="651"/>
              <w:jc w:val="left"/>
              <w:widowControl/>
              <w:rPr>
                <w:rFonts w:hint="eastAsia" w:ascii="宋体" w:hAnsi="Courier New"/>
                <w:szCs w:val="20"/>
              </w:rPr>
            </w:pPr>
            <w:r>
              <w:rPr>
                <w:rFonts w:hint="eastAsia" w:ascii="宋体" w:hAnsi="Courier New"/>
                <w:szCs w:val="20"/>
              </w:rPr>
              <w:t xml:space="preserve">硬盘：≥480GB*2 SSD盘，≥3840GB*3 NVME SSD盘；</w:t>
            </w:r>
            <w:r/>
          </w:p>
          <w:p>
            <w:pPr>
              <w:pStyle w:val="651"/>
              <w:jc w:val="left"/>
              <w:widowControl/>
              <w:rPr>
                <w:rFonts w:hint="eastAsia" w:ascii="Calibri" w:hAnsi="Calibri"/>
                <w:sz w:val="24"/>
              </w:rPr>
            </w:pPr>
            <w:r>
              <w:rPr>
                <w:rFonts w:hint="eastAsia" w:ascii="宋体" w:hAnsi="Courier New"/>
                <w:szCs w:val="20"/>
              </w:rPr>
              <w:t xml:space="preserve">算力显存：≥8块，单卡≥310TFLOPS@FP16算力且≥64GB HBM高带宽（或提供不低于该性能指标的算力产品并适配该项目算力需求）；</w:t>
            </w:r>
            <w:r>
              <w:rPr>
                <w:rFonts w:hint="eastAsia" w:ascii="Calibri" w:hAnsi="Calibri"/>
                <w:sz w:val="24"/>
              </w:rPr>
            </w:r>
            <w:r/>
          </w:p>
          <w:p>
            <w:pPr>
              <w:pStyle w:val="651"/>
              <w:jc w:val="left"/>
              <w:widowControl/>
              <w:rPr>
                <w:rFonts w:ascii="Calibri" w:hAnsi="Calibri"/>
                <w:sz w:val="24"/>
              </w:rPr>
            </w:pPr>
            <w:r>
              <w:rPr>
                <w:rFonts w:hint="eastAsia" w:ascii="宋体" w:hAnsi="Courier New"/>
                <w:szCs w:val="20"/>
              </w:rPr>
              <w:t xml:space="preserve">费用涵盖基础环境、设备租用、基础运维、软件授权及续租服务。</w:t>
            </w:r>
            <w:r>
              <w:rPr>
                <w:rFonts w:ascii="Calibri" w:hAnsi="Calibri"/>
                <w:sz w:val="24"/>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5"/>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85"/>
            </w:pPr>
            <w:r>
              <w:rPr>
                <w:rFonts w:hint="eastAsia"/>
              </w:rPr>
              <w:t xml:space="preserve">1</w:t>
            </w:r>
            <w:r/>
          </w:p>
        </w:tc>
      </w:tr>
    </w:tbl>
    <w:p>
      <w:pPr>
        <w:pStyle w:val="651"/>
        <w:ind w:firstLine="482"/>
        <w:tabs>
          <w:tab w:val="left" w:pos="0" w:leader="none"/>
        </w:tabs>
        <w:rPr>
          <w:rFonts w:hint="eastAsia" w:ascii="宋体" w:hAnsi="宋体" w:cs="宋体"/>
          <w:b/>
          <w:bCs/>
          <w:szCs w:val="24"/>
        </w:rPr>
        <w:outlineLvl w:val="1"/>
      </w:pPr>
      <w:r>
        <w:rPr>
          <w:rFonts w:hint="eastAsia" w:ascii="宋体" w:hAnsi="宋体" w:cs="宋体"/>
          <w:b/>
          <w:bCs/>
          <w:szCs w:val="24"/>
        </w:rPr>
        <w:t xml:space="preserve">四、技术参数</w:t>
      </w:r>
      <w:r/>
    </w:p>
    <w:tbl>
      <w:tblPr>
        <w:tblW w:w="9136" w:type="dxa"/>
        <w:tblInd w:w="93" w:type="dxa"/>
        <w:tblLayout w:type="fixed"/>
        <w:tblCellMar>
          <w:left w:w="108" w:type="dxa"/>
          <w:top w:w="0" w:type="dxa"/>
          <w:right w:w="108" w:type="dxa"/>
          <w:bottom w:w="0" w:type="dxa"/>
        </w:tblCellMar>
        <w:tblLook w:val="04A0" w:firstRow="1" w:lastRow="0" w:firstColumn="1" w:lastColumn="0" w:noHBand="0" w:noVBand="1"/>
      </w:tblPr>
      <w:tblGrid>
        <w:gridCol w:w="726"/>
        <w:gridCol w:w="917"/>
        <w:gridCol w:w="7493"/>
      </w:tblGrid>
      <w:tr>
        <w:trPr>
          <w:trHeight w:val="27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类别</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子系统名称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详细功能参数</w:t>
            </w:r>
            <w:r>
              <w:rPr>
                <w:rFonts w:hint="eastAsia" w:ascii="宋体" w:hAnsi="宋体" w:cs="宋体"/>
                <w:sz w:val="20"/>
                <w:szCs w:val="20"/>
              </w:rPr>
            </w:r>
            <w:r/>
          </w:p>
        </w:tc>
      </w:tr>
      <w:tr>
        <w:trPr>
          <w:cantSplit/>
          <w:trHeight w:val="90"/>
        </w:trPr>
        <w:tc>
          <w:tcPr>
            <w:tcBorders>
              <w:top w:val="single" w:color="000000" w:sz="4" w:space="0"/>
              <w:left w:val="single" w:color="000000" w:sz="4" w:space="0"/>
              <w:right w:val="single" w:color="000000" w:sz="4" w:space="0"/>
            </w:tcBorders>
            <w:tcW w:w="726" w:type="dxa"/>
            <w:vAlign w:val="center"/>
            <w:vMerge w:val="restart"/>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t xml:space="preserve">区域医保智慧预警系统</w:t>
            </w:r>
            <w:r/>
          </w:p>
          <w:p>
            <w:pPr>
              <w:pStyle w:val="651"/>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医保审核</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lang w:bidi="ar"/>
              </w:rPr>
              <w:t xml:space="preserve">1）▲门诊处方实时审核：在医师开具门诊处方时自动对处方进行实时审核，如：限儿童、限性别、限价格、中药饮片或配方颗粒不予支付、中药饮片单味拒付、限就诊方式、超限用药等，筛查出可疑违规项目后及时通过客户端提醒医师进行处理，提供申诉意见填写等处理方式。</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2）▲门诊慢特病处方实时审核：在医师开具门诊慢特病处方时自动对慢特病处方进行实时审核，根据患者慢特病病种、用药范围和数量、检验检查范围等规则，筛查出可疑违规明细后及时通过客户端提醒医师进行处理，提供申诉意见填写等处理方式。</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3）入院登记实时审核：在为患者办理入院过程中，根据患者的入院情况、结合前次出院信息进行分解入院、低标入院审核，及时提醒入院办理工作人员相关风险。</w:t>
              <w:br w:type="textWrapping" w:clear="all"/>
              <w:t xml:space="preserve">4）▲住院医嘱实时审核：在医生诊疗过程中，结合医嘱信息、医保管理规定，调用常规医保合规性审核能力，将审核前置到医生端，实时提示违规。提供独立客户端展示疑似违规类型、说明、依据、涉及金额。提供申诉意见填写等处理方式。</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5）住院计费实时审核：HIS可在医护人员计费场景下，通过实</w:t>
            </w:r>
            <w:r>
              <w:rPr>
                <w:rFonts w:hint="eastAsia" w:ascii="宋体" w:hAnsi="宋体" w:cs="宋体"/>
                <w:sz w:val="20"/>
                <w:szCs w:val="20"/>
                <w:lang w:bidi="ar"/>
              </w:rPr>
              <w:t xml:space="preserve">时调用医保审核能力接口，自动对计费项目进行实时审核，如重复收费、超标准收费等，筛查出可疑违规项目后及时提醒医护人员进行处理，解决物价收费问题。</w:t>
              <w:br/>
              <w:t xml:space="preserve">6）▲每日审核：每天定时从HIS中获取在院患者费用信息和全病历信息，调用基于全病历内涵的AI医保审核能力进行全方位审核，筛选出当前在院全部就诊数据的违规疑点，质检规则包括：医保超限用药、无指征检查检验、无医嘱收费，在管理端展示问题病例列表，分数据权限给科主任、医保审核人员等。支持按病例展示疑似违规列表，包括患者电子病历信息、疑似规则类型、说明、涉及金额、依据和解释。</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7）预结算审核：结合病例数据，在进行患者办理出院预结算时对费用明细进行智能审核，给出疑似违规数据，包括违规信息及违规明细，让操作人员了解患者本次结算的全部违规，及违规产生的原因，提醒工作人员及时进行及时处理。</w:t>
              <w:br w:type="textWrapping" w:clear="all"/>
              <w:t xml:space="preserve">8）审核规则管理：系统预置当地医保审核规则知识库，提供医保费用审核规则，为临床医师提供医保费用审核规则。可按多种条件查询并配置本院所有已启用的规则，可配置规则配置开启或关闭、使用场景、审核环节、扣减级别等、并保存规则变更记录等信息。</w:t>
            </w:r>
            <w:r>
              <w:rPr>
                <w:rFonts w:hint="eastAsia" w:ascii="宋体" w:hAnsi="宋体" w:cs="宋体"/>
                <w:sz w:val="20"/>
                <w:szCs w:val="20"/>
              </w:rPr>
            </w:r>
            <w:r/>
          </w:p>
        </w:tc>
      </w:tr>
      <w:tr>
        <w:trPr>
          <w:cantSplit/>
          <w:trHeight w:val="770"/>
        </w:trPr>
        <w:tc>
          <w:tcPr>
            <w:tcBorders>
              <w:left w:val="single" w:color="000000" w:sz="4" w:space="0"/>
              <w:right w:val="single" w:color="000000" w:sz="4" w:space="0"/>
            </w:tcBorders>
            <w:tcW w:w="726" w:type="dxa"/>
            <w:vAlign w:val="center"/>
            <w:vMerge w:val="continue"/>
            <w:textDirection w:val="lrTb"/>
            <w:noWrap/>
          </w:tcPr>
          <w:p>
            <w:pPr>
              <w:pStyle w:val="65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审核结果查询</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lang w:bidi="ar"/>
              </w:rPr>
              <w:t xml:space="preserve">1）▲门诊审核列表：可展示门诊审核违规全量数据，支持围绕审核场景、审核时间、结算时间、违规规则等维度实现多条件精准筛选，违规列表包含涉及患者信息、就诊号、开单医生等核心业务字段，点击详情按钮即可一键调取完整违规明细，高效赋能门诊审核全流程核查与追溯。</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2）▲住院审核列表：可展示住院审核违规全量数据，支持围绕审核场景、审核时间、结算时间、违规规则等维度实现多条件精准筛选，违规列表包含涉及患者信息、就诊号、开单医生等核心业务字段，点击详情按钮即可一键调取完整违规明细，高效赋能住院审核全流程核查与追溯。</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tc>
      </w:tr>
      <w:tr>
        <w:trPr>
          <w:cantSplit/>
          <w:trHeight w:val="1810"/>
        </w:trPr>
        <w:tc>
          <w:tcPr>
            <w:tcBorders>
              <w:left w:val="single" w:color="000000" w:sz="4" w:space="0"/>
              <w:right w:val="single" w:color="000000" w:sz="4" w:space="0"/>
            </w:tcBorders>
            <w:tcW w:w="726" w:type="dxa"/>
            <w:vAlign w:val="center"/>
            <w:vMerge w:val="continue"/>
            <w:textDirection w:val="lrTb"/>
            <w:noWrap/>
          </w:tcPr>
          <w:p>
            <w:pPr>
              <w:pStyle w:val="65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违规分析</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lang w:bidi="ar"/>
              </w:rPr>
              <w:t xml:space="preserve">1）住院疑似违规分析：按照患者维度展示智审结果，包括患者列表和智审详情，智审详情需要展示所有的智审明细，患者列表支持多维度查询。</w:t>
              <w:br w:type="textWrapping" w:clear="all"/>
              <w:t xml:space="preserve">2）住院违规总览：医</w:t>
            </w:r>
            <w:r>
              <w:rPr>
                <w:rFonts w:hint="eastAsia" w:ascii="宋体" w:hAnsi="宋体" w:cs="宋体"/>
                <w:sz w:val="20"/>
                <w:szCs w:val="20"/>
                <w:lang w:bidi="ar"/>
              </w:rPr>
              <w:t xml:space="preserve">保办审核人员对系统判定违规的数据进行门诊/住院的单独统计，并对历史半年的数据进行趋势分析，且可查看违规数量TOP5的规则数量。</w:t>
              <w:br/>
              <w:t xml:space="preserve">3）住院科室疑似违规统计：按科室维度统计违规次数、违规金额，计算同比及环比分析结果。</w:t>
              <w:br/>
              <w:t xml:space="preserve">4）住院医生疑似违规统计：按医生维度统计违规次数、违规金额，计算同比及环比分析结果。</w:t>
              <w:br/>
              <w:t xml:space="preserve">5）住院项目疑似违规统计：分析疑似违规诊疗项目的使用情况，统计药品、医疗服务、耗材的使用数量、金额、人次等，以及各科室的使用详情。</w:t>
              <w:br/>
              <w:t xml:space="preserve">6）住院疑似违规类型统计：按规则类型-科室-医生-规则维度，展示疑似违规数据，可</w:t>
            </w:r>
            <w:r>
              <w:rPr>
                <w:rFonts w:hint="eastAsia" w:ascii="宋体" w:hAnsi="宋体" w:cs="宋体"/>
                <w:sz w:val="20"/>
                <w:szCs w:val="20"/>
                <w:lang w:bidi="ar"/>
              </w:rPr>
              <w:t xml:space="preserve">进行报表下钻，方便用户快速查看和分析疑似违规数据。</w:t>
              <w:br/>
              <w:t xml:space="preserve">7）门诊疑似违规分析：按照门诊患者维度展示智审结果，包括患者列表和智审详情，智审详情需要展示所有的智审明细，患者列表支持多维度查询。</w:t>
              <w:br/>
              <w:t xml:space="preserve">8）门诊违规总览：医保办审核人员对系统判定门诊患者违规的数据进行的单独统计，并对历史半年的数据进行趋势分析，且可查看违规数量TOP5的规则数量。</w:t>
              <w:br/>
              <w:t xml:space="preserve">9）门诊科室疑似违规统计：按科室维度统计违门诊患者规次数、违规金额，计算同比及环比分析结果。</w:t>
              <w:br/>
              <w:t xml:space="preserve">10）门诊医生疑似违规统计：按医生维度统计门诊患者违规次数、违规金额，计算同比及环比分</w:t>
            </w:r>
            <w:r>
              <w:rPr>
                <w:rFonts w:hint="eastAsia" w:ascii="宋体" w:hAnsi="宋体" w:cs="宋体"/>
                <w:sz w:val="20"/>
                <w:szCs w:val="20"/>
                <w:lang w:bidi="ar"/>
              </w:rPr>
              <w:t xml:space="preserve">析结果。</w:t>
              <w:br/>
              <w:t xml:space="preserve">11）门诊项目疑似违规统计：分析门诊患者疑似违规诊疗项目的使用情况，统计药品、医疗服务、耗材的使用数量、金额、人次等，以及各科室的使用详情。</w:t>
              <w:br/>
              <w:t xml:space="preserve">12）门诊疑似违规类型统计：按规则类型-科室-医生-规则维度，展示门诊患者疑似违规数据，可进行报表下钻，方便用户快速查看和分析疑似违规数据。</w:t>
              <w:br/>
              <w:t xml:space="preserve">13）实时预警整改分析：对实时场景预提醒的医生整改情况情况进行统计分析，了解医生的认同率、不认同率，分析不认同的主要原因</w:t>
              <w:br/>
              <w:t xml:space="preserve">14）审核成效分析：对审核结果进行全过程监督，根据事前事中事后整改情况，呈现医保智能审核产品成效</w:t>
            </w:r>
            <w:r>
              <w:rPr>
                <w:rFonts w:hint="eastAsia" w:ascii="宋体" w:hAnsi="宋体" w:cs="宋体"/>
                <w:sz w:val="20"/>
                <w:szCs w:val="20"/>
              </w:rPr>
            </w:r>
            <w:r/>
          </w:p>
        </w:tc>
      </w:tr>
      <w:tr>
        <w:trPr>
          <w:cantSplit/>
          <w:trHeight w:val="1270"/>
        </w:trPr>
        <w:tc>
          <w:tcPr>
            <w:tcBorders>
              <w:left w:val="single" w:color="000000" w:sz="4" w:space="0"/>
              <w:right w:val="single" w:color="000000" w:sz="4" w:space="0"/>
            </w:tcBorders>
            <w:tcW w:w="726" w:type="dxa"/>
            <w:vAlign w:val="center"/>
            <w:vMerge w:val="continue"/>
            <w:textDirection w:val="lrTb"/>
            <w:noWrap/>
          </w:tcPr>
          <w:p>
            <w:pPr>
              <w:pStyle w:val="65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AI审核能力</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lang w:bidi="ar"/>
              </w:rPr>
              <w:t xml:space="preserve">1）药品超医保限定范围审核模型</w:t>
              <w:br w:type="textWrapping" w:clear="all"/>
              <w:t xml:space="preserve">结合药品目录备注中的限定条件，以结算清单和费用明细为基础，结合入院记录、病程、医嘱、检查、检验、手术记录等全病历信息构建超医保限定范围用药审核模型，精准判断药品使用是否符合医保支付限定条件中诊断、症状、检查检验指标、二线用药等要素。</w:t>
              <w:br w:type="textWrapping" w:clear="all"/>
              <w:t xml:space="preserve">2）药品医嘱收费一致性审核模型</w:t>
              <w:br w:type="textWrapping" w:clear="all"/>
              <w:t xml:space="preserve">基于费用明细，结合入院记录、病程</w:t>
            </w:r>
            <w:r>
              <w:rPr>
                <w:rFonts w:hint="eastAsia" w:ascii="宋体" w:hAnsi="宋体" w:cs="宋体"/>
                <w:sz w:val="20"/>
                <w:szCs w:val="20"/>
                <w:lang w:bidi="ar"/>
              </w:rPr>
              <w:t xml:space="preserve">、医嘱等信息重点审核药品收费存在的问题，进行药品医嘱-收费不符审核。</w:t>
              <w:br/>
              <w:t xml:space="preserve">3）药品合理使用类审核模型</w:t>
              <w:br/>
              <w:t xml:space="preserve">以费用明细为基础，结合入院记录、病程、医嘱、检查、检验、手术记录等信息构建药品合理使用类审核模型，主要针对医保药品使用说明书适应症用药、禁忌症审核。</w:t>
              <w:br/>
              <w:t xml:space="preserve">4）超量开药审核模型</w:t>
              <w:br/>
              <w:t xml:space="preserve">结合当地监管政策和违规行为关键特征，开展数据训练和模型调优，对于医生在单次门诊或急诊中，为患者开具超过合理用量的药品处方进行异常识别。一是通过对处方的药品、用法用量、规格以及药品总量进行分析，计算出药品可服用天数；二是通过计算上次开相同药品日</w:t>
            </w:r>
            <w:r>
              <w:rPr>
                <w:rFonts w:hint="eastAsia" w:ascii="宋体" w:hAnsi="宋体" w:cs="宋体"/>
                <w:sz w:val="20"/>
                <w:szCs w:val="20"/>
                <w:lang w:bidi="ar"/>
              </w:rPr>
              <w:t xml:space="preserve">期到当前日期的药品剩余药量，结合当次开药总量求和进行联合判断。</w:t>
              <w:br/>
              <w:t xml:space="preserve">5）医疗服务项目限定支付范围审核模型</w:t>
              <w:br/>
              <w:t xml:space="preserve">结合医疗服务项目目录中备注中的医保限定支付范围条件，以结算清单和费用明细为基础，结合入院记录、病程、医嘱、检查、检验、手术记录等全病历信息构建医疗服务限定支付范围审核模型，深度判断医疗服务项目使用是否符合医保支付限定条件中疾病、症状、阴性/阳性等要素。</w:t>
              <w:br/>
              <w:t xml:space="preserve">6）医疗服务项目收费一致性审核模型</w:t>
              <w:br/>
              <w:t xml:space="preserve">基于费用明细，结合入院记录、病程、医嘱、检查、检验等信息重点审核医疗服务项目收费存在的隐匿性问题。尤其是涵盖医疗服务项目</w:t>
            </w:r>
            <w:r>
              <w:rPr>
                <w:rFonts w:hint="eastAsia" w:ascii="宋体" w:hAnsi="宋体" w:cs="宋体"/>
                <w:sz w:val="20"/>
                <w:szCs w:val="20"/>
                <w:lang w:bidi="ar"/>
              </w:rPr>
              <w:t xml:space="preserve">医疗服务项目收费与报告单不符、医疗服务项目收费与医嘱不符。</w:t>
              <w:br/>
              <w:t xml:space="preserve">7）医疗服务项目合理使用类审核模型</w:t>
              <w:br/>
              <w:t xml:space="preserve">以病案首页/结算清单费用明细为基础，结合入院记录、病程、医嘱、检查、检验、手术记录等全病历信息构建医疗服务项目合理使用类审核模型，涵盖常见无指征检查、检验的违规情形。</w:t>
              <w:br/>
              <w:t xml:space="preserve">8）诊疗行为合理性审核模型</w:t>
              <w:br/>
              <w:t xml:space="preserve">结合历史诊疗行为对参保人在非特殊情况下，在同一家医疗机构相邻的两次住院间隔异常情形结合上次的出院诊断和治疗结局和本次入院诊断进行判断是否存在分解住院；对参保人本次入院的不满足住院标准但发生住院行为判断是否存在低标准入院。</w:t>
            </w:r>
            <w:r>
              <w:rPr>
                <w:rFonts w:hint="eastAsia" w:ascii="宋体" w:hAnsi="宋体" w:cs="宋体"/>
                <w:sz w:val="20"/>
                <w:szCs w:val="20"/>
              </w:rPr>
            </w:r>
            <w:r/>
          </w:p>
        </w:tc>
      </w:tr>
      <w:tr>
        <w:trPr>
          <w:cantSplit/>
          <w:trHeight w:val="90"/>
        </w:trPr>
        <w:tc>
          <w:tcPr>
            <w:tcBorders>
              <w:left w:val="single" w:color="000000" w:sz="4" w:space="0"/>
              <w:right w:val="single" w:color="000000" w:sz="4" w:space="0"/>
            </w:tcBorders>
            <w:tcW w:w="726" w:type="dxa"/>
            <w:vAlign w:val="center"/>
            <w:vMerge w:val="continue"/>
            <w:textDirection w:val="lrTb"/>
            <w:noWrap/>
          </w:tcPr>
          <w:p>
            <w:pPr>
              <w:pStyle w:val="65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医保知识库</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lang w:bidi="ar"/>
              </w:rPr>
              <w:t xml:space="preserve">1）医保药品/耗材目录管理：药品信息管理可以查询当地医保药品目录的基本信息，包括药品编码，药品名称，收费类别，收费项目等级，限制支付条件，其中药品名称和限制支付条件支持模糊查询。</w:t>
              <w:br w:type="textWrapping" w:clear="all"/>
              <w:t xml:space="preserve">支持当地耗材目录基本信息和详细信息查看，包括分类代码、收费类别、材质、规格等信息，</w:t>
            </w:r>
            <w:r>
              <w:rPr>
                <w:rFonts w:hint="eastAsia" w:ascii="宋体" w:hAnsi="宋体" w:cs="宋体"/>
                <w:sz w:val="20"/>
                <w:szCs w:val="20"/>
                <w:lang w:bidi="ar"/>
              </w:rPr>
              <w:t xml:space="preserve">支持多条件组合搜索，支持对耗材审核状态进行灵活开启关闭。</w:t>
              <w:br/>
              <w:t xml:space="preserve">2）医保诊疗目录管理：诊疗项目信息管理可以查询当地医保诊疗项目的基本信息，包括项目编码，项目名称，收费类别，收费项目等级，限制支付条件，其中项目名称和限制支付条件支持模糊查询。</w:t>
              <w:br/>
              <w:t xml:space="preserve">3）医保诊断目录管理：病种信息管理可以查询当地医保疾病目录基本信息，包括疾病编码，疾病名称。疾病名称支持模糊查询。</w:t>
              <w:br/>
              <w:t xml:space="preserve">展示当地医保诊断目录，包括编码版本、疾病名称、疾病编码，支持编辑和删除，支持批量导入和按照疾病信息进行模糊查询。</w:t>
              <w:br/>
              <w:t xml:space="preserve">4）医师信息管理：医师信息管理查询本院医师信息</w:t>
            </w:r>
            <w:r>
              <w:rPr>
                <w:rFonts w:hint="eastAsia" w:ascii="宋体" w:hAnsi="宋体" w:cs="宋体"/>
                <w:sz w:val="20"/>
                <w:szCs w:val="20"/>
                <w:lang w:bidi="ar"/>
              </w:rPr>
              <w:t xml:space="preserve">，包括医师编号、姓名、身份证号、科室、医师类别、电话。支持手动新增医师信息，如果本院有新医生进入，可以在本模块维护一条新的医师信息，包括医师编号、姓名、身份证号、科室、医师类别、电话。支持修改及删除，对已经存在的医师信息，对其基础信息进行修改及删除。</w:t>
              <w:br/>
              <w:t xml:space="preserve">5）▲飞检案例库管理：系统内置飞检案例库，飞检案例数不少于3000个（其中不少于300个国家级医保飞检公开通报案例），支持根据案例来源、涉及通报单位、所属地区、审查途径等多种查询条件。展示案例库列表和详情。详情支持显示具体违规行为，对应审核功能、涉及违规金额。</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tc>
      </w:tr>
      <w:tr>
        <w:trPr>
          <w:cantSplit/>
          <w:trHeight w:val="2160"/>
        </w:trPr>
        <w:tc>
          <w:tcPr>
            <w:tcBorders>
              <w:left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医共体管理端系统</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lang w:bidi="ar"/>
              </w:rPr>
              <w:t xml:space="preserve">（1）数据监控：大屏展示覆盖机构数、覆盖病例数、患者人数及本市地图展示覆盖机构范围。详细展示覆盖的的不同类型数据量及占比；门诊及住院数据变化趋势，门诊和住院结算人次和人数及涉及明细数。本市病种分布Top10。</w:t>
              <w:br w:type="textWrapping" w:clear="all"/>
              <w:t xml:space="preserve">（2）智慧预警分析：展示区域事前审核的整体情况，包含触发规则数量，平均审核速度，审核医院数、结算人次、医疗费用、保内费用，审核发现的线索数量和疑点金额。医院预警线索金额排行以及全市医保基金使用趋势。分场景统计不同审核场景下问题线索金额和数量。不同场景下不同违规问题占比、预</w:t>
            </w:r>
            <w:r>
              <w:rPr>
                <w:rFonts w:hint="eastAsia" w:ascii="宋体" w:hAnsi="宋体" w:cs="宋体"/>
                <w:sz w:val="20"/>
                <w:szCs w:val="20"/>
                <w:lang w:bidi="ar"/>
              </w:rPr>
              <w:t xml:space="preserve">警人次、预警金额。</w:t>
              <w:br/>
              <w:t xml:space="preserve">（3）事前提醒监测：构建事前提醒监测模块，用于汇聚医疗机构在入院登记、处方开具、医嘱执行、费用结算等环节产生的事前提醒与拦截日志，按机构/科室/医生/病种/规则进行多维统计与可视化展示，支持公布相关数据，进行事前整改排名等。通过“提醒—遵从—整改—评估”的闭环管理，量化事前干预成效，促进合理诊疗与合规计费，从源头减少不合理检查、用药与收费，降低事中事后疑点与扣款风险，提升基金监管精准性与效率；以绩效看板压实机构主体责任，形成协同治理与持续改进机制，推动医保基金监管常态化、智能化、前置化。</w:t>
            </w:r>
            <w:r>
              <w:rPr>
                <w:rFonts w:hint="eastAsia" w:ascii="宋体" w:hAnsi="宋体" w:cs="宋体"/>
                <w:sz w:val="20"/>
                <w:szCs w:val="20"/>
              </w:rPr>
            </w:r>
            <w:r/>
          </w:p>
        </w:tc>
      </w:tr>
      <w:tr>
        <w:trPr>
          <w:cantSplit/>
          <w:trHeight w:val="1890"/>
        </w:trPr>
        <w:tc>
          <w:tcPr>
            <w:tcBorders>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系统管理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lang w:bidi="ar"/>
              </w:rPr>
              <w:t xml:space="preserve">（1）基础信息管理：系统需提供组织架构、职工信息的维护功能以及其他基础数据的字典管理功能。支持对医院字典的添加、删除、修改、查询、导入等功能。</w:t>
              <w:br w:type="textWrapping" w:clear="all"/>
              <w:t xml:space="preserve">（2）字典管理：对各种基础字典进行更新维护，包括科室、人员、险种、支付方式等进行配置管理。</w:t>
              <w:br w:type="textWrapping" w:clear="all"/>
              <w:t xml:space="preserve">（3）角色管理：提供系统角色维护界</w:t>
            </w:r>
            <w:r>
              <w:rPr>
                <w:rFonts w:hint="eastAsia" w:ascii="宋体" w:hAnsi="宋体" w:cs="宋体"/>
                <w:sz w:val="20"/>
                <w:szCs w:val="20"/>
                <w:lang w:bidi="ar"/>
              </w:rPr>
              <w:t xml:space="preserve">面，实现用户的分组和操作权限控制，不同角色可设定不同的系统操作权限。</w:t>
              <w:br/>
              <w:t xml:space="preserve">（4）用户管理：提供系统用户维护界面，当用户通过此功能进行登记和绑定角色权限后，才拥有登录系统的权限。</w:t>
              <w:br/>
              <w:t xml:space="preserve">（5）权限管理：为管理员、角色、用户赋予功能权限和数据权限，并提供统一权限查询功能。</w:t>
              <w:br/>
              <w:t xml:space="preserve">（6）日志管理：系统日志管理能够记录用户进入某个功能节点的时间，并提供用户对日志的管理功能。</w:t>
              <w:br/>
              <w:t xml:space="preserve">（7）账号管理：使用全院超级管理员权限创建子系统账号密码，自由分配每个账号的数据及功能权限，可实现账号对某个科室或某几个科室的系统权限分配，可手动点选及排序。</w:t>
            </w:r>
            <w:r>
              <w:rPr>
                <w:rFonts w:hint="eastAsia" w:ascii="宋体" w:hAnsi="宋体" w:cs="宋体"/>
                <w:sz w:val="20"/>
                <w:szCs w:val="20"/>
              </w:rPr>
            </w:r>
            <w:r/>
          </w:p>
        </w:tc>
      </w:tr>
      <w:tr>
        <w:trPr>
          <w:cantSplit/>
          <w:trHeight w:val="640"/>
        </w:trPr>
        <w:tc>
          <w:tcPr>
            <w:tcBorders>
              <w:top w:val="single" w:color="000000" w:sz="4" w:space="0"/>
              <w:left w:val="single" w:color="000000" w:sz="4" w:space="0"/>
              <w:right w:val="single" w:color="000000" w:sz="4" w:space="0"/>
            </w:tcBorders>
            <w:tcW w:w="726" w:type="dxa"/>
            <w:vAlign w:val="center"/>
            <w:vMerge w:val="restart"/>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基层全科医生智能辅助</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基层辅助诊疗系统</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lang w:bidi="ar"/>
              </w:rPr>
              <w:t xml:space="preserve">1、智能问诊：系统应支持针对不同症状提供个性化问诊路径，引导医生按问诊路径对患者进行充分问诊。</w:t>
              <w:br w:type="textWrapping" w:clear="all"/>
              <w:t xml:space="preserve">2、常用模板推荐：系统应具备常用模板推荐功能：在医生接诊患者后，结合医生病历模板使用情况，精准推荐高频引用模板，并支持医生在此基础上结合患者病情修改后完成病历书写。</w:t>
              <w:br w:type="textWrapping" w:clear="all"/>
              <w:t xml:space="preserve">3、就诊记录推荐：系统应具备就诊记录推荐功能：在医生接诊患者后，应支持自动推送当前患者近期就</w:t>
            </w:r>
            <w:r>
              <w:rPr>
                <w:rFonts w:hint="eastAsia" w:ascii="宋体" w:hAnsi="宋体" w:cs="宋体"/>
                <w:sz w:val="20"/>
                <w:szCs w:val="20"/>
                <w:lang w:bidi="ar"/>
              </w:rPr>
              <w:t xml:space="preserve">诊记录，方便医生了解患者历史病情概况，综合研判病情。</w:t>
              <w:br/>
              <w:t xml:space="preserve">4、病历书写：系统应支持常规书写方式录入主诉、现病史等病历信息，并应具备联想词录入、个性化词条收藏等快捷录入操作功能。</w:t>
              <w:br/>
              <w:t xml:space="preserve">5、病历模板：系统应提供多维度病历模板，包括个人模板、科室模板、系统模板，并支持一键引用模板后根据患者实际情况进行微调，完成病历书写。</w:t>
              <w:br/>
              <w:t xml:space="preserve">6、▲病历质检：系统应运用自然语言处理技术与医学知识库，从完整性、规范性等维度对门诊病历进行质检，应能识别包括但不限于：主诉及现病史等关键信息缺失、病情记录偏差与逻辑错误、病历术语不规范与不准确等问题。</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7、▲辅助诊断：系统应针对基层诊疗的不同场景，为医生提供个性化的辅助诊断决策支持。</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8、诊疗情况预警：系统应支持对基层诊疗场景中遇到的危急或疾病风险进行识别和提醒。</w:t>
              <w:br w:type="textWrapping" w:clear="all"/>
              <w:t xml:space="preserve">9、鉴别问诊：系统应具备鉴别问诊功能，包含疾病辅助问诊、误诊学分析及鉴别诊断三大功能模块。</w:t>
              <w:br w:type="textWrapping" w:clear="all"/>
              <w:t xml:space="preserve">10、诊断质检：系统应结合病历内容，对医生开立的诊断与病历内容是否相符进行校验性判断。</w:t>
              <w:br w:type="textWrapping" w:clear="all"/>
              <w:t xml:space="preserve">11、▲疾病知识：系统应提供推荐诊断疾病相关的症状、体征、检查检验、鉴别诊断等基础知识，以及部分症状对应的诊断临床思维图；应按照临床路径、指南、病例等分类进行资源推荐。</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12</w:t>
            </w:r>
            <w:r>
              <w:rPr>
                <w:rFonts w:hint="eastAsia" w:ascii="宋体" w:hAnsi="宋体" w:cs="宋体"/>
                <w:sz w:val="20"/>
                <w:szCs w:val="20"/>
                <w:lang w:bidi="ar"/>
              </w:rPr>
              <w:t xml:space="preserve">、推荐诊疗：系统应具备推荐诊疗功能，具体要求如下：（1）检查推荐：应依据诊断推送通用检查项目，结合病历与诊断推荐个性化检查项目并提供参考关键信息，同时结合本地医疗场景推荐本地可开展项目；（2）检验推荐：应依据诊断推送通用检验项目，结合病历挖掘患者个体特点，精准推荐检验项目及参考信息，兼顾本地医疗机构检验资源；（3）用药推荐：应结合诊断推送用药信息，结合病历精准推荐，考虑患者个体情况及过敏史等，提供药品毒副作用提醒，推荐本地药品信息，支持勾选开立，提供药品说明书资源；（4）健康宣教：应基于病历和诊断，从运动、</w:t>
            </w:r>
            <w:r>
              <w:rPr>
                <w:rFonts w:hint="eastAsia" w:ascii="宋体" w:hAnsi="宋体" w:cs="宋体"/>
                <w:sz w:val="20"/>
                <w:szCs w:val="20"/>
                <w:lang w:bidi="ar"/>
              </w:rPr>
              <w:t xml:space="preserve">饮食、生活等方面推荐健康指导资源；（5）治疗方案推荐：应结合诊断推送通用方案，结合病历与诊断推荐个性化方案及参考信息，并提供方案来源资源。</w:t>
              <w:br/>
              <w:t xml:space="preserve">13、推荐病案：系统应具备推荐病案功能：在医生提交病历后，应智能整合信息，筛选标注来源的典型病例，支持点击查看病症全程；应运用技术剖析当前病历，按相似度推荐相似病历并展示关键病情信息；应支持自动回填内容完成病历书写。</w:t>
              <w:br/>
              <w:t xml:space="preserve">14、▲合理用药：系统应基于合理用药审方引擎及知识库对医生所开处方进行智能审方处理，并将审方结果为不合理的处方提醒开方医生，支持医生根据提示内容进行修改。</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15、医技报告解读：系统应具备医技报告解读功能，具体要求如下：（1）单向解读：应对报告单中单个项目的异常项进行逐一解读，分析各异常指标情况；（2）综合解读：应对单份报告单中的多个异常项进行综合解读，将各项指标关联评估；（3）解读内容：应依据诊断要点、临床意义、诊疗推荐等维度推送解读内容，包含关键诊断要点、临床意义阐释及诊疗建议；（4）依据资源：应提供报告解读</w:t>
            </w:r>
            <w:r>
              <w:rPr>
                <w:rFonts w:hint="eastAsia" w:ascii="宋体" w:hAnsi="宋体" w:cs="宋体"/>
                <w:sz w:val="20"/>
                <w:szCs w:val="20"/>
                <w:lang w:bidi="ar"/>
              </w:rPr>
              <w:t xml:space="preserve">依据资源供查阅。</w:t>
              <w:br/>
              <w:t xml:space="preserve">16、▲医学检索：系统应基于大模型技术构建医学知识检索平台，具体要求如下：（1）检索方式：应提供一般检索、高级检索、热门搜索等多种检索入口；（2）精准推荐：应利用医生历史诊疗数据、用户搜索行为标签及科室信息等多维度数据，结合时间因素，精准推荐相关医学知识；（3）检索结果：应理解用户查询意图，生成回答结果并输出相关检索资源列表；（4）文献摘要：应在用户查看资源详情时自动生成文献摘要信息，支持用户对文档内容进行提问与互动；（5）知识溯源：应支持回答结果的知识溯源，可快速定位至原始文献相关内容。</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17、▲智医助理问答助手：系统应具备大模型问答助手功能，具体要求如下：（1）快捷呼出：应支持一键快捷呼出操作；（2）产品形态：应支持产品形态切换，适配多种使用情境；（3）多模态录入：应支持文本、语音、图片、文件多模态信息录入；（4）文本问答：应支持文本问答，解析文字提问并给出回答；（5）图片问答：应支持图片问答，借助图像识别技术解读医学影像等；（6）文档问答：应支持文档问答，对专业医学资料进行分析；（7）历史对话：应支持历史对话调阅，便于回顾诊疗思路与病情变化。</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18、门诊日志：系统应具备门诊日志功能，应整合门诊业务数据（涵盖患者就诊、病历、用药等信息），支持医生快速获取关键信息；应融合AI质检结果，提供结果统计分析功能，辅助医疗机构优化诊疗流程与医疗质量管控。</w:t>
            </w:r>
            <w:r>
              <w:rPr>
                <w:rFonts w:hint="eastAsia" w:ascii="宋体" w:hAnsi="宋体" w:cs="宋体"/>
                <w:sz w:val="20"/>
                <w:szCs w:val="20"/>
              </w:rPr>
            </w:r>
            <w:r/>
          </w:p>
        </w:tc>
      </w:tr>
      <w:tr>
        <w:trPr>
          <w:cantSplit/>
          <w:trHeight w:val="1033"/>
        </w:trPr>
        <w:tc>
          <w:tcPr>
            <w:tcBorders>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运行监管系统</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lang w:bidi="ar"/>
              </w:rPr>
              <w:t xml:space="preserve">1、基础运行组件：系统应具备基础运行组件，具体要求如下：</w:t>
              <w:br w:type="textWrapping" w:clear="all"/>
              <w:t xml:space="preserve">（1）基础构件：应提供系统配置、身份识别及权限控制功能，保障数据安全；（2）智能图表组件：应提供不少于30种图表类型及三重配置能力，支持多维可视化分析与交互预警；（3）指标体系：应包含标准指标与应用指标两类，配套指标审核、预警基线、数据核验模块，实现指标全生命周期管控；（4）报表设计与数据处理：应支持栅格化模板管理、零代</w:t>
            </w:r>
            <w:r>
              <w:rPr>
                <w:rFonts w:hint="eastAsia" w:ascii="宋体" w:hAnsi="宋体" w:cs="宋体"/>
                <w:sz w:val="20"/>
                <w:szCs w:val="20"/>
                <w:lang w:bidi="ar"/>
              </w:rPr>
              <w:t xml:space="preserve">码拖拽设计，配套数据填报、联动分析及数据导出功能。</w:t>
              <w:br/>
              <w:t xml:space="preserve">2、运行监管报表：系统应具备运行监管报表功能，具体要求如下：</w:t>
              <w:br/>
              <w:t xml:space="preserve">（1）报表范围：应涵盖综合数据概况、AI辅助服务量、AI病历质检、AI诊断质检、AI合理用药质检、活跃用户分析、病历明细查询、处方明细查询八大模块；（2）通用要求：各模块应支持从全局及各级单位层级视角进行多指标监测与分析，应支持时间、区域、机构等维度钻取、多维分析、数据导出及指标口径查看功能；（3）综合数据概况：应聚焦诊疗量、病历规范等核心指标及患者画像、疾病分布分析；（4）AI辅助服务量及质检</w:t>
            </w:r>
            <w:r>
              <w:rPr>
                <w:rFonts w:hint="eastAsia" w:ascii="宋体" w:hAnsi="宋体" w:cs="宋体"/>
                <w:sz w:val="20"/>
                <w:szCs w:val="20"/>
                <w:lang w:bidi="ar"/>
              </w:rPr>
              <w:t xml:space="preserve">模块：应围绕对应业务指标提供总览、趋势、排名、原因构成分析及综合报表统计；（5）活跃用户分析：应监测医生系统使用情况，辅助精细化管理与使用率提升；（6）明细查询：病历明细查询及处方明细查询应支持多条件精准检索，满足特定场景核查需求。</w:t>
              <w:br/>
              <w:t xml:space="preserve">3、综合数据概况：本模块应支持从全局视角对区域内AI辅助诊疗相关指标进行总体监测，应对AI辅助诊疗量、病历规范、诊断符合、处方合理等业务进行监测，支持时间、区域、机构等维度钻取及多维分析操作。</w:t>
              <w:br/>
              <w:t xml:space="preserve">4、AI辅助服务量：本模块应支持从全局视角对区域内AI辅助诊疗服务业务进行监测，应对</w:t>
            </w:r>
            <w:r>
              <w:rPr>
                <w:rFonts w:hint="eastAsia" w:ascii="宋体" w:hAnsi="宋体" w:cs="宋体"/>
                <w:sz w:val="20"/>
                <w:szCs w:val="20"/>
                <w:lang w:bidi="ar"/>
              </w:rPr>
              <w:t xml:space="preserve">AI辅助次数、AI推荐诊疗次数、AI医学检索等多个指标进行分析，支持时间、区域、机构等维度钻取及多维分析操作。</w:t>
              <w:br/>
              <w:t xml:space="preserve">5、AI病历质检：本模块应支持从全局视角对区域内AI病历质检业务进行监测，应对智能病历质检次数、病历规范数、病历不规范数、病历规范率等多个指标进行分析，支持时间、区域、机构等维度钻取及多维分析操作。</w:t>
              <w:br/>
              <w:t xml:space="preserve">6、▲AI诊断质检：本模块应支持从全局视角对区域内AI诊断质检业务进行监测，应对AI诊断质检次数、诊断符合数、诊断不符合数、诊断符合率等多个指标进行分析，支持时间、区域、机构等维度钻取及多维分析操作。</w:t>
            </w:r>
            <w:r>
              <w:rPr>
                <w:rFonts w:hint="eastAsia" w:ascii="宋体" w:hAnsi="宋体" w:cs="宋体"/>
                <w:b/>
                <w:bCs/>
                <w:sz w:val="20"/>
                <w:szCs w:val="20"/>
                <w:lang w:bidi="ar"/>
              </w:rPr>
              <w:t xml:space="preserve">（投标文件中提供软件界面截图）</w:t>
            </w:r>
            <w:r>
              <w:rPr>
                <w:rFonts w:hint="eastAsia" w:ascii="宋体" w:hAnsi="宋体" w:cs="宋体"/>
                <w:sz w:val="20"/>
                <w:szCs w:val="20"/>
                <w:lang w:bidi="ar"/>
              </w:rPr>
              <w:br w:type="textWrapping" w:clear="all"/>
              <w:t xml:space="preserve">7、AI合理用药质检：本模块应支持从全局视</w:t>
            </w:r>
            <w:r>
              <w:rPr>
                <w:rFonts w:hint="eastAsia" w:ascii="宋体" w:hAnsi="宋体" w:cs="宋体"/>
                <w:sz w:val="20"/>
                <w:szCs w:val="20"/>
                <w:lang w:bidi="ar"/>
              </w:rPr>
              <w:t xml:space="preserve">角对区域内AI合理用药质检业务进行监测，应对智能合理用药质检次数、合理处方数、不合理处方数、处方合理率等多个指标进行分析，支持时间、区域、机构等维度钻取及多维分析操作。</w:t>
              <w:br/>
              <w:t xml:space="preserve">8、活跃用户分析：本模块应按照不同用户权限，从全局视角对区域内医生使用情况进行监测，应对活跃用户数、不活跃用户数、活跃率等多个指标进行分析，辅助管理者进行精细化管理，提升医生系统使用率及系统使用行为规范。</w:t>
              <w:br/>
              <w:t xml:space="preserve">9、病历明细查询：本模块应按照不同用户权限，从全局视角对区域内病历进行多维度、多条件检索，检索条件应包括时间、机构、医生、病历类型、规范</w:t>
            </w:r>
            <w:r>
              <w:rPr>
                <w:rFonts w:hint="eastAsia" w:ascii="宋体" w:hAnsi="宋体" w:cs="宋体"/>
                <w:sz w:val="20"/>
                <w:szCs w:val="20"/>
                <w:lang w:bidi="ar"/>
              </w:rPr>
              <w:t xml:space="preserve">标志、不规范原因等，辅助管理者进行特定病历精准检索。</w:t>
              <w:br/>
              <w:t xml:space="preserve">10、处方明细查询：本模块应按照不同用户权限，从全局视角对区域内处方进行多维度、多条件检索，检索条件应包括时间、机构、医生、处方类型、不合理原因等，辅助管理者进行特定处方精准检索。</w:t>
              <w:br/>
              <w:t xml:space="preserve">11、运行监管大屏：系统应具备运行监管大屏功能，具体要求如下：（1）运行数据监控：应通过可视化大屏呈现区域内AI辅助诊疗核心数据，涵盖数据总览、患者属性分析、常见病排名、区域分布及趋势分析；（2）医疗质量监控：应聚焦病历规范、诊断符合、用药合理等维度，提供数据总览、原因分布。</w:t>
            </w:r>
            <w:r>
              <w:rPr>
                <w:rFonts w:hint="eastAsia" w:ascii="宋体" w:hAnsi="宋体" w:cs="宋体"/>
                <w:sz w:val="20"/>
                <w:szCs w:val="20"/>
              </w:rPr>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医共体财务运营</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rPr>
            </w:pPr>
            <w:r>
              <w:rPr>
                <w:rFonts w:hint="eastAsia" w:ascii="宋体" w:hAnsi="宋体" w:cs="宋体"/>
                <w:sz w:val="20"/>
                <w:szCs w:val="20"/>
                <w:lang w:bidi="ar"/>
              </w:rPr>
              <w:t xml:space="preserve">系统平台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1.组件管理：负责系统页面控件、业务组件、自定义组件的注册、版本管理、启用停用与参数配置,支撑各业务页面快速拼装复用,实现组件权限绑定、自定义样式配置,缩短HRP新增功能页面的实施周期。</w:t>
            </w:r>
            <w:r/>
          </w:p>
          <w:p>
            <w:pPr>
              <w:pStyle w:val="651"/>
              <w:jc w:val="left"/>
              <w:widowControl/>
              <w:rPr>
                <w:rFonts w:hint="eastAsia" w:ascii="宋体" w:hAnsi="宋体" w:cs="宋体"/>
                <w:sz w:val="20"/>
                <w:szCs w:val="20"/>
              </w:rPr>
            </w:pPr>
            <w:r>
              <w:rPr>
                <w:rFonts w:hint="eastAsia" w:ascii="宋体" w:hAnsi="宋体" w:cs="宋体"/>
                <w:sz w:val="20"/>
                <w:szCs w:val="20"/>
              </w:rPr>
              <w:t xml:space="preserve">2.工作台管理：根据医院不同岗位(财务、设备、后勤、采购等)个性化配置首页工作台,自定义看板布局、待办单据、预警消息、常用功能快捷入口,支持卡片增删、数据指标配置,适配各岗位日常办公首页使用需求。</w:t>
            </w:r>
            <w:r/>
          </w:p>
          <w:p>
            <w:pPr>
              <w:pStyle w:val="651"/>
              <w:jc w:val="left"/>
              <w:widowControl/>
              <w:rPr>
                <w:rFonts w:hint="eastAsia" w:ascii="宋体" w:hAnsi="宋体" w:cs="宋体"/>
                <w:sz w:val="20"/>
                <w:szCs w:val="20"/>
              </w:rPr>
            </w:pPr>
            <w:r>
              <w:rPr>
                <w:rFonts w:hint="eastAsia" w:ascii="宋体" w:hAnsi="宋体" w:cs="宋体"/>
                <w:sz w:val="20"/>
                <w:szCs w:val="20"/>
              </w:rPr>
              <w:t xml:space="preserve">3.产品管理：对HRP旗下财务、资产、物资、成本等各子产品统一建档管理,记录产品版本、授权范围、使用有效期、升级变更记录,管控模块启停与许可权限,实现全产品生命周期台账管控。</w:t>
            </w:r>
            <w:r/>
          </w:p>
          <w:p>
            <w:pPr>
              <w:pStyle w:val="651"/>
              <w:jc w:val="left"/>
              <w:widowControl/>
              <w:rPr>
                <w:rFonts w:hint="eastAsia" w:ascii="宋体" w:hAnsi="宋体" w:cs="宋体"/>
                <w:sz w:val="20"/>
                <w:szCs w:val="20"/>
              </w:rPr>
            </w:pPr>
            <w:r>
              <w:rPr>
                <w:rFonts w:hint="eastAsia" w:ascii="宋体" w:hAnsi="宋体" w:cs="宋体"/>
                <w:sz w:val="20"/>
                <w:szCs w:val="20"/>
              </w:rPr>
              <w:t xml:space="preserve">4.开发管理：统筹系统个性化二次开发需求、开发任务、版本补丁、定制功能上线审批,归档开发源码、变更履历与开发文档,规范医院本地化定制开发全流程,便于后期运维追溯。</w:t>
            </w:r>
            <w:r/>
          </w:p>
          <w:p>
            <w:pPr>
              <w:pStyle w:val="651"/>
              <w:jc w:val="left"/>
              <w:widowControl/>
              <w:rPr>
                <w:rFonts w:hint="eastAsia" w:ascii="宋体" w:hAnsi="宋体" w:cs="宋体"/>
                <w:sz w:val="20"/>
                <w:szCs w:val="20"/>
              </w:rPr>
            </w:pPr>
            <w:r>
              <w:rPr>
                <w:rFonts w:hint="eastAsia" w:ascii="宋体" w:hAnsi="宋体" w:cs="宋体"/>
                <w:sz w:val="20"/>
                <w:szCs w:val="20"/>
              </w:rPr>
              <w:t xml:space="preserve">5.▲配置管理：统一维护系统底层运行配置,包含数据源、接口服务、定时任务、缓存参数、环境配置等,支持配置修改留痕、版本回滚,保障HRP系统多院区部署环境稳定运行。</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6.任务管理：集中管控系统后台定时任务、异步业务任务,可配置凭证自动生成、资产折旧计提、库存月结、报表自动汇总等任务的执行周期、重试规则,实时监控任务运行状态与异常报错预警。</w:t>
            </w:r>
            <w:r/>
          </w:p>
          <w:p>
            <w:pPr>
              <w:pStyle w:val="651"/>
              <w:jc w:val="left"/>
              <w:widowControl/>
              <w:rPr>
                <w:rFonts w:hint="eastAsia" w:ascii="宋体" w:hAnsi="宋体" w:cs="宋体"/>
                <w:sz w:val="20"/>
                <w:szCs w:val="20"/>
              </w:rPr>
            </w:pPr>
            <w:r>
              <w:rPr>
                <w:rFonts w:hint="eastAsia" w:ascii="宋体" w:hAnsi="宋体" w:cs="宋体"/>
                <w:sz w:val="20"/>
                <w:szCs w:val="20"/>
              </w:rPr>
              <w:t xml:space="preserve">7.接口管理：统一维护HRP与HIS、LIS、医保、银行、物资供应商系统等内外对接接口,包含接口地址、报文格式、调用频次配置,实时监控接口连通性、异常日志,实现跨系统数据交互管控。</w:t>
            </w:r>
            <w:r/>
          </w:p>
          <w:p>
            <w:pPr>
              <w:pStyle w:val="651"/>
              <w:jc w:val="left"/>
              <w:widowControl/>
              <w:rPr>
                <w:rFonts w:hint="eastAsia" w:ascii="宋体" w:hAnsi="宋体" w:cs="宋体"/>
                <w:sz w:val="20"/>
                <w:szCs w:val="20"/>
              </w:rPr>
            </w:pPr>
            <w:r>
              <w:rPr>
                <w:rFonts w:hint="eastAsia" w:ascii="宋体" w:hAnsi="宋体" w:cs="宋体"/>
                <w:sz w:val="20"/>
                <w:szCs w:val="20"/>
              </w:rPr>
              <w:t xml:space="preserve">8.日志管理：全链路采集用户登录、功能操作、数据修改、接口交互、后台运行日志,支持多条件筛选查询、日志归档存储,满足医院内部审计、财务核查、监管溯源的日志查阅要求。</w:t>
            </w:r>
            <w:r/>
          </w:p>
          <w:p>
            <w:pPr>
              <w:pStyle w:val="651"/>
              <w:jc w:val="left"/>
              <w:widowControl/>
              <w:rPr>
                <w:rFonts w:hint="eastAsia" w:ascii="宋体" w:hAnsi="宋体" w:cs="宋体"/>
                <w:sz w:val="20"/>
                <w:szCs w:val="20"/>
              </w:rPr>
            </w:pPr>
            <w:r>
              <w:rPr>
                <w:rFonts w:hint="eastAsia" w:ascii="宋体" w:hAnsi="宋体" w:cs="宋体"/>
                <w:sz w:val="20"/>
                <w:szCs w:val="20"/>
              </w:rPr>
              <w:t xml:space="preserve">9.参数管理：按财务、固定资产、物资耗材业务分类配置精细化业务管控参数,如入库损耗阈值、折旧规则、预算管控比例,参数变更留存审批记录,统一全院同类业务管控标准。</w:t>
            </w:r>
            <w:r/>
          </w:p>
          <w:p>
            <w:pPr>
              <w:pStyle w:val="651"/>
              <w:jc w:val="left"/>
              <w:widowControl/>
              <w:rPr>
                <w:rFonts w:hint="eastAsia" w:ascii="宋体" w:hAnsi="宋体" w:cs="宋体"/>
                <w:sz w:val="20"/>
                <w:szCs w:val="20"/>
              </w:rPr>
            </w:pPr>
            <w:r>
              <w:rPr>
                <w:rFonts w:hint="eastAsia" w:ascii="宋体" w:hAnsi="宋体" w:cs="宋体"/>
                <w:sz w:val="20"/>
                <w:szCs w:val="20"/>
              </w:rPr>
              <w:t xml:space="preserve">10.新报表管理：可视化自定义报表模板,自主配置取数口径、筛选条件、行列格式,报表按角色分配访问权限,支持定时自动生成、Excel/PDF导出,灵活满足医院个性化统计报表需求。</w:t>
            </w:r>
            <w:r/>
          </w:p>
          <w:p>
            <w:pPr>
              <w:pStyle w:val="651"/>
              <w:jc w:val="left"/>
              <w:widowControl/>
              <w:rPr>
                <w:rFonts w:hint="eastAsia" w:ascii="宋体" w:hAnsi="宋体" w:cs="宋体"/>
                <w:sz w:val="20"/>
                <w:szCs w:val="20"/>
              </w:rPr>
            </w:pPr>
            <w:r>
              <w:rPr>
                <w:rFonts w:hint="eastAsia" w:ascii="宋体" w:hAnsi="宋体" w:cs="宋体"/>
                <w:sz w:val="20"/>
                <w:szCs w:val="20"/>
              </w:rPr>
              <w:t xml:space="preserve">11.参数设置：管控系统全局基础参数,包含单据编号默认规则、系统日历、审批默认配置、院区通用配置项,区分全局通用参数与单院区个性化参数配置。</w:t>
            </w:r>
            <w:r/>
          </w:p>
          <w:p>
            <w:pPr>
              <w:pStyle w:val="651"/>
              <w:jc w:val="left"/>
              <w:widowControl/>
              <w:rPr>
                <w:rFonts w:hint="eastAsia" w:ascii="宋体" w:hAnsi="宋体" w:cs="宋体"/>
                <w:sz w:val="20"/>
                <w:szCs w:val="20"/>
              </w:rPr>
            </w:pPr>
            <w:r>
              <w:rPr>
                <w:rFonts w:hint="eastAsia" w:ascii="宋体" w:hAnsi="宋体" w:cs="宋体"/>
                <w:sz w:val="20"/>
                <w:szCs w:val="20"/>
              </w:rPr>
              <w:t xml:space="preserve">12.组织机构：搭建医院院区、职能科室、临床科室、班组多级组织架构,支持机构新增、拆分、合并、停用,组织架构绑定核算单元、人员权限,作为成本归集、物资领用、财务核算的组织基础。</w:t>
            </w:r>
            <w:r/>
          </w:p>
          <w:p>
            <w:pPr>
              <w:pStyle w:val="651"/>
              <w:jc w:val="left"/>
              <w:widowControl/>
              <w:rPr>
                <w:rFonts w:hint="eastAsia" w:ascii="宋体" w:hAnsi="宋体" w:cs="宋体"/>
                <w:sz w:val="20"/>
                <w:szCs w:val="20"/>
              </w:rPr>
            </w:pPr>
            <w:r>
              <w:rPr>
                <w:rFonts w:hint="eastAsia" w:ascii="宋体" w:hAnsi="宋体" w:cs="宋体"/>
                <w:sz w:val="20"/>
                <w:szCs w:val="20"/>
              </w:rPr>
              <w:t xml:space="preserve">13.公告及预警：系统公告用于发布系统升级、运维通知、院内制度公示;预警模块可配置库存不足、超预算支出、单据逾期、凭证异常等预警规则,通过系统弹窗、消息推送提醒对应负责人。</w:t>
            </w:r>
            <w:r/>
          </w:p>
          <w:p>
            <w:pPr>
              <w:pStyle w:val="651"/>
              <w:jc w:val="left"/>
              <w:widowControl/>
              <w:rPr>
                <w:rFonts w:hint="eastAsia" w:ascii="宋体" w:hAnsi="宋体" w:cs="宋体"/>
                <w:sz w:val="20"/>
                <w:szCs w:val="20"/>
              </w:rPr>
            </w:pPr>
            <w:r>
              <w:rPr>
                <w:rFonts w:hint="eastAsia" w:ascii="宋体" w:hAnsi="宋体" w:cs="宋体"/>
                <w:sz w:val="20"/>
                <w:szCs w:val="20"/>
              </w:rPr>
              <w:t xml:space="preserve">14.权限管理：采用角色+用户的权限管控体系,细分功能菜单权限、业务数据权限、字段查看权限,可按科室、岗位隔离数据查看范围,精细化管控操作人员访问与操作范围。</w:t>
            </w:r>
            <w:r/>
          </w:p>
          <w:p>
            <w:pPr>
              <w:pStyle w:val="651"/>
              <w:jc w:val="left"/>
              <w:widowControl/>
              <w:rPr>
                <w:rFonts w:hint="eastAsia" w:ascii="宋体" w:hAnsi="宋体" w:cs="宋体"/>
                <w:sz w:val="20"/>
                <w:szCs w:val="20"/>
              </w:rPr>
            </w:pPr>
            <w:r>
              <w:rPr>
                <w:rFonts w:hint="eastAsia" w:ascii="宋体" w:hAnsi="宋体" w:cs="宋体"/>
                <w:sz w:val="20"/>
                <w:szCs w:val="20"/>
              </w:rPr>
              <w:t xml:space="preserve">15.基础数据：统一维护全院共用主数据档案,包含会计科目、物资分类、资产分类、供应商、职工、收费项目等,实现主数据统一归口管理,各业务模块共享一套标准基础数据。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16.编号管理：自定义各类业务单据、资产卡片、档案资料的编码规则,支持编号前缀、日期码、流水号分段配置,系统依据规则自动生成唯一编码,避免单据重号、断号。</w:t>
            </w:r>
            <w:r/>
          </w:p>
          <w:p>
            <w:pPr>
              <w:pStyle w:val="651"/>
              <w:jc w:val="left"/>
              <w:widowControl/>
              <w:rPr>
                <w:rFonts w:hint="eastAsia" w:ascii="宋体" w:hAnsi="宋体" w:cs="宋体"/>
                <w:sz w:val="20"/>
                <w:szCs w:val="20"/>
              </w:rPr>
            </w:pPr>
            <w:r>
              <w:rPr>
                <w:rFonts w:hint="eastAsia" w:ascii="宋体" w:hAnsi="宋体" w:cs="宋体"/>
                <w:sz w:val="20"/>
                <w:szCs w:val="20"/>
              </w:rPr>
              <w:t xml:space="preserve">17.应用文档：分类归档系统操作手册、实施文档、接口文档、版本更新说明、业务管理制度文档,支持在线预览、下载查阅,方便运维人员、财务及后勤人员日常查阅学习。</w:t>
            </w:r>
            <w:r/>
          </w:p>
          <w:p>
            <w:pPr>
              <w:pStyle w:val="651"/>
              <w:jc w:val="left"/>
              <w:widowControl/>
              <w:rPr>
                <w:rFonts w:hint="eastAsia" w:ascii="宋体" w:hAnsi="宋体" w:cs="宋体"/>
                <w:sz w:val="20"/>
                <w:szCs w:val="20"/>
              </w:rPr>
            </w:pPr>
            <w:r>
              <w:rPr>
                <w:rFonts w:hint="eastAsia" w:ascii="宋体" w:hAnsi="宋体" w:cs="宋体"/>
                <w:sz w:val="20"/>
                <w:szCs w:val="20"/>
              </w:rPr>
              <w:t xml:space="preserve">18.流程管理：可视化拖拽配置全业务审批流程,涵盖采购审批、付款审批、资产处置审批、报销审批等,自定义审批节点、审批人、分支跳转、代理授权,单据自动按流程流转。</w:t>
            </w:r>
            <w:r/>
          </w:p>
          <w:p>
            <w:pPr>
              <w:pStyle w:val="651"/>
              <w:jc w:val="left"/>
              <w:widowControl/>
              <w:rPr>
                <w:rFonts w:hint="eastAsia" w:ascii="宋体" w:hAnsi="宋体" w:cs="宋体"/>
                <w:sz w:val="20"/>
                <w:szCs w:val="20"/>
              </w:rPr>
            </w:pPr>
            <w:r>
              <w:rPr>
                <w:rFonts w:hint="eastAsia" w:ascii="宋体" w:hAnsi="宋体" w:cs="宋体"/>
                <w:sz w:val="20"/>
                <w:szCs w:val="20"/>
              </w:rPr>
              <w:t xml:space="preserve">19.发票管理：对接电子发票服务平台,实现进项发票归集、真伪查验、进项抵扣认证、发票台账管理,关联报销单据与电子发票,防范重复报销、不合规发票入账风险。</w:t>
            </w:r>
            <w:r/>
          </w:p>
          <w:p>
            <w:pPr>
              <w:pStyle w:val="651"/>
              <w:jc w:val="left"/>
              <w:widowControl/>
              <w:rPr>
                <w:rFonts w:hint="eastAsia" w:ascii="宋体" w:hAnsi="宋体" w:cs="宋体"/>
                <w:sz w:val="20"/>
                <w:szCs w:val="20"/>
              </w:rPr>
            </w:pPr>
            <w:r>
              <w:rPr>
                <w:rFonts w:hint="eastAsia" w:ascii="宋体" w:hAnsi="宋体" w:cs="宋体"/>
                <w:sz w:val="20"/>
                <w:szCs w:val="20"/>
              </w:rPr>
              <w:t xml:space="preserve">20.会计平台：HRP财务核算核心枢纽,配置各类业务单据自动生成会计凭证的转换规则,实现物资入库、资产变动、费用报销等业务一键生成凭证,打通业务数据与财务账务的数据联动。</w:t>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lang w:bidi="ar"/>
              </w:rPr>
            </w:pPr>
            <w:r>
              <w:rPr>
                <w:rFonts w:ascii="宋体" w:hAnsi="宋体" w:cs="宋体"/>
                <w:sz w:val="20"/>
                <w:szCs w:val="20"/>
                <w:lang w:bidi="ar"/>
              </w:rPr>
              <w:t xml:space="preserve">全面预算管理系统</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1.基础数据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维护预算科目、科室、项目、收支分类、预算口径等基础主数据,统一全院预算基础档案,作为预算编制、执行的数据基准。</w:t>
            </w:r>
            <w:r/>
          </w:p>
          <w:p>
            <w:pPr>
              <w:pStyle w:val="651"/>
              <w:jc w:val="left"/>
              <w:widowControl/>
              <w:rPr>
                <w:rFonts w:hint="eastAsia" w:ascii="宋体" w:hAnsi="宋体" w:cs="宋体"/>
                <w:sz w:val="20"/>
                <w:szCs w:val="20"/>
              </w:rPr>
            </w:pPr>
            <w:r>
              <w:rPr>
                <w:rFonts w:hint="eastAsia" w:ascii="宋体" w:hAnsi="宋体" w:cs="宋体"/>
                <w:sz w:val="20"/>
                <w:szCs w:val="20"/>
              </w:rPr>
              <w:t xml:space="preserve">建立医院层、归口层、科室执行层的三层预算组织体系；实现三级预算组织体系维护。</w:t>
            </w:r>
            <w:r/>
          </w:p>
          <w:p>
            <w:pPr>
              <w:pStyle w:val="651"/>
              <w:jc w:val="left"/>
              <w:widowControl/>
              <w:rPr>
                <w:rFonts w:hint="eastAsia" w:ascii="宋体" w:hAnsi="宋体" w:cs="宋体"/>
                <w:sz w:val="20"/>
                <w:szCs w:val="20"/>
              </w:rPr>
            </w:pPr>
            <w:r>
              <w:rPr>
                <w:rFonts w:hint="eastAsia" w:ascii="宋体" w:hAnsi="宋体" w:cs="宋体"/>
                <w:sz w:val="20"/>
                <w:szCs w:val="20"/>
              </w:rPr>
              <w:t xml:space="preserve">医院各职能部门作为归口科室，支持各归口科室启用、停用。</w:t>
            </w:r>
            <w:r/>
          </w:p>
          <w:p>
            <w:pPr>
              <w:pStyle w:val="651"/>
              <w:jc w:val="left"/>
              <w:widowControl/>
              <w:rPr>
                <w:rFonts w:hint="eastAsia" w:ascii="宋体" w:hAnsi="宋体" w:cs="宋体"/>
                <w:sz w:val="20"/>
                <w:szCs w:val="20"/>
              </w:rPr>
            </w:pPr>
            <w:r>
              <w:rPr>
                <w:rFonts w:hint="eastAsia" w:ascii="宋体" w:hAnsi="宋体" w:cs="宋体"/>
                <w:sz w:val="20"/>
                <w:szCs w:val="20"/>
              </w:rPr>
              <w:t xml:space="preserve">参照组织架构生成预算科室作为预算编制、执行、考核最小业务单元。</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支持对医院全面预算进行分类，支持收支类、资本类、业务类的预算类型管理；预算类型也可以根据医院实际情况，进行细化或者增减。</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▲支持预算指标的定义、变更、控制；能对预算指标进行是否论证、是否下发、下发科室的设置、填制上下限设置、是否必须填制明细、是否纳入项目库管理等进行控制。</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支持医院N上M下的预算编制及调整流程，支持按医院的要求定制预算表样；</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支持事项类预算项目的管理，可进行事项项目细化至明细项目；</w:t>
            </w:r>
            <w:r/>
          </w:p>
          <w:p>
            <w:pPr>
              <w:pStyle w:val="651"/>
              <w:jc w:val="left"/>
              <w:widowControl/>
              <w:rPr>
                <w:rFonts w:hint="eastAsia" w:ascii="宋体" w:hAnsi="宋体" w:cs="宋体"/>
                <w:sz w:val="20"/>
                <w:szCs w:val="20"/>
              </w:rPr>
            </w:pPr>
            <w:r>
              <w:rPr>
                <w:rFonts w:hint="eastAsia" w:ascii="宋体" w:hAnsi="宋体" w:cs="宋体"/>
                <w:sz w:val="20"/>
                <w:szCs w:val="20"/>
              </w:rPr>
              <w:t xml:space="preserve">2.项目库</w:t>
            </w:r>
            <w:r/>
          </w:p>
          <w:p>
            <w:pPr>
              <w:pStyle w:val="651"/>
              <w:jc w:val="left"/>
              <w:widowControl/>
              <w:rPr>
                <w:rFonts w:hint="eastAsia" w:ascii="宋体" w:hAnsi="宋体" w:cs="宋体"/>
                <w:sz w:val="20"/>
                <w:szCs w:val="20"/>
              </w:rPr>
            </w:pPr>
            <w:r>
              <w:rPr>
                <w:rFonts w:hint="eastAsia" w:ascii="宋体" w:hAnsi="宋体" w:cs="宋体"/>
                <w:sz w:val="20"/>
                <w:szCs w:val="20"/>
              </w:rPr>
              <w:t xml:space="preserve">预算论证为重点项目预算申请的入口,包含：论证类型、论证申请、论证审核、预算论证统计等功能。论证申请包含：预算事项基本信息、预算申请理由、预计绩效分析、社会效益及科研效益分析、配套条件、安装条件、操作人员资质、保修效益分析、附属设备、同类设备在本院及本科室的使用情况(需与资产管理系统对接)、设备基本性能要求等。项目库中沉积了历年经过论证后的预算项目,并可按项目类型进行单项目查询。并将项目的资金来源、项目执行计划、项目执行情况、项目绩效考核指标等信息进行抓取、展现。</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▲支持院内项目库管理，将各类项目从科室填报到院内各个环节的论证，以及院外专家论证结果全部在系统内管理，实现从论证到项目库到预算的一体化应用；</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实现项目预算管理，提供项目立项基本信息登记，完成项目总预算编制，为项目经费计划以及项目明细支出提供控制依据；</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支持医院预算的中长期规划在项目库落地，进行多年的持续滚动管理；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所有通过论证的项目入库后，作为后续预算编制与执行的数据源头，与后续环节进行流程与数据关联，可对全院项目的执行情况进行分析和监督，实现医院资源的有效配置。</w:t>
            </w:r>
            <w:r/>
          </w:p>
          <w:p>
            <w:pPr>
              <w:pStyle w:val="651"/>
              <w:jc w:val="left"/>
              <w:widowControl/>
              <w:rPr>
                <w:rFonts w:hint="eastAsia" w:ascii="宋体" w:hAnsi="宋体" w:cs="宋体"/>
                <w:sz w:val="20"/>
                <w:szCs w:val="20"/>
              </w:rPr>
            </w:pPr>
            <w:r>
              <w:rPr>
                <w:rFonts w:hint="eastAsia" w:ascii="宋体" w:hAnsi="宋体" w:cs="宋体"/>
                <w:sz w:val="20"/>
                <w:szCs w:val="20"/>
              </w:rPr>
              <w:t xml:space="preserve">针对不同项目可以进行不同的论证内容预置，如：资产类项目、信息类项目等；</w:t>
            </w:r>
            <w:r/>
          </w:p>
          <w:p>
            <w:pPr>
              <w:pStyle w:val="651"/>
              <w:jc w:val="left"/>
              <w:widowControl/>
            </w:pPr>
            <w:r>
              <w:rPr>
                <w:rFonts w:hint="eastAsia" w:ascii="宋体" w:hAnsi="宋体" w:cs="宋体"/>
                <w:sz w:val="20"/>
                <w:szCs w:val="20"/>
              </w:rPr>
              <w:t xml:space="preserve">3.预算任务</w:t>
            </w:r>
            <w:r/>
          </w:p>
          <w:p>
            <w:pPr>
              <w:pStyle w:val="651"/>
              <w:jc w:val="left"/>
              <w:widowControl/>
              <w:rPr>
                <w:rFonts w:hint="eastAsia" w:ascii="宋体" w:hAnsi="宋体" w:cs="宋体"/>
                <w:sz w:val="20"/>
                <w:szCs w:val="20"/>
              </w:rPr>
            </w:pPr>
            <w:r>
              <w:rPr>
                <w:rFonts w:hint="eastAsia" w:ascii="宋体" w:hAnsi="宋体" w:cs="宋体"/>
                <w:sz w:val="20"/>
                <w:szCs w:val="20"/>
              </w:rPr>
              <w:t xml:space="preserve">拆分全院年度预算编制任务,按科室、归口部门分配填报节点、填报时限,跟踪任务填报进度、催办逾期任务,管控预算全流程节点。</w:t>
            </w:r>
            <w:r/>
          </w:p>
          <w:p>
            <w:pPr>
              <w:pStyle w:val="651"/>
              <w:jc w:val="left"/>
              <w:widowControl/>
              <w:rPr>
                <w:rFonts w:hint="eastAsia" w:ascii="宋体" w:hAnsi="宋体" w:cs="宋体"/>
                <w:sz w:val="20"/>
                <w:szCs w:val="20"/>
              </w:rPr>
            </w:pPr>
            <w:r>
              <w:rPr>
                <w:rFonts w:hint="eastAsia" w:ascii="宋体" w:hAnsi="宋体" w:cs="宋体"/>
                <w:sz w:val="20"/>
                <w:szCs w:val="20"/>
              </w:rPr>
              <w:t xml:space="preserve">4.预算编制</w:t>
            </w:r>
            <w:r/>
          </w:p>
          <w:p>
            <w:pPr>
              <w:pStyle w:val="651"/>
              <w:jc w:val="left"/>
              <w:widowControl/>
              <w:rPr>
                <w:rFonts w:hint="eastAsia" w:ascii="宋体" w:hAnsi="宋体" w:cs="宋体"/>
                <w:sz w:val="20"/>
                <w:szCs w:val="20"/>
              </w:rPr>
            </w:pPr>
            <w:r>
              <w:rPr>
                <w:rFonts w:hint="eastAsia" w:ascii="宋体" w:hAnsi="宋体" w:cs="宋体"/>
                <w:sz w:val="20"/>
                <w:szCs w:val="20"/>
              </w:rPr>
              <w:t xml:space="preserve">按照预先设定的预算指标和预算编制任务(N上M下),分配</w:t>
            </w:r>
            <w:r>
              <w:rPr>
                <w:rFonts w:hint="eastAsia" w:ascii="宋体" w:hAnsi="宋体" w:cs="宋体"/>
                <w:sz w:val="20"/>
                <w:szCs w:val="20"/>
              </w:rPr>
              <w:t xml:space="preserve">给相关归口科室及业务科室进行预算的在线填报,填报顺序分别为：科室填报→归口填报→院方填报。按照预算指标的类型及分配规则,相关科室需要填制或审核业务类预算、收支类预算指标、资源类预算指标三张预算表。归口科室对业务科室的指标进行审核,院方预算管理委员会对全院各项预算编制情况进行审核及预算数据的最终下发(一般为二下数据为最终预算可执行数)。预算审批可通过在系统定制审批流在全面预算系统完成,也可集成到其他审批系统中(需接口完成)。同时,在编制预算时,支持绩效目标填报,可作为后期绩效考核的依据,进一步规范预算的编制。</w:t>
            </w:r>
            <w:r/>
          </w:p>
          <w:p>
            <w:pPr>
              <w:pStyle w:val="651"/>
              <w:jc w:val="left"/>
              <w:widowControl/>
              <w:rPr>
                <w:rFonts w:hint="eastAsia" w:ascii="宋体" w:hAnsi="宋体" w:cs="宋体"/>
                <w:sz w:val="20"/>
                <w:szCs w:val="20"/>
              </w:rPr>
            </w:pPr>
            <w:r>
              <w:rPr>
                <w:rFonts w:hint="eastAsia" w:ascii="宋体" w:hAnsi="宋体" w:cs="宋体"/>
                <w:sz w:val="20"/>
                <w:szCs w:val="20"/>
              </w:rPr>
              <w:t xml:space="preserve">实现系统预算的编制，包括：科室填报、归口填报、院方填报功能；包含预算科室的预算指标填报功能。预算任务启动编制后，会下发多个指标到相应的预算科室，预算科室根据下发的指标进行对应的预算填报；</w:t>
            </w:r>
            <w:r/>
          </w:p>
          <w:p>
            <w:pPr>
              <w:pStyle w:val="651"/>
              <w:jc w:val="left"/>
              <w:widowControl/>
              <w:rPr>
                <w:rFonts w:hint="eastAsia" w:ascii="宋体" w:hAnsi="宋体" w:cs="宋体"/>
                <w:sz w:val="20"/>
                <w:szCs w:val="20"/>
              </w:rPr>
            </w:pPr>
            <w:r>
              <w:rPr>
                <w:rFonts w:hint="eastAsia" w:ascii="宋体" w:hAnsi="宋体" w:cs="宋体"/>
                <w:sz w:val="20"/>
                <w:szCs w:val="20"/>
              </w:rPr>
              <w:t xml:space="preserve">实现预算填制的过程管理，监控下级的预算填制过程；支持按照预算任务对预算编制及调整、执行的过程的控制；</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预算任务下发后，新增预算项目指标填报。预算任务流程走到归口时，会下发多个指标到相应的预算归口，预算归口根据下发的指标进行对应的预算填报及对预算科室的指标进行审核及汇总；支持在预算编制中补发预算指标；</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支持在预算编制中，院方直接下达科目总额、项目总额。支持预算编制环节中，各预算科室及归口管理科室，对下发的预算指标编制情况提供总览查询功能，并对未编制预算的科室进行预警或催办。</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建立绩效指标库，对预算编制内容进行绩效目标的填报，并对绩效目标进行跟踪分析，考核预算执行结果。实现“预算编制有目标、预算执行有监控、预算完成有评价、评价结果有反馈、反馈结果有应用”的全过程预算绩效管理机制。</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支持全院各级预算编制情况查询，可以以财务角度查询全院预算收支项目平衡情况；</w:t>
            </w:r>
            <w:r/>
          </w:p>
          <w:p>
            <w:pPr>
              <w:pStyle w:val="651"/>
              <w:jc w:val="left"/>
              <w:widowControl/>
              <w:rPr>
                <w:rFonts w:hint="eastAsia" w:ascii="宋体" w:hAnsi="宋体" w:cs="宋体"/>
                <w:sz w:val="20"/>
                <w:szCs w:val="20"/>
              </w:rPr>
            </w:pPr>
            <w:r>
              <w:rPr>
                <w:rFonts w:hint="eastAsia" w:ascii="宋体" w:hAnsi="宋体" w:cs="宋体"/>
                <w:sz w:val="20"/>
                <w:szCs w:val="20"/>
              </w:rPr>
              <w:t xml:space="preserve">预算编制支持预算结转，实现预算号结转到下一预算年度继续使用。</w:t>
            </w:r>
            <w:r/>
          </w:p>
          <w:p>
            <w:pPr>
              <w:pStyle w:val="651"/>
              <w:jc w:val="left"/>
              <w:widowControl/>
              <w:rPr>
                <w:rFonts w:hint="eastAsia" w:ascii="宋体" w:hAnsi="宋体" w:cs="宋体"/>
                <w:sz w:val="20"/>
                <w:szCs w:val="20"/>
              </w:rPr>
            </w:pPr>
            <w:r>
              <w:rPr>
                <w:rFonts w:hint="eastAsia" w:ascii="宋体" w:hAnsi="宋体" w:cs="宋体"/>
                <w:sz w:val="20"/>
                <w:szCs w:val="20"/>
              </w:rPr>
              <w:t xml:space="preserve">5.预算调整</w:t>
            </w:r>
            <w:r/>
          </w:p>
          <w:p>
            <w:pPr>
              <w:pStyle w:val="651"/>
              <w:jc w:val="left"/>
              <w:widowControl/>
              <w:rPr>
                <w:rFonts w:hint="eastAsia" w:ascii="宋体" w:hAnsi="宋体" w:cs="宋体"/>
                <w:sz w:val="20"/>
                <w:szCs w:val="20"/>
              </w:rPr>
            </w:pPr>
            <w:r>
              <w:rPr>
                <w:rFonts w:hint="eastAsia" w:ascii="宋体" w:hAnsi="宋体" w:cs="宋体"/>
                <w:sz w:val="20"/>
                <w:szCs w:val="20"/>
              </w:rPr>
              <w:t xml:space="preserve">在预算执行过程中,根据实际情况,可调整已有预算号的预算金额,也可增加原先没有的预算号,支持配置审批流程,对提出的调整进行审批,审批过后,调整生效。</w:t>
            </w:r>
            <w:r/>
          </w:p>
          <w:p>
            <w:pPr>
              <w:pStyle w:val="651"/>
              <w:jc w:val="left"/>
              <w:widowControl/>
              <w:rPr>
                <w:rFonts w:hint="eastAsia" w:ascii="宋体" w:hAnsi="宋体" w:cs="宋体"/>
                <w:sz w:val="20"/>
                <w:szCs w:val="20"/>
              </w:rPr>
            </w:pPr>
            <w:r>
              <w:rPr>
                <w:rFonts w:hint="eastAsia" w:ascii="宋体" w:hAnsi="宋体" w:cs="宋体"/>
                <w:sz w:val="20"/>
                <w:szCs w:val="20"/>
              </w:rPr>
              <w:t xml:space="preserve">预算调整包括中期调整及日常调整。其中中期调整包括：(1)科室中期调整，主要进行预算科室的预算指标中期调整功能；(2)归口中期调整，归口的预算指标调整功能；(3)院方中期调整，指院方查看并给出预算归口和预算科室指标的调整预算总额。</w:t>
            </w:r>
            <w:r/>
          </w:p>
          <w:p>
            <w:pPr>
              <w:pStyle w:val="651"/>
              <w:jc w:val="left"/>
              <w:widowControl/>
              <w:rPr>
                <w:rFonts w:hint="eastAsia" w:ascii="宋体" w:hAnsi="宋体" w:cs="宋体"/>
                <w:sz w:val="20"/>
                <w:szCs w:val="20"/>
              </w:rPr>
            </w:pPr>
            <w:r>
              <w:rPr>
                <w:rFonts w:hint="eastAsia" w:ascii="宋体" w:hAnsi="宋体" w:cs="宋体"/>
                <w:sz w:val="20"/>
                <w:szCs w:val="20"/>
              </w:rPr>
              <w:t xml:space="preserve">实现预算日常调整和调剂功能，包括：预算日常调整申请、预算日常调整审核功能。调剂支持预算号之间进行调剂，总额不变；支持从总盘子拆到明细调剂；日常调整可以到每个科室预算指标的调整；</w:t>
            </w:r>
            <w:r/>
          </w:p>
          <w:p>
            <w:pPr>
              <w:pStyle w:val="651"/>
              <w:jc w:val="left"/>
              <w:widowControl/>
              <w:rPr>
                <w:rFonts w:hint="eastAsia" w:ascii="宋体" w:hAnsi="宋体" w:cs="宋体"/>
                <w:sz w:val="20"/>
                <w:szCs w:val="20"/>
              </w:rPr>
            </w:pPr>
            <w:r>
              <w:rPr>
                <w:rFonts w:hint="eastAsia" w:ascii="宋体" w:hAnsi="宋体" w:cs="宋体"/>
                <w:sz w:val="20"/>
                <w:szCs w:val="20"/>
              </w:rPr>
              <w:t xml:space="preserve">实现预算按照医院的调整流程进行调整申请、调整审批，包括预算科室调整、归口科室调整、医院层面的调整；实现预算调整的日常申请、审核。实现预算调整的控制。</w:t>
            </w:r>
            <w:r/>
          </w:p>
          <w:p>
            <w:pPr>
              <w:pStyle w:val="651"/>
              <w:jc w:val="left"/>
              <w:widowControl/>
              <w:rPr>
                <w:rFonts w:hint="eastAsia" w:ascii="宋体" w:hAnsi="宋体" w:cs="宋体"/>
                <w:sz w:val="20"/>
                <w:szCs w:val="20"/>
              </w:rPr>
            </w:pPr>
            <w:r>
              <w:rPr>
                <w:rFonts w:hint="eastAsia" w:ascii="宋体" w:hAnsi="宋体" w:cs="宋体"/>
                <w:sz w:val="20"/>
                <w:szCs w:val="20"/>
              </w:rPr>
              <w:t xml:space="preserve">6.预算号管理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▲按照医院编号规则，对预算进行编号；支持预算号的启用、停用；并可按预算号进行业务系统预算执行的追溯查询。</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7.预算论证</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支持论证类型的自定义；支持论证的在线申请及在线审核；</w:t>
            </w:r>
            <w:r/>
          </w:p>
          <w:p>
            <w:pPr>
              <w:pStyle w:val="651"/>
              <w:jc w:val="left"/>
              <w:widowControl/>
              <w:rPr>
                <w:rFonts w:hint="eastAsia" w:ascii="宋体" w:hAnsi="宋体" w:cs="宋体"/>
                <w:sz w:val="20"/>
                <w:szCs w:val="20"/>
              </w:rPr>
            </w:pPr>
            <w:r>
              <w:rPr>
                <w:rFonts w:hint="eastAsia" w:ascii="宋体" w:hAnsi="宋体" w:cs="宋体"/>
                <w:sz w:val="20"/>
                <w:szCs w:val="20"/>
              </w:rPr>
              <w:t xml:space="preserve">对需要论证的项目，并可在线录入论证项目的基本信息、申请理由、预计绩效分析、配套条件、安装条件、操作人员资质等关键信息，并可根据医院情况进行自定义；支持申请过程的在线审批及相关附件的上传；</w:t>
            </w:r>
            <w:r/>
          </w:p>
          <w:p>
            <w:pPr>
              <w:pStyle w:val="651"/>
              <w:jc w:val="left"/>
              <w:widowControl/>
              <w:rPr>
                <w:rFonts w:hint="eastAsia" w:ascii="宋体" w:hAnsi="宋体" w:cs="宋体"/>
                <w:sz w:val="20"/>
                <w:szCs w:val="20"/>
              </w:rPr>
            </w:pPr>
            <w:r>
              <w:rPr>
                <w:rFonts w:hint="eastAsia" w:ascii="宋体" w:hAnsi="宋体" w:cs="宋体"/>
                <w:sz w:val="20"/>
                <w:szCs w:val="20"/>
              </w:rPr>
              <w:t xml:space="preserve">8.预算执行</w:t>
            </w:r>
            <w:r/>
          </w:p>
          <w:p>
            <w:pPr>
              <w:pStyle w:val="651"/>
              <w:jc w:val="left"/>
              <w:widowControl/>
              <w:rPr>
                <w:rFonts w:hint="eastAsia" w:ascii="宋体" w:hAnsi="宋体" w:cs="宋体"/>
                <w:sz w:val="20"/>
                <w:szCs w:val="20"/>
              </w:rPr>
            </w:pPr>
            <w:r>
              <w:rPr>
                <w:rFonts w:hint="eastAsia" w:ascii="宋体" w:hAnsi="宋体" w:cs="宋体"/>
                <w:sz w:val="20"/>
                <w:szCs w:val="20"/>
              </w:rPr>
              <w:t xml:space="preserve">通过与多系统互联互通,实现预算执行的事前、事中控制及预算执行数的自动采集,因此需要与HIS系统、物资管理系统、资产管理系统、合同管理系统、财务核算系统、报销系统、人力资源系统、科研经费管理系统、设备采购系统等进行对接,进行相关的控制。</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支持预算指标的使用与合同、报销及会计核算系统的关联控制；</w:t>
            </w:r>
            <w:r/>
          </w:p>
          <w:p>
            <w:pPr>
              <w:pStyle w:val="651"/>
              <w:jc w:val="left"/>
              <w:widowControl/>
              <w:rPr>
                <w:rFonts w:hint="eastAsia" w:ascii="宋体" w:hAnsi="宋体" w:cs="宋体"/>
                <w:sz w:val="20"/>
                <w:szCs w:val="20"/>
              </w:rPr>
            </w:pPr>
            <w:r>
              <w:rPr>
                <w:rFonts w:hint="eastAsia" w:ascii="宋体" w:hAnsi="宋体" w:cs="宋体"/>
                <w:sz w:val="20"/>
                <w:szCs w:val="20"/>
              </w:rPr>
              <w:t xml:space="preserve">实现预算对医院其他业务系统的控制及取数，并对超预算事件进行审批；</w:t>
            </w:r>
            <w:r/>
          </w:p>
          <w:p>
            <w:pPr>
              <w:pStyle w:val="651"/>
              <w:jc w:val="left"/>
              <w:widowControl/>
              <w:rPr>
                <w:rFonts w:hint="eastAsia" w:ascii="宋体" w:hAnsi="宋体" w:cs="宋体"/>
                <w:sz w:val="20"/>
                <w:szCs w:val="20"/>
              </w:rPr>
            </w:pPr>
            <w:r>
              <w:rPr>
                <w:rFonts w:hint="eastAsia" w:ascii="宋体" w:hAnsi="宋体" w:cs="宋体"/>
                <w:sz w:val="20"/>
                <w:szCs w:val="20"/>
              </w:rPr>
              <w:t xml:space="preserve">根据预算主体、预算年度、预算号等不同颗粒度设置控制规则，支持强制控制、提醒控制、不控制多种方式。</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支持手工录入预算执行申请及预算执行审批。</w:t>
            </w:r>
            <w:r/>
          </w:p>
          <w:p>
            <w:pPr>
              <w:pStyle w:val="651"/>
              <w:jc w:val="left"/>
              <w:widowControl/>
              <w:rPr>
                <w:rFonts w:hint="eastAsia" w:ascii="宋体" w:hAnsi="宋体" w:cs="宋体"/>
                <w:sz w:val="20"/>
                <w:szCs w:val="20"/>
              </w:rPr>
            </w:pPr>
            <w:r>
              <w:rPr>
                <w:rFonts w:hint="eastAsia" w:ascii="宋体" w:hAnsi="宋体" w:cs="宋体"/>
                <w:sz w:val="20"/>
                <w:szCs w:val="20"/>
              </w:rPr>
              <w:t xml:space="preserve">9.预算分析</w:t>
            </w:r>
            <w:r/>
          </w:p>
          <w:p>
            <w:pPr>
              <w:pStyle w:val="651"/>
              <w:jc w:val="left"/>
              <w:widowControl/>
              <w:rPr>
                <w:rFonts w:hint="eastAsia" w:ascii="宋体" w:hAnsi="宋体" w:cs="宋体"/>
                <w:sz w:val="20"/>
                <w:szCs w:val="20"/>
              </w:rPr>
            </w:pPr>
            <w:r>
              <w:rPr>
                <w:rFonts w:hint="eastAsia" w:ascii="宋体" w:hAnsi="宋体" w:cs="宋体"/>
                <w:sz w:val="20"/>
                <w:szCs w:val="20"/>
              </w:rPr>
              <w:t xml:space="preserve">提供将预算数据与实际执行数进行对比的功能。能从多个维度：包括预算科室、归口科室、全院、预算指标、预算类别、预算执行进度进行预算反馈及分析。</w:t>
            </w:r>
            <w:r/>
          </w:p>
          <w:p>
            <w:pPr>
              <w:pStyle w:val="651"/>
              <w:jc w:val="left"/>
              <w:widowControl/>
              <w:rPr>
                <w:rFonts w:hint="eastAsia" w:ascii="宋体" w:hAnsi="宋体" w:cs="宋体"/>
                <w:sz w:val="20"/>
                <w:szCs w:val="20"/>
              </w:rPr>
            </w:pPr>
            <w:r>
              <w:rPr>
                <w:rFonts w:hint="eastAsia" w:ascii="宋体" w:hAnsi="宋体" w:cs="宋体"/>
                <w:sz w:val="20"/>
                <w:szCs w:val="20"/>
              </w:rPr>
              <w:t xml:space="preserve">10.预算结转</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支持预算编制结转，可查看待结转年度和结转状态。支持年终结转，匹配预算号、执行结转、反结账。支持记录预算号、预算类别、预算科目、项目名称、归口科室等信息。</w:t>
            </w:r>
            <w:r/>
          </w:p>
          <w:p>
            <w:pPr>
              <w:pStyle w:val="651"/>
              <w:jc w:val="left"/>
              <w:widowControl/>
              <w:rPr>
                <w:rFonts w:hint="eastAsia" w:ascii="宋体" w:hAnsi="宋体" w:cs="宋体"/>
                <w:sz w:val="20"/>
                <w:szCs w:val="20"/>
              </w:rPr>
            </w:pPr>
            <w:r>
              <w:rPr>
                <w:rFonts w:hint="eastAsia" w:ascii="宋体" w:hAnsi="宋体" w:cs="宋体"/>
                <w:sz w:val="20"/>
                <w:szCs w:val="20"/>
              </w:rPr>
              <w:t xml:space="preserve">11.预算报表</w:t>
            </w:r>
            <w:r/>
          </w:p>
          <w:p>
            <w:pPr>
              <w:pStyle w:val="651"/>
              <w:jc w:val="left"/>
              <w:widowControl/>
              <w:rPr>
                <w:rFonts w:hint="eastAsia" w:ascii="宋体" w:hAnsi="宋体" w:cs="宋体"/>
                <w:sz w:val="20"/>
                <w:szCs w:val="20"/>
              </w:rPr>
            </w:pPr>
            <w:r>
              <w:rPr>
                <w:rFonts w:hint="eastAsia" w:ascii="宋体" w:hAnsi="宋体" w:cs="宋体"/>
                <w:sz w:val="20"/>
                <w:szCs w:val="20"/>
              </w:rPr>
              <w:t xml:space="preserve">（1）编制表：编制表服务于预算编制阶段，包含年度预算科目表、预算编制情况一览表、经营指标科室预算分析表等报表，支持按科室、项目、支出经济分类等维度录入、汇总与查询预算数据，可基于权责发生制生成收入费用预算，校验收支平衡，直观展示全院预算申报、汇总的编制全貌。</w:t>
            </w:r>
            <w:r/>
          </w:p>
          <w:p>
            <w:pPr>
              <w:pStyle w:val="651"/>
              <w:jc w:val="left"/>
              <w:widowControl/>
              <w:rPr>
                <w:rFonts w:hint="eastAsia" w:ascii="宋体" w:hAnsi="宋体" w:cs="宋体"/>
                <w:sz w:val="20"/>
                <w:szCs w:val="20"/>
              </w:rPr>
            </w:pPr>
            <w:r>
              <w:rPr>
                <w:rFonts w:hint="eastAsia" w:ascii="宋体" w:hAnsi="宋体" w:cs="宋体"/>
                <w:sz w:val="20"/>
                <w:szCs w:val="20"/>
              </w:rPr>
              <w:t xml:space="preserve">（2）执行表：执行表用于预算执行过程的动态监控，涵盖科室、归口、全院、项目库多口径执行分析报表，同时支持三公经费、科室经营指标专项执行统计，自动对比预算额度与实际发生数据，计算预算执行率，实时反映收支执行情况。</w:t>
            </w:r>
            <w:r/>
          </w:p>
          <w:p>
            <w:pPr>
              <w:pStyle w:val="651"/>
              <w:jc w:val="left"/>
              <w:widowControl/>
              <w:rPr>
                <w:rFonts w:hint="eastAsia" w:ascii="宋体" w:hAnsi="宋体" w:cs="宋体"/>
                <w:sz w:val="20"/>
                <w:szCs w:val="20"/>
              </w:rPr>
            </w:pPr>
            <w:r>
              <w:rPr>
                <w:rFonts w:hint="eastAsia" w:ascii="宋体" w:hAnsi="宋体" w:cs="宋体"/>
                <w:sz w:val="20"/>
                <w:szCs w:val="20"/>
              </w:rPr>
              <w:t xml:space="preserve">（3）分析表：分析表聚焦预算事后综合评价，提供年度预算综合分析表，整合预算编制与全年预算执行数据，开展预算差异汇总分析，完成年度预算整体复盘。</w:t>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lang w:bidi="ar"/>
              </w:rPr>
            </w:pPr>
            <w:r>
              <w:rPr>
                <w:rFonts w:ascii="宋体" w:hAnsi="宋体" w:cs="宋体"/>
                <w:sz w:val="20"/>
                <w:szCs w:val="20"/>
                <w:lang w:bidi="ar"/>
              </w:rPr>
              <w:t xml:space="preserve">财务会计系统</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1.财务核算</w:t>
            </w:r>
            <w:r/>
          </w:p>
          <w:p>
            <w:pPr>
              <w:pStyle w:val="651"/>
              <w:jc w:val="left"/>
              <w:widowControl/>
              <w:rPr>
                <w:rFonts w:hint="eastAsia" w:ascii="宋体" w:hAnsi="宋体" w:cs="宋体"/>
                <w:sz w:val="20"/>
                <w:szCs w:val="20"/>
              </w:rPr>
            </w:pPr>
            <w:r>
              <w:rPr>
                <w:rFonts w:hint="eastAsia" w:ascii="宋体" w:hAnsi="宋体" w:cs="宋体"/>
                <w:sz w:val="20"/>
                <w:szCs w:val="20"/>
              </w:rPr>
              <w:t xml:space="preserve">医院核心账务处理,凭证录入、审核、记账、期末结转,实现全业务单据自动生成凭证,完成全院总账、明细账账务核算。</w:t>
            </w:r>
            <w:r/>
          </w:p>
          <w:p>
            <w:pPr>
              <w:pStyle w:val="651"/>
              <w:jc w:val="left"/>
              <w:widowControl/>
              <w:rPr>
                <w:rFonts w:hint="eastAsia" w:ascii="宋体" w:hAnsi="宋体" w:cs="宋体"/>
                <w:sz w:val="20"/>
                <w:szCs w:val="20"/>
              </w:rPr>
            </w:pPr>
            <w:r>
              <w:rPr>
                <w:rFonts w:hint="eastAsia" w:ascii="宋体" w:hAnsi="宋体" w:cs="宋体"/>
                <w:sz w:val="20"/>
                <w:szCs w:val="20"/>
              </w:rPr>
              <w:t xml:space="preserve">2.自动凭证与总账接口</w:t>
            </w:r>
            <w:r/>
          </w:p>
          <w:p>
            <w:pPr>
              <w:pStyle w:val="651"/>
              <w:jc w:val="left"/>
              <w:widowControl/>
              <w:rPr>
                <w:rFonts w:hint="eastAsia" w:ascii="宋体" w:hAnsi="宋体" w:cs="宋体"/>
                <w:sz w:val="20"/>
                <w:szCs w:val="20"/>
              </w:rPr>
            </w:pPr>
            <w:r>
              <w:rPr>
                <w:rFonts w:hint="eastAsia" w:ascii="宋体" w:hAnsi="宋体" w:cs="宋体"/>
                <w:sz w:val="20"/>
                <w:szCs w:val="20"/>
              </w:rPr>
              <w:t xml:space="preserve">对接HRP各业务子系统(资产、物资、报销等),配置单据转凭证规则,业务数据自动同步生成财务凭证,打通业务财务数据。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总账接口：对接HRP各业务子系统(资产、物资、报销等),配置单据转凭证规则,业务数据自动同步生成财务凭证,打通业务财务数据。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对新政府会计在医疗行业的应用有深刻理解，根据业务规则，在相关信息系统的支撑下，能与HIS收费系统、成本核算系统、业务系统高度集成，完成业务自动生成财务会计凭证和预算凭证。</w:t>
            </w:r>
            <w:r/>
          </w:p>
          <w:p>
            <w:pPr>
              <w:pStyle w:val="651"/>
              <w:jc w:val="left"/>
              <w:widowControl/>
              <w:rPr>
                <w:rFonts w:hint="eastAsia" w:ascii="宋体" w:hAnsi="宋体" w:cs="宋体"/>
                <w:sz w:val="20"/>
                <w:szCs w:val="20"/>
              </w:rPr>
            </w:pPr>
            <w:r>
              <w:rPr>
                <w:rFonts w:hint="eastAsia" w:ascii="宋体" w:hAnsi="宋体" w:cs="宋体"/>
                <w:sz w:val="20"/>
                <w:szCs w:val="20"/>
              </w:rPr>
              <w:t xml:space="preserve">3.总账管理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总账管理用来记录医院发生的各种经济业务在账务上反映的全部内容；反映医院账务处理的全过程，从账务处理所需初始信息，到凭证录入、审核、记账，以及各种辅助核算账信息的输入和输出，包括部门核算、供应商核算、科研项目核算和往来核算等，产生各种会计账簿输出打印等内容。包括凭证制单、自动凭证、凭证审核、凭证记账、凭证打印、凭证模板、凭证统计等信息。</w:t>
            </w:r>
            <w:r/>
          </w:p>
          <w:p>
            <w:pPr>
              <w:pStyle w:val="651"/>
              <w:jc w:val="left"/>
              <w:widowControl/>
              <w:rPr>
                <w:rFonts w:hint="eastAsia" w:ascii="宋体" w:hAnsi="宋体" w:cs="宋体"/>
                <w:sz w:val="20"/>
                <w:szCs w:val="20"/>
              </w:rPr>
            </w:pPr>
            <w:r>
              <w:rPr>
                <w:rFonts w:hint="eastAsia" w:ascii="宋体" w:hAnsi="宋体" w:cs="宋体"/>
                <w:sz w:val="20"/>
                <w:szCs w:val="20"/>
              </w:rPr>
              <w:t xml:space="preserve">按照2019年政府会计制度的规范要求，支持平行记账。预置标准的财务会计科目和预算会计科目，支持在同一个凭证中处理财务凭证和预算凭证；</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支持凭证处理过程中的财务预算差异校验、现金流量校验等。系统支持差异项智能指定，一键完成所有凭证差异项的自动指定，无需手工指定差异项，并自动生成符合新制度要求的差异项报表；</w:t>
            </w:r>
            <w:r/>
          </w:p>
          <w:p>
            <w:pPr>
              <w:pStyle w:val="651"/>
              <w:jc w:val="left"/>
              <w:widowControl/>
              <w:rPr>
                <w:rFonts w:hint="eastAsia" w:ascii="宋体" w:hAnsi="宋体" w:cs="宋体"/>
                <w:sz w:val="20"/>
                <w:szCs w:val="20"/>
              </w:rPr>
            </w:pPr>
            <w:r>
              <w:rPr>
                <w:rFonts w:hint="eastAsia" w:ascii="宋体" w:hAnsi="宋体" w:cs="宋体"/>
                <w:sz w:val="20"/>
                <w:szCs w:val="20"/>
              </w:rPr>
              <w:t xml:space="preserve">提供财务会计期末结转和预算会计的期末结转功能，实现自动期末结转；期末结转中的费用摊销和费用预提自动结转：通过设置费用摊销和费用预提凭证模板，自动生成费用摊销凭证和费用预提凭证；</w:t>
            </w:r>
            <w:r/>
          </w:p>
          <w:p>
            <w:pPr>
              <w:pStyle w:val="651"/>
              <w:jc w:val="left"/>
              <w:widowControl/>
              <w:rPr>
                <w:rFonts w:hint="eastAsia" w:ascii="宋体" w:hAnsi="宋体" w:cs="宋体"/>
                <w:sz w:val="20"/>
                <w:szCs w:val="20"/>
              </w:rPr>
            </w:pPr>
            <w:r>
              <w:rPr>
                <w:rFonts w:hint="eastAsia" w:ascii="宋体" w:hAnsi="宋体" w:cs="宋体"/>
                <w:sz w:val="20"/>
                <w:szCs w:val="20"/>
              </w:rPr>
              <w:t xml:space="preserve">预置现金流量项目，指定现金及现金等价物科目的现金流量项目；支持凭证录入时指定现金流量项目，同时支持现金流量拆分模板设置，系统可按模板规则自动指定；</w:t>
            </w:r>
            <w:r/>
          </w:p>
          <w:p>
            <w:pPr>
              <w:pStyle w:val="651"/>
              <w:jc w:val="left"/>
              <w:widowControl/>
              <w:rPr>
                <w:rFonts w:hint="eastAsia" w:ascii="宋体" w:hAnsi="宋体" w:cs="宋体"/>
                <w:sz w:val="20"/>
                <w:szCs w:val="20"/>
              </w:rPr>
            </w:pPr>
            <w:r>
              <w:rPr>
                <w:rFonts w:hint="eastAsia" w:ascii="宋体" w:hAnsi="宋体" w:cs="宋体"/>
                <w:sz w:val="20"/>
                <w:szCs w:val="20"/>
              </w:rPr>
              <w:t xml:space="preserve">具备备查账功能；</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支持凭证查询时对明细账、总账、原始单据进行联查功能。提供查询账簿功能，并可查询包含未记账凭证的各种账表；支持财务多维度的辅助核算处理；</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支持凭证制单：包含凭证页面、凭证保存、凭证打印、凭证删除、出纳签字、凭证审核、冲销、查询、删除、作废、恢复、复制；</w:t>
            </w:r>
            <w:r/>
          </w:p>
          <w:p>
            <w:pPr>
              <w:pStyle w:val="651"/>
              <w:jc w:val="left"/>
              <w:widowControl/>
              <w:rPr>
                <w:rFonts w:hint="eastAsia" w:ascii="宋体" w:hAnsi="宋体" w:cs="宋体"/>
                <w:sz w:val="20"/>
                <w:szCs w:val="20"/>
              </w:rPr>
            </w:pPr>
            <w:r>
              <w:rPr>
                <w:rFonts w:hint="eastAsia" w:ascii="宋体" w:hAnsi="宋体" w:cs="宋体"/>
                <w:sz w:val="20"/>
                <w:szCs w:val="20"/>
              </w:rPr>
              <w:t xml:space="preserve">可自定义多种凭证类型，并可对凭证打印模板进行自定义，支持凭证套打；</w:t>
            </w:r>
            <w:r/>
          </w:p>
          <w:p>
            <w:pPr>
              <w:pStyle w:val="651"/>
              <w:jc w:val="left"/>
              <w:widowControl/>
              <w:rPr>
                <w:rFonts w:hint="eastAsia" w:ascii="宋体" w:hAnsi="宋体" w:cs="宋体"/>
                <w:sz w:val="20"/>
                <w:szCs w:val="20"/>
              </w:rPr>
            </w:pPr>
            <w:r>
              <w:rPr>
                <w:rFonts w:hint="eastAsia" w:ascii="宋体" w:hAnsi="宋体" w:cs="宋体"/>
                <w:sz w:val="20"/>
                <w:szCs w:val="20"/>
              </w:rPr>
              <w:t xml:space="preserve">提供对凭证及账表跨年度查询功能，同时可自定义账表的格式和可自定义查询条件；</w:t>
            </w:r>
            <w:r/>
          </w:p>
          <w:p>
            <w:pPr>
              <w:pStyle w:val="651"/>
              <w:jc w:val="left"/>
              <w:widowControl/>
              <w:rPr>
                <w:rFonts w:hint="eastAsia" w:ascii="宋体" w:hAnsi="宋体" w:cs="宋体"/>
                <w:sz w:val="20"/>
                <w:szCs w:val="20"/>
              </w:rPr>
            </w:pPr>
            <w:r>
              <w:rPr>
                <w:rFonts w:hint="eastAsia" w:ascii="宋体" w:hAnsi="宋体" w:cs="宋体"/>
                <w:sz w:val="20"/>
                <w:szCs w:val="20"/>
              </w:rPr>
              <w:t xml:space="preserve">▲具备经济分类及功能分类的相关功能。凭证节点支持按一定规则分摊成本费用，凭证审核时，能够填写审核批注；支持按制单人进行凭证整理。</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4.固定资产</w:t>
            </w:r>
            <w:r/>
          </w:p>
          <w:p>
            <w:pPr>
              <w:pStyle w:val="651"/>
              <w:jc w:val="left"/>
              <w:widowControl/>
              <w:rPr>
                <w:rFonts w:hint="eastAsia" w:ascii="宋体" w:hAnsi="宋体" w:cs="宋体"/>
                <w:sz w:val="20"/>
                <w:szCs w:val="20"/>
              </w:rPr>
            </w:pPr>
            <w:r>
              <w:rPr>
                <w:rFonts w:hint="eastAsia" w:ascii="宋体" w:hAnsi="宋体" w:cs="宋体"/>
                <w:sz w:val="20"/>
                <w:szCs w:val="20"/>
              </w:rPr>
              <w:t xml:space="preserve">联动资产系统,自动同步资产新增、折旧、处置数据生成对应财务凭证,完成资产账务与卡片数据账实核对。</w:t>
            </w:r>
            <w:r/>
          </w:p>
          <w:p>
            <w:pPr>
              <w:pStyle w:val="651"/>
              <w:jc w:val="left"/>
              <w:widowControl/>
              <w:rPr>
                <w:rFonts w:hint="eastAsia" w:ascii="宋体" w:hAnsi="宋体" w:cs="宋体"/>
                <w:sz w:val="20"/>
                <w:szCs w:val="20"/>
              </w:rPr>
            </w:pPr>
            <w:r>
              <w:rPr>
                <w:rFonts w:hint="eastAsia" w:ascii="宋体" w:hAnsi="宋体" w:cs="宋体"/>
                <w:sz w:val="20"/>
                <w:szCs w:val="20"/>
              </w:rPr>
              <w:t xml:space="preserve">5.数据上报</w:t>
            </w:r>
            <w:r/>
          </w:p>
          <w:p>
            <w:pPr>
              <w:pStyle w:val="651"/>
              <w:jc w:val="left"/>
              <w:widowControl/>
              <w:rPr>
                <w:rFonts w:hint="eastAsia" w:ascii="宋体" w:hAnsi="宋体" w:cs="宋体"/>
                <w:sz w:val="20"/>
                <w:szCs w:val="20"/>
              </w:rPr>
            </w:pPr>
            <w:r>
              <w:rPr>
                <w:rFonts w:hint="eastAsia" w:ascii="宋体" w:hAnsi="宋体" w:cs="宋体"/>
                <w:sz w:val="20"/>
                <w:szCs w:val="20"/>
              </w:rPr>
              <w:t xml:space="preserve">按照财政、卫健部门报表格式,自动提取账务数据生成法定上报报表,支持一键导出上报文件。</w:t>
            </w:r>
            <w:r/>
          </w:p>
          <w:p>
            <w:pPr>
              <w:pStyle w:val="651"/>
              <w:jc w:val="left"/>
              <w:widowControl/>
              <w:rPr>
                <w:rFonts w:hint="eastAsia" w:ascii="宋体" w:hAnsi="宋体" w:cs="宋体"/>
                <w:sz w:val="20"/>
                <w:szCs w:val="20"/>
              </w:rPr>
            </w:pPr>
            <w:r>
              <w:rPr>
                <w:rFonts w:hint="eastAsia" w:ascii="宋体" w:hAnsi="宋体" w:cs="宋体"/>
                <w:sz w:val="20"/>
                <w:szCs w:val="20"/>
              </w:rPr>
              <w:t xml:space="preserve">6.应收管理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往来管理包括应收管理系统和应付管理系统两部分内容，能够帮助医疗机构从财务层面管控业务，强化资金流入流出的核算与管理，保证医疗机构资金的健康流动；</w:t>
            </w:r>
            <w:r/>
          </w:p>
          <w:p>
            <w:pPr>
              <w:pStyle w:val="651"/>
              <w:jc w:val="left"/>
              <w:widowControl/>
              <w:rPr>
                <w:rFonts w:hint="eastAsia" w:ascii="宋体" w:hAnsi="宋体" w:cs="宋体"/>
                <w:sz w:val="20"/>
                <w:szCs w:val="20"/>
              </w:rPr>
            </w:pPr>
            <w:r>
              <w:rPr>
                <w:rFonts w:hint="eastAsia" w:ascii="宋体" w:hAnsi="宋体" w:cs="宋体"/>
                <w:sz w:val="20"/>
                <w:szCs w:val="20"/>
              </w:rPr>
              <w:t xml:space="preserve">应收款管理系统主要用于核算和管理单位与客户之间的往来款项。在应收款管理系统中，以销售发票、其他应收单、收款单等原始单据为依据，对企业的往来账款进行综合管理，及时、准确地提供客户的往来账款余额资料，提供各种分析报表；</w:t>
            </w:r>
            <w:r/>
          </w:p>
          <w:p>
            <w:pPr>
              <w:pStyle w:val="651"/>
              <w:jc w:val="left"/>
              <w:widowControl/>
              <w:rPr>
                <w:rFonts w:hint="eastAsia" w:ascii="宋体" w:hAnsi="宋体" w:cs="宋体"/>
                <w:sz w:val="20"/>
                <w:szCs w:val="20"/>
              </w:rPr>
            </w:pPr>
            <w:r>
              <w:rPr>
                <w:rFonts w:hint="eastAsia" w:ascii="宋体" w:hAnsi="宋体" w:cs="宋体"/>
                <w:sz w:val="20"/>
                <w:szCs w:val="20"/>
              </w:rPr>
              <w:t xml:space="preserve">应收管理：管理门诊住院欠费、医保应收、科室往来应收款,台账跟踪回款、坏账计提、坏账核销全流程。</w:t>
            </w:r>
            <w:r/>
          </w:p>
          <w:p>
            <w:pPr>
              <w:pStyle w:val="651"/>
              <w:jc w:val="left"/>
              <w:widowControl/>
              <w:rPr>
                <w:rFonts w:hint="eastAsia" w:ascii="宋体" w:hAnsi="宋体" w:cs="宋体"/>
                <w:sz w:val="20"/>
                <w:szCs w:val="20"/>
              </w:rPr>
            </w:pPr>
            <w:r>
              <w:rPr>
                <w:rFonts w:hint="eastAsia" w:ascii="宋体" w:hAnsi="宋体" w:cs="宋体"/>
                <w:sz w:val="20"/>
                <w:szCs w:val="20"/>
              </w:rPr>
              <w:t xml:space="preserve">7.应付管理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应付管理：归集供应商货款、工程款项、服务费等应付账款,按合同、付款计划管控付款,统筹全院付款排期。</w:t>
            </w:r>
            <w:r/>
          </w:p>
          <w:p>
            <w:pPr>
              <w:pStyle w:val="651"/>
              <w:jc w:val="left"/>
              <w:widowControl/>
              <w:rPr>
                <w:rFonts w:hint="eastAsia" w:ascii="宋体" w:hAnsi="宋体" w:cs="宋体"/>
                <w:sz w:val="20"/>
                <w:szCs w:val="20"/>
              </w:rPr>
            </w:pPr>
            <w:r>
              <w:rPr>
                <w:rFonts w:hint="eastAsia" w:ascii="宋体" w:hAnsi="宋体" w:cs="宋体"/>
                <w:sz w:val="20"/>
                <w:szCs w:val="20"/>
              </w:rPr>
              <w:t xml:space="preserve">提供应付单、预付款单的录入、供应商付款的处理、单据核销处理等功能，并提供应付及付款常用报表的查询分析等业务的全流程管理；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系统提供坏账计提功能，支持余额百分比法、账龄分析法、个别认定法等多种方法计提坏账；</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支持票到货未到、票货同到、货到票未到三种情况下的结算和核销，支持自动、手工逐笔或批量核销；</w:t>
            </w:r>
            <w:r/>
          </w:p>
          <w:p>
            <w:pPr>
              <w:pStyle w:val="651"/>
              <w:jc w:val="left"/>
              <w:widowControl/>
              <w:rPr>
                <w:rFonts w:hint="eastAsia" w:ascii="宋体" w:hAnsi="宋体" w:cs="宋体"/>
                <w:sz w:val="20"/>
                <w:szCs w:val="20"/>
              </w:rPr>
            </w:pPr>
            <w:r>
              <w:rPr>
                <w:rFonts w:hint="eastAsia" w:ascii="宋体" w:hAnsi="宋体" w:cs="宋体"/>
                <w:sz w:val="20"/>
                <w:szCs w:val="20"/>
              </w:rPr>
              <w:t xml:space="preserve">可以通过各个系统业务信息自动生成应付款、预付款单据信息，也支持单据手工录入。并且能够与财务系统对接，自动生成凭证，实现业务与账务数据同步。</w:t>
            </w:r>
            <w:r/>
          </w:p>
          <w:p>
            <w:pPr>
              <w:pStyle w:val="651"/>
              <w:jc w:val="left"/>
              <w:widowControl/>
              <w:rPr>
                <w:rFonts w:hint="eastAsia" w:ascii="宋体" w:hAnsi="宋体" w:cs="宋体"/>
                <w:sz w:val="20"/>
                <w:szCs w:val="20"/>
              </w:rPr>
            </w:pPr>
            <w:r>
              <w:rPr>
                <w:rFonts w:hint="eastAsia" w:ascii="宋体" w:hAnsi="宋体" w:cs="宋体"/>
                <w:sz w:val="20"/>
                <w:szCs w:val="20"/>
              </w:rPr>
              <w:t xml:space="preserve">8.财务报表</w:t>
            </w:r>
            <w:r/>
          </w:p>
          <w:p>
            <w:pPr>
              <w:pStyle w:val="651"/>
              <w:jc w:val="left"/>
              <w:widowControl/>
              <w:rPr>
                <w:rFonts w:hint="eastAsia" w:ascii="宋体" w:hAnsi="宋体" w:cs="宋体"/>
                <w:sz w:val="20"/>
                <w:szCs w:val="20"/>
              </w:rPr>
            </w:pPr>
            <w:r>
              <w:rPr>
                <w:rFonts w:hint="eastAsia" w:ascii="宋体" w:hAnsi="宋体" w:cs="宋体"/>
                <w:sz w:val="20"/>
                <w:szCs w:val="20"/>
              </w:rPr>
              <w:t xml:space="preserve">预置资产负债表、利润表、现金流量表等法定财报,自定义内部管理报表,自动取数生成。</w:t>
            </w:r>
            <w:r/>
          </w:p>
          <w:p>
            <w:pPr>
              <w:pStyle w:val="651"/>
              <w:jc w:val="left"/>
              <w:widowControl/>
              <w:rPr>
                <w:rFonts w:hint="eastAsia" w:ascii="宋体" w:hAnsi="宋体" w:cs="宋体"/>
                <w:sz w:val="20"/>
                <w:szCs w:val="20"/>
              </w:rPr>
            </w:pPr>
            <w:r>
              <w:rPr>
                <w:rFonts w:hint="eastAsia" w:ascii="宋体" w:hAnsi="宋体" w:cs="宋体"/>
                <w:sz w:val="20"/>
                <w:szCs w:val="20"/>
              </w:rPr>
              <w:t xml:space="preserve">9.合并报表</w:t>
            </w:r>
            <w:r/>
          </w:p>
          <w:p>
            <w:pPr>
              <w:pStyle w:val="651"/>
              <w:jc w:val="left"/>
              <w:widowControl/>
              <w:rPr>
                <w:rFonts w:hint="eastAsia" w:ascii="宋体" w:hAnsi="宋体" w:cs="宋体"/>
                <w:sz w:val="20"/>
                <w:szCs w:val="20"/>
              </w:rPr>
            </w:pPr>
            <w:r>
              <w:rPr>
                <w:rFonts w:hint="eastAsia" w:ascii="宋体" w:hAnsi="宋体" w:cs="宋体"/>
                <w:sz w:val="20"/>
                <w:szCs w:val="20"/>
              </w:rPr>
              <w:t xml:space="preserve">针对多院区、分支机构架构,自动抵消内部交易数据,生成全院汇总合并财务报表。</w:t>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 w:val="20"/>
                <w:szCs w:val="20"/>
                <w:lang w:bidi="ar"/>
              </w:rPr>
            </w:pPr>
            <w:r>
              <w:rPr>
                <w:rFonts w:ascii="宋体" w:hAnsi="宋体" w:cs="宋体"/>
                <w:szCs w:val="21"/>
              </w:rPr>
              <w:t xml:space="preserve">固定资产管理系统</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1.基础设置</w:t>
            </w:r>
            <w:r/>
          </w:p>
          <w:p>
            <w:pPr>
              <w:pStyle w:val="651"/>
              <w:jc w:val="left"/>
              <w:widowControl/>
              <w:rPr>
                <w:rFonts w:hint="eastAsia" w:ascii="宋体" w:hAnsi="宋体" w:cs="宋体"/>
                <w:sz w:val="20"/>
                <w:szCs w:val="20"/>
              </w:rPr>
            </w:pPr>
            <w:r>
              <w:rPr>
                <w:rFonts w:hint="eastAsia" w:ascii="宋体" w:hAnsi="宋体" w:cs="宋体"/>
                <w:sz w:val="20"/>
                <w:szCs w:val="20"/>
              </w:rPr>
              <w:t xml:space="preserve">配置资产分类、折旧方法、使用年限、存放地点、归口科室等基础参数,规范全院资产管控标准。</w:t>
            </w:r>
            <w:r/>
          </w:p>
          <w:p>
            <w:pPr>
              <w:pStyle w:val="651"/>
              <w:jc w:val="left"/>
              <w:widowControl/>
              <w:rPr>
                <w:rFonts w:hint="eastAsia" w:ascii="宋体" w:hAnsi="宋体" w:cs="宋体"/>
                <w:sz w:val="20"/>
                <w:szCs w:val="20"/>
              </w:rPr>
            </w:pPr>
            <w:r>
              <w:rPr>
                <w:rFonts w:hint="eastAsia" w:ascii="宋体" w:hAnsi="宋体" w:cs="宋体"/>
                <w:sz w:val="20"/>
                <w:szCs w:val="20"/>
              </w:rPr>
              <w:t xml:space="preserve">2.资产卡片</w:t>
            </w:r>
            <w:r/>
          </w:p>
          <w:p>
            <w:pPr>
              <w:pStyle w:val="651"/>
              <w:jc w:val="left"/>
              <w:widowControl/>
              <w:rPr>
                <w:rFonts w:hint="eastAsia" w:ascii="宋体" w:hAnsi="宋体" w:cs="宋体"/>
                <w:sz w:val="20"/>
                <w:szCs w:val="20"/>
              </w:rPr>
            </w:pPr>
            <w:r>
              <w:rPr>
                <w:rFonts w:hint="eastAsia" w:ascii="宋体" w:hAnsi="宋体" w:cs="宋体"/>
                <w:sz w:val="20"/>
                <w:szCs w:val="20"/>
              </w:rPr>
              <w:t xml:space="preserve">提供基于卡片的固定资产管理模块，自动计提折旧；进行固定资产、无形资产管理，完成原始卡片录入、新增资产卡片录入、资产变动、资产评估、资产减值、计提折旧、资产减少、资产拆分、资产合并、资产调拨、资产盘点、账表查询、资产处置情况查询等功能，支持可按不同的关键词进行综合查询并支持Excel数据导出。</w:t>
            </w:r>
            <w:r/>
          </w:p>
          <w:p>
            <w:pPr>
              <w:pStyle w:val="651"/>
              <w:jc w:val="left"/>
              <w:widowControl/>
              <w:rPr>
                <w:rFonts w:hint="eastAsia" w:ascii="宋体" w:hAnsi="宋体" w:cs="宋体"/>
                <w:sz w:val="20"/>
                <w:szCs w:val="20"/>
              </w:rPr>
            </w:pPr>
            <w:r>
              <w:rPr>
                <w:rFonts w:hint="eastAsia" w:ascii="宋体" w:hAnsi="宋体" w:cs="宋体"/>
                <w:sz w:val="20"/>
                <w:szCs w:val="20"/>
              </w:rPr>
              <w:t xml:space="preserve">可对多种资金来源形成的固定资产，进行单一资金来源或多种资金来源组合的分科室部门、分资产类别管理。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系统支持根据多种资金来源比例登记固定资产原值、按比例分别计提固定资产折旧，确保不同资金来源的固定资产核算管理的清晰完整。</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支持按照不同资金来源登记资产原值信息，并能够按照资金的来源进行折旧，生成按照新制度要求的会计凭证，提高资产折旧效率。</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支持建立固定资产总账、资产二级明细账和资产台账及其资产卡片，实现资产的“三账一卡”管理。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支持以资产卡片为中心的档案管理，能够实现资产卡片的自定义，根据不同资产的管理要求定义资产卡片模板。</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支持资产档案管理，系统支持资产的电子档案管理，包括资产图片与各种电子资料。</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支持对资产折旧按实际使用科室拆分计算的功能，保证折旧成本的准确，资产折旧、维修等财务信息与财务成本核算系统紧密集成，自动生成财务成本凭证。</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支持资产二维码的管理，支持资产编码和资产二维码关键字段的自定义，能够提供资产二维码按需设计、条码打印、扫码功能，根据实际情况进行设置。</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支持各级资产管理人员可按权限查询资产明细、使用状态和折旧情况。</w:t>
            </w:r>
            <w:r/>
          </w:p>
          <w:p>
            <w:pPr>
              <w:pStyle w:val="651"/>
              <w:jc w:val="left"/>
              <w:widowControl/>
              <w:rPr>
                <w:rFonts w:hint="eastAsia" w:ascii="宋体" w:hAnsi="宋体" w:cs="宋体"/>
                <w:sz w:val="20"/>
                <w:szCs w:val="20"/>
              </w:rPr>
            </w:pPr>
            <w:r>
              <w:rPr>
                <w:rFonts w:hint="eastAsia" w:ascii="宋体" w:hAnsi="宋体" w:cs="宋体"/>
                <w:sz w:val="20"/>
                <w:szCs w:val="20"/>
              </w:rPr>
              <w:t xml:space="preserve">验收管理：设备到货后线上验收流程,验收单据归档,验收通过自动生成资产卡片并推送财务入账。</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支持登记日常维修、维保合同、维保费用,归集资产全生命周期运维成本。</w:t>
            </w:r>
            <w:r/>
          </w:p>
          <w:p>
            <w:pPr>
              <w:pStyle w:val="651"/>
              <w:jc w:val="left"/>
              <w:widowControl/>
              <w:rPr>
                <w:rFonts w:hint="eastAsia" w:ascii="宋体" w:hAnsi="宋体" w:cs="宋体"/>
                <w:sz w:val="20"/>
                <w:szCs w:val="20"/>
              </w:rPr>
            </w:pPr>
            <w:r>
              <w:rPr>
                <w:rFonts w:hint="eastAsia" w:ascii="宋体" w:hAnsi="宋体" w:cs="宋体"/>
                <w:sz w:val="20"/>
                <w:szCs w:val="20"/>
              </w:rPr>
              <w:t xml:space="preserve">3.验收管理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设备到货后线上验收流程,验收单据归档,验收通过自动生成资产卡片并推送财务入账。</w:t>
            </w:r>
            <w:r/>
          </w:p>
          <w:p>
            <w:pPr>
              <w:pStyle w:val="651"/>
              <w:jc w:val="left"/>
              <w:widowControl/>
              <w:rPr>
                <w:rFonts w:hint="eastAsia" w:ascii="宋体" w:hAnsi="宋体" w:cs="宋体"/>
                <w:sz w:val="20"/>
                <w:szCs w:val="20"/>
              </w:rPr>
            </w:pPr>
            <w:r>
              <w:rPr>
                <w:rFonts w:hint="eastAsia" w:ascii="宋体" w:hAnsi="宋体" w:cs="宋体"/>
                <w:sz w:val="20"/>
                <w:szCs w:val="20"/>
              </w:rPr>
              <w:t xml:space="preserve">4.资产变动</w:t>
            </w:r>
            <w:r/>
          </w:p>
          <w:p>
            <w:pPr>
              <w:pStyle w:val="651"/>
              <w:jc w:val="left"/>
              <w:widowControl/>
              <w:rPr>
                <w:rFonts w:hint="eastAsia" w:ascii="宋体" w:hAnsi="宋体" w:cs="宋体"/>
                <w:sz w:val="20"/>
                <w:szCs w:val="20"/>
              </w:rPr>
            </w:pPr>
            <w:r>
              <w:rPr>
                <w:rFonts w:hint="eastAsia" w:ascii="宋体" w:hAnsi="宋体" w:cs="宋体"/>
                <w:sz w:val="20"/>
                <w:szCs w:val="20"/>
              </w:rPr>
              <w:t xml:space="preserve">资产变动支持各类变动单据，包含使用科室变动、管理科室变动、原值变动、累计折旧变动、使用状态变动、使用年限变动、资金来源变动等。</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支持多种资产增加、内部调整、减少等变动的定义方式，并且这些变动完全与财务处理同步，保证资产的实际与资产的账面处理严格一致，明确资产的状态和责任人。</w:t>
            </w:r>
            <w:r/>
          </w:p>
          <w:p>
            <w:pPr>
              <w:pStyle w:val="651"/>
              <w:jc w:val="left"/>
              <w:widowControl/>
              <w:rPr>
                <w:rFonts w:hint="eastAsia" w:ascii="宋体" w:hAnsi="宋体" w:cs="宋体"/>
                <w:sz w:val="20"/>
                <w:szCs w:val="20"/>
              </w:rPr>
            </w:pPr>
            <w:r>
              <w:rPr>
                <w:rFonts w:hint="eastAsia" w:ascii="宋体" w:hAnsi="宋体" w:cs="宋体"/>
                <w:sz w:val="20"/>
                <w:szCs w:val="20"/>
              </w:rPr>
              <w:t xml:space="preserve">5.资产减少</w:t>
            </w:r>
            <w:r/>
          </w:p>
          <w:p>
            <w:pPr>
              <w:pStyle w:val="651"/>
              <w:jc w:val="left"/>
              <w:widowControl/>
              <w:rPr>
                <w:rFonts w:hint="eastAsia" w:ascii="宋体" w:hAnsi="宋体" w:cs="宋体"/>
                <w:sz w:val="20"/>
                <w:szCs w:val="20"/>
              </w:rPr>
            </w:pPr>
            <w:r>
              <w:rPr>
                <w:rFonts w:hint="eastAsia" w:ascii="宋体" w:hAnsi="宋体" w:cs="宋体"/>
                <w:sz w:val="20"/>
                <w:szCs w:val="20"/>
              </w:rPr>
              <w:t xml:space="preserve">资产的减少、回退、报废、盘亏等业务数据单据录入、审批、生效等。</w:t>
            </w:r>
            <w:r/>
          </w:p>
          <w:p>
            <w:pPr>
              <w:pStyle w:val="651"/>
              <w:jc w:val="left"/>
              <w:widowControl/>
              <w:rPr>
                <w:rFonts w:hint="eastAsia" w:ascii="宋体" w:hAnsi="宋体" w:cs="宋体"/>
                <w:sz w:val="20"/>
                <w:szCs w:val="20"/>
              </w:rPr>
            </w:pPr>
            <w:r>
              <w:rPr>
                <w:rFonts w:hint="eastAsia" w:ascii="宋体" w:hAnsi="宋体" w:cs="宋体"/>
                <w:sz w:val="20"/>
                <w:szCs w:val="20"/>
              </w:rPr>
              <w:t xml:space="preserve">6.资产处置</w:t>
            </w:r>
            <w:r/>
          </w:p>
          <w:p>
            <w:pPr>
              <w:pStyle w:val="651"/>
              <w:jc w:val="left"/>
              <w:widowControl/>
              <w:rPr>
                <w:rFonts w:hint="eastAsia" w:ascii="宋体" w:hAnsi="宋体" w:cs="宋体"/>
                <w:sz w:val="20"/>
                <w:szCs w:val="20"/>
              </w:rPr>
            </w:pPr>
            <w:r>
              <w:rPr>
                <w:rFonts w:hint="eastAsia" w:ascii="宋体" w:hAnsi="宋体" w:cs="宋体"/>
                <w:sz w:val="20"/>
                <w:szCs w:val="20"/>
              </w:rPr>
              <w:t xml:space="preserve">资产处置流程单据发起、审批、生效等。</w:t>
            </w:r>
            <w:r/>
          </w:p>
          <w:p>
            <w:pPr>
              <w:pStyle w:val="651"/>
              <w:jc w:val="left"/>
              <w:widowControl/>
              <w:rPr>
                <w:rFonts w:hint="eastAsia" w:ascii="宋体" w:hAnsi="宋体" w:cs="宋体"/>
                <w:sz w:val="20"/>
                <w:szCs w:val="20"/>
              </w:rPr>
            </w:pPr>
            <w:r>
              <w:rPr>
                <w:rFonts w:hint="eastAsia" w:ascii="宋体" w:hAnsi="宋体" w:cs="宋体"/>
                <w:sz w:val="20"/>
                <w:szCs w:val="20"/>
              </w:rPr>
              <w:t xml:space="preserve">7.资产盘点</w:t>
            </w:r>
            <w:r/>
          </w:p>
          <w:p>
            <w:pPr>
              <w:pStyle w:val="651"/>
              <w:jc w:val="left"/>
              <w:widowControl/>
              <w:rPr>
                <w:rFonts w:hint="eastAsia" w:ascii="宋体" w:hAnsi="宋体" w:cs="宋体"/>
                <w:sz w:val="20"/>
                <w:szCs w:val="20"/>
              </w:rPr>
            </w:pPr>
            <w:r>
              <w:rPr>
                <w:rFonts w:hint="eastAsia" w:ascii="宋体" w:hAnsi="宋体" w:cs="宋体"/>
                <w:sz w:val="20"/>
                <w:szCs w:val="20"/>
              </w:rPr>
              <w:t xml:space="preserve">定期出具盘点表，进行盘盈资产、差异资产录入。</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支持资产按使用科室、按管理科室、按使用状态、按原值、按资金来源等多种方式进行盘点；</w:t>
            </w:r>
            <w:r/>
          </w:p>
          <w:p>
            <w:pPr>
              <w:pStyle w:val="651"/>
              <w:jc w:val="left"/>
              <w:widowControl/>
              <w:rPr>
                <w:rFonts w:hint="eastAsia" w:ascii="宋体" w:hAnsi="宋体" w:cs="宋体"/>
                <w:sz w:val="20"/>
                <w:szCs w:val="20"/>
              </w:rPr>
            </w:pPr>
            <w:r>
              <w:rPr>
                <w:rFonts w:hint="eastAsia" w:ascii="宋体" w:hAnsi="宋体" w:cs="宋体"/>
                <w:sz w:val="20"/>
                <w:szCs w:val="20"/>
              </w:rPr>
              <w:t xml:space="preserve">8.单位调动</w:t>
            </w:r>
            <w:r/>
          </w:p>
          <w:p>
            <w:pPr>
              <w:pStyle w:val="651"/>
              <w:jc w:val="left"/>
              <w:widowControl/>
              <w:rPr>
                <w:rFonts w:hint="eastAsia" w:ascii="宋体" w:hAnsi="宋体" w:cs="宋体"/>
                <w:sz w:val="20"/>
                <w:szCs w:val="20"/>
              </w:rPr>
            </w:pPr>
            <w:r>
              <w:rPr>
                <w:rFonts w:hint="eastAsia" w:ascii="宋体" w:hAnsi="宋体" w:cs="宋体"/>
                <w:sz w:val="20"/>
                <w:szCs w:val="20"/>
              </w:rPr>
              <w:t xml:space="preserve">资产单位内部或跨组织调拨调出，调入单位可协同调入。业务单据录入、审批、生效等。</w:t>
            </w:r>
            <w:r/>
          </w:p>
          <w:p>
            <w:pPr>
              <w:pStyle w:val="651"/>
              <w:jc w:val="left"/>
              <w:widowControl/>
              <w:rPr>
                <w:rFonts w:hint="eastAsia" w:ascii="宋体" w:hAnsi="宋体" w:cs="宋体"/>
                <w:sz w:val="20"/>
                <w:szCs w:val="20"/>
              </w:rPr>
            </w:pPr>
            <w:r>
              <w:rPr>
                <w:rFonts w:hint="eastAsia" w:ascii="宋体" w:hAnsi="宋体" w:cs="宋体"/>
                <w:sz w:val="20"/>
                <w:szCs w:val="20"/>
              </w:rPr>
              <w:t xml:space="preserve">9.账簿同步</w:t>
            </w:r>
            <w:r/>
          </w:p>
          <w:p>
            <w:pPr>
              <w:pStyle w:val="651"/>
              <w:jc w:val="left"/>
              <w:widowControl/>
              <w:rPr>
                <w:rFonts w:hint="eastAsia" w:ascii="宋体" w:hAnsi="宋体" w:cs="宋体"/>
                <w:sz w:val="20"/>
                <w:szCs w:val="20"/>
              </w:rPr>
            </w:pPr>
            <w:r>
              <w:rPr>
                <w:rFonts w:hint="eastAsia" w:ascii="宋体" w:hAnsi="宋体" w:cs="宋体"/>
                <w:sz w:val="20"/>
                <w:szCs w:val="20"/>
              </w:rPr>
              <w:t xml:space="preserve">资产台账数据定时同步至财务总账,保证资产账、财务账数据一致。</w:t>
            </w:r>
            <w:r/>
          </w:p>
          <w:p>
            <w:pPr>
              <w:pStyle w:val="651"/>
              <w:jc w:val="left"/>
              <w:widowControl/>
              <w:rPr>
                <w:rFonts w:hint="eastAsia" w:ascii="宋体" w:hAnsi="宋体" w:cs="宋体"/>
                <w:sz w:val="20"/>
                <w:szCs w:val="20"/>
              </w:rPr>
            </w:pPr>
            <w:r>
              <w:rPr>
                <w:rFonts w:hint="eastAsia" w:ascii="宋体" w:hAnsi="宋体" w:cs="宋体"/>
                <w:sz w:val="20"/>
                <w:szCs w:val="20"/>
              </w:rPr>
              <w:t xml:space="preserve">10.资产维护</w:t>
            </w:r>
            <w:r/>
          </w:p>
          <w:p>
            <w:pPr>
              <w:pStyle w:val="651"/>
              <w:jc w:val="left"/>
              <w:widowControl/>
              <w:rPr>
                <w:rFonts w:hint="eastAsia" w:ascii="宋体" w:hAnsi="宋体" w:cs="宋体"/>
                <w:sz w:val="20"/>
                <w:szCs w:val="20"/>
              </w:rPr>
            </w:pPr>
            <w:r>
              <w:rPr>
                <w:rFonts w:hint="eastAsia" w:ascii="宋体" w:hAnsi="宋体" w:cs="宋体"/>
                <w:sz w:val="20"/>
                <w:szCs w:val="20"/>
              </w:rPr>
              <w:t xml:space="preserve">登记日常维修、维保合同、维保费用,归集资产全生命周期运维成本。</w:t>
            </w:r>
            <w:r/>
          </w:p>
          <w:p>
            <w:pPr>
              <w:pStyle w:val="651"/>
              <w:jc w:val="left"/>
              <w:widowControl/>
              <w:rPr>
                <w:rFonts w:hint="eastAsia" w:ascii="宋体" w:hAnsi="宋体" w:cs="宋体"/>
                <w:sz w:val="20"/>
                <w:szCs w:val="20"/>
              </w:rPr>
            </w:pPr>
            <w:r>
              <w:rPr>
                <w:rFonts w:hint="eastAsia" w:ascii="宋体" w:hAnsi="宋体" w:cs="宋体"/>
                <w:sz w:val="20"/>
                <w:szCs w:val="20"/>
              </w:rPr>
              <w:t xml:space="preserve">11.月末处理</w:t>
            </w:r>
            <w:r/>
          </w:p>
          <w:p>
            <w:pPr>
              <w:pStyle w:val="651"/>
              <w:jc w:val="left"/>
              <w:widowControl/>
              <w:rPr>
                <w:rFonts w:hint="eastAsia" w:ascii="宋体" w:hAnsi="宋体" w:cs="宋体"/>
                <w:sz w:val="20"/>
                <w:szCs w:val="20"/>
              </w:rPr>
            </w:pPr>
            <w:r>
              <w:rPr>
                <w:rFonts w:hint="eastAsia" w:ascii="宋体" w:hAnsi="宋体" w:cs="宋体"/>
                <w:sz w:val="20"/>
                <w:szCs w:val="20"/>
              </w:rPr>
              <w:t xml:space="preserve">月末的资产自动折旧处理、结转处理。</w:t>
            </w:r>
            <w:r/>
          </w:p>
          <w:p>
            <w:pPr>
              <w:pStyle w:val="651"/>
              <w:jc w:val="left"/>
              <w:widowControl/>
              <w:rPr>
                <w:rFonts w:hint="eastAsia" w:ascii="宋体" w:hAnsi="宋体" w:cs="宋体"/>
                <w:sz w:val="20"/>
                <w:szCs w:val="20"/>
              </w:rPr>
            </w:pPr>
            <w:r>
              <w:rPr>
                <w:rFonts w:hint="eastAsia" w:ascii="宋体" w:hAnsi="宋体" w:cs="宋体"/>
                <w:sz w:val="20"/>
                <w:szCs w:val="20"/>
              </w:rPr>
              <w:t xml:space="preserve">12.报表管理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出具各类资产大类报表、明细报表、折旧汇总表、折旧明细表等。</w:t>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Cs w:val="21"/>
              </w:rPr>
            </w:pPr>
            <w:r>
              <w:rPr>
                <w:rFonts w:ascii="宋体" w:hAnsi="宋体" w:cs="宋体"/>
                <w:szCs w:val="21"/>
              </w:rPr>
              <w:t xml:space="preserve">报销管理系统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1.报销工作台</w:t>
            </w:r>
            <w:r/>
          </w:p>
          <w:p>
            <w:pPr>
              <w:pStyle w:val="651"/>
              <w:jc w:val="left"/>
              <w:widowControl/>
              <w:rPr>
                <w:rFonts w:hint="eastAsia" w:ascii="宋体" w:hAnsi="宋体" w:cs="宋体"/>
                <w:sz w:val="20"/>
                <w:szCs w:val="20"/>
              </w:rPr>
            </w:pPr>
            <w:r>
              <w:rPr>
                <w:rFonts w:hint="eastAsia" w:ascii="宋体" w:hAnsi="宋体" w:cs="宋体"/>
                <w:sz w:val="20"/>
                <w:szCs w:val="20"/>
              </w:rPr>
              <w:t xml:space="preserve">面向全院职工、审批领导、财务审核人员打造差异化个性化工作台,职工端集中展示待填报单据、已提交待审批单据、驳回修改单据、已完成付款单据进度、发票待归集提醒、差旅报销标准提示;审批领导端聚合本人待审批报销任务、逾期未处理单据预警、下属科室报销汇总看板;财务端展示待审核单据总量、待付款单据清单、异常单据汇总,所有消息支持系统弹窗、站内消息实时推送。</w:t>
            </w:r>
            <w:r/>
          </w:p>
          <w:p>
            <w:pPr>
              <w:pStyle w:val="651"/>
              <w:jc w:val="left"/>
              <w:widowControl/>
              <w:rPr>
                <w:rFonts w:hint="eastAsia" w:ascii="宋体" w:hAnsi="宋体" w:cs="宋体"/>
                <w:sz w:val="20"/>
                <w:szCs w:val="20"/>
              </w:rPr>
            </w:pPr>
            <w:r>
              <w:rPr>
                <w:rFonts w:hint="eastAsia" w:ascii="宋体" w:hAnsi="宋体" w:cs="宋体"/>
                <w:sz w:val="20"/>
                <w:szCs w:val="20"/>
              </w:rPr>
              <w:t xml:space="preserve">2.基础设置</w:t>
            </w:r>
            <w:r/>
          </w:p>
          <w:p>
            <w:pPr>
              <w:pStyle w:val="651"/>
              <w:jc w:val="left"/>
              <w:widowControl/>
              <w:rPr>
                <w:rFonts w:hint="eastAsia" w:ascii="宋体" w:hAnsi="宋体" w:cs="宋体"/>
                <w:sz w:val="20"/>
                <w:szCs w:val="20"/>
              </w:rPr>
            </w:pPr>
            <w:r>
              <w:rPr>
                <w:rFonts w:hint="eastAsia" w:ascii="宋体" w:hAnsi="宋体" w:cs="宋体"/>
                <w:sz w:val="20"/>
                <w:szCs w:val="20"/>
              </w:rPr>
              <w:t xml:space="preserve">可根据医院需求，自由扩展不同类型的报销业务，并支持根据不同类型的报销展示不同页面，配置不同审批流程，不同的预算控制策略，不同的报销政策标准。如：差旅费、培训费、职工医疗费用、补助等。</w:t>
            </w:r>
            <w:r/>
          </w:p>
          <w:p>
            <w:pPr>
              <w:pStyle w:val="651"/>
              <w:jc w:val="left"/>
              <w:widowControl/>
              <w:rPr>
                <w:rFonts w:hint="eastAsia" w:ascii="宋体" w:hAnsi="宋体" w:cs="宋体"/>
                <w:sz w:val="20"/>
                <w:szCs w:val="20"/>
              </w:rPr>
            </w:pPr>
            <w:r>
              <w:rPr>
                <w:rFonts w:hint="eastAsia" w:ascii="宋体" w:hAnsi="宋体" w:cs="宋体"/>
                <w:sz w:val="20"/>
                <w:szCs w:val="20"/>
              </w:rPr>
              <w:t xml:space="preserve">▲实现报销事项先申请再报销，与预算系统对接实现报销事项的事前控制，报销时如超出预算额度进行提醒。结合预算模块功能，实现预算执行进度的实时分析功能，合理控制费用支出，杜绝浪费。一个报销单可以关联多个预算号或预算指标，实现预算事项的分项控制。</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3.智能稽核</w:t>
            </w:r>
            <w:r/>
          </w:p>
          <w:p>
            <w:pPr>
              <w:pStyle w:val="651"/>
              <w:jc w:val="left"/>
              <w:widowControl/>
              <w:rPr>
                <w:rFonts w:hint="eastAsia" w:ascii="宋体" w:hAnsi="宋体" w:cs="宋体"/>
                <w:sz w:val="20"/>
                <w:szCs w:val="20"/>
              </w:rPr>
            </w:pPr>
            <w:r>
              <w:rPr>
                <w:rFonts w:hint="eastAsia" w:ascii="宋体" w:hAnsi="宋体" w:cs="宋体"/>
                <w:sz w:val="20"/>
                <w:szCs w:val="20"/>
              </w:rPr>
              <w:t xml:space="preserve">依托OCR影像识别、国税发票查验接口实现发票自动识别、真伪在线核验、发票代码号码查重,系统自动匹配事前配置的报销标准,对超标差旅、科目列支错误、附件缺失、发票抬头不符、重复提交报销等不合规内容自动标记拦截;部分可容错问题支持备注说明后人工终审,稽核异常单据自动退回填报人并标注驳回原因,减少财务人工初审工作量。</w:t>
            </w:r>
            <w:r/>
          </w:p>
          <w:p>
            <w:pPr>
              <w:pStyle w:val="651"/>
              <w:jc w:val="left"/>
              <w:widowControl/>
              <w:rPr>
                <w:rFonts w:hint="eastAsia" w:ascii="宋体" w:hAnsi="宋体" w:cs="宋体"/>
                <w:sz w:val="20"/>
                <w:szCs w:val="20"/>
              </w:rPr>
            </w:pPr>
            <w:r>
              <w:rPr>
                <w:rFonts w:hint="eastAsia" w:ascii="宋体" w:hAnsi="宋体" w:cs="宋体"/>
                <w:sz w:val="20"/>
                <w:szCs w:val="20"/>
              </w:rPr>
              <w:t xml:space="preserve">4.我的单据</w:t>
            </w:r>
            <w:r/>
          </w:p>
          <w:p>
            <w:pPr>
              <w:pStyle w:val="651"/>
              <w:jc w:val="left"/>
              <w:widowControl/>
              <w:rPr>
                <w:rFonts w:hint="eastAsia" w:ascii="宋体" w:hAnsi="宋体" w:cs="宋体"/>
                <w:sz w:val="20"/>
                <w:szCs w:val="20"/>
              </w:rPr>
            </w:pPr>
            <w:r>
              <w:rPr>
                <w:rFonts w:hint="eastAsia" w:ascii="宋体" w:hAnsi="宋体" w:cs="宋体"/>
                <w:sz w:val="20"/>
                <w:szCs w:val="20"/>
              </w:rPr>
              <w:t xml:space="preserve">职工个人单据中心,完整归集本人历史所有报销单据,按草稿、待审批、审批驳回、审批通过、财务审核中、已付款六大状态分类展示;点开单据可查看审批流转节点、各审批人审批意见、驳回修改备注、付款进度,支持驳回单据一键调取原单据修改重提,历史单据永久存档,随时查询归档。</w:t>
            </w:r>
            <w:r/>
          </w:p>
          <w:p>
            <w:pPr>
              <w:pStyle w:val="651"/>
              <w:jc w:val="left"/>
              <w:widowControl/>
              <w:rPr>
                <w:rFonts w:hint="eastAsia" w:ascii="宋体" w:hAnsi="宋体" w:cs="宋体"/>
                <w:sz w:val="20"/>
                <w:szCs w:val="20"/>
              </w:rPr>
            </w:pPr>
            <w:r>
              <w:rPr>
                <w:rFonts w:hint="eastAsia" w:ascii="宋体" w:hAnsi="宋体" w:cs="宋体"/>
                <w:sz w:val="20"/>
                <w:szCs w:val="20"/>
              </w:rPr>
              <w:t xml:space="preserve">5.单据管理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财务人员专用单据处理模块,支持批量筛选、分页查看全院待审报销单,单张或批量完成审核通过、驳回退回操作;审核无误单据可一键生成对应付款申请单,自动同步至资金管理系统进行付款排期;系统标记异常单据台账,便于财务月末汇总费用问题、优化报销管理制度。</w:t>
            </w:r>
            <w:r/>
          </w:p>
          <w:p>
            <w:pPr>
              <w:pStyle w:val="651"/>
              <w:jc w:val="left"/>
              <w:widowControl/>
              <w:rPr>
                <w:rFonts w:hint="eastAsia" w:ascii="宋体" w:hAnsi="宋体" w:cs="宋体"/>
                <w:sz w:val="20"/>
                <w:szCs w:val="20"/>
              </w:rPr>
            </w:pPr>
            <w:r>
              <w:rPr>
                <w:rFonts w:hint="eastAsia" w:ascii="宋体" w:hAnsi="宋体" w:cs="宋体"/>
                <w:sz w:val="20"/>
                <w:szCs w:val="20"/>
              </w:rPr>
              <w:t xml:space="preserve">▲报销管理——支持单据拆单规则定义，如按照资金来源拆单法、经济支出分类拆单法、项目拆单、部门拆单等。</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6.发票库管理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支持对发票库的管理，支持发票查重验真。支持通过发票发起报销单。</w:t>
            </w:r>
            <w:r/>
          </w:p>
          <w:p>
            <w:pPr>
              <w:pStyle w:val="651"/>
              <w:jc w:val="left"/>
              <w:widowControl/>
              <w:rPr>
                <w:rFonts w:hint="eastAsia" w:ascii="宋体" w:hAnsi="宋体" w:cs="宋体"/>
                <w:sz w:val="20"/>
                <w:szCs w:val="20"/>
              </w:rPr>
            </w:pPr>
            <w:r>
              <w:rPr>
                <w:rFonts w:hint="eastAsia" w:ascii="宋体" w:hAnsi="宋体" w:cs="宋体"/>
                <w:sz w:val="20"/>
                <w:szCs w:val="20"/>
              </w:rPr>
              <w:t xml:space="preserve">▲利用OCR自动识别技术，自动识别上传的纸质及电子票据，并进行验真、验重；并实现票据去向追溯、票据智能判断消费类型。</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7.业务审批</w:t>
            </w:r>
            <w:r/>
          </w:p>
          <w:p>
            <w:pPr>
              <w:pStyle w:val="651"/>
              <w:jc w:val="left"/>
              <w:widowControl/>
              <w:rPr>
                <w:rFonts w:hint="eastAsia" w:ascii="宋体" w:hAnsi="宋体" w:cs="宋体"/>
                <w:sz w:val="20"/>
                <w:szCs w:val="20"/>
              </w:rPr>
            </w:pPr>
            <w:r>
              <w:rPr>
                <w:rFonts w:hint="eastAsia" w:ascii="宋体" w:hAnsi="宋体" w:cs="宋体"/>
                <w:sz w:val="20"/>
                <w:szCs w:val="20"/>
              </w:rPr>
              <w:t xml:space="preserve">提供单据流程化审核功能，针对申请、借款、报销等业务支持工作流配置，能够按业务流程完成业务审批。并可根据不同岗位设置审批、审核权限。</w:t>
            </w:r>
            <w:r/>
          </w:p>
          <w:p>
            <w:pPr>
              <w:pStyle w:val="651"/>
              <w:jc w:val="left"/>
              <w:widowControl/>
              <w:rPr>
                <w:rFonts w:hint="eastAsia" w:ascii="宋体" w:hAnsi="宋体" w:cs="宋体"/>
                <w:sz w:val="20"/>
                <w:szCs w:val="20"/>
              </w:rPr>
            </w:pPr>
            <w:r>
              <w:rPr>
                <w:rFonts w:hint="eastAsia" w:ascii="宋体" w:hAnsi="宋体" w:cs="宋体"/>
                <w:sz w:val="20"/>
                <w:szCs w:val="20"/>
              </w:rPr>
              <w:t xml:space="preserve">业务审批支持消息提醒，让审批人员及时完成单据审批。</w:t>
            </w:r>
            <w:r/>
          </w:p>
          <w:p>
            <w:pPr>
              <w:pStyle w:val="651"/>
              <w:jc w:val="left"/>
              <w:widowControl/>
              <w:rPr>
                <w:rFonts w:hint="eastAsia" w:ascii="宋体" w:hAnsi="宋体" w:cs="宋体"/>
                <w:sz w:val="20"/>
                <w:szCs w:val="20"/>
              </w:rPr>
            </w:pPr>
            <w:r>
              <w:rPr>
                <w:rFonts w:hint="eastAsia" w:ascii="宋体" w:hAnsi="宋体" w:cs="宋体"/>
                <w:sz w:val="20"/>
                <w:szCs w:val="20"/>
              </w:rPr>
              <w:t xml:space="preserve">8.报表管理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自动生成多维度报销统计报表,包含全院月度费用汇总报表、各科室费用支出明细、费用科目构成分析、差旅专项支出统计、报销驳回率统计;报表支持自定义统计周期、筛选院区与科室,可导出Excel用于财务分析、科室成本归集、院级经营数据分析。</w:t>
            </w:r>
            <w:r/>
          </w:p>
          <w:p>
            <w:pPr>
              <w:pStyle w:val="651"/>
              <w:jc w:val="left"/>
              <w:widowControl/>
              <w:rPr>
                <w:rFonts w:hint="eastAsia" w:ascii="宋体" w:hAnsi="宋体" w:cs="宋体"/>
                <w:sz w:val="20"/>
                <w:szCs w:val="20"/>
              </w:rPr>
            </w:pPr>
            <w:r>
              <w:rPr>
                <w:rFonts w:hint="eastAsia" w:ascii="宋体" w:hAnsi="宋体" w:cs="宋体"/>
                <w:sz w:val="20"/>
                <w:szCs w:val="20"/>
              </w:rPr>
              <w:t xml:space="preserve">9.报销移动端</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支持报销业务全流程的移动申请、移动报销、移动审批、智能提醒等。</w:t>
            </w:r>
            <w:r/>
          </w:p>
          <w:p>
            <w:pPr>
              <w:pStyle w:val="651"/>
              <w:jc w:val="left"/>
              <w:widowControl/>
              <w:rPr>
                <w:rFonts w:hint="eastAsia" w:ascii="宋体" w:hAnsi="宋体" w:cs="宋体"/>
                <w:sz w:val="20"/>
                <w:szCs w:val="20"/>
              </w:rPr>
            </w:pPr>
            <w:r>
              <w:rPr>
                <w:rFonts w:hint="eastAsia" w:ascii="宋体" w:hAnsi="宋体" w:cs="宋体"/>
                <w:sz w:val="20"/>
                <w:szCs w:val="20"/>
              </w:rPr>
              <w:t xml:space="preserve">10.财务处理</w:t>
            </w:r>
            <w:r/>
          </w:p>
          <w:p>
            <w:pPr>
              <w:pStyle w:val="651"/>
              <w:jc w:val="left"/>
              <w:widowControl/>
              <w:rPr>
                <w:rFonts w:hint="eastAsia" w:ascii="宋体" w:hAnsi="宋体" w:cs="宋体"/>
                <w:sz w:val="20"/>
                <w:szCs w:val="20"/>
              </w:rPr>
            </w:pPr>
            <w:r>
              <w:rPr>
                <w:rFonts w:hint="eastAsia" w:ascii="宋体" w:hAnsi="宋体" w:cs="宋体"/>
                <w:sz w:val="20"/>
                <w:szCs w:val="20"/>
              </w:rPr>
              <w:t xml:space="preserve">报销业务与财务账务一体化处理，自动生成相关的财务凭证，形成财务的闭环处理。</w:t>
            </w:r>
            <w:r/>
          </w:p>
          <w:p>
            <w:pPr>
              <w:pStyle w:val="651"/>
              <w:jc w:val="left"/>
              <w:widowControl/>
              <w:rPr>
                <w:rFonts w:hint="eastAsia" w:ascii="宋体" w:hAnsi="宋体" w:cs="宋体"/>
                <w:sz w:val="20"/>
                <w:szCs w:val="20"/>
              </w:rPr>
            </w:pPr>
            <w:r>
              <w:rPr>
                <w:rFonts w:hint="eastAsia" w:ascii="宋体" w:hAnsi="宋体" w:cs="宋体"/>
                <w:sz w:val="20"/>
                <w:szCs w:val="20"/>
              </w:rPr>
              <w:t xml:space="preserve">11.可拓展性与互联互通</w:t>
            </w:r>
            <w:r/>
          </w:p>
          <w:p>
            <w:pPr>
              <w:pStyle w:val="651"/>
              <w:jc w:val="left"/>
              <w:widowControl/>
              <w:rPr>
                <w:rFonts w:hint="eastAsia" w:ascii="宋体" w:hAnsi="宋体" w:cs="宋体"/>
                <w:sz w:val="20"/>
                <w:szCs w:val="20"/>
              </w:rPr>
            </w:pPr>
            <w:r>
              <w:rPr>
                <w:rFonts w:hint="eastAsia" w:ascii="宋体" w:hAnsi="宋体" w:cs="宋体"/>
                <w:sz w:val="20"/>
                <w:szCs w:val="20"/>
              </w:rPr>
              <w:t xml:space="preserve">平台化系统应用，拥有良好的扩展空间，能够灵活拓展医院各种业务功能模块，满足医院报销业务未来发展的需求，且可以与全面预算管理系统、财务系统、OA系统互联互通。</w:t>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Cs w:val="21"/>
              </w:rPr>
            </w:pPr>
            <w:r>
              <w:rPr>
                <w:rFonts w:ascii="宋体" w:hAnsi="宋体" w:cs="宋体"/>
                <w:szCs w:val="21"/>
              </w:rPr>
              <w:t xml:space="preserve">科室成本管理系统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1.成本档案管理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成本档案是成本核算前提下进行的基础档案数据的转换及衔接设置,用于满足从总账取数时的数据对应关系;同时用于项目成本核算业务数据明细项的转换关系配置。例如：设置成本项目、工资项目与人员类别的对应关系,维护成本项目与物资分类的对应关系,设置总账模式下成本项目与科目的对应关系等内容。</w:t>
            </w:r>
            <w:r/>
          </w:p>
          <w:p>
            <w:pPr>
              <w:pStyle w:val="651"/>
              <w:jc w:val="left"/>
              <w:widowControl/>
              <w:rPr>
                <w:rFonts w:hint="eastAsia" w:ascii="宋体" w:hAnsi="宋体" w:cs="宋体"/>
                <w:sz w:val="20"/>
                <w:szCs w:val="20"/>
              </w:rPr>
            </w:pPr>
            <w:r>
              <w:rPr>
                <w:rFonts w:hint="eastAsia" w:ascii="宋体" w:hAnsi="宋体" w:cs="宋体"/>
                <w:sz w:val="20"/>
                <w:szCs w:val="20"/>
              </w:rPr>
              <w:t xml:space="preserve">2.基础信息管理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医院基础信息是医院进行成本核算的基础,核算的前提都是以此开展的,所以基础信息的设置至关重要。主要包括：建立核算科室字典、设置人员经费、卫生材料费、药品费、固定资产折旧费、无形资产摊销费、提取医疗风险基金、管理费用、其他费用等成本分类、反映成本的构成情况的成本项目、设置分摊参数、收入分类、收入项目等。</w:t>
            </w:r>
            <w:r/>
          </w:p>
          <w:p>
            <w:pPr>
              <w:pStyle w:val="651"/>
              <w:jc w:val="left"/>
              <w:widowControl/>
              <w:rPr>
                <w:rFonts w:hint="eastAsia" w:ascii="宋体" w:hAnsi="宋体" w:cs="宋体"/>
                <w:sz w:val="20"/>
                <w:szCs w:val="20"/>
              </w:rPr>
            </w:pPr>
            <w:r>
              <w:rPr>
                <w:rFonts w:hint="eastAsia" w:ascii="宋体" w:hAnsi="宋体" w:cs="宋体"/>
                <w:sz w:val="20"/>
                <w:szCs w:val="20"/>
              </w:rPr>
              <w:t xml:space="preserve">3.数据采集管理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成本核算需要采集多维度数据,涉及多个系统。如何将这些原始数据进行及时有效并准确地采集,是医院开展成本核算工作的难点。通过成熟可靠的接口技术,实现医院HIS系统、财务核算系统、物流系统、人事管理系统等数据对接,自动提取成本核算所需收支数据。也可以采用模板导入形式,将对数据的完整性和业务逻辑关联进行自动校验。</w:t>
            </w:r>
            <w:r/>
          </w:p>
          <w:p>
            <w:pPr>
              <w:pStyle w:val="651"/>
              <w:jc w:val="left"/>
              <w:widowControl/>
              <w:rPr>
                <w:rFonts w:hint="eastAsia" w:ascii="宋体" w:hAnsi="宋体" w:cs="宋体"/>
                <w:sz w:val="20"/>
                <w:szCs w:val="20"/>
              </w:rPr>
            </w:pPr>
            <w:r>
              <w:rPr>
                <w:rFonts w:hint="eastAsia" w:ascii="宋体" w:hAnsi="宋体" w:cs="宋体"/>
                <w:sz w:val="20"/>
                <w:szCs w:val="20"/>
              </w:rPr>
              <w:t xml:space="preserve">4.分摊体系构建</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科室的定向和非定向分摊,灵活、合理分摊成本数据,能够满足成本核算中"受益原则""配比原则"、"权责发生制原则"等会计核算原则的实际应用;遵循标准成本核算方法,依次将行政后勤科室、医疗辅助科室、医疗技术科室按照科学合理的方法进行分摊,核算分摊方法可灵活设置科学、合理的参数,便于不同成本项目采取不同的归集分摊方法。</w:t>
            </w:r>
            <w:r/>
          </w:p>
          <w:p>
            <w:pPr>
              <w:pStyle w:val="651"/>
              <w:jc w:val="left"/>
              <w:widowControl/>
              <w:rPr>
                <w:rFonts w:hint="eastAsia" w:ascii="宋体" w:hAnsi="宋体" w:cs="宋体"/>
                <w:sz w:val="20"/>
                <w:szCs w:val="20"/>
              </w:rPr>
            </w:pPr>
            <w:r>
              <w:rPr>
                <w:rFonts w:hint="eastAsia" w:ascii="宋体" w:hAnsi="宋体" w:cs="宋体"/>
                <w:sz w:val="20"/>
                <w:szCs w:val="20"/>
              </w:rPr>
              <w:t xml:space="preserve">5.报表分析管理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能够满足医院目前“收入分析”、“成本分析”、“效益分析”分析内容；</w:t>
            </w:r>
            <w:r/>
          </w:p>
          <w:p>
            <w:pPr>
              <w:pStyle w:val="651"/>
              <w:jc w:val="left"/>
              <w:widowControl/>
              <w:rPr>
                <w:rFonts w:hint="eastAsia" w:ascii="宋体" w:hAnsi="宋体" w:cs="宋体"/>
                <w:sz w:val="20"/>
                <w:szCs w:val="20"/>
              </w:rPr>
            </w:pPr>
            <w:r>
              <w:rPr>
                <w:rFonts w:hint="eastAsia" w:ascii="宋体" w:hAnsi="宋体" w:cs="宋体"/>
                <w:sz w:val="20"/>
                <w:szCs w:val="20"/>
              </w:rPr>
              <w:t xml:space="preserve">能分析到每一级核算单元在分摊过程中的直接成本与间接成本数据；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能够反映（门诊、住院各科室）成本的构成情况，并按成本项目明细列示，揭示各项目对各科室医疗成本的影响程度以及控制成本的目标，指导科室及诊疗组、护理组解决成本中的问题；</w:t>
            </w:r>
            <w:r/>
          </w:p>
          <w:p>
            <w:pPr>
              <w:pStyle w:val="651"/>
              <w:jc w:val="left"/>
              <w:widowControl/>
              <w:rPr>
                <w:rFonts w:hint="eastAsia" w:ascii="宋体" w:hAnsi="宋体" w:cs="宋体"/>
                <w:sz w:val="20"/>
                <w:szCs w:val="20"/>
              </w:rPr>
            </w:pPr>
            <w:r>
              <w:rPr>
                <w:rFonts w:hint="eastAsia" w:ascii="宋体" w:hAnsi="宋体" w:cs="宋体"/>
                <w:sz w:val="20"/>
                <w:szCs w:val="20"/>
              </w:rPr>
              <w:t xml:space="preserve">分析能够从不同属性、不同角度为成本控制、应用提供实际成本的成本额和成本率：如固定成本/变动成本、直接成本/间接成本、人力成本/材料成本/药品成本/其他成本；</w:t>
            </w:r>
            <w:r/>
          </w:p>
          <w:p>
            <w:pPr>
              <w:pStyle w:val="651"/>
              <w:jc w:val="left"/>
              <w:widowControl/>
              <w:rPr>
                <w:rFonts w:hint="eastAsia" w:ascii="宋体" w:hAnsi="宋体" w:cs="宋体"/>
                <w:sz w:val="20"/>
                <w:szCs w:val="20"/>
              </w:rPr>
            </w:pPr>
            <w:r>
              <w:rPr>
                <w:rFonts w:hint="eastAsia" w:ascii="宋体" w:hAnsi="宋体" w:cs="宋体"/>
                <w:sz w:val="20"/>
                <w:szCs w:val="20"/>
              </w:rPr>
              <w:t xml:space="preserve">实现床日成本及诊次成本的核算；</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支持本量利报表分析查询。</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系统必须具备灵活的自定义报表功能，满足医院未来扩展报表的要求。</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支持科室成本核算国家制度报表数据分析与查询并导出Excel。</w:t>
            </w:r>
            <w:r/>
          </w:p>
          <w:p>
            <w:pPr>
              <w:pStyle w:val="651"/>
              <w:jc w:val="left"/>
              <w:widowControl/>
              <w:rPr>
                <w:rFonts w:hint="eastAsia" w:ascii="宋体" w:hAnsi="宋体" w:cs="宋体"/>
                <w:sz w:val="20"/>
                <w:szCs w:val="20"/>
              </w:rPr>
            </w:pPr>
            <w:r>
              <w:rPr>
                <w:rFonts w:hint="eastAsia" w:ascii="宋体" w:hAnsi="宋体" w:cs="宋体"/>
                <w:sz w:val="20"/>
                <w:szCs w:val="20"/>
              </w:rPr>
              <w:t xml:space="preserve">6.基础数据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参数设置：灵活设置各类成本分摊参数。</w:t>
            </w:r>
            <w:r/>
          </w:p>
          <w:p>
            <w:pPr>
              <w:pStyle w:val="651"/>
              <w:jc w:val="left"/>
              <w:widowControl/>
              <w:rPr>
                <w:rFonts w:hint="eastAsia" w:ascii="宋体" w:hAnsi="宋体" w:cs="宋体"/>
                <w:sz w:val="20"/>
                <w:szCs w:val="20"/>
              </w:rPr>
            </w:pPr>
            <w:r>
              <w:rPr>
                <w:rFonts w:hint="eastAsia" w:ascii="宋体" w:hAnsi="宋体" w:cs="宋体"/>
                <w:sz w:val="20"/>
                <w:szCs w:val="20"/>
              </w:rPr>
              <w:t xml:space="preserve">基础信息：支持对收费项目、收费类别、收入项目、成本分类、成本项目、费用类别、资产卡片、资产字典、资产类别等基础信息的维护与更新采集。“费用要素”可与成本项目关联匹配。满足医院以不同的维度对成本项目数据进行汇总统计。</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支持系统预置常用标准分摊参数。</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▲支持人事处统计的人员排班和考勤情况，计算医生在各院区、门诊、病房的工作时间，按照工作时间比例将医生的人员经费进行合理分配。</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7.关系设置</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设置会计科目关系、工资项目关系、物资分类关系、药品分类关系、资产分类关系、职称与专业技术关系、资金来源与资金构成关系。实现业务明细数据按照业务分类与财务口径分类进行数据的转换、汇总与归集。</w:t>
            </w:r>
            <w:r/>
          </w:p>
          <w:p>
            <w:pPr>
              <w:pStyle w:val="651"/>
              <w:jc w:val="left"/>
              <w:widowControl/>
              <w:rPr>
                <w:rFonts w:hint="eastAsia" w:ascii="宋体" w:hAnsi="宋体" w:cs="宋体"/>
                <w:sz w:val="20"/>
                <w:szCs w:val="20"/>
              </w:rPr>
            </w:pPr>
            <w:r>
              <w:rPr>
                <w:rFonts w:hint="eastAsia" w:ascii="宋体" w:hAnsi="宋体" w:cs="宋体"/>
                <w:sz w:val="20"/>
                <w:szCs w:val="20"/>
              </w:rPr>
              <w:t xml:space="preserve">8.收入数据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分别以收费项目、收费类别两个维度对医疗收入数据和其他收入的数据进行维护，包括增加、修改、删除、归集、查询等各种功能，并提供收入数据的统计汇总；支持医疗收入数据分别按照收费明细、收费分类分别采集并汇总并与总账收入进行核对校验。</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支持对医疗收入数据拆分与反拆分，满足医院多种实际的业务需求。</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支持对HIS工作量数据采集：门诊工作量、住院工作量、医技工作量、内部服务工作量进行维护，包括增加、修改、删除、查询等。</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支持能够从HIS、财务核算系统自动采集获取医院的医疗收入数据、财政科教收入数据、其他收入数据；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9.成本数据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支持能够自动从财务核算系统、HRP相关业务系统、HIS系统以最小的颗粒度按照会计期间分别自动采集人力成本、物资成本、药品成本、资产成本、风险基金、其他成本的相关业务明细数据；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支持业务明细数据、成本归集后按照拆分规则进行批量拆分、反拆分；满足医院共享护理单元业务数据无法明确的最小核算单元等业务场景。</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支持科室直接成本直接计入或计算计入</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对应医院内“水、电、煤”等大用户科室费用的分摊，应遵循重要性原则，能够直接计量到相应的核算责任中心的，按照实际发生数，据实核算成本；无法单独计量的，以人员、面积或床位比例作为参数向全院分摊；</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支持【总账驱动成本】，【业务驱动成本】两种模式；同时也支持【成本驱动总账】模式，符合管理需求的业务明细数据可以直接会计科目规则生成总账凭证。</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支持收入、成本明细数据质控，实现与总账数据来源校验。</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支持成本七大类按照业务与财务统计口径，以成本核算单元、成本项目、资金来源三个维度进行对业务数据的汇总与归集。</w:t>
            </w:r>
            <w:r/>
          </w:p>
          <w:p>
            <w:pPr>
              <w:pStyle w:val="651"/>
              <w:jc w:val="left"/>
              <w:widowControl/>
              <w:rPr>
                <w:rFonts w:hint="eastAsia" w:ascii="宋体" w:hAnsi="宋体" w:cs="宋体"/>
                <w:sz w:val="20"/>
                <w:szCs w:val="20"/>
              </w:rPr>
            </w:pPr>
            <w:r>
              <w:rPr>
                <w:rFonts w:hint="eastAsia" w:ascii="宋体" w:hAnsi="宋体" w:cs="宋体"/>
                <w:sz w:val="20"/>
                <w:szCs w:val="20"/>
              </w:rPr>
              <w:t xml:space="preserve">10.分摊设置</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支持标准四类科室分摊模型自由化灵活化配置，满足医院对科室不同级次多级分摊管理要求。</w:t>
            </w:r>
            <w:r/>
          </w:p>
          <w:p>
            <w:pPr>
              <w:pStyle w:val="651"/>
              <w:jc w:val="left"/>
              <w:widowControl/>
              <w:rPr>
                <w:rFonts w:hint="eastAsia" w:ascii="宋体" w:hAnsi="宋体" w:cs="宋体"/>
                <w:sz w:val="20"/>
                <w:szCs w:val="20"/>
              </w:rPr>
            </w:pPr>
            <w:r>
              <w:rPr>
                <w:rFonts w:hint="eastAsia" w:ascii="宋体" w:hAnsi="宋体" w:cs="宋体"/>
                <w:sz w:val="20"/>
                <w:szCs w:val="20"/>
              </w:rPr>
              <w:t xml:space="preserve">可按照科室分类定义分摊顺序，也可按照单独或指定的核算单元提取数据源并分摊到指定的科室或科室类别上。</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科室成本分摊方法的快速批量设置。实现行政后勤、医疗辅助、医疗技术、临床科室四类科室不同的分摊方法设置。支持核算分摊方法灵活设置科学、合理的参数，便于不同成本项目采取不同的归集分摊方法，诸如：按面积分摊、按人员分摊、按服务量分摊等。</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▲支持某一科室不同成本项目采用不同参数进行分摊；支持某一科室所有成本项目按照同一个参数进行分摊；支持同一成本项目在不同级次上采用不同参数进行分摊。</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支持医辅类科室特殊业务科室分摊。实现门诊收费处、住院收费处等医辅科室只给临床科室的分摊的业务场景。</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支持跨院区、多院区（全院分摊、院内分摊）成本分摊。</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支持对非临床科室的开单收入按自定义的参数分摊到临床科室。</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支持采用四类三级分摊方法，将医院科室分为行政管理类、医疗辅助医疗类、医疗技术类、临床服务类，并通过对各级分摊的方法设定，分别将全院的各项成本分项逐级分步骤地分摊到直接医疗科室。</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支持同级科室或向下级科室定向分摊；</w:t>
            </w:r>
            <w:r/>
          </w:p>
          <w:p>
            <w:pPr>
              <w:pStyle w:val="651"/>
              <w:jc w:val="left"/>
              <w:widowControl/>
              <w:rPr>
                <w:rFonts w:hint="eastAsia" w:ascii="宋体" w:hAnsi="宋体" w:cs="宋体"/>
                <w:sz w:val="20"/>
                <w:szCs w:val="20"/>
              </w:rPr>
            </w:pPr>
            <w:r>
              <w:rPr>
                <w:rFonts w:hint="eastAsia" w:ascii="宋体" w:hAnsi="宋体" w:cs="宋体"/>
                <w:sz w:val="20"/>
                <w:szCs w:val="20"/>
              </w:rPr>
              <w:t xml:space="preserve">11.成本计算</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系统支持对成本数据分摊前检查校验与分摊后结果校验，保证成本数据都可以全部分摊至临床科室。对分摊后的数据进行逻辑性检查，系统自动校验判断分摊结果是否平衡。</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支持全成本归集和分摊后，确保财务数据和成本数据的一致性。支持成本核算系统的导出功能，包括基础数据、成本核算明细数据、各类报表，均可导出至EXCEL。</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▲支持成本项目能够归集、分摊核算到最小核算单元和最末级的明细项目上，并且能够查询分摊项目明细数据。能够进行成本分摊数据的正向、逆向追踪明细，确保成本分摊过程的可追溯性。</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支持科室成本数据月结、反月结操作、查询功能。</w:t>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Cs w:val="21"/>
              </w:rPr>
            </w:pPr>
            <w:r>
              <w:rPr>
                <w:rFonts w:ascii="宋体" w:hAnsi="宋体" w:cs="宋体"/>
                <w:szCs w:val="21"/>
              </w:rPr>
              <w:t xml:space="preserve">项目成本管理系统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1.基础档案</w:t>
            </w:r>
            <w:r/>
          </w:p>
          <w:p>
            <w:pPr>
              <w:pStyle w:val="651"/>
              <w:jc w:val="left"/>
              <w:widowControl/>
              <w:rPr>
                <w:rFonts w:hint="eastAsia" w:ascii="宋体" w:hAnsi="宋体" w:cs="宋体"/>
                <w:sz w:val="20"/>
                <w:szCs w:val="20"/>
              </w:rPr>
            </w:pPr>
            <w:r>
              <w:rPr>
                <w:rFonts w:hint="eastAsia" w:ascii="宋体" w:hAnsi="宋体" w:cs="宋体"/>
                <w:sz w:val="20"/>
                <w:szCs w:val="20"/>
              </w:rPr>
              <w:t xml:space="preserve">建立科室与本科执行医疗项目所对应作业匹配关系,同时包含基础数据管理,主要包括成本核算所需要的收入数据及成本数据。收入数据来源于HIS收入,依据科室核算关系进行明细的采集;成本数据包括人力成本、物资成本、资产成本、其他成本的按原始业务形态的管理,同时可根据原始业务数据与财务数据的对应关系,生成汇总成本。</w:t>
            </w:r>
            <w:r/>
          </w:p>
          <w:p>
            <w:pPr>
              <w:pStyle w:val="651"/>
              <w:jc w:val="left"/>
              <w:widowControl/>
              <w:rPr>
                <w:rFonts w:hint="eastAsia" w:ascii="宋体" w:hAnsi="宋体" w:cs="宋体"/>
                <w:sz w:val="20"/>
                <w:szCs w:val="20"/>
              </w:rPr>
            </w:pPr>
            <w:r>
              <w:rPr>
                <w:rFonts w:hint="eastAsia" w:ascii="宋体" w:hAnsi="宋体" w:cs="宋体"/>
                <w:sz w:val="20"/>
                <w:szCs w:val="20"/>
              </w:rPr>
              <w:t xml:space="preserve">2.业务数据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支持按照收入数据的开单科室、执行科室、收费类别等项目进行采集、查询、统计和汇总。</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▲支持对收入数据中医疗服务项目不合理地执行科室的数据的纠错与调整，优化了收入数据中的错误信息的数据质量，更加符合医院业务的实际情况。</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支持成本一体化业务明细数据按照自定义核算期间数据采集，保障了数据的同源性。</w:t>
            </w:r>
            <w:r/>
          </w:p>
          <w:p>
            <w:pPr>
              <w:pStyle w:val="651"/>
              <w:jc w:val="left"/>
              <w:widowControl/>
              <w:rPr>
                <w:rFonts w:hint="eastAsia" w:ascii="宋体" w:hAnsi="宋体" w:cs="宋体"/>
                <w:sz w:val="20"/>
                <w:szCs w:val="20"/>
              </w:rPr>
            </w:pPr>
            <w:r>
              <w:rPr>
                <w:rFonts w:hint="eastAsia" w:ascii="宋体" w:hAnsi="宋体" w:cs="宋体"/>
                <w:sz w:val="20"/>
                <w:szCs w:val="20"/>
              </w:rPr>
              <w:t xml:space="preserve">3.核算模型与核算方案</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系统支持医疗服务项目直接模型批量快速复制功能，有效提升模型配置效率。支持对医疗项目的资源匹配情况的跟踪状态查询。支持对医疗服务项目填报模型的状态变更。</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▲系统支持根据医院实际业务调研结果，自动记录数据调整规则与来源、结果，有助于业务数据的追溯。对新发生的收入数据，可以方便快速对其进行数据校准，降低人力调研成本。</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系统支持收入数据执行科室手工调整、规则调整。满足各种不同业务需求场景。</w:t>
            </w:r>
            <w:r/>
          </w:p>
          <w:p>
            <w:pPr>
              <w:pStyle w:val="651"/>
              <w:jc w:val="left"/>
              <w:widowControl/>
              <w:rPr>
                <w:rFonts w:hint="eastAsia" w:ascii="宋体" w:hAnsi="宋体" w:cs="宋体"/>
                <w:sz w:val="20"/>
                <w:szCs w:val="20"/>
              </w:rPr>
            </w:pPr>
            <w:r>
              <w:rPr>
                <w:rFonts w:hint="eastAsia" w:ascii="宋体" w:hAnsi="宋体" w:cs="宋体"/>
                <w:sz w:val="20"/>
                <w:szCs w:val="20"/>
              </w:rPr>
              <w:t xml:space="preserve">比例系数法提供支持成本项目按照多种自定义分摊比例组合进行核算医疗服务项目成本。</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支持系统多维度不同的核算需求，比例系数法（直接模型）支持与作业成本法（直接模型）数据资源共享。</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系统支持核算模型对所核算的医疗服务项目从多视角、多维度进行快速资源配置，避免资源配置缺失遗漏，从而保证直接模型的配置的准确性。</w:t>
            </w:r>
            <w:r/>
          </w:p>
          <w:p>
            <w:pPr>
              <w:pStyle w:val="651"/>
              <w:jc w:val="left"/>
              <w:widowControl/>
              <w:rPr>
                <w:rFonts w:hint="eastAsia" w:ascii="宋体" w:hAnsi="宋体" w:cs="宋体"/>
                <w:sz w:val="20"/>
                <w:szCs w:val="20"/>
              </w:rPr>
            </w:pPr>
            <w:r>
              <w:rPr>
                <w:rFonts w:hint="eastAsia" w:ascii="宋体" w:hAnsi="宋体" w:cs="宋体"/>
                <w:sz w:val="20"/>
                <w:szCs w:val="20"/>
              </w:rPr>
              <w:t xml:space="preserve">不仅支持医疗服务项目至资源的模型的建立，也支持逆向操作（资源至医疗服务项目）的模型建立。</w:t>
            </w:r>
            <w:r/>
          </w:p>
          <w:p>
            <w:pPr>
              <w:pStyle w:val="651"/>
              <w:jc w:val="left"/>
              <w:widowControl/>
              <w:rPr>
                <w:rFonts w:hint="eastAsia" w:ascii="宋体" w:hAnsi="宋体" w:cs="宋体"/>
                <w:sz w:val="20"/>
                <w:szCs w:val="20"/>
              </w:rPr>
            </w:pPr>
            <w:r>
              <w:rPr>
                <w:rFonts w:hint="eastAsia" w:ascii="宋体" w:hAnsi="宋体" w:cs="宋体"/>
                <w:sz w:val="20"/>
                <w:szCs w:val="20"/>
              </w:rPr>
              <w:t xml:space="preserve">4.成本计算</w:t>
            </w:r>
            <w:r/>
          </w:p>
          <w:p>
            <w:pPr>
              <w:pStyle w:val="651"/>
              <w:jc w:val="left"/>
              <w:widowControl/>
              <w:rPr>
                <w:rFonts w:hint="eastAsia" w:ascii="宋体" w:hAnsi="宋体" w:cs="宋体"/>
                <w:sz w:val="20"/>
                <w:szCs w:val="20"/>
              </w:rPr>
            </w:pPr>
            <w:r>
              <w:rPr>
                <w:rFonts w:hint="eastAsia" w:ascii="宋体" w:hAnsi="宋体" w:cs="宋体"/>
                <w:sz w:val="20"/>
                <w:szCs w:val="20"/>
              </w:rPr>
              <w:t xml:space="preserve">根据选用的不同核算方法，支持对直接成本和间接成本分步骤进行计算，进而计算出医疗项目成本。</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支持对成本计算逻辑推演详细过程详细数据说明。</w:t>
            </w:r>
            <w:r/>
          </w:p>
          <w:p>
            <w:pPr>
              <w:pStyle w:val="651"/>
              <w:jc w:val="left"/>
              <w:widowControl/>
              <w:rPr>
                <w:rFonts w:hint="eastAsia" w:ascii="宋体" w:hAnsi="宋体" w:cs="宋体"/>
                <w:sz w:val="20"/>
                <w:szCs w:val="20"/>
              </w:rPr>
            </w:pPr>
            <w:r>
              <w:rPr>
                <w:rFonts w:hint="eastAsia" w:ascii="宋体" w:hAnsi="宋体" w:cs="宋体"/>
                <w:sz w:val="20"/>
                <w:szCs w:val="20"/>
              </w:rPr>
              <w:t xml:space="preserve">5.核算结果查询</w:t>
            </w:r>
            <w:r/>
          </w:p>
          <w:p>
            <w:pPr>
              <w:pStyle w:val="651"/>
              <w:jc w:val="left"/>
              <w:widowControl/>
              <w:rPr>
                <w:rFonts w:hint="eastAsia" w:ascii="宋体" w:hAnsi="宋体" w:cs="宋体"/>
                <w:sz w:val="20"/>
                <w:szCs w:val="20"/>
              </w:rPr>
            </w:pPr>
            <w:r>
              <w:rPr>
                <w:rFonts w:hint="eastAsia" w:ascii="宋体" w:hAnsi="宋体" w:cs="宋体"/>
                <w:sz w:val="20"/>
                <w:szCs w:val="20"/>
              </w:rPr>
              <w:t xml:space="preserve">核算结果查询主要用于查看作业成本法下的项目成本核算完成后的最终数据,可按需筛选范围与时段,既能看整体汇总情况,也能查阅每一笔明细,还可导出数据,便捷完成成本数据核对与查阅工作。</w:t>
            </w:r>
            <w:r/>
          </w:p>
          <w:p>
            <w:pPr>
              <w:pStyle w:val="651"/>
              <w:jc w:val="left"/>
              <w:widowControl/>
              <w:rPr>
                <w:rFonts w:hint="eastAsia" w:ascii="宋体" w:hAnsi="宋体" w:cs="宋体"/>
                <w:sz w:val="20"/>
                <w:szCs w:val="20"/>
              </w:rPr>
            </w:pPr>
            <w:r>
              <w:rPr>
                <w:rFonts w:hint="eastAsia" w:ascii="宋体" w:hAnsi="宋体" w:cs="宋体"/>
                <w:sz w:val="20"/>
                <w:szCs w:val="20"/>
              </w:rPr>
              <w:t xml:space="preserve">6.报表管理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提供收费大类明细表、项目成本明细表、项目成本差异表、项目成本保本分析表、项目成本构成明细表、科室项目成本差异表、科室项目成本保本分析表、科室项目成本构成分析表。</w:t>
            </w:r>
            <w:r/>
          </w:p>
          <w:p>
            <w:pPr>
              <w:pStyle w:val="651"/>
              <w:jc w:val="left"/>
              <w:widowControl/>
              <w:rPr>
                <w:rFonts w:hint="eastAsia" w:ascii="宋体" w:hAnsi="宋体" w:cs="宋体"/>
                <w:sz w:val="20"/>
                <w:szCs w:val="20"/>
              </w:rPr>
            </w:pPr>
            <w:r>
              <w:rPr>
                <w:rFonts w:hint="eastAsia" w:ascii="宋体" w:hAnsi="宋体" w:cs="宋体"/>
                <w:sz w:val="20"/>
                <w:szCs w:val="20"/>
              </w:rPr>
              <w:t xml:space="preserve">可根据医院要求进行自定义项目成本分析表。</w:t>
            </w:r>
            <w:r/>
          </w:p>
          <w:p>
            <w:pPr>
              <w:pStyle w:val="651"/>
              <w:jc w:val="left"/>
              <w:widowControl/>
              <w:rPr>
                <w:rFonts w:hint="eastAsia" w:ascii="宋体" w:hAnsi="宋体" w:cs="宋体"/>
                <w:sz w:val="20"/>
                <w:szCs w:val="20"/>
              </w:rPr>
            </w:pPr>
            <w:r>
              <w:rPr>
                <w:rFonts w:hint="eastAsia" w:ascii="宋体" w:hAnsi="宋体" w:cs="宋体"/>
                <w:sz w:val="20"/>
                <w:szCs w:val="20"/>
              </w:rPr>
              <w:t xml:space="preserve">所有报表均可支持导出EXCEL、PDF格式。</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支持医疗服务项目杜邦分析图数据分析。</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▲支持通过分析医疗服务项目收费价格与成本的关系，反映价格与成本的偏离度，为价格调整和补偿提供依据。</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支持分析医院所开展的医疗服务项目盈亏项目数量，以及有无保本点，旨在对项目开展情况及学科发展、成本控制重点提供依据</w:t>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Cs w:val="21"/>
              </w:rPr>
            </w:pPr>
            <w:r>
              <w:rPr>
                <w:rFonts w:ascii="宋体" w:hAnsi="宋体" w:cs="宋体"/>
                <w:szCs w:val="21"/>
              </w:rPr>
              <w:t xml:space="preserve">病种成本管理系统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1.基础档案</w:t>
            </w:r>
            <w:r/>
          </w:p>
          <w:p>
            <w:pPr>
              <w:pStyle w:val="651"/>
              <w:jc w:val="left"/>
              <w:widowControl/>
              <w:rPr>
                <w:rFonts w:hint="eastAsia" w:ascii="宋体" w:hAnsi="宋体" w:cs="宋体"/>
                <w:sz w:val="20"/>
                <w:szCs w:val="20"/>
              </w:rPr>
            </w:pPr>
            <w:r>
              <w:rPr>
                <w:rFonts w:hint="eastAsia" w:ascii="宋体" w:hAnsi="宋体" w:cs="宋体"/>
                <w:sz w:val="20"/>
                <w:szCs w:val="20"/>
              </w:rPr>
              <w:t xml:space="preserve">完善ICD疾病编码目录、病种分类档案、住院病案基础参数、病种对应收费项目清单、病种成本定额标准;按照国家医保病种分类规范维护档案,新增罕见病、新增诊疗病种及时补充建档,统一全院病种归集口径。</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支持多级次病种管理，支持多维度分型管理；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对病人的数据进行维护，具体包括：病人病案首页数据、病人病历收费明细数据，以及添加、修改、删除、查询等功能。</w:t>
            </w:r>
            <w:r/>
          </w:p>
          <w:p>
            <w:pPr>
              <w:pStyle w:val="651"/>
              <w:jc w:val="left"/>
              <w:widowControl/>
              <w:rPr>
                <w:rFonts w:hint="eastAsia" w:ascii="宋体" w:hAnsi="宋体" w:cs="宋体"/>
                <w:sz w:val="20"/>
                <w:szCs w:val="20"/>
              </w:rPr>
            </w:pPr>
            <w:r>
              <w:rPr>
                <w:rFonts w:hint="eastAsia" w:ascii="宋体" w:hAnsi="宋体" w:cs="宋体"/>
                <w:sz w:val="20"/>
                <w:szCs w:val="20"/>
              </w:rPr>
              <w:t xml:space="preserve">病案筛选：可按ICD编码、入院出院时间、收治科室、患者医保类型、手术与否等条件批量筛选同类病案,系统自动将同一病种多份病案数据合并汇总,剔除中途转科、出院未结算等异常病案,保证病种成本统计样本规范。</w:t>
            </w:r>
            <w:r/>
          </w:p>
          <w:p>
            <w:pPr>
              <w:pStyle w:val="651"/>
              <w:jc w:val="left"/>
              <w:widowControl/>
              <w:rPr>
                <w:rFonts w:hint="eastAsia" w:ascii="宋体" w:hAnsi="宋体" w:cs="宋体"/>
                <w:sz w:val="20"/>
                <w:szCs w:val="20"/>
              </w:rPr>
            </w:pPr>
            <w:r>
              <w:rPr>
                <w:rFonts w:hint="eastAsia" w:ascii="宋体" w:hAnsi="宋体" w:cs="宋体"/>
                <w:sz w:val="20"/>
                <w:szCs w:val="20"/>
              </w:rPr>
              <w:t xml:space="preserve">2.标准成本体系</w:t>
            </w:r>
            <w:r/>
          </w:p>
          <w:p>
            <w:pPr>
              <w:pStyle w:val="651"/>
              <w:jc w:val="left"/>
              <w:widowControl/>
              <w:rPr>
                <w:rFonts w:hint="eastAsia" w:ascii="宋体" w:hAnsi="宋体" w:cs="宋体"/>
                <w:sz w:val="20"/>
                <w:szCs w:val="20"/>
              </w:rPr>
            </w:pPr>
            <w:r>
              <w:rPr>
                <w:rFonts w:hint="eastAsia" w:ascii="宋体" w:hAnsi="宋体" w:cs="宋体"/>
                <w:sz w:val="20"/>
                <w:szCs w:val="20"/>
              </w:rPr>
              <w:t xml:space="preserve">依托医院历史多年病案成本数据,测算并录入各病种标准定额成本,拆分单病种标准耗材定额、标准工时、设备耗用标准,形成医院内部病种成本对标基准;后续实际病种成本可与定额标准对比,量化成本节约或超支幅度。</w:t>
            </w:r>
            <w:r/>
          </w:p>
          <w:p>
            <w:pPr>
              <w:pStyle w:val="651"/>
              <w:jc w:val="left"/>
              <w:widowControl/>
              <w:rPr>
                <w:rFonts w:hint="eastAsia" w:ascii="宋体" w:hAnsi="宋体" w:cs="宋体"/>
                <w:sz w:val="20"/>
                <w:szCs w:val="20"/>
              </w:rPr>
            </w:pPr>
            <w:r>
              <w:rPr>
                <w:rFonts w:hint="eastAsia" w:ascii="宋体" w:hAnsi="宋体" w:cs="宋体"/>
                <w:sz w:val="20"/>
                <w:szCs w:val="20"/>
              </w:rPr>
              <w:t xml:space="preserve">3.业务数据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对接HIS住院病案系统、费用系统、物资系统,按月批量抓取出院患者病案信息、疾病诊断编码、住院期间全部收费明细、耗材领用消耗、设备占用、医护人力耗费等全量业务数据,自动按病案号归集单患者全周期收支数据。</w:t>
            </w:r>
            <w:r/>
          </w:p>
          <w:p>
            <w:pPr>
              <w:pStyle w:val="651"/>
              <w:jc w:val="left"/>
              <w:widowControl/>
              <w:rPr>
                <w:rFonts w:hint="eastAsia" w:ascii="宋体" w:hAnsi="宋体" w:cs="宋体"/>
                <w:sz w:val="20"/>
                <w:szCs w:val="20"/>
              </w:rPr>
            </w:pPr>
            <w:r>
              <w:rPr>
                <w:rFonts w:hint="eastAsia" w:ascii="宋体" w:hAnsi="宋体" w:cs="宋体"/>
                <w:sz w:val="20"/>
                <w:szCs w:val="20"/>
              </w:rPr>
              <w:t xml:space="preserve">4.病案筛选</w:t>
            </w:r>
            <w:r/>
          </w:p>
          <w:p>
            <w:pPr>
              <w:pStyle w:val="651"/>
              <w:jc w:val="left"/>
              <w:widowControl/>
              <w:rPr>
                <w:rFonts w:hint="eastAsia" w:ascii="宋体" w:hAnsi="宋体" w:cs="宋体"/>
                <w:sz w:val="20"/>
                <w:szCs w:val="20"/>
              </w:rPr>
            </w:pPr>
            <w:r>
              <w:rPr>
                <w:rFonts w:hint="eastAsia" w:ascii="宋体" w:hAnsi="宋体" w:cs="宋体"/>
                <w:sz w:val="20"/>
                <w:szCs w:val="20"/>
              </w:rPr>
              <w:t xml:space="preserve">可按ICD编码、入院出院时间、收治科室、患者医保类型、手术与否等条件批量筛选同类病案,系统自动将同一病种多份病案数据合并汇总,剔除中途转科、出院未结算等异常病案,保证病种成本统计样本规范。</w:t>
            </w:r>
            <w:r/>
          </w:p>
          <w:p>
            <w:pPr>
              <w:pStyle w:val="651"/>
              <w:jc w:val="left"/>
              <w:widowControl/>
              <w:rPr>
                <w:rFonts w:hint="eastAsia" w:ascii="宋体" w:hAnsi="宋体" w:cs="宋体"/>
                <w:sz w:val="20"/>
                <w:szCs w:val="20"/>
              </w:rPr>
            </w:pPr>
            <w:r>
              <w:rPr>
                <w:rFonts w:hint="eastAsia" w:ascii="宋体" w:hAnsi="宋体" w:cs="宋体"/>
                <w:sz w:val="20"/>
                <w:szCs w:val="20"/>
              </w:rPr>
              <w:t xml:space="preserve">5.病种核算模型配置</w:t>
            </w:r>
            <w:r/>
          </w:p>
          <w:p>
            <w:pPr>
              <w:pStyle w:val="651"/>
              <w:jc w:val="left"/>
              <w:widowControl/>
              <w:rPr>
                <w:rFonts w:hint="eastAsia" w:ascii="宋体" w:hAnsi="宋体" w:cs="宋体"/>
                <w:sz w:val="20"/>
                <w:szCs w:val="20"/>
              </w:rPr>
            </w:pPr>
            <w:r>
              <w:rPr>
                <w:rFonts w:hint="eastAsia" w:ascii="宋体" w:hAnsi="宋体" w:cs="宋体"/>
                <w:sz w:val="20"/>
                <w:szCs w:val="20"/>
              </w:rPr>
              <w:t xml:space="preserve">采用项目叠加法进行病种成本核算，建立病种成本核算模型，包括数据模型和核算流程，平衡数据存储能力和流程运算效率，实现最优化结构。实现科室病种成本、院级病种成本、标准临床路径病种成本等内容。</w:t>
            </w:r>
            <w:r/>
          </w:p>
          <w:p>
            <w:pPr>
              <w:pStyle w:val="651"/>
              <w:jc w:val="left"/>
              <w:widowControl/>
              <w:rPr>
                <w:rFonts w:hint="eastAsia" w:ascii="宋体" w:hAnsi="宋体" w:cs="宋体"/>
                <w:sz w:val="20"/>
                <w:szCs w:val="20"/>
              </w:rPr>
            </w:pPr>
            <w:r>
              <w:rPr>
                <w:rFonts w:hint="eastAsia" w:ascii="宋体" w:hAnsi="宋体" w:cs="宋体"/>
                <w:sz w:val="20"/>
                <w:szCs w:val="20"/>
              </w:rPr>
              <w:t xml:space="preserve">6.项目成本归集</w:t>
            </w:r>
            <w:r/>
          </w:p>
          <w:p>
            <w:pPr>
              <w:pStyle w:val="651"/>
              <w:jc w:val="left"/>
              <w:widowControl/>
              <w:rPr>
                <w:rFonts w:hint="eastAsia" w:ascii="宋体" w:hAnsi="宋体" w:cs="宋体"/>
                <w:sz w:val="20"/>
                <w:szCs w:val="20"/>
              </w:rPr>
            </w:pPr>
            <w:r>
              <w:rPr>
                <w:rFonts w:hint="eastAsia" w:ascii="宋体" w:hAnsi="宋体" w:cs="宋体"/>
                <w:sz w:val="20"/>
                <w:szCs w:val="20"/>
              </w:rPr>
              <w:t xml:space="preserve">归集医院当期项目成本数据，对病历收费项目的成本进行维护，收费项目具体包括：材料类收费项目、药品类收费项目、医疗项目等。</w:t>
            </w:r>
            <w:r/>
          </w:p>
          <w:p>
            <w:pPr>
              <w:pStyle w:val="651"/>
              <w:jc w:val="left"/>
              <w:widowControl/>
              <w:rPr>
                <w:rFonts w:hint="eastAsia" w:ascii="宋体" w:hAnsi="宋体" w:cs="宋体"/>
                <w:sz w:val="20"/>
                <w:szCs w:val="20"/>
              </w:rPr>
            </w:pPr>
            <w:r>
              <w:rPr>
                <w:rFonts w:hint="eastAsia" w:ascii="宋体" w:hAnsi="宋体" w:cs="宋体"/>
                <w:sz w:val="20"/>
                <w:szCs w:val="20"/>
              </w:rPr>
              <w:t xml:space="preserve">7.成本计算</w:t>
            </w:r>
            <w:r/>
          </w:p>
          <w:p>
            <w:pPr>
              <w:pStyle w:val="651"/>
              <w:jc w:val="left"/>
              <w:widowControl/>
              <w:rPr>
                <w:rFonts w:hint="eastAsia" w:ascii="宋体" w:hAnsi="宋体" w:cs="宋体"/>
                <w:sz w:val="20"/>
                <w:szCs w:val="20"/>
              </w:rPr>
            </w:pPr>
            <w:r>
              <w:rPr>
                <w:rFonts w:hint="eastAsia" w:ascii="宋体" w:hAnsi="宋体" w:cs="宋体"/>
                <w:sz w:val="20"/>
                <w:szCs w:val="20"/>
              </w:rPr>
              <w:t xml:space="preserve">可按ICD编码、入院出院时间、收治科室、患者医保类型、手术与否等条件批量筛选同类病案,系统自动将同一病种多份病案数据合并汇总,剔除中途转科、出院未结算等异常病案,保证病种成本统计样本规范。</w:t>
            </w:r>
            <w:r/>
          </w:p>
          <w:p>
            <w:pPr>
              <w:pStyle w:val="651"/>
              <w:jc w:val="left"/>
              <w:widowControl/>
              <w:rPr>
                <w:rFonts w:hint="eastAsia" w:ascii="宋体" w:hAnsi="宋体" w:cs="宋体"/>
                <w:sz w:val="20"/>
                <w:szCs w:val="20"/>
              </w:rPr>
            </w:pPr>
            <w:r>
              <w:rPr>
                <w:rFonts w:hint="eastAsia" w:ascii="宋体" w:hAnsi="宋体" w:cs="宋体"/>
                <w:sz w:val="20"/>
                <w:szCs w:val="20"/>
              </w:rPr>
              <w:t xml:space="preserve">8.报表查询</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系统必须具备灵活的自定义报表功能，满足医院未来扩展报表的要求。</w:t>
            </w:r>
            <w:r/>
          </w:p>
          <w:p>
            <w:pPr>
              <w:pStyle w:val="651"/>
              <w:jc w:val="left"/>
              <w:widowControl/>
              <w:rPr>
                <w:rFonts w:hint="eastAsia" w:ascii="宋体" w:hAnsi="宋体" w:cs="宋体"/>
                <w:sz w:val="20"/>
                <w:szCs w:val="20"/>
              </w:rPr>
            </w:pPr>
            <w:r>
              <w:rPr>
                <w:rFonts w:hint="eastAsia" w:ascii="宋体" w:hAnsi="宋体" w:cs="宋体"/>
                <w:sz w:val="20"/>
                <w:szCs w:val="20"/>
              </w:rPr>
              <w:t xml:space="preserve">生成单病种成本明细表、病种收支盈亏汇总表、标准成本与实际成本差异分析表;直观展示各病种盈利或亏损情况,辅助医院优化临床路径、严控耗材使用、合理管控病种成本。</w:t>
            </w:r>
            <w:r/>
          </w:p>
          <w:p>
            <w:pPr>
              <w:pStyle w:val="651"/>
              <w:jc w:val="left"/>
              <w:widowControl/>
              <w:rPr>
                <w:rFonts w:hint="eastAsia" w:ascii="宋体" w:hAnsi="宋体" w:cs="宋体"/>
                <w:sz w:val="20"/>
                <w:szCs w:val="20"/>
              </w:rPr>
            </w:pPr>
            <w:r>
              <w:rPr>
                <w:rFonts w:hint="eastAsia" w:ascii="宋体" w:hAnsi="宋体" w:cs="宋体"/>
                <w:sz w:val="20"/>
                <w:szCs w:val="20"/>
              </w:rPr>
              <w:t xml:space="preserve">按照病人、科室、院级的单位成本、收入构成、成本构成、单位收益等多维度对病种进行查询分析。按照实际临床路径，临床路径对病种进行成本分析。能分析到每个患者、每个诊疗成本项目的成本数据；能够应用“环比分析法”、“比较分析法”、“趋势分析法”多种分析方法对病种进行分析，寻找成本控制点，为管理者提供分析决策、控制的信息。</w:t>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Cs w:val="21"/>
              </w:rPr>
            </w:pPr>
            <w:r>
              <w:rPr>
                <w:rFonts w:ascii="宋体" w:hAnsi="宋体" w:cs="宋体"/>
                <w:szCs w:val="21"/>
              </w:rPr>
              <w:t xml:space="preserve">DIP病种成本管理系统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1．数据采集</w:t>
            </w:r>
            <w:r/>
          </w:p>
          <w:p>
            <w:pPr>
              <w:pStyle w:val="651"/>
              <w:jc w:val="left"/>
              <w:widowControl/>
              <w:rPr>
                <w:rFonts w:hint="eastAsia" w:ascii="宋体" w:hAnsi="宋体" w:cs="宋体"/>
                <w:sz w:val="20"/>
                <w:szCs w:val="20"/>
              </w:rPr>
            </w:pPr>
            <w:r>
              <w:rPr>
                <w:rFonts w:hint="eastAsia" w:ascii="宋体" w:hAnsi="宋体" w:cs="宋体"/>
                <w:sz w:val="20"/>
                <w:szCs w:val="20"/>
              </w:rPr>
              <w:t xml:space="preserve">数据采集是成本核算的前提条件,采集涉及多个外部系统,形式主要为接口形式及模板导入形式。系统支持通过平台接口自动获取第三方数据,保证数据的完整性及一致性,也支持通过EXCEL模板导入,但需要进行必要数据的验证,保证数据的正确性。目前数据采集主要包括病案数据、收入数据、成本数据以及DIP分组信息,DIP分组信息的获取需要对接医院选取使用的分组器,根据患者病案首页数据对患者进行DIP分组。根据病历的收费明细对各项成本进行叠加,基础数据管理包括首页数据管理和病历收费明细数据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支持按照ICD10、ICD9以及医院DRG组分型的特征要求，对医院病种组进行分类定义。</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支持对病案首页数据按照病案多维度质控要求完成对病案数据的筛选与过滤，把符合要求的数据进行统计筛选。</w:t>
            </w:r>
            <w:r/>
          </w:p>
          <w:p>
            <w:pPr>
              <w:pStyle w:val="651"/>
              <w:jc w:val="left"/>
              <w:widowControl/>
              <w:rPr>
                <w:rFonts w:hint="eastAsia" w:ascii="宋体" w:hAnsi="宋体" w:cs="宋体"/>
                <w:sz w:val="20"/>
                <w:szCs w:val="20"/>
              </w:rPr>
            </w:pPr>
            <w:r>
              <w:rPr>
                <w:rFonts w:hint="eastAsia" w:ascii="宋体" w:hAnsi="宋体" w:cs="宋体"/>
                <w:sz w:val="20"/>
                <w:szCs w:val="20"/>
              </w:rPr>
              <w:t xml:space="preserve">获取DIP分组信息：按照统一分组规则，根据患者病案首页数据对患者进行分组管理。根据病历的收费明细对各项成本进行叠加，基础数据管理包括首页数据管理和病历收费明细数据管理。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支持分别按照病案出院时间与医保结算时间进行系统筛选项目叠加。</w:t>
            </w:r>
            <w:r/>
          </w:p>
          <w:p>
            <w:pPr>
              <w:pStyle w:val="651"/>
              <w:jc w:val="left"/>
              <w:widowControl/>
              <w:rPr>
                <w:rFonts w:hint="eastAsia" w:ascii="宋体" w:hAnsi="宋体" w:cs="宋体"/>
                <w:sz w:val="20"/>
                <w:szCs w:val="20"/>
              </w:rPr>
            </w:pPr>
            <w:r>
              <w:rPr>
                <w:rFonts w:hint="eastAsia" w:ascii="宋体" w:hAnsi="宋体" w:cs="宋体"/>
                <w:sz w:val="20"/>
                <w:szCs w:val="20"/>
              </w:rPr>
              <w:t xml:space="preserve">2．核算模型配置</w:t>
            </w:r>
            <w:r/>
          </w:p>
          <w:p>
            <w:pPr>
              <w:pStyle w:val="651"/>
              <w:jc w:val="left"/>
              <w:widowControl/>
              <w:rPr>
                <w:rFonts w:hint="eastAsia" w:ascii="宋体" w:hAnsi="宋体" w:cs="宋体"/>
                <w:sz w:val="20"/>
                <w:szCs w:val="20"/>
              </w:rPr>
            </w:pPr>
            <w:r>
              <w:rPr>
                <w:rFonts w:hint="eastAsia" w:ascii="宋体" w:hAnsi="宋体" w:cs="宋体"/>
                <w:sz w:val="20"/>
                <w:szCs w:val="20"/>
              </w:rPr>
              <w:t xml:space="preserve">建立DIP病种组成本核算模型,包括数据模型和核算流程,平衡数据存储能力和流程运算效率,实现最优化结构。</w:t>
            </w:r>
            <w:r/>
          </w:p>
          <w:p>
            <w:pPr>
              <w:pStyle w:val="651"/>
              <w:jc w:val="left"/>
              <w:widowControl/>
              <w:rPr>
                <w:rFonts w:hint="eastAsia" w:ascii="宋体" w:hAnsi="宋体" w:cs="宋体"/>
                <w:sz w:val="20"/>
                <w:szCs w:val="20"/>
              </w:rPr>
            </w:pPr>
            <w:r>
              <w:rPr>
                <w:rFonts w:hint="eastAsia" w:ascii="宋体" w:hAnsi="宋体" w:cs="宋体"/>
                <w:sz w:val="20"/>
                <w:szCs w:val="20"/>
              </w:rPr>
              <w:t xml:space="preserve">3．成本计算</w:t>
            </w:r>
            <w:r/>
          </w:p>
          <w:p>
            <w:pPr>
              <w:pStyle w:val="651"/>
              <w:jc w:val="left"/>
              <w:widowControl/>
              <w:rPr>
                <w:rFonts w:hint="eastAsia" w:ascii="宋体" w:hAnsi="宋体" w:cs="宋体"/>
                <w:sz w:val="20"/>
                <w:szCs w:val="20"/>
              </w:rPr>
            </w:pPr>
            <w:r>
              <w:rPr>
                <w:rFonts w:hint="eastAsia" w:ascii="宋体" w:hAnsi="宋体" w:cs="宋体"/>
                <w:sz w:val="20"/>
                <w:szCs w:val="20"/>
              </w:rPr>
              <w:t xml:space="preserve">在计算出病例成本后,根据设置的公式规则,自动计算DIP病种组成本。首先按照患者DIP病组,将患者成本进行合并,再除以样本数量,得到DIP病种组成本;将某DIP病组的患者成本进行统计计算,得到科室单病种成本和院级单病种成本。</w:t>
            </w:r>
            <w:r/>
          </w:p>
          <w:p>
            <w:pPr>
              <w:pStyle w:val="651"/>
              <w:jc w:val="left"/>
              <w:widowControl/>
              <w:rPr>
                <w:rFonts w:hint="eastAsia" w:ascii="宋体" w:hAnsi="宋体" w:cs="宋体"/>
                <w:sz w:val="20"/>
                <w:szCs w:val="20"/>
              </w:rPr>
            </w:pPr>
            <w:r>
              <w:rPr>
                <w:rFonts w:hint="eastAsia" w:ascii="宋体" w:hAnsi="宋体" w:cs="宋体"/>
                <w:sz w:val="20"/>
                <w:szCs w:val="20"/>
              </w:rPr>
              <w:t xml:space="preserve">4．报表分析</w:t>
            </w:r>
            <w:r/>
          </w:p>
          <w:p>
            <w:pPr>
              <w:pStyle w:val="651"/>
              <w:jc w:val="left"/>
              <w:widowControl/>
              <w:rPr>
                <w:rFonts w:hint="eastAsia" w:ascii="宋体" w:hAnsi="宋体" w:cs="宋体"/>
                <w:sz w:val="20"/>
                <w:szCs w:val="20"/>
              </w:rPr>
            </w:pPr>
            <w:r>
              <w:rPr>
                <w:rFonts w:hint="eastAsia" w:ascii="宋体" w:hAnsi="宋体" w:cs="宋体"/>
                <w:sz w:val="20"/>
                <w:szCs w:val="20"/>
              </w:rPr>
              <w:t xml:space="preserve">在DIP病种组成本核算基础上,提供DIP病种组的收入结构、成本结构、收益分析,为医院经营决策和管理提供数据支持,为科室优化临床路径提供有效数据参考。</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必须具备灵活的自定义报表功能，满足医院未来扩展报表的要求。针对DRG、DIP、CHS不同的分组模式选择和引用，能够通过配置实现报表。按照病人、科室、院级的单位成本、收入构成、成本构成、单位收益等多维度对病种进行报表查询分析。</w:t>
            </w:r>
            <w:r/>
          </w:p>
          <w:p>
            <w:pPr>
              <w:pStyle w:val="651"/>
              <w:jc w:val="left"/>
              <w:widowControl/>
              <w:rPr>
                <w:rFonts w:hint="eastAsia" w:ascii="宋体" w:hAnsi="宋体" w:cs="宋体"/>
                <w:sz w:val="20"/>
                <w:szCs w:val="20"/>
              </w:rPr>
            </w:pPr>
            <w:r>
              <w:rPr>
                <w:rFonts w:hint="eastAsia" w:ascii="宋体" w:hAnsi="宋体" w:cs="宋体"/>
                <w:sz w:val="20"/>
                <w:szCs w:val="20"/>
              </w:rPr>
              <w:t xml:space="preserve">DIP成本分析：在DIP成本核算基础上，提供DIP组的收入结构、成本结构、进行收益分析，为医院经营决策和管理提供数据依据。按照实际临床路径，对DIP进行成本分析。能分析到每个患者、每个诊疗成本项目的成本数据；能够应用“环比分析法”、“比较分析法”、“趋势分析法”等多种分析方法对DIP进行分析，寻找成本控制点，为管理者提供分析决策、控制的信息。</w:t>
            </w:r>
            <w:r/>
          </w:p>
          <w:p>
            <w:pPr>
              <w:pStyle w:val="651"/>
              <w:jc w:val="left"/>
              <w:widowControl/>
              <w:rPr>
                <w:rFonts w:hint="eastAsia" w:ascii="宋体" w:hAnsi="宋体" w:cs="宋体"/>
                <w:sz w:val="20"/>
                <w:szCs w:val="20"/>
              </w:rPr>
            </w:pPr>
            <w:r>
              <w:rPr>
                <w:rFonts w:hint="eastAsia" w:ascii="宋体" w:hAnsi="宋体" w:cs="宋体"/>
                <w:sz w:val="20"/>
                <w:szCs w:val="20"/>
              </w:rPr>
              <w:t xml:space="preserve">▲报表数据包括但不限于：</w:t>
            </w:r>
            <w:r/>
          </w:p>
          <w:p>
            <w:pPr>
              <w:pStyle w:val="651"/>
              <w:jc w:val="left"/>
              <w:widowControl/>
              <w:rPr>
                <w:rFonts w:hint="eastAsia" w:ascii="宋体" w:hAnsi="宋体" w:cs="宋体"/>
                <w:sz w:val="20"/>
                <w:szCs w:val="20"/>
              </w:rPr>
            </w:pPr>
            <w:r>
              <w:rPr>
                <w:rFonts w:hint="eastAsia" w:ascii="宋体" w:hAnsi="宋体" w:cs="宋体"/>
                <w:sz w:val="20"/>
                <w:szCs w:val="20"/>
              </w:rPr>
              <w:t xml:space="preserve">（1）DIP汇总统计表：从CMI维度统计查看全院的病例情况及收益状况；</w:t>
            </w:r>
            <w:r/>
          </w:p>
          <w:p>
            <w:pPr>
              <w:pStyle w:val="651"/>
              <w:jc w:val="left"/>
              <w:widowControl/>
              <w:rPr>
                <w:rFonts w:hint="eastAsia" w:ascii="宋体" w:hAnsi="宋体" w:cs="宋体"/>
                <w:sz w:val="20"/>
                <w:szCs w:val="20"/>
              </w:rPr>
            </w:pPr>
            <w:r>
              <w:rPr>
                <w:rFonts w:hint="eastAsia" w:ascii="宋体" w:hAnsi="宋体" w:cs="宋体"/>
                <w:sz w:val="20"/>
                <w:szCs w:val="20"/>
              </w:rPr>
              <w:t xml:space="preserve">（2）科室统计表：科室维度统计病种组数据、科室收益状况；点击科室链接可查看具体某个科室病种组病例数量、病种组收益状况；</w:t>
            </w:r>
            <w:r/>
          </w:p>
          <w:p>
            <w:pPr>
              <w:pStyle w:val="651"/>
              <w:jc w:val="left"/>
              <w:widowControl/>
              <w:rPr>
                <w:rFonts w:hint="eastAsia" w:ascii="宋体" w:hAnsi="宋体" w:cs="宋体"/>
                <w:sz w:val="20"/>
                <w:szCs w:val="20"/>
              </w:rPr>
            </w:pPr>
            <w:r>
              <w:rPr>
                <w:rFonts w:hint="eastAsia" w:ascii="宋体" w:hAnsi="宋体" w:cs="宋体"/>
                <w:sz w:val="20"/>
                <w:szCs w:val="20"/>
              </w:rPr>
              <w:t xml:space="preserve">（3）病种组数据明细表：病种组明细数据表查看个人成本、收入、收益等状况；</w:t>
            </w:r>
            <w:r/>
          </w:p>
          <w:p>
            <w:pPr>
              <w:pStyle w:val="651"/>
              <w:jc w:val="left"/>
              <w:widowControl/>
              <w:rPr>
                <w:rFonts w:hint="eastAsia" w:ascii="宋体" w:hAnsi="宋体" w:cs="宋体"/>
                <w:sz w:val="20"/>
                <w:szCs w:val="20"/>
              </w:rPr>
            </w:pPr>
            <w:r>
              <w:rPr>
                <w:rFonts w:hint="eastAsia" w:ascii="宋体" w:hAnsi="宋体" w:cs="宋体"/>
                <w:sz w:val="20"/>
                <w:szCs w:val="20"/>
              </w:rPr>
              <w:t xml:space="preserve">（4）科室病种组明细表：科室病种组成本、收入及各占比等状况；</w:t>
            </w:r>
            <w:r/>
          </w:p>
          <w:p>
            <w:pPr>
              <w:pStyle w:val="651"/>
              <w:jc w:val="left"/>
              <w:widowControl/>
              <w:rPr>
                <w:rFonts w:hint="eastAsia" w:ascii="宋体" w:hAnsi="宋体" w:cs="宋体"/>
                <w:sz w:val="20"/>
                <w:szCs w:val="20"/>
              </w:rPr>
            </w:pPr>
            <w:r>
              <w:rPr>
                <w:rFonts w:hint="eastAsia" w:ascii="宋体" w:hAnsi="宋体" w:cs="宋体"/>
                <w:sz w:val="20"/>
                <w:szCs w:val="20"/>
              </w:rPr>
              <w:t xml:space="preserve">（5）同病种组不同科室收益表：查看同一个病种在不同科室的收益状况；同科室不同手术等级收益表：查看同科室不同的手术等级收益状况。</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jc w:val="center"/>
              <w:widowControl/>
              <w:rPr>
                <w:rFonts w:hint="eastAsia" w:ascii="宋体" w:hAnsi="宋体" w:cs="宋体"/>
                <w:szCs w:val="21"/>
              </w:rPr>
            </w:pPr>
            <w:r>
              <w:rPr>
                <w:rFonts w:ascii="宋体" w:hAnsi="宋体" w:cs="宋体"/>
                <w:szCs w:val="21"/>
              </w:rPr>
              <w:t xml:space="preserve">资产管理系统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1.设备管理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为医院构建一整套以设备全生命周期管理为中心,提高医疗设备管理质量、提高医疗设备使用效率为目标的医院设备管理信息系统。实现设备管理中"实物流、资金流、业务流、信息流"的统一。充分体现管理过程中事前预测、事中控制、事后分析的全过程闭环管理理念,强化医疗设备资源的计划、使用、协调、控制、评价和激励等方面的管理。包含设备卡片管理、领用管理、变动管理、设备盘点、设备维修、计量管理、设备巡检、设备减少等功能。</w:t>
            </w:r>
            <w:r/>
          </w:p>
          <w:p>
            <w:pPr>
              <w:pStyle w:val="651"/>
              <w:jc w:val="left"/>
              <w:widowControl/>
              <w:rPr>
                <w:rFonts w:hint="eastAsia" w:ascii="宋体" w:hAnsi="宋体" w:cs="宋体"/>
                <w:sz w:val="20"/>
                <w:szCs w:val="20"/>
              </w:rPr>
            </w:pPr>
            <w:r>
              <w:rPr>
                <w:rFonts w:hint="eastAsia" w:ascii="宋体" w:hAnsi="宋体" w:cs="宋体"/>
                <w:sz w:val="20"/>
                <w:szCs w:val="20"/>
              </w:rPr>
              <w:t xml:space="preserve">(1)设备卡片</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自制、采购到货、采购入库、调拨入库等多种建卡业务场景。此外，设备卡片拥有多个附属卡片，用来对设备发生的各种业务的跟踪，例如：子设备附卡、零部件附卡、调拨记录附卡、保修记录、维修记录、计量结果、保修合同、资金来源等；</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支持资产条形码、二维码、RFID条码技术的应用管理，支持资产编码和资产条码关键字段的自定义，根据实际情况进行设置；</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支持资产档案管理，系统支持资产的电子档案管理，包括资产图片与各种电子资料。</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支持设备的使用部门和管理部门分离。</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▲支持在设备卡片页签方便快捷地查询设备相关信息，如：设备采购信息中的合同号、预算号、设备论证号；财务相关信息中的设备原值、净值、折旧月份、月折旧额等；</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提供以资产卡片为核心的资产管理模式，自动计提折旧，并且支持自动完成固定资产折旧数据调整；</w:t>
            </w:r>
            <w:r/>
          </w:p>
          <w:p>
            <w:pPr>
              <w:pStyle w:val="651"/>
              <w:jc w:val="left"/>
              <w:widowControl/>
              <w:rPr>
                <w:rFonts w:hint="eastAsia" w:ascii="宋体" w:hAnsi="宋体" w:cs="宋体"/>
                <w:sz w:val="20"/>
                <w:szCs w:val="20"/>
              </w:rPr>
            </w:pPr>
            <w:r>
              <w:rPr>
                <w:rFonts w:hint="eastAsia" w:ascii="宋体" w:hAnsi="宋体" w:cs="宋体"/>
                <w:sz w:val="20"/>
                <w:szCs w:val="20"/>
              </w:rPr>
              <w:t xml:space="preserve">可对多种资金来源形成的固定资产，进行单一资金来源或多种资金来源组合的分科室部门、分资产类别管理；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▲系统支持根据多种资金来源比例登记固定资产原值、按比例分别计提固定资产折旧，确保不同资金来源的固定资产核算管理的清晰完整；并且能够按照新制度要求生成相应的会计凭证，提高资产管理效率。</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(2)使用管理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包括从设备采购后的安装调试、领用及归还、借用及归还、变动、闲置、封存、调拨、报废直至最后的处置；</w:t>
            </w:r>
            <w:r/>
          </w:p>
          <w:p>
            <w:pPr>
              <w:pStyle w:val="651"/>
              <w:jc w:val="left"/>
              <w:widowControl/>
              <w:rPr>
                <w:rFonts w:hint="eastAsia" w:ascii="宋体" w:hAnsi="宋体" w:cs="宋体"/>
                <w:sz w:val="20"/>
                <w:szCs w:val="20"/>
              </w:rPr>
            </w:pPr>
            <w:r>
              <w:rPr>
                <w:rFonts w:hint="eastAsia" w:ascii="宋体" w:hAnsi="宋体" w:cs="宋体"/>
                <w:sz w:val="20"/>
                <w:szCs w:val="20"/>
              </w:rPr>
              <w:t xml:space="preserve">变动管理：用于记录设备使用过程中发生的科室、位置、状态等变动，所有固定资产类设备的变动业务，都会自动联动资产卡片，支持资产的多种变动操作，比如资产的人员变动、部门变动、地点变动、单位变动、价值变动等操作，支持综合变动和批量变动操作；</w:t>
            </w:r>
            <w:r/>
          </w:p>
          <w:p>
            <w:pPr>
              <w:pStyle w:val="651"/>
              <w:jc w:val="left"/>
              <w:widowControl/>
              <w:rPr>
                <w:rFonts w:hint="eastAsia" w:ascii="宋体" w:hAnsi="宋体" w:cs="宋体"/>
                <w:sz w:val="20"/>
                <w:szCs w:val="20"/>
              </w:rPr>
            </w:pPr>
            <w:r>
              <w:rPr>
                <w:rFonts w:hint="eastAsia" w:ascii="宋体" w:hAnsi="宋体" w:cs="宋体"/>
                <w:sz w:val="20"/>
                <w:szCs w:val="20"/>
              </w:rPr>
              <w:t xml:space="preserve">调拨管理：包括资产所有权、使用权的调拨管理，资产调出单可以协同生成资产调入单；资产调出单支持工作流管理，可以在调拨过程中录入调拨的相关信息，并完成调出审批和调入审批；</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支持多种资产增加、内部调整、减少等变动的定义方式，并且这些变动完全与财务处理同步，保证资产的实际与资产的账面处理严格一致，明确资产的状态和责任人；</w:t>
            </w:r>
            <w:r/>
          </w:p>
          <w:p>
            <w:pPr>
              <w:pStyle w:val="651"/>
              <w:jc w:val="left"/>
              <w:widowControl/>
              <w:rPr>
                <w:rFonts w:hint="eastAsia" w:ascii="宋体" w:hAnsi="宋体" w:cs="宋体"/>
                <w:sz w:val="20"/>
                <w:szCs w:val="20"/>
              </w:rPr>
            </w:pPr>
            <w:r>
              <w:rPr>
                <w:rFonts w:hint="eastAsia" w:ascii="宋体" w:hAnsi="宋体" w:cs="宋体"/>
                <w:sz w:val="20"/>
                <w:szCs w:val="20"/>
              </w:rPr>
              <w:t xml:space="preserve">设备处理：包括资产闲置、资产报废、资产捐赠、资产处置；</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支持资产的盘点业务，能根据盘点结果自动生成资产盘盈单、盘亏单、差异调整单，支持移动扫码盘点模式；</w:t>
            </w:r>
            <w:r/>
          </w:p>
          <w:p>
            <w:pPr>
              <w:pStyle w:val="651"/>
              <w:jc w:val="left"/>
              <w:widowControl/>
              <w:rPr>
                <w:rFonts w:hint="eastAsia" w:ascii="宋体" w:hAnsi="宋体" w:cs="宋体"/>
                <w:sz w:val="20"/>
                <w:szCs w:val="20"/>
              </w:rPr>
            </w:pPr>
            <w:r>
              <w:rPr>
                <w:rFonts w:hint="eastAsia" w:ascii="宋体" w:hAnsi="宋体" w:cs="宋体"/>
                <w:sz w:val="20"/>
                <w:szCs w:val="20"/>
              </w:rPr>
              <w:t xml:space="preserve">闲置管理：支持设备领用、领用归还、设备借用、借用归还。支持添加设备借用人、设备名称、设备类比、位置等。</w:t>
            </w:r>
            <w:r/>
          </w:p>
          <w:p>
            <w:pPr>
              <w:pStyle w:val="651"/>
              <w:jc w:val="left"/>
              <w:widowControl/>
              <w:rPr>
                <w:rFonts w:hint="eastAsia" w:ascii="宋体" w:hAnsi="宋体" w:cs="宋体"/>
                <w:sz w:val="20"/>
                <w:szCs w:val="20"/>
              </w:rPr>
            </w:pPr>
            <w:r>
              <w:rPr>
                <w:rFonts w:hint="eastAsia" w:ascii="宋体" w:hAnsi="宋体" w:cs="宋体"/>
                <w:sz w:val="20"/>
                <w:szCs w:val="20"/>
              </w:rPr>
              <w:t xml:space="preserve">(3)维修维护</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系统能够提供完整的设备管理功能，包括设备的计量检测、设备维护、设备维修、设备保养、设备巡检、设备不良事件上报等功能；</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系统支持设备档案管理，管理设备的基本信息、设备分类、设备附件、操作员的证件等，可以将设备的全周期信息全部归档到设备档案中；</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支持设备过程管理，系统能够进行设备故障登记维修、按计划进行设备保养和维护保养，能够进行计量器具检测情况管理，并记录维修、维护、计量检测过程中产生的各种费用；</w:t>
            </w:r>
            <w:r/>
          </w:p>
          <w:p>
            <w:pPr>
              <w:pStyle w:val="651"/>
              <w:jc w:val="left"/>
              <w:widowControl/>
              <w:rPr>
                <w:rFonts w:hint="eastAsia" w:ascii="宋体" w:hAnsi="宋体" w:cs="宋体"/>
                <w:sz w:val="20"/>
                <w:szCs w:val="20"/>
              </w:rPr>
            </w:pPr>
            <w:r>
              <w:rPr>
                <w:rFonts w:hint="eastAsia" w:ascii="宋体" w:hAnsi="宋体" w:cs="宋体"/>
                <w:sz w:val="20"/>
                <w:szCs w:val="20"/>
              </w:rPr>
              <w:t xml:space="preserve">维修计划：在设备资产的维修维护管理中，支持医疗机构制定设备资产的维修维护计划，医疗机构可以制定年度计划，月度计划以及周计划等；</w:t>
            </w:r>
            <w:r/>
          </w:p>
          <w:p>
            <w:pPr>
              <w:pStyle w:val="651"/>
              <w:jc w:val="left"/>
              <w:widowControl/>
              <w:rPr>
                <w:rFonts w:hint="eastAsia" w:ascii="宋体" w:hAnsi="宋体" w:cs="宋体"/>
                <w:sz w:val="20"/>
                <w:szCs w:val="20"/>
              </w:rPr>
            </w:pPr>
            <w:r>
              <w:rPr>
                <w:rFonts w:hint="eastAsia" w:ascii="宋体" w:hAnsi="宋体" w:cs="宋体"/>
                <w:sz w:val="20"/>
                <w:szCs w:val="20"/>
              </w:rPr>
              <w:t xml:space="preserve">工单管理：要求所有的维修维护业务，包括日常维修维护、预防性维护、定修、大修理等。通过工单管理，可以实现对维修维护的全过程管理，包括从计划、审批、派工、准备、执行、完工、验收、报告以及最后关闭的全生命周期的过程。</w:t>
            </w:r>
            <w:r/>
          </w:p>
          <w:p>
            <w:pPr>
              <w:pStyle w:val="651"/>
              <w:jc w:val="left"/>
              <w:widowControl/>
              <w:rPr>
                <w:rFonts w:hint="eastAsia" w:ascii="宋体" w:hAnsi="宋体" w:cs="宋体"/>
                <w:sz w:val="20"/>
                <w:szCs w:val="20"/>
              </w:rPr>
            </w:pPr>
            <w:r>
              <w:rPr>
                <w:rFonts w:hint="eastAsia" w:ascii="宋体" w:hAnsi="宋体" w:cs="宋体"/>
                <w:sz w:val="20"/>
                <w:szCs w:val="20"/>
              </w:rPr>
              <w:t xml:space="preserve">支持设备不良事件上报。</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系统支持自动预警，系统可以进行维护、维修、检定预警提示，加强事前预警，防患于未然，降低设备故障和医疗差错，提高设备开机率和利用率。</w:t>
            </w:r>
            <w:r/>
          </w:p>
          <w:p>
            <w:pPr>
              <w:pStyle w:val="651"/>
              <w:jc w:val="left"/>
              <w:widowControl/>
              <w:rPr>
                <w:rFonts w:hint="eastAsia" w:ascii="宋体" w:hAnsi="宋体" w:cs="宋体"/>
                <w:sz w:val="20"/>
                <w:szCs w:val="20"/>
              </w:rPr>
            </w:pPr>
            <w:r>
              <w:rPr>
                <w:rFonts w:hint="eastAsia" w:ascii="宋体" w:hAnsi="宋体" w:cs="宋体"/>
                <w:sz w:val="20"/>
                <w:szCs w:val="20"/>
              </w:rPr>
              <w:t xml:space="preserve">2.房屋管理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对医院房屋进行全方位管理,如房屋楼层、房屋用途等基础维度,支持建立房屋卡片、记录房屋变动、处理房屋折旧等经济业务。</w:t>
            </w:r>
            <w:r/>
          </w:p>
          <w:p>
            <w:pPr>
              <w:pStyle w:val="651"/>
              <w:jc w:val="left"/>
              <w:widowControl/>
              <w:rPr>
                <w:rFonts w:hint="eastAsia" w:ascii="宋体" w:hAnsi="宋体" w:cs="宋体"/>
                <w:sz w:val="20"/>
                <w:szCs w:val="20"/>
              </w:rPr>
            </w:pPr>
            <w:r>
              <w:rPr>
                <w:rFonts w:hint="eastAsia" w:ascii="宋体" w:hAnsi="宋体" w:cs="宋体"/>
                <w:sz w:val="20"/>
                <w:szCs w:val="20"/>
              </w:rPr>
              <w:t xml:space="preserve">3.资产管理移动应用</w:t>
            </w:r>
            <w:r/>
          </w:p>
          <w:p>
            <w:pPr>
              <w:pStyle w:val="651"/>
              <w:jc w:val="left"/>
              <w:widowControl/>
              <w:rPr>
                <w:rFonts w:hint="eastAsia" w:ascii="宋体" w:hAnsi="宋体" w:cs="宋体"/>
                <w:sz w:val="20"/>
                <w:szCs w:val="20"/>
              </w:rPr>
            </w:pPr>
            <w:r>
              <w:rPr>
                <w:rFonts w:hint="eastAsia" w:ascii="宋体" w:hAnsi="宋体" w:cs="宋体"/>
                <w:sz w:val="20"/>
                <w:szCs w:val="20"/>
              </w:rPr>
              <w:t xml:space="preserve">▲移动资产管理用于解决医院电脑端操作不便的问题，借助手机端的扫码、盘点、出入库、调拨、保修等功能，实现资产的灵活高效管理。根据资产盘点管理制度，实现盘点人员移动扫码盘点，并可根据盘点结果自动生成盘盈单、盘亏单。</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widowControl/>
              <w:rPr>
                <w:rFonts w:hint="eastAsia" w:ascii="宋体" w:hAnsi="宋体" w:cs="宋体"/>
                <w:szCs w:val="21"/>
              </w:rPr>
            </w:pPr>
            <w:r>
              <w:rPr>
                <w:rFonts w:ascii="宋体" w:hAnsi="宋体" w:cs="宋体"/>
                <w:szCs w:val="21"/>
              </w:rPr>
              <w:t xml:space="preserve">人力资源管理系统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1.组织机构管理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组织机构管理是整个人力资源信息系统的核心和基础部分,是实现医院的组织结构管理和交流,保证人力资源管理体系在一个统一规范的平台基础上运行实现。组织机构管理包括医疗机构总部和各下属成员单位的完整框架,并管理整个医院组织演变的过程;清晰地定义出医院组织结构,包括划分下属单位、设置部门和岗位、岗位和部门的隶属关系、岗位与岗位之间的汇报结构、岗位的数量、岗位的性质级别、岗位的职责和要求、有效地管理医院的空缺职位。能实现组织机构树、图、表的信息查询分析。</w:t>
            </w:r>
            <w:r/>
          </w:p>
          <w:p>
            <w:pPr>
              <w:pStyle w:val="651"/>
              <w:jc w:val="left"/>
              <w:widowControl/>
              <w:rPr>
                <w:rFonts w:hint="eastAsia" w:ascii="宋体" w:hAnsi="宋体" w:cs="宋体"/>
                <w:sz w:val="20"/>
                <w:szCs w:val="20"/>
              </w:rPr>
            </w:pPr>
            <w:r>
              <w:rPr>
                <w:rFonts w:hint="eastAsia" w:ascii="宋体" w:hAnsi="宋体" w:cs="宋体"/>
                <w:sz w:val="20"/>
                <w:szCs w:val="20"/>
              </w:rPr>
              <w:t xml:space="preserve">（1）能建立与医院实际一致的组织机构（包括分院、专业系统、一级科室、二级科室等）；每级机构都能记录本机构的基本信息、岗位信息、编制人员记录等信息。</w:t>
            </w:r>
            <w:r/>
          </w:p>
          <w:p>
            <w:pPr>
              <w:pStyle w:val="651"/>
              <w:jc w:val="left"/>
              <w:widowControl/>
              <w:rPr>
                <w:rFonts w:hint="eastAsia" w:ascii="宋体" w:hAnsi="宋体" w:cs="宋体"/>
                <w:sz w:val="20"/>
                <w:szCs w:val="20"/>
              </w:rPr>
            </w:pPr>
            <w:r>
              <w:rPr>
                <w:rFonts w:hint="eastAsia" w:ascii="宋体" w:hAnsi="宋体" w:cs="宋体"/>
                <w:sz w:val="20"/>
                <w:szCs w:val="20"/>
              </w:rPr>
              <w:t xml:space="preserve">（2）要能够对各组织机构完成新增、撤销等工作；满足机构改革的需要。</w:t>
            </w:r>
            <w:r/>
          </w:p>
          <w:p>
            <w:pPr>
              <w:pStyle w:val="651"/>
              <w:jc w:val="left"/>
              <w:widowControl/>
              <w:rPr>
                <w:rFonts w:hint="eastAsia" w:ascii="宋体" w:hAnsi="宋体" w:cs="宋体"/>
                <w:sz w:val="20"/>
                <w:szCs w:val="20"/>
              </w:rPr>
            </w:pPr>
            <w:r>
              <w:rPr>
                <w:rFonts w:hint="eastAsia" w:ascii="宋体" w:hAnsi="宋体" w:cs="宋体"/>
                <w:sz w:val="20"/>
                <w:szCs w:val="20"/>
              </w:rPr>
              <w:t xml:space="preserve">（3）能够针对科室、部门进行编制的管理。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（4）能够根据医院的组织机构设置，自动生成组织机构图。</w:t>
            </w:r>
            <w:r/>
          </w:p>
          <w:p>
            <w:pPr>
              <w:pStyle w:val="651"/>
              <w:jc w:val="left"/>
              <w:widowControl/>
              <w:rPr>
                <w:rFonts w:hint="eastAsia" w:ascii="宋体" w:hAnsi="宋体" w:cs="宋体"/>
                <w:sz w:val="20"/>
                <w:szCs w:val="20"/>
              </w:rPr>
            </w:pPr>
            <w:r>
              <w:rPr>
                <w:rFonts w:hint="eastAsia" w:ascii="宋体" w:hAnsi="宋体" w:cs="宋体"/>
                <w:sz w:val="20"/>
                <w:szCs w:val="20"/>
              </w:rPr>
              <w:t xml:space="preserve">（5）能够对全院机构信息进行及时、动态地查询、分析，直观展现各岗位的编制、状态等信息。</w:t>
            </w:r>
            <w:r/>
          </w:p>
          <w:p>
            <w:pPr>
              <w:pStyle w:val="651"/>
              <w:jc w:val="left"/>
              <w:widowControl/>
              <w:rPr>
                <w:rFonts w:hint="eastAsia" w:ascii="宋体" w:hAnsi="宋体" w:cs="宋体"/>
                <w:sz w:val="20"/>
                <w:szCs w:val="20"/>
              </w:rPr>
            </w:pPr>
            <w:r>
              <w:rPr>
                <w:rFonts w:hint="eastAsia" w:ascii="宋体" w:hAnsi="宋体" w:cs="宋体"/>
                <w:sz w:val="20"/>
                <w:szCs w:val="20"/>
              </w:rPr>
              <w:t xml:space="preserve">（6）系统支持提醒设置科室负责人，并对尚未设置科室负责人的情况进行提醒。</w:t>
            </w:r>
            <w:r/>
          </w:p>
          <w:p>
            <w:pPr>
              <w:pStyle w:val="651"/>
              <w:jc w:val="left"/>
              <w:widowControl/>
              <w:rPr>
                <w:rFonts w:hint="eastAsia" w:ascii="宋体" w:hAnsi="宋体" w:cs="宋体"/>
                <w:sz w:val="20"/>
                <w:szCs w:val="20"/>
              </w:rPr>
            </w:pPr>
            <w:r>
              <w:rPr>
                <w:rFonts w:hint="eastAsia" w:ascii="宋体" w:hAnsi="宋体" w:cs="宋体"/>
                <w:sz w:val="20"/>
                <w:szCs w:val="20"/>
              </w:rPr>
              <w:t xml:space="preserve">（7）组织管理支持集团内任意组织的组织画像，组织画像能够描述组织概况和组织人员团队分析。组织概况包括组织概要和三甲评审-卫生技术人员配备，组织人员团队分析包括岗位类别、标准岗位、科室岗位、用工形式、学历结构、职称结构等。</w:t>
            </w:r>
            <w:r/>
          </w:p>
          <w:p>
            <w:pPr>
              <w:pStyle w:val="651"/>
              <w:jc w:val="left"/>
              <w:widowControl/>
              <w:rPr>
                <w:rFonts w:hint="eastAsia" w:ascii="宋体" w:hAnsi="宋体" w:cs="宋体"/>
                <w:sz w:val="20"/>
                <w:szCs w:val="20"/>
              </w:rPr>
            </w:pPr>
            <w:r>
              <w:rPr>
                <w:rFonts w:hint="eastAsia" w:ascii="宋体" w:hAnsi="宋体" w:cs="宋体"/>
                <w:sz w:val="20"/>
                <w:szCs w:val="20"/>
              </w:rPr>
              <w:t xml:space="preserve">（8）系统支持选择日期，查看不同版本和历史各时期的组织信息。</w:t>
            </w:r>
            <w:r/>
          </w:p>
          <w:p>
            <w:pPr>
              <w:pStyle w:val="651"/>
              <w:jc w:val="left"/>
              <w:widowControl/>
              <w:rPr>
                <w:rFonts w:hint="eastAsia" w:ascii="宋体" w:hAnsi="宋体" w:cs="宋体"/>
                <w:sz w:val="20"/>
                <w:szCs w:val="20"/>
              </w:rPr>
            </w:pPr>
            <w:r>
              <w:rPr>
                <w:rFonts w:hint="eastAsia" w:ascii="宋体" w:hAnsi="宋体" w:cs="宋体"/>
                <w:sz w:val="20"/>
                <w:szCs w:val="20"/>
              </w:rPr>
              <w:t xml:space="preserve">（9）区分单位和部门提供管理，可按需进行科室变动。</w:t>
            </w:r>
            <w:r/>
          </w:p>
          <w:p>
            <w:pPr>
              <w:pStyle w:val="651"/>
              <w:jc w:val="left"/>
              <w:widowControl/>
              <w:rPr>
                <w:rFonts w:hint="eastAsia" w:ascii="宋体" w:hAnsi="宋体" w:cs="宋体"/>
                <w:sz w:val="20"/>
                <w:szCs w:val="20"/>
              </w:rPr>
            </w:pPr>
            <w:r>
              <w:rPr>
                <w:rFonts w:hint="eastAsia" w:ascii="宋体" w:hAnsi="宋体" w:cs="宋体"/>
                <w:sz w:val="20"/>
                <w:szCs w:val="20"/>
              </w:rPr>
              <w:t xml:space="preserve">2.人员信息管理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按照管理权限，应满足当前单位及下属相关单位人员信息的全面管理，同时信息系统能够实现对在职员工、解聘员工、离退员工、调离员工等的人事信息集中管理，可随时跟踪在职人员、解聘人员、离退人员人事信息的变化情况，对员工的各类经历（学习经历、培训经历、工作经历等）以及从进入医院到离职全生命周期的全面人力资源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（1）可以记录职工从入职到离职的全部信息，如基本信息、学习培训经历、历次职务职称变动、历次工资变动、岗位轮转信息、每月考勤信息、奖惩情况、考核情况等等，并支持附件上传。</w:t>
            </w:r>
            <w:r/>
          </w:p>
          <w:p>
            <w:pPr>
              <w:pStyle w:val="651"/>
              <w:jc w:val="left"/>
              <w:widowControl/>
              <w:rPr>
                <w:rFonts w:hint="eastAsia" w:ascii="宋体" w:hAnsi="宋体" w:cs="宋体"/>
                <w:sz w:val="20"/>
                <w:szCs w:val="20"/>
              </w:rPr>
            </w:pPr>
            <w:r>
              <w:rPr>
                <w:rFonts w:hint="eastAsia" w:ascii="宋体" w:hAnsi="宋体" w:cs="宋体"/>
                <w:sz w:val="20"/>
                <w:szCs w:val="20"/>
              </w:rPr>
              <w:t xml:space="preserve">（2）管理员或有权限的业务人员可根据需要对人员信息项目进行灵活地增加、修改、删除。</w:t>
            </w:r>
            <w:r/>
          </w:p>
          <w:p>
            <w:pPr>
              <w:pStyle w:val="651"/>
              <w:jc w:val="left"/>
              <w:widowControl/>
              <w:rPr>
                <w:rFonts w:hint="eastAsia" w:ascii="宋体" w:hAnsi="宋体" w:cs="宋体"/>
                <w:sz w:val="20"/>
                <w:szCs w:val="20"/>
              </w:rPr>
            </w:pPr>
            <w:r>
              <w:rPr>
                <w:rFonts w:hint="eastAsia" w:ascii="宋体" w:hAnsi="宋体" w:cs="宋体"/>
                <w:sz w:val="20"/>
                <w:szCs w:val="20"/>
              </w:rPr>
              <w:t xml:space="preserve">（3）可从不同维度进行职工分类管理，如：按照用工形式分为在编人员、非在编人员、劳务派遣人员、返聘人员等；按照人员状态可分为在岗人员、离退休人员、进修培训人员，待岗人员、内退人员、待聘人员、调出人员等。</w:t>
            </w:r>
            <w:r/>
          </w:p>
          <w:p>
            <w:pPr>
              <w:pStyle w:val="651"/>
              <w:jc w:val="left"/>
              <w:widowControl/>
              <w:rPr>
                <w:rFonts w:hint="eastAsia" w:ascii="宋体" w:hAnsi="宋体" w:cs="宋体"/>
                <w:sz w:val="20"/>
                <w:szCs w:val="20"/>
              </w:rPr>
            </w:pPr>
            <w:r>
              <w:rPr>
                <w:rFonts w:hint="eastAsia" w:ascii="宋体" w:hAnsi="宋体" w:cs="宋体"/>
                <w:sz w:val="20"/>
                <w:szCs w:val="20"/>
              </w:rPr>
              <w:t xml:space="preserve">（4）能够对兼职人员进行管理。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（5）职工信息采集与维护中，支持对人员数据进行批量修改、增加、删除，支持excel的导入、导出功能。</w:t>
            </w:r>
            <w:r/>
          </w:p>
          <w:p>
            <w:pPr>
              <w:pStyle w:val="651"/>
              <w:jc w:val="left"/>
              <w:widowControl/>
              <w:rPr>
                <w:rFonts w:hint="eastAsia" w:ascii="宋体" w:hAnsi="宋体" w:cs="宋体"/>
                <w:sz w:val="20"/>
                <w:szCs w:val="20"/>
              </w:rPr>
            </w:pPr>
            <w:r>
              <w:rPr>
                <w:rFonts w:hint="eastAsia" w:ascii="宋体" w:hAnsi="宋体" w:cs="宋体"/>
                <w:sz w:val="20"/>
                <w:szCs w:val="20"/>
              </w:rPr>
              <w:t xml:space="preserve">（6）具有智能计算功能，如通过身份证自动计算出生日期、年龄、性别信息等；</w:t>
            </w:r>
            <w:r/>
          </w:p>
          <w:p>
            <w:pPr>
              <w:pStyle w:val="651"/>
              <w:jc w:val="left"/>
              <w:widowControl/>
              <w:rPr>
                <w:rFonts w:hint="eastAsia" w:ascii="宋体" w:hAnsi="宋体" w:cs="宋体"/>
                <w:sz w:val="20"/>
                <w:szCs w:val="20"/>
              </w:rPr>
            </w:pPr>
            <w:r>
              <w:rPr>
                <w:rFonts w:hint="eastAsia" w:ascii="宋体" w:hAnsi="宋体" w:cs="宋体"/>
                <w:sz w:val="20"/>
                <w:szCs w:val="20"/>
              </w:rPr>
              <w:t xml:space="preserve">（7）能自由调整单位或者科室的人员排列顺序。</w:t>
            </w:r>
            <w:r/>
          </w:p>
          <w:p>
            <w:pPr>
              <w:pStyle w:val="651"/>
              <w:jc w:val="left"/>
              <w:widowControl/>
              <w:rPr>
                <w:rFonts w:hint="eastAsia" w:ascii="宋体" w:hAnsi="宋体" w:cs="宋体"/>
                <w:sz w:val="20"/>
                <w:szCs w:val="20"/>
              </w:rPr>
            </w:pPr>
            <w:r>
              <w:rPr>
                <w:rFonts w:hint="eastAsia" w:ascii="宋体" w:hAnsi="宋体" w:cs="宋体"/>
                <w:sz w:val="20"/>
                <w:szCs w:val="20"/>
              </w:rPr>
              <w:t xml:space="preserve">（8）具有强大的检索、查询功能，能够实现任意符合格式的组合条件查询。</w:t>
            </w:r>
            <w:r/>
          </w:p>
          <w:p>
            <w:pPr>
              <w:pStyle w:val="651"/>
              <w:jc w:val="left"/>
              <w:widowControl/>
              <w:rPr>
                <w:rFonts w:hint="eastAsia" w:ascii="宋体" w:hAnsi="宋体" w:cs="宋体"/>
                <w:sz w:val="20"/>
                <w:szCs w:val="20"/>
              </w:rPr>
            </w:pPr>
            <w:r>
              <w:rPr>
                <w:rFonts w:hint="eastAsia" w:ascii="宋体" w:hAnsi="宋体" w:cs="宋体"/>
                <w:sz w:val="20"/>
                <w:szCs w:val="20"/>
              </w:rPr>
              <w:t xml:space="preserve">（9）支持历史信息查询，例如查询曾经任职过人事专员的人员等。</w:t>
            </w:r>
            <w:r/>
          </w:p>
          <w:p>
            <w:pPr>
              <w:pStyle w:val="651"/>
              <w:jc w:val="left"/>
              <w:widowControl/>
              <w:rPr>
                <w:rFonts w:hint="eastAsia" w:ascii="宋体" w:hAnsi="宋体" w:cs="宋体"/>
                <w:sz w:val="20"/>
                <w:szCs w:val="20"/>
              </w:rPr>
            </w:pPr>
            <w:r>
              <w:rPr>
                <w:rFonts w:hint="eastAsia" w:ascii="宋体" w:hAnsi="宋体" w:cs="宋体"/>
                <w:sz w:val="20"/>
                <w:szCs w:val="20"/>
              </w:rPr>
              <w:t xml:space="preserve">（10）▲提供表格设计工具，既可自动生成预定义的各种报表，也可由用户自定义各类报表，轻松绘制或导入表样，取数条件定义简单，具有自动取数，自动校验，自动排版、打印输出等功能，业务用户可根据需要自行设计各种人事卡片，如职工履历表、干部任免表、各种证明等，并可根据需要导出Excel、PDF、Word等多种格式，不需要厂商二次开发。</w:t>
            </w:r>
            <w:r>
              <w:rPr>
                <w:rFonts w:hint="eastAsia" w:ascii="宋体" w:hAnsi="宋体" w:cs="宋体"/>
                <w:b/>
                <w:bCs/>
                <w:sz w:val="20"/>
                <w:szCs w:val="20"/>
                <w:lang w:bidi="ar"/>
              </w:rPr>
              <w:t xml:space="preserve">（投标文件中提供软件界面截图）</w:t>
            </w:r>
            <w:r>
              <w:rPr>
                <w:rFonts w:hint="eastAsia" w:ascii="宋体" w:hAnsi="宋体" w:cs="宋体"/>
                <w:sz w:val="20"/>
                <w:szCs w:val="20"/>
              </w:rPr>
            </w:r>
            <w:r/>
          </w:p>
          <w:p>
            <w:pPr>
              <w:pStyle w:val="651"/>
              <w:jc w:val="left"/>
              <w:widowControl/>
              <w:rPr>
                <w:rFonts w:hint="eastAsia" w:ascii="宋体" w:hAnsi="宋体" w:cs="宋体"/>
                <w:sz w:val="20"/>
                <w:szCs w:val="20"/>
              </w:rPr>
            </w:pPr>
            <w:r>
              <w:rPr>
                <w:rFonts w:hint="eastAsia" w:ascii="宋体" w:hAnsi="宋体" w:cs="宋体"/>
                <w:sz w:val="20"/>
                <w:szCs w:val="20"/>
              </w:rPr>
              <w:t xml:space="preserve">（11）支持人员黑名单管理；支持院外人员管理。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12）能够对职工生日、转正、轮调、职称晋升、薪资晋档、退休、返聘等信息进行自动提醒，并且可以通过邮件、短信等方式提醒相关人员进行及时的处理。预警的内容、条件、时间等能由业务人员根据需要自行定义。预警信息能够直接与相关的业务模板进行关联，对预警出来的人员直接进行业务处理。</w:t>
            </w:r>
            <w:r/>
          </w:p>
          <w:p>
            <w:pPr>
              <w:pStyle w:val="651"/>
              <w:jc w:val="left"/>
              <w:widowControl/>
              <w:rPr>
                <w:rFonts w:hint="eastAsia" w:ascii="宋体" w:hAnsi="宋体" w:cs="宋体"/>
                <w:sz w:val="20"/>
                <w:szCs w:val="20"/>
              </w:rPr>
            </w:pPr>
            <w:r>
              <w:rPr>
                <w:rFonts w:hint="eastAsia" w:ascii="宋体" w:hAnsi="宋体" w:cs="宋体"/>
                <w:sz w:val="20"/>
                <w:szCs w:val="20"/>
              </w:rPr>
              <w:t xml:space="preserve">（13）支持系统根据员工性别自动设置头像图标样式。</w:t>
            </w:r>
            <w:r/>
          </w:p>
          <w:p>
            <w:pPr>
              <w:pStyle w:val="651"/>
              <w:jc w:val="left"/>
              <w:widowControl/>
              <w:rPr>
                <w:rFonts w:hint="eastAsia" w:ascii="宋体" w:hAnsi="宋体" w:cs="宋体"/>
                <w:sz w:val="20"/>
                <w:szCs w:val="20"/>
              </w:rPr>
            </w:pPr>
            <w:r>
              <w:rPr>
                <w:rFonts w:hint="eastAsia" w:ascii="宋体" w:hAnsi="宋体" w:cs="宋体"/>
                <w:sz w:val="20"/>
                <w:szCs w:val="20"/>
              </w:rPr>
              <w:t xml:space="preserve">（14）支持在人员管理系统界面直接维护人员的各类信息。</w:t>
            </w:r>
            <w:r/>
          </w:p>
          <w:p>
            <w:pPr>
              <w:pStyle w:val="651"/>
              <w:jc w:val="left"/>
              <w:widowControl/>
              <w:rPr>
                <w:rFonts w:hint="eastAsia" w:ascii="宋体" w:hAnsi="宋体" w:cs="宋体"/>
                <w:sz w:val="20"/>
                <w:szCs w:val="20"/>
              </w:rPr>
            </w:pPr>
            <w:r>
              <w:rPr>
                <w:rFonts w:hint="eastAsia" w:ascii="宋体" w:hAnsi="宋体" w:cs="宋体"/>
                <w:sz w:val="20"/>
                <w:szCs w:val="20"/>
              </w:rPr>
              <w:t xml:space="preserve">（15）系统支持多版本编制的创建、维护及追溯。</w:t>
            </w:r>
            <w:r/>
          </w:p>
          <w:p>
            <w:pPr>
              <w:pStyle w:val="651"/>
              <w:jc w:val="left"/>
              <w:widowControl/>
              <w:rPr>
                <w:rFonts w:hint="eastAsia" w:ascii="宋体" w:hAnsi="宋体" w:cs="宋体"/>
                <w:sz w:val="20"/>
                <w:szCs w:val="20"/>
              </w:rPr>
            </w:pPr>
            <w:r>
              <w:rPr>
                <w:rFonts w:hint="eastAsia" w:ascii="宋体" w:hAnsi="宋体" w:cs="宋体"/>
                <w:sz w:val="20"/>
                <w:szCs w:val="20"/>
              </w:rPr>
              <w:t xml:space="preserve">（16）系统支持人员信息子集的联动关系配置，当变更一个子集时，同步更新其他相关子集的信息，例如CMI与人才项目、手术带教等的联动关系。</w:t>
            </w:r>
            <w:r/>
          </w:p>
          <w:p>
            <w:pPr>
              <w:pStyle w:val="651"/>
              <w:jc w:val="left"/>
              <w:widowControl/>
              <w:rPr>
                <w:rFonts w:hint="eastAsia" w:ascii="宋体" w:hAnsi="宋体" w:cs="宋体"/>
                <w:sz w:val="20"/>
                <w:szCs w:val="20"/>
              </w:rPr>
            </w:pPr>
            <w:r>
              <w:rPr>
                <w:rFonts w:hint="eastAsia" w:ascii="宋体" w:hAnsi="宋体" w:cs="宋体"/>
                <w:sz w:val="20"/>
                <w:szCs w:val="20"/>
              </w:rPr>
              <w:t xml:space="preserve">（17）支持人力资源系统与其他业务模块的信息联动。</w:t>
            </w:r>
            <w:r/>
          </w:p>
          <w:p>
            <w:pPr>
              <w:pStyle w:val="651"/>
              <w:jc w:val="left"/>
              <w:widowControl/>
              <w:rPr>
                <w:rFonts w:hint="eastAsia" w:ascii="宋体" w:hAnsi="宋体" w:cs="宋体"/>
                <w:sz w:val="20"/>
                <w:szCs w:val="20"/>
              </w:rPr>
            </w:pPr>
            <w:r>
              <w:rPr>
                <w:rFonts w:hint="eastAsia" w:ascii="宋体" w:hAnsi="宋体" w:cs="宋体"/>
                <w:sz w:val="20"/>
                <w:szCs w:val="20"/>
              </w:rPr>
              <w:t xml:space="preserve">（18）对人员所有附件进行分类管理和整理。</w:t>
            </w:r>
            <w:r/>
          </w:p>
          <w:p>
            <w:pPr>
              <w:pStyle w:val="651"/>
              <w:jc w:val="left"/>
              <w:widowControl/>
              <w:rPr>
                <w:rFonts w:hint="eastAsia" w:ascii="宋体" w:hAnsi="宋体" w:cs="宋体"/>
                <w:sz w:val="20"/>
                <w:szCs w:val="20"/>
              </w:rPr>
            </w:pPr>
            <w:r>
              <w:rPr>
                <w:rFonts w:hint="eastAsia" w:ascii="宋体" w:hAnsi="宋体" w:cs="宋体"/>
                <w:sz w:val="20"/>
                <w:szCs w:val="20"/>
              </w:rPr>
              <w:t xml:space="preserve">（19）系统支持设置必填和非必填字段，类型配置以及修改方式如立即执行、到时间执行和到时间执行，返回。</w:t>
            </w:r>
            <w:r/>
          </w:p>
          <w:p>
            <w:pPr>
              <w:pStyle w:val="651"/>
              <w:jc w:val="left"/>
              <w:widowControl/>
              <w:rPr>
                <w:rFonts w:hint="eastAsia" w:ascii="宋体" w:hAnsi="宋体" w:cs="宋体"/>
                <w:sz w:val="20"/>
                <w:szCs w:val="20"/>
              </w:rPr>
            </w:pPr>
            <w:r>
              <w:rPr>
                <w:rFonts w:hint="eastAsia" w:ascii="宋体" w:hAnsi="宋体" w:cs="宋体"/>
                <w:sz w:val="20"/>
                <w:szCs w:val="20"/>
              </w:rPr>
              <w:t xml:space="preserve">（20）支持自助信息配置，直批、审批流设置，支持按字段按子集设置。</w:t>
            </w:r>
            <w:r/>
          </w:p>
          <w:p>
            <w:pPr>
              <w:pStyle w:val="651"/>
              <w:jc w:val="left"/>
              <w:widowControl/>
              <w:rPr>
                <w:rFonts w:hint="eastAsia" w:ascii="宋体" w:hAnsi="宋体" w:cs="宋体"/>
                <w:sz w:val="20"/>
                <w:szCs w:val="20"/>
              </w:rPr>
            </w:pPr>
            <w:r>
              <w:rPr>
                <w:rFonts w:hint="eastAsia" w:ascii="宋体" w:hAnsi="宋体" w:cs="宋体"/>
                <w:sz w:val="20"/>
                <w:szCs w:val="20"/>
              </w:rPr>
              <w:t xml:space="preserve">（21）系统支持统计子女累积报销次数。</w:t>
            </w:r>
            <w:r/>
          </w:p>
          <w:p>
            <w:pPr>
              <w:pStyle w:val="651"/>
              <w:jc w:val="left"/>
              <w:widowControl/>
              <w:rPr>
                <w:rFonts w:hint="eastAsia" w:ascii="宋体" w:hAnsi="宋体" w:cs="宋体"/>
                <w:sz w:val="20"/>
                <w:szCs w:val="20"/>
              </w:rPr>
            </w:pPr>
            <w:r>
              <w:rPr>
                <w:rFonts w:hint="eastAsia" w:ascii="宋体" w:hAnsi="宋体" w:cs="宋体"/>
                <w:sz w:val="20"/>
                <w:szCs w:val="20"/>
              </w:rPr>
              <w:t xml:space="preserve">3.岗位管理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（1）能建立适合医院运行的岗位体系，包括岗位分类（如医、护、药、技、管理、工勤等）、岗位级别（如：院长、科主任、主任医师、主治医师、住院医师等），维护简易便捷。</w:t>
            </w:r>
            <w:r/>
          </w:p>
          <w:p>
            <w:pPr>
              <w:pStyle w:val="651"/>
              <w:jc w:val="left"/>
              <w:widowControl/>
              <w:rPr>
                <w:rFonts w:hint="eastAsia" w:ascii="宋体" w:hAnsi="宋体" w:cs="宋体"/>
                <w:sz w:val="20"/>
                <w:szCs w:val="20"/>
              </w:rPr>
            </w:pPr>
            <w:r>
              <w:rPr>
                <w:rFonts w:hint="eastAsia" w:ascii="宋体" w:hAnsi="宋体" w:cs="宋体"/>
                <w:sz w:val="20"/>
                <w:szCs w:val="20"/>
              </w:rPr>
              <w:t xml:space="preserve">（2）能够对各岗位工作职责、任职资格、隶属关系等信息进行维护，形成规范的岗位任职体系，制作各岗位的岗位说明书，点击岗位体系各单元能够展示各岗位说明书，支持职位说明书的导入导出功能；</w:t>
            </w:r>
            <w:r/>
          </w:p>
          <w:p>
            <w:pPr>
              <w:pStyle w:val="651"/>
              <w:jc w:val="left"/>
              <w:widowControl/>
              <w:rPr>
                <w:rFonts w:hint="eastAsia" w:ascii="宋体" w:hAnsi="宋体" w:cs="宋体"/>
                <w:sz w:val="20"/>
                <w:szCs w:val="20"/>
              </w:rPr>
            </w:pPr>
            <w:r>
              <w:rPr>
                <w:rFonts w:hint="eastAsia" w:ascii="宋体" w:hAnsi="宋体" w:cs="宋体"/>
                <w:sz w:val="20"/>
                <w:szCs w:val="20"/>
              </w:rPr>
              <w:t xml:space="preserve">（3）能够直观展示隶属关系图，并能够进行调整和修改；</w:t>
            </w:r>
            <w:r/>
          </w:p>
          <w:p>
            <w:pPr>
              <w:pStyle w:val="651"/>
              <w:jc w:val="left"/>
              <w:widowControl/>
              <w:rPr>
                <w:rFonts w:hint="eastAsia" w:ascii="宋体" w:hAnsi="宋体" w:cs="宋体"/>
                <w:sz w:val="20"/>
                <w:szCs w:val="20"/>
              </w:rPr>
            </w:pPr>
            <w:r>
              <w:rPr>
                <w:rFonts w:hint="eastAsia" w:ascii="宋体" w:hAnsi="宋体" w:cs="宋体"/>
                <w:sz w:val="20"/>
                <w:szCs w:val="20"/>
              </w:rPr>
              <w:t xml:space="preserve">（4）要能够进行岗位的新建、更名、撤销等业务的处理。</w:t>
            </w:r>
            <w:r/>
          </w:p>
          <w:p>
            <w:pPr>
              <w:pStyle w:val="651"/>
              <w:jc w:val="left"/>
              <w:widowControl/>
              <w:rPr>
                <w:rFonts w:hint="eastAsia" w:ascii="宋体" w:hAnsi="宋体" w:cs="宋体"/>
                <w:sz w:val="20"/>
                <w:szCs w:val="20"/>
              </w:rPr>
            </w:pPr>
            <w:r>
              <w:rPr>
                <w:rFonts w:hint="eastAsia" w:ascii="宋体" w:hAnsi="宋体" w:cs="宋体"/>
                <w:sz w:val="20"/>
                <w:szCs w:val="20"/>
              </w:rPr>
              <w:t xml:space="preserve">4.人员变动管理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应满足员工通过招聘入职进入系统之后，所发生的一切调整变动的记录和过程管理，包括员工的岗位调整、部门调整、跨单位调动、职级变化以及不同类型的离职等的业务处理。</w:t>
            </w:r>
            <w:r/>
          </w:p>
          <w:p>
            <w:pPr>
              <w:pStyle w:val="651"/>
              <w:jc w:val="left"/>
              <w:widowControl/>
              <w:rPr>
                <w:rFonts w:hint="eastAsia" w:ascii="宋体" w:hAnsi="宋体" w:cs="宋体"/>
                <w:sz w:val="20"/>
                <w:szCs w:val="20"/>
              </w:rPr>
            </w:pPr>
            <w:r>
              <w:rPr>
                <w:rFonts w:hint="eastAsia" w:ascii="宋体" w:hAnsi="宋体" w:cs="宋体"/>
                <w:sz w:val="20"/>
                <w:szCs w:val="20"/>
              </w:rPr>
              <w:t xml:space="preserve">（1）支持内部晋升、降职，辞职、调离、退休、交流、挂职、长期病假、脱产学习培训、待岗、停薪留职等人员异动的规范处理与结果自动归档。</w:t>
            </w:r>
            <w:r/>
          </w:p>
          <w:p>
            <w:pPr>
              <w:pStyle w:val="651"/>
              <w:jc w:val="left"/>
              <w:widowControl/>
              <w:rPr>
                <w:rFonts w:hint="eastAsia" w:ascii="宋体" w:hAnsi="宋体" w:cs="宋体"/>
                <w:sz w:val="20"/>
                <w:szCs w:val="20"/>
              </w:rPr>
            </w:pPr>
            <w:r>
              <w:rPr>
                <w:rFonts w:hint="eastAsia" w:ascii="宋体" w:hAnsi="宋体" w:cs="宋体"/>
                <w:sz w:val="20"/>
                <w:szCs w:val="20"/>
              </w:rPr>
              <w:t xml:space="preserve">（2）支持人员的调配、兼职、离职业务的申请、审批、执行，并将执行结果反馈到人员档案。</w:t>
            </w:r>
            <w:r/>
          </w:p>
          <w:p>
            <w:pPr>
              <w:pStyle w:val="651"/>
              <w:jc w:val="left"/>
              <w:widowControl/>
              <w:rPr>
                <w:rFonts w:hint="eastAsia" w:ascii="宋体" w:hAnsi="宋体" w:cs="宋体"/>
                <w:sz w:val="20"/>
                <w:szCs w:val="20"/>
              </w:rPr>
            </w:pPr>
            <w:r>
              <w:rPr>
                <w:rFonts w:hint="eastAsia" w:ascii="宋体" w:hAnsi="宋体" w:cs="宋体"/>
                <w:sz w:val="20"/>
                <w:szCs w:val="20"/>
              </w:rPr>
              <w:t xml:space="preserve">（3）能够由医院灵活自行设计各种人员调配业务表单，能够基于表单设计调配前后业务规则，自动计算关联项，数据结果自动归档，满足对人员调配业务的规范办理与数据归档。</w:t>
            </w:r>
            <w:r/>
          </w:p>
          <w:p>
            <w:pPr>
              <w:pStyle w:val="651"/>
              <w:jc w:val="left"/>
              <w:widowControl/>
              <w:rPr>
                <w:rFonts w:hint="eastAsia" w:ascii="宋体" w:hAnsi="宋体" w:cs="宋体"/>
                <w:sz w:val="20"/>
                <w:szCs w:val="20"/>
              </w:rPr>
            </w:pPr>
            <w:r>
              <w:rPr>
                <w:rFonts w:hint="eastAsia" w:ascii="宋体" w:hAnsi="宋体" w:cs="宋体"/>
                <w:sz w:val="20"/>
                <w:szCs w:val="20"/>
              </w:rPr>
              <w:t xml:space="preserve">（4）审批流程可采用自动流转、手工指派等规则进行处理，满足不同的审批工作需要。</w:t>
            </w:r>
            <w:r/>
          </w:p>
          <w:p>
            <w:pPr>
              <w:pStyle w:val="651"/>
              <w:jc w:val="left"/>
              <w:widowControl/>
              <w:rPr>
                <w:rFonts w:hint="eastAsia" w:ascii="宋体" w:hAnsi="宋体" w:cs="宋体"/>
                <w:sz w:val="20"/>
                <w:szCs w:val="20"/>
              </w:rPr>
            </w:pPr>
            <w:r>
              <w:rPr>
                <w:rFonts w:hint="eastAsia" w:ascii="宋体" w:hAnsi="宋体" w:cs="宋体"/>
                <w:sz w:val="20"/>
                <w:szCs w:val="20"/>
              </w:rPr>
              <w:t xml:space="preserve">（5）工作流程处理，一个人员调配业务办理结束后，可以根据业务的关联关系，自动触发接下来的业务处理。</w:t>
            </w:r>
            <w:r/>
          </w:p>
          <w:p>
            <w:pPr>
              <w:pStyle w:val="651"/>
              <w:jc w:val="left"/>
              <w:widowControl/>
              <w:rPr>
                <w:rFonts w:hint="eastAsia" w:ascii="宋体" w:hAnsi="宋体" w:cs="宋体"/>
                <w:sz w:val="20"/>
                <w:szCs w:val="20"/>
              </w:rPr>
            </w:pPr>
            <w:r>
              <w:rPr>
                <w:rFonts w:hint="eastAsia" w:ascii="宋体" w:hAnsi="宋体" w:cs="宋体"/>
                <w:sz w:val="20"/>
                <w:szCs w:val="20"/>
              </w:rPr>
              <w:t xml:space="preserve">（6）系统可以通过站内信、邮件、短信多种形式发起待办通知，提示工作人员及时处理相应流程，并可以对流程的审批进度实时监控。</w:t>
            </w:r>
            <w:r/>
          </w:p>
          <w:p>
            <w:pPr>
              <w:pStyle w:val="651"/>
              <w:jc w:val="left"/>
              <w:widowControl/>
              <w:rPr>
                <w:rFonts w:hint="eastAsia" w:ascii="宋体" w:hAnsi="宋体" w:cs="宋体"/>
                <w:sz w:val="20"/>
                <w:szCs w:val="20"/>
              </w:rPr>
            </w:pPr>
            <w:r>
              <w:rPr>
                <w:rFonts w:hint="eastAsia" w:ascii="宋体" w:hAnsi="宋体" w:cs="宋体"/>
                <w:sz w:val="20"/>
                <w:szCs w:val="20"/>
              </w:rPr>
              <w:t xml:space="preserve">（7）具有表单的输出、打印等功能，能够配合线下审批或存档应用。</w:t>
            </w:r>
            <w:r/>
          </w:p>
          <w:p>
            <w:pPr>
              <w:pStyle w:val="651"/>
              <w:jc w:val="left"/>
              <w:widowControl/>
              <w:rPr>
                <w:rFonts w:hint="eastAsia" w:ascii="宋体" w:hAnsi="宋体" w:cs="宋体"/>
                <w:sz w:val="20"/>
                <w:szCs w:val="20"/>
              </w:rPr>
            </w:pPr>
            <w:r>
              <w:rPr>
                <w:rFonts w:hint="eastAsia" w:ascii="宋体" w:hAnsi="宋体" w:cs="宋体"/>
                <w:sz w:val="20"/>
                <w:szCs w:val="20"/>
              </w:rPr>
              <w:t xml:space="preserve">（8）业务办理结束后能够将人员异动信息自动归档到人员信息子集中，无需手工再次录入，避免由手工维护带来的信息维护不及时，信息维护错误等人为失误。</w:t>
            </w:r>
            <w:r/>
          </w:p>
          <w:p>
            <w:pPr>
              <w:pStyle w:val="651"/>
              <w:jc w:val="left"/>
              <w:widowControl/>
              <w:rPr>
                <w:rFonts w:hint="eastAsia" w:ascii="宋体" w:hAnsi="宋体" w:cs="宋体"/>
                <w:sz w:val="20"/>
                <w:szCs w:val="20"/>
              </w:rPr>
            </w:pPr>
            <w:r>
              <w:rPr>
                <w:rFonts w:hint="eastAsia" w:ascii="宋体" w:hAnsi="宋体" w:cs="宋体"/>
                <w:sz w:val="20"/>
                <w:szCs w:val="20"/>
              </w:rPr>
              <w:t xml:space="preserve">（9）支持拟录用员工的预入职管理，待入职员工在入职前，可自行进入系统填写个人信息，并创建临时用户，以个人身份证号作为临时用户编码，初始化密码为临时用户密码，并支持设置开始日期及生效天数。</w:t>
            </w:r>
            <w:r/>
          </w:p>
          <w:p>
            <w:pPr>
              <w:pStyle w:val="651"/>
              <w:jc w:val="left"/>
              <w:widowControl/>
              <w:rPr>
                <w:rFonts w:hint="eastAsia" w:ascii="宋体" w:hAnsi="宋体" w:cs="宋体"/>
                <w:sz w:val="20"/>
                <w:szCs w:val="20"/>
              </w:rPr>
            </w:pPr>
            <w:r>
              <w:rPr>
                <w:rFonts w:hint="eastAsia" w:ascii="宋体" w:hAnsi="宋体" w:cs="宋体"/>
                <w:sz w:val="20"/>
                <w:szCs w:val="20"/>
              </w:rPr>
              <w:t xml:space="preserve">（10）支持动态、实时统计临时账号数量等信息。</w:t>
            </w:r>
            <w:r/>
          </w:p>
          <w:p>
            <w:pPr>
              <w:pStyle w:val="651"/>
              <w:jc w:val="left"/>
              <w:widowControl/>
              <w:rPr>
                <w:rFonts w:hint="eastAsia" w:ascii="宋体" w:hAnsi="宋体" w:cs="宋体"/>
                <w:sz w:val="20"/>
                <w:szCs w:val="20"/>
              </w:rPr>
            </w:pPr>
            <w:r>
              <w:rPr>
                <w:rFonts w:hint="eastAsia" w:ascii="宋体" w:hAnsi="宋体" w:cs="宋体"/>
                <w:sz w:val="20"/>
                <w:szCs w:val="20"/>
              </w:rPr>
              <w:t xml:space="preserve">（11）支持人员离退管理与离退工作移交、退休工作移交，并提供附件上传及流程审批功能。</w:t>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widowControl/>
              <w:rPr>
                <w:rFonts w:hint="eastAsia" w:ascii="宋体" w:hAnsi="宋体" w:cs="宋体"/>
                <w:szCs w:val="21"/>
              </w:rPr>
            </w:pPr>
            <w:r>
              <w:rPr>
                <w:rFonts w:ascii="宋体" w:hAnsi="宋体" w:cs="宋体"/>
                <w:szCs w:val="21"/>
              </w:rPr>
              <w:t xml:space="preserve">AI智能体平台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1．报销管理智能服务</w:t>
            </w:r>
            <w:r/>
          </w:p>
          <w:p>
            <w:pPr>
              <w:pStyle w:val="651"/>
              <w:jc w:val="left"/>
              <w:widowControl/>
              <w:rPr>
                <w:rFonts w:hint="eastAsia" w:ascii="宋体" w:hAnsi="宋体" w:cs="宋体"/>
                <w:sz w:val="20"/>
                <w:szCs w:val="20"/>
              </w:rPr>
            </w:pPr>
            <w:r>
              <w:rPr>
                <w:rFonts w:hint="eastAsia" w:ascii="宋体" w:hAnsi="宋体" w:cs="宋体"/>
                <w:sz w:val="20"/>
                <w:szCs w:val="20"/>
              </w:rPr>
              <w:t xml:space="preserve">报销知识库智能问询：知识库全面整合报销政策文本、流程说明、费用标准、表格模板及图表信息。医院员工可采用自然语言或语音方式，与系统进行人机交互，系统将自动在知识库中精准检索相关政策依据，结合上下文理解用户意图，生成准确、可解释的回复，并附带出处文件及条款依据。</w:t>
            </w:r>
            <w:r/>
          </w:p>
          <w:p>
            <w:pPr>
              <w:pStyle w:val="651"/>
              <w:jc w:val="left"/>
              <w:widowControl/>
              <w:rPr>
                <w:rFonts w:hint="eastAsia" w:ascii="宋体" w:hAnsi="宋体" w:cs="宋体"/>
                <w:sz w:val="20"/>
                <w:szCs w:val="20"/>
              </w:rPr>
            </w:pPr>
            <w:r>
              <w:rPr>
                <w:rFonts w:hint="eastAsia" w:ascii="宋体" w:hAnsi="宋体" w:cs="宋体"/>
                <w:sz w:val="20"/>
                <w:szCs w:val="20"/>
              </w:rPr>
              <w:t xml:space="preserve">发票智能归集：深度融合先进的OCR与AI图像识别技术，具备对增值税发票、电子普通发票、火车票、飞机行程单、出租车票等各类报销票据的自动识别能力。针对差旅报销中多行程、多票据混杂的复杂场景，智能匹配与归类，清晰还原每一项差旅任务的实际行程轨迹。</w:t>
            </w:r>
            <w:r/>
          </w:p>
          <w:p>
            <w:pPr>
              <w:pStyle w:val="651"/>
              <w:jc w:val="left"/>
              <w:widowControl/>
              <w:rPr>
                <w:rFonts w:hint="eastAsia" w:ascii="宋体" w:hAnsi="宋体" w:cs="宋体"/>
                <w:sz w:val="20"/>
                <w:szCs w:val="20"/>
              </w:rPr>
            </w:pPr>
            <w:r>
              <w:rPr>
                <w:rFonts w:hint="eastAsia" w:ascii="宋体" w:hAnsi="宋体" w:cs="宋体"/>
                <w:sz w:val="20"/>
                <w:szCs w:val="20"/>
              </w:rPr>
              <w:t xml:space="preserve">报销单智能生成：系统在完成“发票智能归集”后，可将从识别的属于同一行程或业务事项的关联票据中提取关键信息智能填充至标准报销单模板中，一键生成结构完整、数据准确的对应行程或业务事项报销申请。</w:t>
            </w:r>
            <w:r/>
          </w:p>
          <w:p>
            <w:pPr>
              <w:pStyle w:val="651"/>
              <w:jc w:val="left"/>
              <w:widowControl/>
              <w:rPr>
                <w:rFonts w:hint="eastAsia" w:ascii="宋体" w:hAnsi="宋体" w:cs="宋体"/>
                <w:sz w:val="20"/>
                <w:szCs w:val="20"/>
              </w:rPr>
            </w:pPr>
            <w:r>
              <w:rPr>
                <w:rFonts w:hint="eastAsia" w:ascii="宋体" w:hAnsi="宋体" w:cs="宋体"/>
                <w:sz w:val="20"/>
                <w:szCs w:val="20"/>
              </w:rPr>
              <w:t xml:space="preserve">报销单智能预审：搭载全自定义的智能审核规则引擎，支持医院管理人员根据自身管理要求和报销制度，灵活配置多维度审核规则，涵盖费用标准（如住宿费、交通费限额）、票据合规性、行程逻辑一致性、预算关联性、审批权限等多个维度，并可随政策调整动态更新。</w:t>
            </w:r>
            <w:r/>
          </w:p>
          <w:p>
            <w:pPr>
              <w:pStyle w:val="651"/>
              <w:jc w:val="left"/>
              <w:widowControl/>
              <w:rPr>
                <w:rFonts w:hint="eastAsia" w:ascii="宋体" w:hAnsi="宋体" w:cs="宋体"/>
                <w:sz w:val="20"/>
                <w:szCs w:val="20"/>
              </w:rPr>
            </w:pPr>
            <w:r>
              <w:rPr>
                <w:rFonts w:hint="eastAsia" w:ascii="宋体" w:hAnsi="宋体" w:cs="宋体"/>
                <w:sz w:val="20"/>
                <w:szCs w:val="20"/>
              </w:rPr>
              <w:t xml:space="preserve">2．移动助手</w:t>
            </w:r>
            <w:r/>
          </w:p>
          <w:p>
            <w:pPr>
              <w:pStyle w:val="651"/>
              <w:jc w:val="left"/>
              <w:widowControl/>
              <w:rPr>
                <w:rFonts w:hint="eastAsia" w:ascii="宋体" w:hAnsi="宋体" w:cs="宋体"/>
                <w:sz w:val="20"/>
                <w:szCs w:val="20"/>
              </w:rPr>
            </w:pPr>
            <w:r>
              <w:rPr>
                <w:rFonts w:hint="eastAsia" w:ascii="宋体" w:hAnsi="宋体" w:cs="宋体"/>
                <w:sz w:val="20"/>
                <w:szCs w:val="20"/>
              </w:rPr>
              <w:t xml:space="preserve">系统以微信小程序形态部署，支持iOS与Android主流移动操作系统，用户可通过微信一键访问，无需额外安装独立App，降低使用门槛并保障分发安全。</w:t>
            </w:r>
            <w:r/>
          </w:p>
        </w:tc>
      </w:tr>
      <w:tr>
        <w:trPr>
          <w:cantSplit/>
          <w:trHeight w:val="1320"/>
        </w:trPr>
        <w:tc>
          <w:tcPr>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pStyle w:val="651"/>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651"/>
              <w:widowControl/>
              <w:rPr>
                <w:rFonts w:hint="eastAsia" w:ascii="宋体" w:hAnsi="宋体" w:cs="宋体"/>
                <w:szCs w:val="21"/>
              </w:rPr>
            </w:pPr>
            <w:r>
              <w:rPr>
                <w:rFonts w:hint="eastAsia"/>
              </w:rPr>
              <w:t xml:space="preserve">医共体监管决策大屏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3" w:type="dxa"/>
            <w:vAlign w:val="center"/>
            <w:textDirection w:val="lrTb"/>
            <w:noWrap w:val="false"/>
          </w:tcPr>
          <w:p>
            <w:pPr>
              <w:pStyle w:val="651"/>
              <w:jc w:val="left"/>
              <w:widowControl/>
              <w:rPr>
                <w:rFonts w:hint="eastAsia" w:ascii="宋体" w:hAnsi="宋体" w:cs="宋体"/>
                <w:sz w:val="20"/>
                <w:szCs w:val="20"/>
              </w:rPr>
            </w:pPr>
            <w:r>
              <w:rPr>
                <w:rFonts w:hint="eastAsia" w:ascii="宋体" w:hAnsi="宋体" w:cs="宋体"/>
                <w:sz w:val="20"/>
                <w:szCs w:val="20"/>
              </w:rPr>
              <w:t xml:space="preserve">财务主题：对各类财务报表、相关数据进行图表化展示,直观展示各项财务指标及效益情况;</w:t>
            </w:r>
            <w:r/>
          </w:p>
          <w:p>
            <w:pPr>
              <w:pStyle w:val="651"/>
              <w:jc w:val="left"/>
              <w:widowControl/>
              <w:rPr>
                <w:rFonts w:hint="eastAsia" w:ascii="宋体" w:hAnsi="宋体" w:cs="宋体"/>
                <w:sz w:val="20"/>
                <w:szCs w:val="20"/>
              </w:rPr>
            </w:pPr>
            <w:r>
              <w:rPr>
                <w:rFonts w:hint="eastAsia" w:ascii="宋体" w:hAnsi="宋体" w:cs="宋体"/>
                <w:sz w:val="20"/>
                <w:szCs w:val="20"/>
              </w:rPr>
              <w:t xml:space="preserve">资产主题：对医院各类资产的基本信息、使用情况等进行图表化展示,并实时展示资产的维修信息、维修进度等,做到资产的实时精准管理;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成本主题：包括全成本分析、DRG分析、DIP分值-病种成本分析矩阵、病种分析、科室成本分析报告、成本分析报告等子功能。从成本收益、成本结构、成本分析等多维度展示各类成本分析报表,并对异常成本数据进行预警管理。</w:t>
            </w:r>
            <w:r/>
          </w:p>
          <w:p>
            <w:pPr>
              <w:pStyle w:val="651"/>
              <w:jc w:val="left"/>
              <w:widowControl/>
              <w:rPr>
                <w:rFonts w:hint="eastAsia" w:ascii="宋体" w:hAnsi="宋体" w:cs="宋体"/>
                <w:sz w:val="20"/>
                <w:szCs w:val="20"/>
              </w:rPr>
            </w:pPr>
            <w:r>
              <w:rPr>
                <w:rFonts w:hint="eastAsia" w:ascii="宋体" w:hAnsi="宋体" w:cs="宋体"/>
                <w:sz w:val="20"/>
                <w:szCs w:val="20"/>
              </w:rPr>
              <w:t xml:space="preserve">预算主题：对全面预算整体执行情况、科室执行情况进行分析,并生成预算分析报告,便于医院管理者对预算进行全面控制,并及时做出预算调整等决策。</w:t>
            </w:r>
            <w:r/>
          </w:p>
        </w:tc>
      </w:tr>
    </w:tbl>
    <w:p>
      <w:pPr>
        <w:pStyle w:val="651"/>
        <w:ind w:firstLine="482"/>
        <w:tabs>
          <w:tab w:val="left" w:pos="0" w:leader="none"/>
        </w:tabs>
        <w:rPr>
          <w:rFonts w:hint="eastAsia" w:ascii="宋体" w:hAnsi="宋体" w:cs="宋体"/>
          <w:b/>
          <w:bCs/>
          <w:szCs w:val="24"/>
        </w:rPr>
        <w:outlineLvl w:val="1"/>
      </w:pPr>
      <w:r>
        <w:rPr>
          <w:rFonts w:hint="eastAsia" w:ascii="宋体" w:hAnsi="宋体" w:cs="宋体"/>
          <w:b/>
          <w:bCs/>
          <w:szCs w:val="24"/>
        </w:rPr>
      </w:r>
      <w:r/>
    </w:p>
    <w:p>
      <w:pPr>
        <w:pStyle w:val="651"/>
        <w:ind w:firstLine="482"/>
        <w:keepLines/>
        <w:keepNext/>
        <w:spacing w:line="360" w:lineRule="auto"/>
        <w:rPr>
          <w:rFonts w:hint="eastAsia" w:ascii="Calibri" w:hAnsi="Calibri"/>
          <w:b/>
          <w:i/>
          <w:color w:val="ff0000"/>
          <w:szCs w:val="21"/>
          <w:u w:val="single"/>
        </w:rPr>
        <w:outlineLvl w:val="1"/>
      </w:pPr>
      <w:r>
        <w:rPr>
          <w:rFonts w:hint="eastAsia"/>
          <w:b/>
          <w:i/>
          <w:color w:val="ff0000"/>
          <w:szCs w:val="21"/>
          <w:u w:val="single"/>
        </w:rPr>
        <w:t xml:space="preserve">五、供货要求</w:t>
      </w:r>
      <w:r>
        <w:rPr>
          <w:rFonts w:hint="eastAsia" w:ascii="Calibri" w:hAnsi="Calibri"/>
          <w:b/>
          <w:i/>
          <w:color w:val="ff0000"/>
          <w:szCs w:val="21"/>
          <w:u w:val="single"/>
        </w:rPr>
      </w:r>
      <w:r/>
    </w:p>
    <w:p>
      <w:pPr>
        <w:pStyle w:val="651"/>
        <w:ind w:firstLine="482"/>
        <w:spacing w:line="360" w:lineRule="auto"/>
        <w:rPr>
          <w:b/>
          <w:i/>
          <w:color w:val="ff0000"/>
          <w:szCs w:val="21"/>
          <w:u w:val="single"/>
        </w:rPr>
      </w:pPr>
      <w:r>
        <w:rPr>
          <w:b/>
          <w:i/>
          <w:color w:val="ff0000"/>
          <w:szCs w:val="21"/>
          <w:u w:val="single"/>
        </w:rPr>
        <w:t xml:space="preserve">1</w:t>
      </w:r>
      <w:r>
        <w:rPr>
          <w:rFonts w:hint="eastAsia"/>
          <w:b/>
          <w:i/>
          <w:color w:val="ff0000"/>
          <w:szCs w:val="21"/>
          <w:u w:val="single"/>
        </w:rPr>
        <w:t xml:space="preserve">、中标人所提供的软件产品（含配套授权、组件、工具及附属资料）须为全新正版、未授权复用的合规原厂产品，软件授权完整有效，不存在版权纠纷。软件产品须依据国家现行相关标准规范进行设计开发，完全响应招标文件各项要求，产品质量、技术参数、功能性能须达到或优于本项目采购需求，为技术成熟、运行稳定的正式发行版本。软件交付版本无程序缺陷、逻辑错误，配套授权文件、文档资料齐全完整。</w:t>
      </w:r>
      <w:r>
        <w:rPr>
          <w:b/>
          <w:i/>
          <w:color w:val="ff0000"/>
          <w:szCs w:val="21"/>
          <w:u w:val="single"/>
        </w:rPr>
      </w:r>
      <w:r/>
    </w:p>
    <w:p>
      <w:pPr>
        <w:pStyle w:val="651"/>
        <w:ind w:firstLine="482"/>
        <w:keepLines/>
        <w:keepNext/>
        <w:spacing w:line="360" w:lineRule="auto"/>
        <w:rPr>
          <w:b/>
          <w:i/>
          <w:color w:val="ff0000"/>
          <w:szCs w:val="21"/>
          <w:u w:val="single"/>
        </w:rPr>
        <w:outlineLvl w:val="1"/>
      </w:pPr>
      <w:r>
        <w:rPr>
          <w:b/>
          <w:i/>
          <w:color w:val="ff0000"/>
          <w:szCs w:val="21"/>
          <w:u w:val="single"/>
        </w:rPr>
        <w:t xml:space="preserve">2</w:t>
      </w:r>
      <w:r>
        <w:rPr>
          <w:rFonts w:hint="eastAsia"/>
          <w:b/>
          <w:i/>
          <w:color w:val="ff0000"/>
          <w:szCs w:val="21"/>
          <w:u w:val="single"/>
        </w:rPr>
        <w:t xml:space="preserve">、本项目软件系统在得到正确部署实施、规范操作及日常运维管理条件下，应能够在软件生命周期内稳定可靠运行。在约定质保期内，因中标人侧的方案设计、程序开发、代码实现、配置适配等缺陷引发的软件故障、功能异常，由中标人承担全部责任并免费修复。软件及配套授权、资料交付时须完整齐全，若出现授权缺失、组件遗漏、介质或文档损坏、版本异常等问题，由中标人负责补齐、更正或承担相应赔偿责任。</w:t>
      </w:r>
      <w:r>
        <w:rPr>
          <w:b/>
          <w:i/>
          <w:color w:val="ff0000"/>
          <w:szCs w:val="21"/>
          <w:u w:val="single"/>
        </w:rPr>
      </w:r>
      <w:r/>
    </w:p>
    <w:p>
      <w:pPr>
        <w:pStyle w:val="651"/>
        <w:ind w:firstLine="482"/>
        <w:keepLines/>
        <w:keepNext/>
        <w:spacing w:line="360" w:lineRule="auto"/>
        <w:rPr>
          <w:b/>
          <w:i/>
          <w:color w:val="ff0000"/>
          <w:szCs w:val="21"/>
          <w:u w:val="single"/>
        </w:rPr>
        <w:outlineLvl w:val="1"/>
      </w:pPr>
      <w:r>
        <w:rPr>
          <w:b/>
          <w:i/>
          <w:color w:val="ff0000"/>
          <w:szCs w:val="21"/>
          <w:u w:val="single"/>
        </w:rPr>
        <w:t xml:space="preserve">3</w:t>
      </w:r>
      <w:r>
        <w:rPr>
          <w:rFonts w:hint="eastAsia"/>
          <w:b/>
          <w:i/>
          <w:color w:val="ff0000"/>
          <w:szCs w:val="21"/>
          <w:u w:val="single"/>
        </w:rPr>
        <w:t xml:space="preserve">、项目系统正式验收完成前，已交付软件介质、授权资料、部署环境及项目相关成果资料的保管、数据安全风险由中标人承担。中标人负责将全部软件成果、授权许可、技术资料交付至采购人指定地点，完成软件介质、资料的运送移交工作，相关运输、移交所产生全部费用由中标人承担。</w:t>
      </w:r>
      <w:r>
        <w:rPr>
          <w:b/>
          <w:i/>
          <w:color w:val="ff0000"/>
          <w:szCs w:val="21"/>
          <w:u w:val="single"/>
        </w:rPr>
      </w:r>
      <w:r/>
    </w:p>
    <w:p>
      <w:pPr>
        <w:pStyle w:val="651"/>
        <w:ind w:firstLine="482"/>
        <w:keepLines/>
        <w:keepNext/>
        <w:spacing w:line="360" w:lineRule="auto"/>
        <w:rPr>
          <w:b/>
          <w:i/>
          <w:color w:val="ff0000"/>
          <w:szCs w:val="21"/>
          <w:u w:val="single"/>
        </w:rPr>
        <w:outlineLvl w:val="1"/>
      </w:pPr>
      <w:r>
        <w:rPr>
          <w:b/>
          <w:i/>
          <w:color w:val="ff0000"/>
          <w:szCs w:val="21"/>
          <w:u w:val="single"/>
        </w:rPr>
        <w:t xml:space="preserve">4</w:t>
      </w:r>
      <w:r>
        <w:rPr>
          <w:rFonts w:hint="eastAsia"/>
          <w:b/>
          <w:i/>
          <w:color w:val="ff0000"/>
          <w:szCs w:val="21"/>
          <w:u w:val="single"/>
        </w:rPr>
        <w:t xml:space="preserve">、中标人交付完整软件产品、授权许可及全套技术资料的同时，须完成全部规范合规的软件部署、安装、配置调试工作。实施过程所需各类部署工具、专用软件工具、调试环境均由中标人自行提供。</w:t>
      </w:r>
      <w:r>
        <w:rPr>
          <w:b/>
          <w:i/>
          <w:color w:val="ff0000"/>
          <w:szCs w:val="21"/>
          <w:u w:val="single"/>
        </w:rPr>
      </w:r>
      <w:r/>
    </w:p>
    <w:p>
      <w:pPr>
        <w:pStyle w:val="651"/>
        <w:ind w:firstLine="482"/>
        <w:spacing w:line="360" w:lineRule="auto"/>
        <w:rPr>
          <w:b/>
          <w:i/>
          <w:color w:val="ff0000"/>
          <w:szCs w:val="21"/>
          <w:highlight w:val="yellow"/>
          <w:u w:val="single"/>
        </w:rPr>
      </w:pPr>
      <w:r>
        <w:rPr>
          <w:b/>
          <w:i/>
          <w:color w:val="ff0000"/>
          <w:szCs w:val="21"/>
          <w:u w:val="single"/>
        </w:rPr>
        <w:t xml:space="preserve">5</w:t>
      </w:r>
      <w:r>
        <w:rPr>
          <w:rFonts w:hint="eastAsia"/>
          <w:b/>
          <w:i/>
          <w:color w:val="ff0000"/>
          <w:szCs w:val="21"/>
          <w:u w:val="single"/>
        </w:rPr>
        <w:t xml:space="preserve">、交货期：合同签订后</w:t>
      </w:r>
      <w:r>
        <w:rPr>
          <w:b/>
          <w:i/>
          <w:color w:val="ff0000"/>
          <w:szCs w:val="21"/>
          <w:u w:val="single"/>
        </w:rPr>
        <w:t xml:space="preserve">360</w:t>
      </w:r>
      <w:r>
        <w:rPr>
          <w:rFonts w:hint="eastAsia"/>
          <w:b/>
          <w:i/>
          <w:color w:val="ff0000"/>
          <w:szCs w:val="21"/>
          <w:u w:val="single"/>
        </w:rPr>
        <w:t xml:space="preserve">日历天内完成系统安装、调试工作并满足采购需求达到初步验收标准。</w:t>
      </w:r>
      <w:r>
        <w:rPr>
          <w:b/>
          <w:i/>
          <w:color w:val="ff0000"/>
          <w:szCs w:val="21"/>
          <w:highlight w:val="yellow"/>
          <w:u w:val="single"/>
        </w:rPr>
      </w:r>
      <w:r/>
    </w:p>
    <w:p>
      <w:pPr>
        <w:pStyle w:val="651"/>
        <w:ind w:firstLine="482"/>
        <w:spacing w:line="360" w:lineRule="auto"/>
        <w:rPr>
          <w:rFonts w:hint="eastAsia"/>
          <w:b/>
          <w:i/>
          <w:color w:val="ff0000"/>
          <w:szCs w:val="21"/>
          <w:u w:val="single"/>
        </w:rPr>
      </w:pPr>
      <w:r>
        <w:rPr>
          <w:b/>
          <w:i/>
          <w:color w:val="ff0000"/>
          <w:szCs w:val="21"/>
          <w:u w:val="single"/>
        </w:rPr>
        <w:t xml:space="preserve">6</w:t>
      </w:r>
      <w:r>
        <w:rPr>
          <w:rFonts w:hint="eastAsia"/>
          <w:b/>
          <w:i/>
          <w:color w:val="ff0000"/>
          <w:szCs w:val="21"/>
          <w:u w:val="single"/>
        </w:rPr>
        <w:t xml:space="preserve">、信创要求：所提供软件均需符合信创相关要求。</w:t>
      </w:r>
      <w:r/>
    </w:p>
    <w:p>
      <w:pPr>
        <w:pStyle w:val="651"/>
        <w:ind w:firstLine="482"/>
        <w:spacing w:line="360" w:lineRule="auto"/>
        <w:rPr>
          <w:rFonts w:hint="eastAsia"/>
          <w:b/>
          <w:i/>
          <w:color w:val="ff0000"/>
          <w:szCs w:val="21"/>
          <w:u w:val="single"/>
        </w:rPr>
      </w:pPr>
      <w:r>
        <w:rPr>
          <w:rFonts w:hint="eastAsia"/>
          <w:b/>
          <w:i/>
          <w:color w:val="ff0000"/>
          <w:szCs w:val="21"/>
          <w:u w:val="single"/>
        </w:rPr>
        <w:t xml:space="preserve">投标人</w:t>
      </w:r>
      <w:r>
        <w:rPr>
          <w:rFonts w:hint="eastAsia"/>
          <w:b/>
          <w:i/>
          <w:color w:val="ff0000"/>
          <w:szCs w:val="21"/>
          <w:highlight w:val="yellow"/>
          <w:u w:val="single"/>
        </w:rPr>
        <w:t xml:space="preserve">须承诺</w:t>
      </w:r>
      <w:r>
        <w:rPr>
          <w:rFonts w:hint="eastAsia"/>
          <w:b/>
          <w:i/>
          <w:color w:val="ff0000"/>
          <w:szCs w:val="21"/>
          <w:u w:val="single"/>
        </w:rPr>
        <w:t xml:space="preserve">：中标后项目实施完成后，由第三方检测机构开展信创兼容性适配测试并出具正式测试报告，作为本项目履约验收的必备材料。</w:t>
      </w:r>
      <w:r/>
    </w:p>
    <w:p>
      <w:pPr>
        <w:pStyle w:val="651"/>
        <w:ind w:firstLine="482"/>
        <w:spacing w:line="360" w:lineRule="auto"/>
        <w:rPr>
          <w:b/>
          <w:i/>
          <w:color w:val="ff0000"/>
          <w:szCs w:val="21"/>
          <w:u w:val="single"/>
        </w:rPr>
      </w:pPr>
      <w:r>
        <w:rPr>
          <w:b/>
          <w:i/>
          <w:color w:val="ff0000"/>
          <w:szCs w:val="21"/>
          <w:u w:val="single"/>
        </w:rPr>
        <w:t xml:space="preserve">7</w:t>
      </w:r>
      <w:r>
        <w:rPr>
          <w:rFonts w:hint="eastAsia"/>
          <w:b/>
          <w:i/>
          <w:color w:val="ff0000"/>
          <w:szCs w:val="21"/>
          <w:u w:val="single"/>
        </w:rPr>
        <w:t xml:space="preserve">、算力服务器租赁要求：</w:t>
      </w:r>
      <w:r>
        <w:rPr>
          <w:b/>
          <w:i/>
          <w:color w:val="ff0000"/>
          <w:szCs w:val="21"/>
          <w:u w:val="single"/>
        </w:rPr>
      </w:r>
      <w:r/>
    </w:p>
    <w:p>
      <w:pPr>
        <w:pStyle w:val="651"/>
        <w:ind w:firstLine="482"/>
        <w:spacing w:line="360" w:lineRule="auto"/>
        <w:rPr>
          <w:b/>
          <w:i/>
          <w:color w:val="ff0000"/>
          <w:szCs w:val="21"/>
          <w:u w:val="single"/>
        </w:rPr>
      </w:pPr>
      <w:r>
        <w:rPr>
          <w:rFonts w:hint="eastAsia"/>
          <w:b/>
          <w:i/>
          <w:color w:val="ff0000"/>
          <w:szCs w:val="21"/>
          <w:u w:val="single"/>
        </w:rPr>
        <w:t xml:space="preserve">响应时效：一般故障</w:t>
      </w:r>
      <w:r>
        <w:rPr>
          <w:b/>
          <w:i/>
          <w:color w:val="ff0000"/>
          <w:szCs w:val="21"/>
          <w:u w:val="single"/>
        </w:rPr>
        <w:t xml:space="preserve">30</w:t>
      </w:r>
      <w:r>
        <w:rPr>
          <w:rFonts w:hint="eastAsia"/>
          <w:b/>
          <w:i/>
          <w:color w:val="ff0000"/>
          <w:szCs w:val="21"/>
          <w:u w:val="single"/>
        </w:rPr>
        <w:t xml:space="preserve">分钟内恢复，重大故障</w:t>
      </w:r>
      <w:r>
        <w:rPr>
          <w:b/>
          <w:i/>
          <w:color w:val="ff0000"/>
          <w:szCs w:val="21"/>
          <w:u w:val="single"/>
        </w:rPr>
        <w:t xml:space="preserve">2</w:t>
      </w:r>
      <w:r>
        <w:rPr>
          <w:rFonts w:hint="eastAsia"/>
          <w:b/>
          <w:i/>
          <w:color w:val="ff0000"/>
          <w:szCs w:val="21"/>
          <w:u w:val="single"/>
        </w:rPr>
        <w:t xml:space="preserve">小时内修复。</w:t>
      </w:r>
      <w:r>
        <w:rPr>
          <w:b/>
          <w:i/>
          <w:color w:val="ff0000"/>
          <w:szCs w:val="21"/>
          <w:u w:val="single"/>
        </w:rPr>
      </w:r>
      <w:r/>
    </w:p>
    <w:p>
      <w:pPr>
        <w:pStyle w:val="651"/>
        <w:ind w:firstLine="482"/>
        <w:spacing w:line="360" w:lineRule="auto"/>
        <w:rPr>
          <w:b/>
          <w:i/>
          <w:color w:val="ff0000"/>
          <w:szCs w:val="21"/>
          <w:u w:val="single"/>
        </w:rPr>
      </w:pPr>
      <w:r>
        <w:rPr>
          <w:rFonts w:hint="eastAsia"/>
          <w:b/>
          <w:i/>
          <w:color w:val="ff0000"/>
          <w:szCs w:val="21"/>
          <w:u w:val="single"/>
        </w:rPr>
        <w:t xml:space="preserve">稳定性保障：全程无降配、无超售、无性能强制波动，保障</w:t>
      </w:r>
      <w:r>
        <w:rPr>
          <w:b/>
          <w:i/>
          <w:color w:val="ff0000"/>
          <w:szCs w:val="21"/>
          <w:u w:val="single"/>
        </w:rPr>
        <w:t xml:space="preserve">AI</w:t>
      </w:r>
      <w:r>
        <w:rPr>
          <w:rFonts w:hint="eastAsia"/>
          <w:b/>
          <w:i/>
          <w:color w:val="ff0000"/>
          <w:szCs w:val="21"/>
          <w:u w:val="single"/>
        </w:rPr>
        <w:t xml:space="preserve">训练与推理业务稳定运行。</w:t>
      </w:r>
      <w:r>
        <w:rPr>
          <w:b/>
          <w:i/>
          <w:color w:val="ff0000"/>
          <w:szCs w:val="21"/>
          <w:u w:val="single"/>
        </w:rPr>
      </w:r>
      <w:r/>
    </w:p>
    <w:p>
      <w:pPr>
        <w:pStyle w:val="651"/>
        <w:ind w:firstLine="482"/>
        <w:spacing w:line="360" w:lineRule="auto"/>
        <w:rPr>
          <w:b/>
          <w:i/>
          <w:color w:val="ff0000"/>
          <w:szCs w:val="21"/>
          <w:u w:val="single"/>
        </w:rPr>
      </w:pPr>
      <w:r>
        <w:rPr>
          <w:rFonts w:hint="eastAsia"/>
          <w:b/>
          <w:i/>
          <w:color w:val="ff0000"/>
          <w:szCs w:val="21"/>
          <w:u w:val="single"/>
        </w:rPr>
        <w:t xml:space="preserve">维护管理：计划性维护需提前</w:t>
      </w:r>
      <w:r>
        <w:rPr>
          <w:b/>
          <w:i/>
          <w:color w:val="ff0000"/>
          <w:szCs w:val="21"/>
          <w:u w:val="single"/>
        </w:rPr>
        <w:t xml:space="preserve">24</w:t>
      </w:r>
      <w:r>
        <w:rPr>
          <w:rFonts w:hint="eastAsia"/>
          <w:b/>
          <w:i/>
          <w:color w:val="ff0000"/>
          <w:szCs w:val="21"/>
          <w:u w:val="single"/>
        </w:rPr>
        <w:t xml:space="preserve">小时书面报备采购人，未经许可不得擅自停机。</w:t>
      </w:r>
      <w:r>
        <w:rPr>
          <w:b/>
          <w:i/>
          <w:color w:val="ff0000"/>
          <w:szCs w:val="21"/>
          <w:u w:val="single"/>
        </w:rPr>
      </w:r>
      <w:r/>
    </w:p>
    <w:p>
      <w:pPr>
        <w:pStyle w:val="651"/>
        <w:ind w:firstLine="482"/>
        <w:spacing w:line="360" w:lineRule="auto"/>
        <w:rPr>
          <w:b/>
          <w:i/>
          <w:color w:val="ff0000"/>
          <w:szCs w:val="21"/>
          <w:u w:val="single"/>
        </w:rPr>
      </w:pPr>
      <w:r>
        <w:rPr>
          <w:rFonts w:hint="eastAsia"/>
          <w:b/>
          <w:i/>
          <w:color w:val="ff0000"/>
          <w:szCs w:val="21"/>
          <w:u w:val="single"/>
        </w:rPr>
        <w:t xml:space="preserve">数据安全：资源及数据独立隔离，严禁外泄、共享、挪用，全程留存操作日志，满足医疗信息安全合规要求。</w:t>
      </w:r>
      <w:r>
        <w:rPr>
          <w:b/>
          <w:i/>
          <w:color w:val="ff0000"/>
          <w:szCs w:val="21"/>
          <w:u w:val="single"/>
        </w:rPr>
      </w:r>
      <w:r/>
    </w:p>
    <w:p>
      <w:pPr>
        <w:pStyle w:val="651"/>
        <w:ind w:firstLine="482"/>
        <w:spacing w:line="360" w:lineRule="auto"/>
        <w:rPr>
          <w:b/>
          <w:i/>
          <w:color w:val="ff0000"/>
          <w:szCs w:val="21"/>
          <w:u w:val="single"/>
        </w:rPr>
      </w:pPr>
      <w:r>
        <w:rPr>
          <w:b/>
          <w:i/>
          <w:color w:val="ff0000"/>
          <w:szCs w:val="21"/>
          <w:u w:val="single"/>
        </w:rPr>
        <w:t xml:space="preserve">8</w:t>
      </w:r>
      <w:r>
        <w:rPr>
          <w:rFonts w:hint="eastAsia"/>
          <w:b/>
          <w:i/>
          <w:color w:val="ff0000"/>
          <w:szCs w:val="21"/>
          <w:u w:val="single"/>
        </w:rPr>
        <w:t xml:space="preserve">、其他要求：项目过程中涉及到开发、服务器环境部署、软件安装调试等所需的配套实施服务均需中标方提供，所有建设内容及实施服务须满足信创体系适配要求、网络安全等级保护三级要求、密码应用安全性评估相关标准规范；中标人负责落实全部合规技术措施，为实现本项目各项合规目标所需开展的全部工作相关费用，均包含在投标总报价中。因不满足合规标准产生的整改工作及相关费用均由中标人承担。</w:t>
      </w:r>
      <w:r>
        <w:rPr>
          <w:b/>
          <w:i/>
          <w:color w:val="ff0000"/>
          <w:szCs w:val="21"/>
          <w:u w:val="single"/>
        </w:rPr>
      </w:r>
      <w:r/>
    </w:p>
    <w:p>
      <w:pPr>
        <w:pStyle w:val="651"/>
        <w:ind w:firstLine="482"/>
        <w:keepLines/>
        <w:keepNext/>
        <w:spacing w:line="360" w:lineRule="auto"/>
        <w:rPr>
          <w:b/>
          <w:i/>
          <w:color w:val="ff0000"/>
          <w:szCs w:val="21"/>
          <w:u w:val="single"/>
        </w:rPr>
        <w:outlineLvl w:val="1"/>
      </w:pPr>
      <w:r>
        <w:rPr>
          <w:rFonts w:hint="eastAsia"/>
          <w:b/>
          <w:i/>
          <w:color w:val="ff0000"/>
          <w:szCs w:val="21"/>
          <w:u w:val="single"/>
        </w:rPr>
        <w:t xml:space="preserve">六、安装调试要求</w:t>
      </w:r>
      <w:r>
        <w:rPr>
          <w:b/>
          <w:i/>
          <w:color w:val="ff0000"/>
          <w:szCs w:val="21"/>
          <w:u w:val="single"/>
        </w:rPr>
      </w:r>
      <w:r/>
    </w:p>
    <w:p>
      <w:pPr>
        <w:pStyle w:val="651"/>
        <w:ind w:firstLine="482"/>
        <w:spacing w:line="360" w:lineRule="auto"/>
        <w:rPr>
          <w:b/>
          <w:i/>
          <w:color w:val="ff0000"/>
          <w:szCs w:val="21"/>
          <w:u w:val="single"/>
        </w:rPr>
      </w:pPr>
      <w:r>
        <w:rPr>
          <w:b/>
          <w:i/>
          <w:color w:val="ff0000"/>
          <w:szCs w:val="21"/>
          <w:u w:val="single"/>
        </w:rPr>
        <w:t xml:space="preserve">1</w:t>
      </w:r>
      <w:r>
        <w:rPr>
          <w:rFonts w:hint="eastAsia"/>
          <w:b/>
          <w:i/>
          <w:color w:val="ff0000"/>
          <w:szCs w:val="21"/>
          <w:u w:val="single"/>
        </w:rPr>
        <w:t xml:space="preserve">、软件经过正确安装、合规配置和维护保养，在设备寿命期内运转良好。在规定的质保期内，中标人应对由于设计、工艺或材料的缺陷或故障负责。项目系统正式验收完成前，已交付软件介质、授权资料、部署环境及项目相关成果资料的保管、数据安全风险由中标人承担。</w:t>
      </w:r>
      <w:r>
        <w:rPr>
          <w:b/>
          <w:i/>
          <w:color w:val="ff0000"/>
          <w:szCs w:val="21"/>
          <w:u w:val="single"/>
        </w:rPr>
      </w:r>
      <w:r/>
    </w:p>
    <w:p>
      <w:pPr>
        <w:pStyle w:val="651"/>
        <w:ind w:firstLine="482"/>
        <w:spacing w:line="360" w:lineRule="auto"/>
        <w:rPr>
          <w:b/>
          <w:i/>
          <w:color w:val="ff0000"/>
          <w:szCs w:val="21"/>
          <w:u w:val="single"/>
        </w:rPr>
      </w:pPr>
      <w:r>
        <w:rPr>
          <w:b/>
          <w:i/>
          <w:color w:val="ff0000"/>
          <w:szCs w:val="21"/>
          <w:u w:val="single"/>
        </w:rPr>
        <w:t xml:space="preserve">2</w:t>
      </w:r>
      <w:r>
        <w:rPr>
          <w:rFonts w:hint="eastAsia"/>
          <w:b/>
          <w:i/>
          <w:color w:val="ff0000"/>
          <w:szCs w:val="21"/>
          <w:u w:val="single"/>
        </w:rPr>
        <w:t xml:space="preserve">、所提供的技术资料完整正确，数据和资料准确无误，能够保证系统按时正确地安装、调试和验收，并能满足正常运行和维护的需要。</w:t>
      </w:r>
      <w:r>
        <w:rPr>
          <w:b/>
          <w:i/>
          <w:color w:val="ff0000"/>
          <w:szCs w:val="21"/>
          <w:u w:val="single"/>
        </w:rPr>
      </w:r>
      <w:r/>
    </w:p>
    <w:p>
      <w:pPr>
        <w:pStyle w:val="651"/>
        <w:ind w:firstLine="482"/>
        <w:spacing w:line="360" w:lineRule="auto"/>
        <w:rPr>
          <w:b/>
          <w:i/>
          <w:color w:val="ff0000"/>
          <w:szCs w:val="21"/>
          <w:u w:val="single"/>
        </w:rPr>
      </w:pPr>
      <w:r>
        <w:rPr>
          <w:b/>
          <w:i/>
          <w:color w:val="ff0000"/>
          <w:szCs w:val="21"/>
          <w:u w:val="single"/>
        </w:rPr>
        <w:t xml:space="preserve">3</w:t>
      </w:r>
      <w:r>
        <w:rPr>
          <w:rFonts w:hint="eastAsia"/>
          <w:b/>
          <w:i/>
          <w:color w:val="ff0000"/>
          <w:szCs w:val="21"/>
          <w:u w:val="single"/>
        </w:rPr>
        <w:t xml:space="preserve">、采购人使用该服务的任何一部分，当受第三方提出的侵犯其专利权、商标权或工业设计权的投诉时，一切后果由中标人负责。</w:t>
      </w:r>
      <w:r>
        <w:rPr>
          <w:b/>
          <w:i/>
          <w:color w:val="ff0000"/>
          <w:szCs w:val="21"/>
          <w:u w:val="single"/>
        </w:rPr>
      </w:r>
      <w:r/>
    </w:p>
    <w:p>
      <w:pPr>
        <w:pStyle w:val="651"/>
        <w:ind w:firstLine="482"/>
        <w:spacing w:line="360" w:lineRule="auto"/>
        <w:rPr>
          <w:b/>
          <w:i/>
          <w:color w:val="ff0000"/>
          <w:szCs w:val="21"/>
          <w:u w:val="single"/>
        </w:rPr>
      </w:pPr>
      <w:r>
        <w:rPr>
          <w:b/>
          <w:i/>
          <w:color w:val="ff0000"/>
          <w:szCs w:val="21"/>
          <w:u w:val="single"/>
        </w:rPr>
        <w:t xml:space="preserve">4</w:t>
      </w:r>
      <w:r>
        <w:rPr>
          <w:rFonts w:hint="eastAsia"/>
          <w:b/>
          <w:i/>
          <w:color w:val="ff0000"/>
          <w:szCs w:val="21"/>
          <w:u w:val="single"/>
        </w:rPr>
        <w:t xml:space="preserve">、如未能达到合同要求，采购人有权退货并要求中标人赔偿损失。</w:t>
      </w:r>
      <w:r>
        <w:rPr>
          <w:b/>
          <w:i/>
          <w:color w:val="ff0000"/>
          <w:szCs w:val="21"/>
          <w:u w:val="single"/>
        </w:rPr>
      </w:r>
      <w:r/>
    </w:p>
    <w:p>
      <w:pPr>
        <w:pStyle w:val="651"/>
        <w:ind w:firstLine="482"/>
        <w:spacing w:line="360" w:lineRule="auto"/>
        <w:rPr>
          <w:b/>
          <w:i/>
          <w:color w:val="ff0000"/>
          <w:szCs w:val="21"/>
          <w:u w:val="single"/>
        </w:rPr>
      </w:pPr>
      <w:r>
        <w:rPr>
          <w:b/>
          <w:i/>
          <w:color w:val="ff0000"/>
          <w:szCs w:val="21"/>
          <w:u w:val="single"/>
        </w:rPr>
        <w:t xml:space="preserve">5</w:t>
      </w:r>
      <w:r>
        <w:rPr>
          <w:rFonts w:hint="eastAsia"/>
          <w:b/>
          <w:i/>
          <w:color w:val="ff0000"/>
          <w:szCs w:val="21"/>
          <w:u w:val="single"/>
        </w:rPr>
        <w:t xml:space="preserve">、安装和调试：项目实施人员现场进行安装调试，直至验收合格。</w:t>
      </w:r>
      <w:r>
        <w:rPr>
          <w:b/>
          <w:i/>
          <w:color w:val="ff0000"/>
          <w:szCs w:val="21"/>
          <w:u w:val="single"/>
        </w:rPr>
      </w:r>
      <w:r/>
    </w:p>
    <w:p>
      <w:pPr>
        <w:pStyle w:val="651"/>
        <w:ind w:firstLine="482"/>
        <w:spacing w:line="360" w:lineRule="auto"/>
        <w:rPr>
          <w:b/>
          <w:i/>
          <w:color w:val="ff0000"/>
          <w:szCs w:val="21"/>
          <w:u w:val="single"/>
        </w:rPr>
      </w:pPr>
      <w:r>
        <w:rPr>
          <w:b/>
          <w:i/>
          <w:color w:val="ff0000"/>
          <w:szCs w:val="21"/>
          <w:u w:val="single"/>
        </w:rPr>
        <w:t xml:space="preserve">6</w:t>
      </w:r>
      <w:r>
        <w:rPr>
          <w:rFonts w:hint="eastAsia"/>
          <w:b/>
          <w:i/>
          <w:color w:val="ff0000"/>
          <w:szCs w:val="21"/>
          <w:u w:val="single"/>
        </w:rPr>
        <w:t xml:space="preserve">、区域医保智慧预警系统、医共体财务运营模块（需配合进行推广）实施范围，包含</w:t>
      </w:r>
      <w:r>
        <w:rPr>
          <w:b/>
          <w:i/>
          <w:color w:val="ff0000"/>
          <w:szCs w:val="21"/>
          <w:u w:val="single"/>
        </w:rPr>
        <w:t xml:space="preserve">4</w:t>
      </w:r>
      <w:r>
        <w:rPr>
          <w:rFonts w:hint="eastAsia"/>
          <w:b/>
          <w:i/>
          <w:color w:val="ff0000"/>
          <w:szCs w:val="21"/>
          <w:u w:val="single"/>
        </w:rPr>
        <w:t xml:space="preserve">家区级医疗机构、</w:t>
      </w:r>
      <w:r>
        <w:rPr>
          <w:b/>
          <w:i/>
          <w:color w:val="ff0000"/>
          <w:szCs w:val="21"/>
          <w:u w:val="single"/>
        </w:rPr>
        <w:t xml:space="preserve">15</w:t>
      </w:r>
      <w:r>
        <w:rPr>
          <w:rFonts w:hint="eastAsia"/>
          <w:b/>
          <w:i/>
          <w:color w:val="ff0000"/>
          <w:szCs w:val="21"/>
          <w:u w:val="single"/>
        </w:rPr>
        <w:t xml:space="preserve">家基层医疗机构。基层全科医生智能辅助实施范围，包含</w:t>
      </w:r>
      <w:r>
        <w:rPr>
          <w:b/>
          <w:i/>
          <w:color w:val="ff0000"/>
          <w:szCs w:val="21"/>
          <w:u w:val="single"/>
        </w:rPr>
        <w:t xml:space="preserve">15</w:t>
      </w:r>
      <w:r>
        <w:rPr>
          <w:rFonts w:hint="eastAsia"/>
          <w:b/>
          <w:i/>
          <w:color w:val="ff0000"/>
          <w:szCs w:val="21"/>
          <w:u w:val="single"/>
        </w:rPr>
        <w:t xml:space="preserve">家基层医疗机构。推广产生的费用须综合考虑在投标报价中，结算时不另外增加费用。</w:t>
      </w:r>
      <w:r>
        <w:rPr>
          <w:b/>
          <w:i/>
          <w:color w:val="ff0000"/>
          <w:szCs w:val="21"/>
          <w:u w:val="single"/>
        </w:rPr>
      </w:r>
      <w:r/>
    </w:p>
    <w:p>
      <w:pPr>
        <w:pStyle w:val="651"/>
        <w:ind w:firstLine="482"/>
        <w:keepLines/>
        <w:keepNext/>
        <w:spacing w:line="360" w:lineRule="auto"/>
        <w:rPr>
          <w:rFonts w:ascii="宋体" w:hAnsi="宋体" w:cs="宋体"/>
          <w:b/>
          <w:bCs/>
          <w:szCs w:val="21"/>
        </w:rPr>
        <w:outlineLvl w:val="1"/>
      </w:pPr>
      <w:r>
        <w:rPr>
          <w:rFonts w:hint="eastAsia" w:ascii="宋体" w:hAnsi="宋体" w:cs="宋体"/>
          <w:b/>
          <w:bCs/>
          <w:szCs w:val="21"/>
        </w:rPr>
        <w:t xml:space="preserve">七、国家或行业相关规范标准</w:t>
      </w:r>
      <w:r>
        <w:rPr>
          <w:rFonts w:ascii="宋体" w:hAnsi="宋体" w:cs="宋体"/>
          <w:b/>
          <w:bCs/>
          <w:szCs w:val="21"/>
        </w:rPr>
      </w:r>
      <w:r/>
    </w:p>
    <w:p>
      <w:pPr>
        <w:pStyle w:val="651"/>
        <w:ind w:firstLine="480"/>
        <w:spacing w:line="360" w:lineRule="auto"/>
        <w:rPr>
          <w:rFonts w:hint="eastAsia" w:ascii="宋体" w:hAnsi="宋体" w:cs="宋体"/>
          <w:szCs w:val="21"/>
        </w:rPr>
      </w:pPr>
      <w:r>
        <w:rPr>
          <w:rFonts w:hint="eastAsia" w:ascii="宋体" w:hAnsi="宋体" w:cs="宋体"/>
          <w:szCs w:val="21"/>
        </w:rPr>
        <w:t xml:space="preserve">本项目在建设过程中，需遵循并达到以下但不限于以下相关国家政策及行业标准，包括功能规范、数据标准、建设与管理标准等，在项目验收前有版本更新情况，以最新版为准。</w:t>
      </w:r>
      <w:r/>
    </w:p>
    <w:p>
      <w:pPr>
        <w:pStyle w:val="651"/>
        <w:ind w:firstLine="480"/>
        <w:spacing w:line="360" w:lineRule="auto"/>
        <w:rPr>
          <w:rFonts w:hint="eastAsia" w:ascii="宋体" w:hAnsi="宋体" w:cs="宋体"/>
          <w:szCs w:val="21"/>
        </w:rPr>
      </w:pPr>
      <w:r>
        <w:rPr>
          <w:rFonts w:hint="eastAsia" w:ascii="宋体" w:hAnsi="宋体" w:cs="宋体"/>
          <w:szCs w:val="21"/>
        </w:rPr>
        <w:t xml:space="preserve">《医院信息互联互通标准化成熟度测评方案》 四级甲等</w:t>
      </w:r>
      <w:r/>
    </w:p>
    <w:p>
      <w:pPr>
        <w:pStyle w:val="651"/>
        <w:ind w:firstLine="480"/>
        <w:spacing w:line="360" w:lineRule="auto"/>
        <w:rPr>
          <w:rFonts w:hint="eastAsia" w:ascii="宋体" w:hAnsi="宋体" w:cs="宋体"/>
          <w:szCs w:val="21"/>
        </w:rPr>
      </w:pPr>
      <w:r>
        <w:rPr>
          <w:rFonts w:hint="eastAsia" w:ascii="宋体" w:hAnsi="宋体" w:cs="宋体"/>
          <w:szCs w:val="21"/>
        </w:rPr>
        <w:t xml:space="preserve">《医院智慧服务分级评估标准体系（试行）》三级</w:t>
      </w:r>
      <w:r/>
    </w:p>
    <w:p>
      <w:pPr>
        <w:pStyle w:val="651"/>
        <w:ind w:firstLine="480"/>
        <w:spacing w:line="360" w:lineRule="auto"/>
        <w:rPr>
          <w:rFonts w:hint="eastAsia" w:ascii="宋体" w:hAnsi="宋体" w:cs="宋体"/>
          <w:szCs w:val="21"/>
        </w:rPr>
      </w:pPr>
      <w:r>
        <w:rPr>
          <w:rFonts w:hint="eastAsia" w:ascii="宋体" w:hAnsi="宋体" w:cs="宋体"/>
          <w:szCs w:val="21"/>
        </w:rPr>
        <w:t xml:space="preserve">《电子病历系统功能应用水平分级评价方法及标准》六级</w:t>
      </w:r>
      <w:r/>
    </w:p>
    <w:p>
      <w:pPr>
        <w:pStyle w:val="651"/>
        <w:ind w:firstLine="480"/>
        <w:spacing w:line="360" w:lineRule="auto"/>
        <w:rPr>
          <w:rFonts w:hint="eastAsia" w:ascii="宋体" w:hAnsi="宋体" w:cs="宋体"/>
          <w:szCs w:val="21"/>
        </w:rPr>
      </w:pPr>
      <w:r>
        <w:rPr>
          <w:rFonts w:hint="eastAsia" w:ascii="宋体" w:hAnsi="宋体" w:cs="宋体"/>
          <w:szCs w:val="21"/>
        </w:rPr>
        <w:t xml:space="preserve">《全国基层医疗卫生机构信息化建设标准与规范(试行)》.2019年</w:t>
      </w:r>
      <w:r/>
    </w:p>
    <w:p>
      <w:pPr>
        <w:pStyle w:val="651"/>
        <w:ind w:firstLine="480"/>
        <w:spacing w:line="360" w:lineRule="auto"/>
        <w:rPr>
          <w:rFonts w:hint="eastAsia" w:ascii="宋体" w:hAnsi="宋体" w:cs="宋体"/>
          <w:szCs w:val="21"/>
        </w:rPr>
      </w:pPr>
      <w:r>
        <w:rPr>
          <w:rFonts w:hint="eastAsia" w:ascii="宋体" w:hAnsi="宋体" w:cs="宋体"/>
          <w:szCs w:val="21"/>
        </w:rPr>
        <w:t xml:space="preserve">《国家基本公共卫生服务规范(第三版)》.2017年</w:t>
      </w:r>
      <w:r/>
    </w:p>
    <w:p>
      <w:pPr>
        <w:pStyle w:val="651"/>
        <w:ind w:firstLine="480"/>
        <w:spacing w:line="360" w:lineRule="auto"/>
        <w:rPr>
          <w:rFonts w:hint="eastAsia" w:ascii="宋体" w:hAnsi="宋体" w:cs="宋体"/>
          <w:szCs w:val="21"/>
        </w:rPr>
      </w:pPr>
      <w:r>
        <w:rPr>
          <w:rFonts w:hint="eastAsia" w:ascii="宋体" w:hAnsi="宋体" w:cs="宋体"/>
          <w:szCs w:val="21"/>
        </w:rPr>
        <w:t xml:space="preserve">《医院信息平台基本交互规范》,2015年</w:t>
      </w:r>
      <w:r/>
    </w:p>
    <w:p>
      <w:pPr>
        <w:pStyle w:val="651"/>
        <w:ind w:firstLine="480"/>
        <w:spacing w:line="360" w:lineRule="auto"/>
        <w:rPr>
          <w:rFonts w:hint="eastAsia" w:ascii="宋体" w:hAnsi="宋体" w:cs="宋体"/>
          <w:szCs w:val="21"/>
        </w:rPr>
      </w:pPr>
      <w:r>
        <w:rPr>
          <w:rFonts w:hint="eastAsia" w:ascii="宋体" w:hAnsi="宋体" w:cs="宋体"/>
          <w:szCs w:val="21"/>
        </w:rPr>
        <w:t xml:space="preserve">《基于电子病历的医院信息平台建设技术解决方案(1.0 版)》(卫办综发[2011139号).2011年</w:t>
      </w:r>
      <w:r/>
    </w:p>
    <w:p>
      <w:pPr>
        <w:pStyle w:val="651"/>
        <w:ind w:firstLine="480"/>
        <w:spacing w:line="360" w:lineRule="auto"/>
        <w:rPr>
          <w:rFonts w:hint="eastAsia" w:ascii="宋体" w:hAnsi="宋体" w:cs="宋体"/>
          <w:szCs w:val="21"/>
        </w:rPr>
      </w:pPr>
      <w:r>
        <w:rPr>
          <w:rFonts w:hint="eastAsia" w:ascii="宋体" w:hAnsi="宋体" w:cs="宋体"/>
          <w:szCs w:val="21"/>
        </w:rPr>
        <w:t xml:space="preserve">《电子病历基本架构与数据标准》.2009年</w:t>
      </w:r>
      <w:r/>
    </w:p>
    <w:p>
      <w:pPr>
        <w:pStyle w:val="651"/>
        <w:ind w:firstLine="480"/>
        <w:spacing w:line="360" w:lineRule="auto"/>
        <w:rPr>
          <w:rFonts w:hint="eastAsia" w:ascii="宋体" w:hAnsi="宋体" w:cs="宋体"/>
          <w:szCs w:val="21"/>
        </w:rPr>
      </w:pPr>
      <w:r>
        <w:rPr>
          <w:rFonts w:hint="eastAsia" w:ascii="宋体" w:hAnsi="宋体" w:cs="宋体"/>
          <w:szCs w:val="21"/>
        </w:rPr>
        <w:t xml:space="preserve">《WS/T303-2023 卫生健康信息数据元标准化规则》.2023年</w:t>
      </w:r>
      <w:r/>
    </w:p>
    <w:p>
      <w:pPr>
        <w:pStyle w:val="651"/>
        <w:ind w:firstLine="480"/>
        <w:spacing w:line="360" w:lineRule="auto"/>
        <w:rPr>
          <w:rFonts w:hint="eastAsia" w:ascii="宋体" w:hAnsi="宋体" w:cs="宋体"/>
          <w:szCs w:val="21"/>
        </w:rPr>
      </w:pPr>
      <w:r>
        <w:rPr>
          <w:rFonts w:hint="eastAsia" w:ascii="宋体" w:hAnsi="宋体" w:cs="宋体"/>
          <w:szCs w:val="21"/>
        </w:rPr>
        <w:t xml:space="preserve">《WS/T 304-2023 卫生健康信息数据模式描述指南》.2023年</w:t>
      </w:r>
      <w:r/>
    </w:p>
    <w:p>
      <w:pPr>
        <w:pStyle w:val="651"/>
        <w:ind w:firstLine="480"/>
        <w:spacing w:line="360" w:lineRule="auto"/>
        <w:rPr>
          <w:rFonts w:hint="eastAsia" w:ascii="宋体" w:hAnsi="宋体" w:cs="宋体"/>
          <w:szCs w:val="21"/>
        </w:rPr>
      </w:pPr>
      <w:r>
        <w:rPr>
          <w:rFonts w:hint="eastAsia" w:ascii="宋体" w:hAnsi="宋体" w:cs="宋体"/>
          <w:szCs w:val="21"/>
        </w:rPr>
        <w:t xml:space="preserve">《WS/T 305-2023 卫生健康信息数据集元数据标准》.2023年</w:t>
      </w:r>
      <w:r/>
    </w:p>
    <w:p>
      <w:pPr>
        <w:pStyle w:val="651"/>
        <w:ind w:firstLine="480"/>
        <w:spacing w:line="360" w:lineRule="auto"/>
        <w:rPr>
          <w:rFonts w:hint="eastAsia" w:ascii="宋体" w:hAnsi="宋体" w:cs="宋体"/>
          <w:szCs w:val="21"/>
        </w:rPr>
      </w:pPr>
      <w:r>
        <w:rPr>
          <w:rFonts w:hint="eastAsia" w:ascii="宋体" w:hAnsi="宋体" w:cs="宋体"/>
          <w:szCs w:val="21"/>
        </w:rPr>
        <w:t xml:space="preserve">《WS/T 306-2023 卫生健康信息数据集分类与编码规则》.2023年</w:t>
      </w:r>
      <w:r/>
    </w:p>
    <w:p>
      <w:pPr>
        <w:pStyle w:val="651"/>
        <w:ind w:firstLine="480"/>
        <w:spacing w:line="360" w:lineRule="auto"/>
        <w:rPr>
          <w:rFonts w:hint="eastAsia" w:ascii="宋体" w:hAnsi="宋体" w:cs="宋体"/>
          <w:szCs w:val="21"/>
        </w:rPr>
      </w:pPr>
      <w:r>
        <w:rPr>
          <w:rFonts w:hint="eastAsia" w:ascii="宋体" w:hAnsi="宋体" w:cs="宋体"/>
          <w:szCs w:val="21"/>
        </w:rPr>
        <w:t xml:space="preserve">《WS 538-2017 医学数字影像通信基本数据集》.2017年</w:t>
      </w:r>
      <w:r/>
    </w:p>
    <w:p>
      <w:pPr>
        <w:pStyle w:val="651"/>
        <w:ind w:firstLine="480"/>
        <w:spacing w:line="360" w:lineRule="auto"/>
        <w:rPr>
          <w:rFonts w:hint="eastAsia" w:ascii="宋体" w:hAnsi="宋体" w:cs="宋体"/>
          <w:szCs w:val="21"/>
        </w:rPr>
      </w:pPr>
      <w:r>
        <w:rPr>
          <w:rFonts w:hint="eastAsia" w:ascii="宋体" w:hAnsi="宋体" w:cs="宋体"/>
          <w:szCs w:val="21"/>
        </w:rPr>
        <w:t xml:space="preserve">《WS/T 544-2017 医学数字影像中文封装与通信规范》.2017年</w:t>
      </w:r>
      <w:r/>
    </w:p>
    <w:p>
      <w:pPr>
        <w:pStyle w:val="651"/>
        <w:ind w:firstLine="480"/>
        <w:spacing w:line="360" w:lineRule="auto"/>
        <w:rPr>
          <w:rFonts w:hint="eastAsia" w:ascii="宋体" w:hAnsi="宋体" w:cs="宋体"/>
          <w:szCs w:val="21"/>
        </w:rPr>
      </w:pPr>
      <w:r>
        <w:rPr>
          <w:rFonts w:hint="eastAsia" w:ascii="宋体" w:hAnsi="宋体" w:cs="宋体"/>
          <w:szCs w:val="21"/>
        </w:rPr>
        <w:t xml:space="preserve">《WS/T 548-2017 医学数字影像通信(DICOM)中文标准符合性测试规范》.2017年</w:t>
      </w:r>
      <w:r/>
    </w:p>
    <w:p>
      <w:pPr>
        <w:pStyle w:val="651"/>
        <w:ind w:firstLine="480"/>
        <w:spacing w:line="360" w:lineRule="auto"/>
        <w:rPr>
          <w:rFonts w:hint="eastAsia" w:ascii="宋体" w:hAnsi="宋体" w:cs="宋体"/>
          <w:szCs w:val="21"/>
        </w:rPr>
      </w:pPr>
      <w:r>
        <w:rPr>
          <w:rFonts w:hint="eastAsia" w:ascii="宋体" w:hAnsi="宋体" w:cs="宋体"/>
          <w:szCs w:val="21"/>
        </w:rPr>
        <w:t xml:space="preserve">《电子病历共享文档标准》(WS/T 500-2016).2016年</w:t>
      </w:r>
      <w:r/>
    </w:p>
    <w:p>
      <w:pPr>
        <w:pStyle w:val="651"/>
        <w:ind w:firstLine="480"/>
        <w:spacing w:line="360" w:lineRule="auto"/>
        <w:rPr>
          <w:rFonts w:hint="eastAsia" w:ascii="宋体" w:hAnsi="宋体" w:cs="宋体"/>
          <w:szCs w:val="21"/>
        </w:rPr>
      </w:pPr>
      <w:r>
        <w:rPr>
          <w:rFonts w:hint="eastAsia" w:ascii="宋体" w:hAnsi="宋体" w:cs="宋体"/>
          <w:szCs w:val="21"/>
        </w:rPr>
        <w:t xml:space="preserve">《电子病历基本数据集》(WS 445-2014).2014年</w:t>
      </w:r>
      <w:r/>
    </w:p>
    <w:p>
      <w:pPr>
        <w:pStyle w:val="651"/>
        <w:ind w:firstLine="480"/>
        <w:spacing w:line="360" w:lineRule="auto"/>
        <w:rPr>
          <w:rFonts w:hint="eastAsia" w:ascii="宋体" w:hAnsi="宋体" w:cs="宋体"/>
          <w:szCs w:val="21"/>
        </w:rPr>
      </w:pPr>
      <w:r>
        <w:rPr>
          <w:rFonts w:hint="eastAsia" w:ascii="宋体" w:hAnsi="宋体" w:cs="宋体"/>
          <w:szCs w:val="21"/>
        </w:rPr>
        <w:t xml:space="preserve">《基于电子病历的医院信息平台技术规范》(WS/T447-2014).2014年</w:t>
      </w:r>
      <w:r/>
    </w:p>
    <w:p>
      <w:pPr>
        <w:pStyle w:val="651"/>
        <w:ind w:firstLine="480"/>
        <w:spacing w:line="360" w:lineRule="auto"/>
        <w:rPr>
          <w:rFonts w:hint="eastAsia" w:ascii="宋体" w:hAnsi="宋体" w:cs="宋体"/>
          <w:szCs w:val="21"/>
        </w:rPr>
      </w:pPr>
      <w:r>
        <w:rPr>
          <w:rFonts w:hint="eastAsia" w:ascii="宋体" w:hAnsi="宋体" w:cs="宋体"/>
          <w:szCs w:val="21"/>
        </w:rPr>
        <w:t xml:space="preserve">《卫生健康信息数据元目录》(WS/T363.1-WS/T363.17).2023年</w:t>
      </w:r>
      <w:r/>
    </w:p>
    <w:p>
      <w:pPr>
        <w:pStyle w:val="651"/>
        <w:ind w:firstLine="480"/>
        <w:spacing w:line="360" w:lineRule="auto"/>
        <w:rPr>
          <w:rFonts w:hint="eastAsia" w:ascii="宋体" w:hAnsi="宋体" w:cs="宋体"/>
          <w:szCs w:val="21"/>
        </w:rPr>
      </w:pPr>
      <w:r>
        <w:rPr>
          <w:rFonts w:hint="eastAsia" w:ascii="宋体" w:hAnsi="宋体" w:cs="宋体"/>
          <w:szCs w:val="21"/>
        </w:rPr>
        <w:t xml:space="preserve">《卫生健康信息数据元值域代码》(WS/T 364.1-WS/T 364.17).2023年</w:t>
      </w:r>
      <w:r/>
    </w:p>
    <w:p>
      <w:pPr>
        <w:pStyle w:val="651"/>
        <w:ind w:firstLine="480"/>
        <w:spacing w:line="360" w:lineRule="auto"/>
        <w:rPr>
          <w:rFonts w:hint="eastAsia" w:ascii="宋体" w:hAnsi="宋体" w:cs="宋体"/>
          <w:szCs w:val="21"/>
        </w:rPr>
      </w:pPr>
      <w:r>
        <w:rPr>
          <w:rFonts w:hint="eastAsia" w:ascii="宋体" w:hAnsi="宋体" w:cs="宋体"/>
          <w:szCs w:val="21"/>
        </w:rPr>
        <w:t xml:space="preserve">《信息安全技术网络安全等级保护基本要求》(GB/T 22239-2019).2019年</w:t>
      </w:r>
      <w:r/>
    </w:p>
    <w:p>
      <w:pPr>
        <w:pStyle w:val="651"/>
        <w:ind w:firstLine="480"/>
        <w:spacing w:line="360" w:lineRule="auto"/>
        <w:rPr>
          <w:rFonts w:hint="eastAsia" w:ascii="宋体" w:hAnsi="宋体" w:cs="宋体"/>
          <w:szCs w:val="21"/>
        </w:rPr>
      </w:pPr>
      <w:r>
        <w:rPr>
          <w:rFonts w:hint="eastAsia" w:ascii="宋体" w:hAnsi="宋体" w:cs="宋体"/>
          <w:szCs w:val="21"/>
        </w:rPr>
        <w:t xml:space="preserve">《信息安全技术网络安全等级保护定级指南》(GB/T 22240-2019).2019年</w:t>
      </w:r>
      <w:r/>
    </w:p>
    <w:p>
      <w:pPr>
        <w:pStyle w:val="651"/>
        <w:ind w:firstLine="480"/>
        <w:spacing w:line="360" w:lineRule="auto"/>
        <w:rPr>
          <w:rFonts w:hint="eastAsia" w:ascii="宋体" w:hAnsi="宋体" w:cs="宋体"/>
          <w:szCs w:val="21"/>
        </w:rPr>
      </w:pPr>
      <w:r>
        <w:rPr>
          <w:rFonts w:hint="eastAsia" w:ascii="宋体" w:hAnsi="宋体" w:cs="宋体"/>
          <w:szCs w:val="21"/>
        </w:rPr>
        <w:t xml:space="preserve">《信息安全技术网络安全等级保护安全设计技术要求》(GB/T 25070-2019).2019年</w:t>
      </w:r>
      <w:r/>
    </w:p>
    <w:p>
      <w:pPr>
        <w:pStyle w:val="651"/>
        <w:ind w:firstLine="480"/>
        <w:spacing w:line="360" w:lineRule="auto"/>
        <w:rPr>
          <w:rFonts w:hint="eastAsia" w:ascii="宋体" w:hAnsi="宋体" w:cs="宋体"/>
          <w:szCs w:val="21"/>
        </w:rPr>
      </w:pPr>
      <w:r>
        <w:rPr>
          <w:rFonts w:hint="eastAsia" w:ascii="宋体" w:hAnsi="宋体" w:cs="宋体"/>
          <w:szCs w:val="21"/>
        </w:rPr>
        <w:t xml:space="preserve">《信息安全技术网络安全等级保护测评要求》三级(GB/T 28448-2019).2019年</w:t>
      </w:r>
      <w:r/>
    </w:p>
    <w:p>
      <w:pPr>
        <w:pStyle w:val="651"/>
        <w:ind w:firstLine="480"/>
        <w:spacing w:line="360" w:lineRule="auto"/>
        <w:rPr>
          <w:rFonts w:hint="eastAsia" w:ascii="宋体" w:hAnsi="宋体" w:cs="宋体"/>
          <w:szCs w:val="21"/>
        </w:rPr>
      </w:pPr>
      <w:r>
        <w:rPr>
          <w:rFonts w:hint="eastAsia" w:ascii="宋体" w:hAnsi="宋体" w:cs="宋体"/>
          <w:szCs w:val="21"/>
        </w:rPr>
        <w:t xml:space="preserve">《疾病分类与代码》（国家临床版2.0）</w:t>
      </w:r>
      <w:r/>
    </w:p>
    <w:p>
      <w:pPr>
        <w:pStyle w:val="651"/>
        <w:ind w:firstLine="480"/>
        <w:spacing w:line="360" w:lineRule="auto"/>
        <w:rPr>
          <w:rFonts w:hint="eastAsia" w:ascii="宋体" w:hAnsi="宋体" w:cs="宋体"/>
          <w:szCs w:val="21"/>
        </w:rPr>
      </w:pPr>
      <w:r>
        <w:rPr>
          <w:rFonts w:hint="eastAsia" w:ascii="宋体" w:hAnsi="宋体" w:cs="宋体"/>
          <w:szCs w:val="21"/>
        </w:rPr>
        <w:t xml:space="preserve">《手术与操作分类代码》（国家临床版3.0）</w:t>
      </w:r>
      <w:r/>
    </w:p>
    <w:p>
      <w:pPr>
        <w:pStyle w:val="651"/>
        <w:ind w:firstLine="480"/>
        <w:spacing w:line="360" w:lineRule="auto"/>
        <w:rPr>
          <w:rFonts w:hint="eastAsia" w:ascii="宋体" w:hAnsi="宋体" w:cs="宋体"/>
          <w:szCs w:val="21"/>
        </w:rPr>
      </w:pPr>
      <w:r>
        <w:rPr>
          <w:rFonts w:hint="eastAsia" w:ascii="宋体" w:hAnsi="宋体" w:cs="宋体"/>
          <w:szCs w:val="21"/>
        </w:rPr>
        <w:t xml:space="preserve">《江苏省县域医共体信息化建设技术指南》，2025年02月</w:t>
      </w:r>
      <w:r/>
    </w:p>
    <w:p>
      <w:pPr>
        <w:pStyle w:val="651"/>
        <w:ind w:firstLine="480"/>
        <w:spacing w:line="360" w:lineRule="auto"/>
        <w:rPr>
          <w:rFonts w:hint="eastAsia" w:ascii="宋体" w:hAnsi="宋体" w:cs="宋体"/>
          <w:szCs w:val="21"/>
        </w:rPr>
      </w:pPr>
      <w:r>
        <w:rPr>
          <w:rFonts w:hint="eastAsia" w:ascii="宋体" w:hAnsi="宋体" w:cs="宋体"/>
          <w:szCs w:val="21"/>
        </w:rPr>
        <w:t xml:space="preserve">《江苏省县域医共体信息化共享数据集标准》，2025年02月</w:t>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《关于加强推进紧密型县域医疗卫生共同体建设实施意见》（2024年多部门联合发文）</w:t>
      </w:r>
      <w:r/>
    </w:p>
    <w:p>
      <w:pPr>
        <w:pStyle w:val="651"/>
        <w:ind w:firstLine="480"/>
        <w:spacing w:line="360" w:lineRule="auto"/>
        <w:rPr>
          <w:rFonts w:hint="eastAsia" w:ascii="宋体" w:hAnsi="宋体" w:cs="宋体"/>
          <w:szCs w:val="21"/>
        </w:rPr>
      </w:pPr>
      <w:r>
        <w:rPr>
          <w:rFonts w:hint="eastAsia" w:ascii="宋体" w:hAnsi="宋体" w:cs="宋体"/>
          <w:szCs w:val="21"/>
        </w:rPr>
        <w:t xml:space="preserve">《连云港市城市紧密型医联体建设实施方案（2024—2026年）》（2024年8月13日市卫健委）</w:t>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《关于进一步深化医疗卫生体制建设促进健康发展意见的实施方案》（连政发〔2025〕50号）</w:t>
      </w:r>
      <w:r/>
    </w:p>
    <w:p>
      <w:pPr>
        <w:pStyle w:val="651"/>
        <w:ind w:firstLine="480"/>
        <w:spacing w:line="360" w:lineRule="auto"/>
        <w:rPr>
          <w:rFonts w:hint="eastAsia" w:ascii="宋体" w:hAnsi="宋体" w:cs="宋体"/>
          <w:szCs w:val="21"/>
        </w:rPr>
      </w:pPr>
      <w:r>
        <w:rPr>
          <w:rFonts w:hint="eastAsia" w:ascii="宋体" w:hAnsi="宋体" w:cs="宋体"/>
          <w:szCs w:val="21"/>
        </w:rPr>
        <w:t xml:space="preserve">《赣榆区推进紧密型区域医共体医保支付方式改革工作实施方案》</w:t>
      </w:r>
      <w:r/>
    </w:p>
    <w:p>
      <w:pPr>
        <w:pStyle w:val="651"/>
        <w:ind w:firstLine="480"/>
        <w:spacing w:line="360" w:lineRule="auto"/>
        <w:rPr>
          <w:rFonts w:hint="eastAsia" w:ascii="宋体" w:hAnsi="宋体" w:cs="宋体"/>
          <w:szCs w:val="21"/>
        </w:rPr>
      </w:pPr>
      <w:r>
        <w:rPr>
          <w:rFonts w:hint="eastAsia" w:ascii="宋体" w:hAnsi="宋体" w:cs="宋体"/>
          <w:szCs w:val="21"/>
        </w:rPr>
        <w:t xml:space="preserve">《紧密型县域医疗卫生共同体建设评判标准和监测指标体系（试行）》（国卫办基层发〔2020〕12号）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《关于加快推进紧密型县域医共体建设提质增效的通知》</w:t>
      </w:r>
      <w:bookmarkStart w:id="111" w:name="_Toc14037"/>
      <w:r>
        <w:rPr>
          <w:rFonts w:hint="eastAsia" w:ascii="宋体" w:hAnsi="宋体" w:cs="宋体"/>
          <w:szCs w:val="21"/>
        </w:rPr>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《关于推动公立医院高质量发展的意见》</w:t>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《关于加强公立医院运营管理的指导意见》（国卫财务发〔2020〕27号）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《国务院办公厅关于建立现代公立医院管理制度的指导意见》</w:t>
      </w:r>
      <w:bookmarkEnd w:id="111"/>
      <w:r>
        <w:rPr>
          <w:rFonts w:hint="eastAsia" w:ascii="宋体" w:hAnsi="宋体" w:cs="宋体"/>
          <w:szCs w:val="21"/>
        </w:rPr>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《关于印发医院智慧管理分级评估标准体系（试行）的通知》（国卫财务发〔2021〕86号）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《关于进一步完善预约诊疗制度加强智慧医院建设的通知》（国卫办医函〔2020〕405号）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《国家卫生健康委员会 国家中医药管理局关于开展“公立医疗机构经济管理年”活动的通知》（国卫办财务函〔2020〕262号通知）</w:t>
      </w:r>
      <w:r/>
    </w:p>
    <w:p>
      <w:pPr>
        <w:pStyle w:val="651"/>
        <w:ind w:firstLine="480"/>
        <w:spacing w:line="360" w:lineRule="auto"/>
        <w:rPr>
          <w:rFonts w:hint="eastAsia" w:ascii="宋体" w:hAnsi="宋体" w:cs="宋体"/>
          <w:szCs w:val="21"/>
        </w:rPr>
      </w:pPr>
      <w:r>
        <w:rPr>
          <w:rFonts w:hint="eastAsia" w:ascii="宋体" w:hAnsi="宋体" w:cs="宋体"/>
          <w:szCs w:val="21"/>
        </w:rPr>
        <w:t xml:space="preserve">《公立医院运营管理信息化功能指引》（（国卫办财务函〔2022〕126号）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《医疗保障基金使用监督管理条例》（国务院令第735号）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《国家医疗保障局关于进一步深化医保信息平台建设的通知》</w:t>
      </w:r>
      <w:r/>
    </w:p>
    <w:p>
      <w:pPr>
        <w:pStyle w:val="651"/>
        <w:ind w:firstLine="480"/>
        <w:spacing w:line="360" w:lineRule="auto"/>
        <w:rPr>
          <w:rFonts w:hint="eastAsia" w:ascii="宋体" w:hAnsi="宋体" w:cs="宋体"/>
          <w:szCs w:val="21"/>
        </w:rPr>
      </w:pPr>
      <w:r>
        <w:rPr>
          <w:rFonts w:hint="eastAsia" w:ascii="宋体" w:hAnsi="宋体" w:cs="宋体"/>
          <w:szCs w:val="21"/>
        </w:rPr>
        <w:t xml:space="preserve">《DRG/DIP支付方式改革三年行动计划》（医保发〔2021〕48号）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《医疗机构内部价格行为管理规定》（国卫财务发〔2019〕64号）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《关于加强医保协议管理确保基金安全有关工作的通知》（医保办发〔2018〕21号）；</w:t>
      </w:r>
      <w:r/>
    </w:p>
    <w:p>
      <w:pPr>
        <w:pStyle w:val="651"/>
        <w:ind w:firstLine="480"/>
        <w:spacing w:line="360" w:lineRule="auto"/>
        <w:rPr>
          <w:rFonts w:hint="eastAsia" w:ascii="宋体" w:hAnsi="宋体" w:cs="宋体"/>
          <w:szCs w:val="21"/>
        </w:rPr>
      </w:pPr>
      <w:r>
        <w:rPr>
          <w:rFonts w:hint="eastAsia" w:ascii="宋体" w:hAnsi="宋体" w:cs="宋体"/>
          <w:szCs w:val="21"/>
        </w:rPr>
        <w:t xml:space="preserve">《欺诈骗取医疗保障基金行为举报奖励暂行办法》（医保发〔2018〕22号）；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《关于开展医保基金监管“两试点一示范”工作的通知》（医保办发〔2019〕17号）；</w:t>
      </w:r>
      <w:r/>
    </w:p>
    <w:p>
      <w:pPr>
        <w:pStyle w:val="651"/>
        <w:ind w:firstLine="480"/>
        <w:spacing w:line="360" w:lineRule="auto"/>
        <w:rPr>
          <w:rFonts w:hint="eastAsia" w:ascii="宋体" w:hAnsi="宋体" w:cs="宋体"/>
          <w:szCs w:val="21"/>
        </w:rPr>
      </w:pPr>
      <w:r>
        <w:rPr>
          <w:rFonts w:hint="eastAsia" w:ascii="宋体" w:hAnsi="宋体" w:cs="宋体"/>
          <w:szCs w:val="21"/>
        </w:rPr>
        <w:t xml:space="preserve">《中共中央、国务院关于深化医疗保障制度改革的意见》（中发〔2020〕5号）；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《国务院办公厅关于推进医疗保障基金监管制度体系改革的指导意见》（国办发〔2020〕20号）；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《医疗机构医疗保障定点管理暂行办法》（国家医疗保障局令第2号）；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《医疗保障基金使用监督管理条例》（中华人民共和国国务院令第735号）；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《国务院办公厅关于加强医疗保障基金使用常态化监管的实施意见》（国办发〔2023〕17号）；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《国家医疗保障局关于进一步深入推进医疗保障基金智能审核和监控工作的通知》（医保发[2023]25号）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《关于加强首诊和转诊服务 提升医疗服务连续性的通知》（国卫办医政发〔2024〕21 号）</w:t>
      </w:r>
      <w:r/>
    </w:p>
    <w:p>
      <w:pPr>
        <w:pStyle w:val="651"/>
        <w:ind w:firstLine="480"/>
        <w:spacing w:line="360" w:lineRule="auto"/>
        <w:rPr>
          <w:rFonts w:hint="eastAsia" w:ascii="宋体" w:hAnsi="宋体" w:cs="宋体"/>
          <w:szCs w:val="21"/>
        </w:rPr>
      </w:pPr>
      <w:r>
        <w:rPr>
          <w:rFonts w:hint="eastAsia" w:ascii="宋体" w:hAnsi="宋体" w:cs="宋体"/>
          <w:szCs w:val="21"/>
        </w:rPr>
        <w:t xml:space="preserve">《国务院关于深入实施“人工智能+”行动的意见》</w:t>
      </w:r>
      <w:r/>
    </w:p>
    <w:p>
      <w:pPr>
        <w:pStyle w:val="651"/>
        <w:ind w:firstLine="480"/>
        <w:spacing w:line="360" w:lineRule="auto"/>
        <w:rPr>
          <w:rFonts w:hint="eastAsia" w:ascii="宋体" w:hAnsi="宋体" w:cs="宋体"/>
          <w:szCs w:val="21"/>
        </w:rPr>
      </w:pPr>
      <w:r>
        <w:rPr>
          <w:rFonts w:hint="eastAsia" w:ascii="宋体" w:hAnsi="宋体" w:cs="宋体"/>
          <w:szCs w:val="21"/>
        </w:rPr>
        <w:t xml:space="preserve">《医疗卫生强基工程实施方案》</w:t>
      </w:r>
      <w:r/>
    </w:p>
    <w:p>
      <w:pPr>
        <w:pStyle w:val="651"/>
        <w:ind w:firstLine="480"/>
        <w:spacing w:line="360" w:lineRule="auto"/>
        <w:rPr>
          <w:rFonts w:hint="eastAsia" w:ascii="宋体" w:hAnsi="宋体" w:cs="宋体"/>
          <w:szCs w:val="21"/>
        </w:rPr>
      </w:pPr>
      <w:r>
        <w:rPr>
          <w:rFonts w:hint="eastAsia" w:ascii="宋体" w:hAnsi="宋体" w:cs="宋体"/>
          <w:szCs w:val="21"/>
        </w:rPr>
        <w:t xml:space="preserve">《江苏省“十四五”卫生健康发展规划》。</w:t>
      </w:r>
      <w:r/>
    </w:p>
    <w:p>
      <w:pPr>
        <w:pStyle w:val="651"/>
        <w:ind w:firstLine="480"/>
        <w:spacing w:line="360" w:lineRule="auto"/>
        <w:rPr>
          <w:rFonts w:hint="eastAsia" w:ascii="宋体" w:hAnsi="宋体" w:cs="宋体"/>
          <w:szCs w:val="21"/>
        </w:rPr>
      </w:pPr>
      <w:r>
        <w:rPr>
          <w:rFonts w:hint="eastAsia" w:ascii="宋体" w:hAnsi="宋体" w:cs="宋体"/>
          <w:szCs w:val="21"/>
        </w:rPr>
        <w:t xml:space="preserve">《连云港市 “人工智能 + 医疗卫生” 三年行动计划（2026—2028 年）》</w:t>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《关于进一步深化医药卫生体制改革促进卫生健康事业高质量发展的实施方案》</w:t>
      </w:r>
      <w:r/>
    </w:p>
    <w:p>
      <w:pPr>
        <w:pStyle w:val="651"/>
        <w:ind w:firstLine="480"/>
        <w:spacing w:line="360" w:lineRule="auto"/>
        <w:rPr>
          <w:rFonts w:hint="eastAsia" w:ascii="宋体" w:hAnsi="宋体" w:cs="宋体"/>
          <w:szCs w:val="21"/>
        </w:rPr>
      </w:pPr>
      <w:r>
        <w:rPr>
          <w:rFonts w:hint="eastAsia" w:ascii="宋体" w:hAnsi="宋体" w:cs="宋体"/>
          <w:szCs w:val="21"/>
        </w:rPr>
        <w:t xml:space="preserve">《连云港市基层医疗卫生机构 “双提升” 工程实施方案》</w:t>
      </w:r>
      <w:r/>
    </w:p>
    <w:p>
      <w:pPr>
        <w:pStyle w:val="651"/>
        <w:ind w:firstLine="480"/>
        <w:spacing w:line="360" w:lineRule="auto"/>
        <w:rPr>
          <w:rFonts w:hint="eastAsia" w:ascii="宋体" w:hAnsi="宋体" w:cs="宋体"/>
          <w:szCs w:val="21"/>
        </w:rPr>
      </w:pPr>
      <w:r>
        <w:rPr>
          <w:rFonts w:hint="eastAsia" w:ascii="宋体" w:hAnsi="宋体" w:cs="宋体"/>
          <w:szCs w:val="21"/>
        </w:rPr>
        <w:t xml:space="preserve">《连云港市推进医疗保障基金监管制度体系改革实施方案》</w:t>
      </w:r>
      <w:r/>
    </w:p>
    <w:p>
      <w:pPr>
        <w:pStyle w:val="651"/>
        <w:ind w:firstLine="480"/>
        <w:spacing w:line="360" w:lineRule="auto"/>
        <w:rPr>
          <w:rFonts w:hint="eastAsia" w:ascii="宋体" w:hAnsi="宋体" w:cs="宋体"/>
          <w:szCs w:val="21"/>
        </w:rPr>
      </w:pPr>
      <w:r>
        <w:rPr>
          <w:rFonts w:hint="eastAsia" w:ascii="宋体" w:hAnsi="宋体" w:cs="宋体"/>
          <w:szCs w:val="21"/>
        </w:rPr>
        <w:t xml:space="preserve">《关于报送2023年拟建省级政务信息化项目的函》（苏政务办函〔2023〕26号）</w:t>
      </w:r>
      <w:r/>
    </w:p>
    <w:p>
      <w:pPr>
        <w:pStyle w:val="651"/>
        <w:ind w:firstLine="482"/>
        <w:keepLines/>
        <w:keepNext/>
        <w:spacing w:line="360" w:lineRule="auto"/>
        <w:rPr>
          <w:rFonts w:hint="eastAsia" w:ascii="Calibri" w:hAnsi="Calibri"/>
          <w:b/>
          <w:i/>
          <w:color w:val="ff0000"/>
          <w:szCs w:val="21"/>
          <w:u w:val="single"/>
        </w:rPr>
        <w:outlineLvl w:val="1"/>
      </w:pPr>
      <w:r>
        <w:rPr>
          <w:rFonts w:hint="eastAsia"/>
          <w:b/>
          <w:i/>
          <w:color w:val="ff0000"/>
          <w:szCs w:val="21"/>
          <w:u w:val="single"/>
        </w:rPr>
        <w:t xml:space="preserve">八、履约验收要求</w:t>
      </w:r>
      <w:r>
        <w:rPr>
          <w:rFonts w:hint="eastAsia" w:ascii="Calibri" w:hAnsi="Calibri"/>
          <w:b/>
          <w:i/>
          <w:color w:val="ff0000"/>
          <w:szCs w:val="21"/>
          <w:u w:val="single"/>
        </w:rPr>
      </w:r>
      <w:r/>
    </w:p>
    <w:p>
      <w:pPr>
        <w:pStyle w:val="651"/>
        <w:ind w:firstLine="482"/>
        <w:spacing w:line="360" w:lineRule="auto"/>
        <w:rPr>
          <w:b/>
          <w:i/>
          <w:color w:val="ff0000"/>
          <w:szCs w:val="21"/>
          <w:u w:val="single"/>
        </w:rPr>
      </w:pPr>
      <w:r>
        <w:rPr>
          <w:b/>
          <w:i/>
          <w:color w:val="ff0000"/>
          <w:szCs w:val="21"/>
          <w:u w:val="single"/>
        </w:rPr>
        <w:t xml:space="preserve">1.</w:t>
      </w:r>
      <w:r>
        <w:rPr>
          <w:rFonts w:hint="eastAsia"/>
          <w:b/>
          <w:i/>
          <w:color w:val="ff0000"/>
          <w:szCs w:val="21"/>
          <w:u w:val="single"/>
        </w:rPr>
        <w:t xml:space="preserve">中标人须在合同签订后</w:t>
      </w:r>
      <w:r>
        <w:rPr>
          <w:b/>
          <w:i/>
          <w:color w:val="ff0000"/>
          <w:szCs w:val="21"/>
          <w:u w:val="single"/>
        </w:rPr>
        <w:t xml:space="preserve">360</w:t>
      </w:r>
      <w:r>
        <w:rPr>
          <w:rFonts w:hint="eastAsia"/>
          <w:b/>
          <w:i/>
          <w:color w:val="ff0000"/>
          <w:szCs w:val="21"/>
          <w:u w:val="single"/>
        </w:rPr>
        <w:t xml:space="preserve">日历天内完成合同内各系统的安装、调试、试运行等工作，由采购人单位组织现场验收，产品按国家行业标准和招标文件、投标文件及合同约定的技术参数及功能指标要求进行初步验收，并出具项目初检报告。本项目以最终验收结论作为项目交付完成依据。项目未通过验收的，中标人应在采购人书面要求的期限内完成整改，直至验收合格。逾期未完成整改，且经采购人书面催告后仍无法达到验收标准的，采购人有权依据本合同（违约责任）约定追究中标人违约责任，直至单方解除合同并要求中标人赔偿全部损失。</w:t>
      </w:r>
      <w:r>
        <w:rPr>
          <w:b/>
          <w:i/>
          <w:color w:val="ff0000"/>
          <w:szCs w:val="21"/>
          <w:u w:val="single"/>
        </w:rPr>
      </w:r>
      <w:r/>
    </w:p>
    <w:p>
      <w:pPr>
        <w:pStyle w:val="651"/>
        <w:ind w:firstLine="482"/>
        <w:spacing w:line="360" w:lineRule="auto"/>
        <w:rPr>
          <w:b/>
          <w:i/>
          <w:color w:val="ff0000"/>
          <w:szCs w:val="21"/>
          <w:u w:val="single"/>
        </w:rPr>
      </w:pPr>
      <w:r>
        <w:rPr>
          <w:b/>
          <w:i/>
          <w:color w:val="ff0000"/>
          <w:szCs w:val="21"/>
          <w:u w:val="single"/>
        </w:rPr>
        <w:t xml:space="preserve">2.</w:t>
      </w:r>
      <w:r>
        <w:rPr>
          <w:rFonts w:hint="eastAsia"/>
          <w:b/>
          <w:i/>
          <w:color w:val="ff0000"/>
          <w:szCs w:val="21"/>
          <w:u w:val="single"/>
        </w:rPr>
        <w:t xml:space="preserve">供应商未按合同约定提供货物及服务的，采购人有权依法追究其违约责任。项目履约及验收阶段，如发现中标人交付产品、提供服务实际指标不满足招标文件、投标响应文件及合同约定，属于中标人违约，采购人有权要求中标人限期整改；整改后仍达不到约定标准的，采购人有权解除合同，并按合同约定追究中标人违约责任，给采购人造成损失的，中标人应予赔偿。如查实供应商存在提供虚假材料谋取中标、成交的违法情形，采购人将收集相关线索报送政府采购监管部门，由监管部门依法予以处理。</w:t>
      </w:r>
      <w:r>
        <w:rPr>
          <w:b/>
          <w:i/>
          <w:color w:val="ff0000"/>
          <w:szCs w:val="21"/>
          <w:u w:val="single"/>
        </w:rPr>
      </w:r>
      <w:r/>
    </w:p>
    <w:p>
      <w:pPr>
        <w:pStyle w:val="651"/>
        <w:ind w:firstLine="482"/>
        <w:keepLines/>
        <w:keepNext/>
        <w:spacing w:line="360" w:lineRule="auto"/>
        <w:rPr>
          <w:rFonts w:ascii="宋体" w:hAnsi="宋体" w:cs="宋体"/>
          <w:b/>
          <w:bCs/>
          <w:szCs w:val="21"/>
        </w:rPr>
        <w:outlineLvl w:val="1"/>
      </w:pPr>
      <w:r>
        <w:rPr>
          <w:rFonts w:hint="eastAsia" w:ascii="宋体" w:hAnsi="宋体" w:cs="宋体"/>
          <w:b/>
          <w:bCs/>
          <w:szCs w:val="21"/>
        </w:rPr>
        <w:t xml:space="preserve">九、培训要求</w:t>
      </w:r>
      <w:r>
        <w:rPr>
          <w:rFonts w:ascii="宋体" w:hAnsi="宋体" w:cs="宋体"/>
          <w:b/>
          <w:bCs/>
          <w:szCs w:val="21"/>
        </w:rPr>
      </w:r>
      <w:r/>
    </w:p>
    <w:p>
      <w:pPr>
        <w:pStyle w:val="651"/>
        <w:ind w:firstLine="480"/>
        <w:spacing w:line="360" w:lineRule="auto"/>
        <w:rPr>
          <w:rFonts w:hint="eastAsia" w:ascii="宋体" w:hAnsi="宋体" w:cs="宋体"/>
          <w:szCs w:val="21"/>
        </w:rPr>
      </w:pPr>
      <w:r>
        <w:rPr>
          <w:rFonts w:hint="eastAsia" w:ascii="宋体" w:hAnsi="宋体" w:cs="宋体"/>
          <w:szCs w:val="21"/>
        </w:rPr>
        <w:t xml:space="preserve">为了保证系统顺利完成，投标人需要准备一份完整的培训计划，对各类人员进行相关的培训，培训内容包含</w:t>
      </w:r>
      <w:r>
        <w:rPr>
          <w:rFonts w:hint="eastAsia"/>
          <w:szCs w:val="21"/>
        </w:rPr>
        <w:t xml:space="preserve">培训课程的设置、培训时间的安排，</w:t>
      </w:r>
      <w:r>
        <w:rPr>
          <w:rFonts w:hint="eastAsia" w:ascii="宋体" w:hAnsi="宋体" w:cs="宋体"/>
          <w:szCs w:val="21"/>
        </w:rPr>
        <w:t xml:space="preserve">同时需要负责培训的实施，包括培训文档的准备。对医院信息系统的相关技术，投标人也需要提供必要的手段保证能够将其传授与相关医院技术人员。</w:t>
      </w:r>
      <w:r/>
    </w:p>
    <w:p>
      <w:pPr>
        <w:pStyle w:val="651"/>
        <w:ind w:firstLine="482"/>
        <w:keepLines/>
        <w:keepNext/>
        <w:spacing w:line="360" w:lineRule="auto"/>
        <w:rPr>
          <w:rFonts w:hint="eastAsia" w:ascii="宋体" w:hAnsi="宋体" w:cs="宋体"/>
          <w:b/>
          <w:bCs/>
          <w:szCs w:val="21"/>
        </w:rPr>
        <w:outlineLvl w:val="1"/>
      </w:pPr>
      <w:r>
        <w:rPr>
          <w:rFonts w:hint="eastAsia" w:ascii="宋体" w:hAnsi="宋体" w:cs="宋体"/>
          <w:b/>
          <w:bCs/>
          <w:szCs w:val="21"/>
        </w:rPr>
        <w:t xml:space="preserve">十、售后服务要求</w:t>
      </w:r>
      <w:r/>
    </w:p>
    <w:p>
      <w:pPr>
        <w:pStyle w:val="651"/>
        <w:ind w:firstLine="480"/>
        <w:spacing w:line="360" w:lineRule="auto"/>
        <w:rPr>
          <w:rFonts w:hint="eastAsia" w:ascii="宋体" w:hAnsi="宋体" w:cs="宋体"/>
          <w:szCs w:val="21"/>
        </w:rPr>
      </w:pPr>
      <w:r>
        <w:rPr>
          <w:rFonts w:hint="eastAsia" w:ascii="宋体" w:hAnsi="宋体" w:cs="宋体"/>
          <w:szCs w:val="21"/>
        </w:rPr>
        <w:t xml:space="preserve">1、在质保期内，供应商应确保各系统的正常使用。在接到用户服务要求后应立即做出回应，并在承诺的服务时间内实施服务。</w:t>
      </w:r>
      <w:r/>
    </w:p>
    <w:p>
      <w:pPr>
        <w:pStyle w:val="651"/>
        <w:ind w:firstLine="480"/>
        <w:spacing w:line="360" w:lineRule="auto"/>
        <w:rPr>
          <w:rFonts w:hint="eastAsia" w:ascii="宋体" w:hAnsi="宋体" w:cs="宋体"/>
          <w:szCs w:val="21"/>
        </w:rPr>
      </w:pPr>
      <w:r>
        <w:rPr>
          <w:rFonts w:hint="eastAsia" w:ascii="宋体" w:hAnsi="宋体" w:cs="宋体"/>
          <w:szCs w:val="21"/>
        </w:rPr>
        <w:t xml:space="preserve">2、投标人具有良好的售后服务能力，出现影响用户业务的故障时，1 小时内做出明确响应和安排，2 小时内排除故障并做出故障诊断报告，如未能在规定时间内排除故障，对业务造成 2 小时及以上中断的，对每发生一次，其质保期相应延长 30 天。前述质保期延长累计总上限不超过 1 年，累计延长达到 1 年后不再继续叠加。项目验收合格后，每年进行不低于4次的例行维护及巡检。</w:t>
      </w:r>
      <w:r/>
    </w:p>
    <w:p>
      <w:pPr>
        <w:pStyle w:val="651"/>
        <w:ind w:firstLine="482"/>
        <w:spacing w:line="360" w:lineRule="auto"/>
        <w:rPr>
          <w:rFonts w:hint="eastAsia" w:ascii="Calibri" w:hAnsi="Calibri"/>
          <w:b/>
          <w:i/>
          <w:color w:val="ff0000"/>
          <w:szCs w:val="21"/>
          <w:u w:val="single"/>
        </w:rPr>
      </w:pPr>
      <w:r>
        <w:rPr>
          <w:rFonts w:hint="eastAsia"/>
          <w:b/>
          <w:i/>
          <w:color w:val="ff0000"/>
          <w:szCs w:val="21"/>
          <w:u w:val="single"/>
        </w:rPr>
        <w:t xml:space="preserve">信息系统软件质保期：自项目终验合格后两年。</w:t>
      </w:r>
      <w:r>
        <w:rPr>
          <w:rFonts w:hint="eastAsia" w:ascii="Calibri" w:hAnsi="Calibri"/>
          <w:b/>
          <w:i/>
          <w:color w:val="ff0000"/>
          <w:szCs w:val="21"/>
          <w:u w:val="single"/>
        </w:rPr>
      </w:r>
      <w:r/>
    </w:p>
    <w:p>
      <w:pPr>
        <w:pStyle w:val="651"/>
        <w:ind w:firstLine="480"/>
        <w:spacing w:line="360" w:lineRule="auto"/>
        <w:rPr>
          <w:rFonts w:ascii="宋体" w:hAnsi="宋体" w:cs="宋体"/>
          <w:szCs w:val="21"/>
        </w:rPr>
      </w:pPr>
      <w:r>
        <w:rPr>
          <w:rFonts w:hint="eastAsia" w:ascii="宋体" w:hAnsi="宋体" w:cs="宋体"/>
          <w:szCs w:val="21"/>
        </w:rPr>
        <w:t xml:space="preserve">质保期间，中标人承担软件系统维护、运行检测、缺陷修复、配置调试等全部质保服务，相关费用包含在投标报价内，采购方不再支付任何费用；对于采购方人为原因造成的故障，中标人只收取维保成本费用。     </w:t>
      </w:r>
      <w:r>
        <w:rPr>
          <w:rFonts w:ascii="宋体" w:hAnsi="宋体" w:cs="宋体"/>
          <w:szCs w:val="21"/>
        </w:rPr>
      </w:r>
      <w:r/>
    </w:p>
    <w:p>
      <w:pPr>
        <w:pStyle w:val="651"/>
        <w:ind w:firstLine="480"/>
        <w:spacing w:line="360" w:lineRule="auto"/>
        <w:rPr>
          <w:rFonts w:hint="eastAsia" w:ascii="宋体" w:hAnsi="宋体" w:cs="宋体"/>
          <w:b/>
          <w:bCs/>
          <w:szCs w:val="21"/>
        </w:rPr>
      </w:pPr>
      <w:r>
        <w:rPr>
          <w:rFonts w:hint="eastAsia" w:ascii="宋体" w:hAnsi="宋体" w:cs="宋体"/>
          <w:b/>
          <w:bCs/>
          <w:szCs w:val="21"/>
        </w:rPr>
        <w:t xml:space="preserve">十一、投标报价要求</w:t>
      </w:r>
      <w:r/>
    </w:p>
    <w:p>
      <w:pPr>
        <w:pStyle w:val="651"/>
        <w:ind w:firstLine="480"/>
        <w:spacing w:line="360" w:lineRule="auto"/>
        <w:rPr>
          <w:rFonts w:hint="eastAsia" w:ascii="宋体" w:hAnsi="宋体" w:cs="宋体"/>
          <w:color w:val="ff0000"/>
          <w:szCs w:val="21"/>
        </w:rPr>
      </w:pPr>
      <w:r>
        <w:rPr>
          <w:rFonts w:hint="eastAsia" w:ascii="宋体" w:hAnsi="宋体" w:cs="宋体"/>
          <w:szCs w:val="21"/>
        </w:rPr>
        <w:t xml:space="preserve">投标报价包含本项目全部软件开发实施、设备采购、软件授权、算力租用、接口集成、培训推广、运杂费、安装调试费、质保及售后服务、2年质保、税金及为完成本项目发生的其他所有费用，采购人不再另行支付任何费用。</w:t>
      </w:r>
      <w:r>
        <w:rPr>
          <w:rFonts w:hint="eastAsia" w:ascii="宋体" w:hAnsi="宋体" w:cs="宋体"/>
          <w:color w:val="ff0000"/>
          <w:szCs w:val="21"/>
        </w:rPr>
      </w:r>
      <w:r/>
    </w:p>
    <w:p>
      <w:pPr>
        <w:pStyle w:val="651"/>
        <w:numPr>
          <w:ilvl w:val="0"/>
          <w:numId w:val="8"/>
        </w:numPr>
        <w:ind w:firstLine="482"/>
        <w:keepLines/>
        <w:keepNext/>
        <w:spacing w:line="360" w:lineRule="auto"/>
        <w:rPr>
          <w:rFonts w:hint="eastAsia"/>
          <w:b/>
          <w:i/>
          <w:color w:val="ff0000"/>
          <w:szCs w:val="21"/>
          <w:u w:val="single"/>
        </w:rPr>
        <w:outlineLvl w:val="1"/>
      </w:pPr>
      <w:r>
        <w:rPr>
          <w:rFonts w:hint="eastAsia"/>
          <w:b/>
          <w:i/>
          <w:color w:val="ff0000"/>
          <w:szCs w:val="21"/>
          <w:u w:val="single"/>
        </w:rPr>
        <w:t xml:space="preserve">付款方式与履约保证金</w:t>
      </w:r>
      <w:r/>
    </w:p>
    <w:p>
      <w:pPr>
        <w:pStyle w:val="651"/>
        <w:ind w:firstLine="632"/>
        <w:keepLines/>
        <w:keepNext/>
        <w:spacing w:line="360" w:lineRule="auto"/>
        <w:rPr>
          <w:b/>
          <w:i/>
          <w:color w:val="ff0000"/>
          <w:szCs w:val="21"/>
          <w:u w:val="single"/>
        </w:rPr>
        <w:outlineLvl w:val="1"/>
      </w:pPr>
      <w:r>
        <w:rPr>
          <w:b/>
          <w:i/>
          <w:color w:val="ff0000"/>
          <w:szCs w:val="21"/>
          <w:u w:val="single"/>
        </w:rPr>
        <w:t xml:space="preserve">1</w:t>
      </w:r>
      <w:r>
        <w:rPr>
          <w:rFonts w:hint="eastAsia"/>
          <w:b/>
          <w:i/>
          <w:color w:val="ff0000"/>
          <w:szCs w:val="21"/>
          <w:u w:val="single"/>
        </w:rPr>
        <w:t xml:space="preserve">、付款方式：</w:t>
      </w:r>
      <w:r>
        <w:rPr>
          <w:b/>
          <w:i/>
          <w:color w:val="ff0000"/>
          <w:szCs w:val="21"/>
          <w:u w:val="single"/>
        </w:rPr>
        <w:t xml:space="preserve">1</w:t>
      </w:r>
      <w:r>
        <w:rPr>
          <w:rFonts w:hint="eastAsia"/>
          <w:b/>
          <w:i/>
          <w:color w:val="ff0000"/>
          <w:szCs w:val="21"/>
          <w:u w:val="single"/>
        </w:rPr>
        <w:t xml:space="preserve">）项目合同签订后，支付总额的</w:t>
      </w:r>
      <w:r>
        <w:rPr>
          <w:b/>
          <w:i/>
          <w:color w:val="ff0000"/>
          <w:szCs w:val="21"/>
          <w:u w:val="single"/>
        </w:rPr>
        <w:t xml:space="preserve">30%</w:t>
      </w:r>
      <w:r>
        <w:rPr>
          <w:rFonts w:hint="eastAsia"/>
          <w:b/>
          <w:i/>
          <w:color w:val="ff0000"/>
          <w:szCs w:val="21"/>
          <w:u w:val="single"/>
        </w:rPr>
        <w:t xml:space="preserve">为预付款；</w:t>
      </w:r>
      <w:r>
        <w:rPr>
          <w:b/>
          <w:i/>
          <w:color w:val="ff0000"/>
          <w:szCs w:val="21"/>
          <w:u w:val="single"/>
        </w:rPr>
        <w:t xml:space="preserve">2</w:t>
      </w:r>
      <w:r>
        <w:rPr>
          <w:rFonts w:hint="eastAsia"/>
          <w:b/>
          <w:i/>
          <w:color w:val="ff0000"/>
          <w:szCs w:val="21"/>
          <w:u w:val="single"/>
        </w:rPr>
        <w:t xml:space="preserve">）初步验收合格后</w:t>
      </w:r>
      <w:r>
        <w:rPr>
          <w:b/>
          <w:i/>
          <w:color w:val="ff0000"/>
          <w:szCs w:val="21"/>
          <w:u w:val="single"/>
        </w:rPr>
      </w:r>
      <w:r/>
    </w:p>
    <w:p>
      <w:pPr>
        <w:pStyle w:val="651"/>
        <w:spacing w:line="360" w:lineRule="auto"/>
        <w:rPr>
          <w:b/>
          <w:i/>
          <w:color w:val="ff0000"/>
          <w:szCs w:val="21"/>
          <w:u w:val="single"/>
        </w:rPr>
      </w:pPr>
      <w:r>
        <w:rPr>
          <w:rFonts w:hint="eastAsia"/>
          <w:b/>
          <w:i/>
          <w:color w:val="ff0000"/>
          <w:szCs w:val="21"/>
          <w:u w:val="single"/>
        </w:rPr>
        <w:t xml:space="preserve">支付总额的</w:t>
      </w:r>
      <w:r>
        <w:rPr>
          <w:b/>
          <w:i/>
          <w:color w:val="ff0000"/>
          <w:szCs w:val="21"/>
          <w:u w:val="single"/>
        </w:rPr>
        <w:t xml:space="preserve">40%</w:t>
      </w:r>
      <w:r>
        <w:rPr>
          <w:rFonts w:hint="eastAsia"/>
          <w:b/>
          <w:i/>
          <w:color w:val="ff0000"/>
          <w:szCs w:val="21"/>
          <w:u w:val="single"/>
        </w:rPr>
        <w:t xml:space="preserve">；</w:t>
      </w:r>
      <w:r>
        <w:rPr>
          <w:b/>
          <w:i/>
          <w:color w:val="ff0000"/>
          <w:szCs w:val="21"/>
          <w:u w:val="single"/>
        </w:rPr>
        <w:t xml:space="preserve">3</w:t>
      </w:r>
      <w:r>
        <w:rPr>
          <w:rFonts w:hint="eastAsia"/>
          <w:b/>
          <w:i/>
          <w:color w:val="ff0000"/>
          <w:szCs w:val="21"/>
          <w:u w:val="single"/>
        </w:rPr>
        <w:t xml:space="preserve">）项目终验合格后，支付总额的</w:t>
      </w:r>
      <w:r>
        <w:rPr>
          <w:b/>
          <w:i/>
          <w:color w:val="ff0000"/>
          <w:szCs w:val="21"/>
          <w:u w:val="single"/>
        </w:rPr>
        <w:t xml:space="preserve">30%</w:t>
      </w:r>
      <w:r>
        <w:rPr>
          <w:rFonts w:hint="eastAsia"/>
          <w:b/>
          <w:i/>
          <w:color w:val="ff0000"/>
          <w:szCs w:val="21"/>
          <w:u w:val="single"/>
        </w:rPr>
        <w:t xml:space="preserve">。</w:t>
      </w:r>
      <w:r>
        <w:rPr>
          <w:b/>
          <w:i/>
          <w:color w:val="ff0000"/>
          <w:szCs w:val="21"/>
          <w:u w:val="single"/>
        </w:rPr>
      </w:r>
      <w:r/>
    </w:p>
    <w:p>
      <w:pPr>
        <w:pStyle w:val="651"/>
        <w:spacing w:line="360" w:lineRule="auto"/>
        <w:rPr>
          <w:rFonts w:ascii="宋体" w:hAnsi="宋体"/>
          <w:bCs/>
          <w:color w:val="ff0000"/>
          <w:szCs w:val="21"/>
        </w:rPr>
      </w:pPr>
      <w:r/>
      <w:bookmarkStart w:id="112" w:name="OLE_LINK12"/>
      <w:r/>
      <w:bookmarkStart w:id="113" w:name="OLE_LINK11"/>
      <w:r>
        <w:rPr>
          <w:rFonts w:hint="eastAsia"/>
          <w:i/>
          <w:color w:val="ff0000"/>
          <w:szCs w:val="21"/>
          <w:u w:val="single"/>
        </w:rPr>
        <w:t xml:space="preserve">每次付款前乙方向甲方开具正规发票，甲方自收到发票后</w:t>
      </w:r>
      <w:r>
        <w:rPr>
          <w:i/>
          <w:color w:val="ff0000"/>
          <w:szCs w:val="21"/>
          <w:u w:val="single"/>
        </w:rPr>
        <w:t xml:space="preserve">10</w:t>
      </w:r>
      <w:r>
        <w:rPr>
          <w:rFonts w:hint="eastAsia"/>
          <w:i/>
          <w:color w:val="ff0000"/>
          <w:szCs w:val="21"/>
          <w:u w:val="single"/>
        </w:rPr>
        <w:t xml:space="preserve">工作日内将资金支付至合同约定的乙方账户（发票开具日期计算）</w:t>
      </w:r>
      <w:r>
        <w:rPr>
          <w:rFonts w:ascii="宋体" w:hAnsi="宋体"/>
          <w:bCs/>
          <w:color w:val="ff0000"/>
          <w:szCs w:val="21"/>
        </w:rPr>
      </w:r>
      <w:r/>
    </w:p>
    <w:p>
      <w:pPr>
        <w:pStyle w:val="651"/>
        <w:ind w:firstLine="480"/>
        <w:spacing w:line="360" w:lineRule="auto"/>
        <w:rPr>
          <w:rFonts w:hint="eastAsia" w:ascii="Calibri" w:hAnsi="Calibri"/>
          <w:szCs w:val="21"/>
        </w:rPr>
      </w:pPr>
      <w:r/>
      <w:bookmarkEnd w:id="112"/>
      <w:r/>
      <w:bookmarkEnd w:id="113"/>
      <w:r>
        <w:rPr>
          <w:szCs w:val="21"/>
        </w:rPr>
        <w:t xml:space="preserve">2</w:t>
      </w:r>
      <w:r>
        <w:rPr>
          <w:rFonts w:hint="eastAsia"/>
          <w:szCs w:val="21"/>
        </w:rPr>
        <w:t xml:space="preserve">、履约保证金</w:t>
      </w:r>
      <w:r>
        <w:rPr>
          <w:rFonts w:hint="eastAsia" w:ascii="Calibri" w:hAnsi="Calibri"/>
          <w:szCs w:val="21"/>
        </w:rPr>
      </w:r>
      <w:r/>
    </w:p>
    <w:p>
      <w:pPr>
        <w:pStyle w:val="651"/>
        <w:ind w:firstLine="480"/>
        <w:spacing w:line="360" w:lineRule="auto"/>
        <w:rPr>
          <w:szCs w:val="21"/>
        </w:rPr>
      </w:pPr>
      <w:r>
        <w:rPr>
          <w:rFonts w:hint="eastAsia"/>
          <w:szCs w:val="21"/>
        </w:rPr>
        <w:t xml:space="preserve">本项目不收取履约保证金。</w:t>
      </w:r>
      <w:r>
        <w:rPr>
          <w:szCs w:val="21"/>
        </w:rPr>
      </w:r>
      <w:r/>
    </w:p>
    <w:p>
      <w:pPr>
        <w:pStyle w:val="651"/>
        <w:ind w:firstLine="482"/>
        <w:keepLines/>
        <w:keepNext/>
        <w:spacing w:line="360" w:lineRule="auto"/>
        <w:rPr>
          <w:rFonts w:ascii="宋体" w:hAnsi="宋体" w:cs="宋体"/>
          <w:b/>
          <w:bCs/>
          <w:szCs w:val="21"/>
        </w:rPr>
        <w:outlineLvl w:val="1"/>
      </w:pPr>
      <w:r>
        <w:rPr>
          <w:rFonts w:hint="eastAsia" w:ascii="宋体" w:hAnsi="宋体" w:cs="宋体"/>
          <w:b/>
          <w:bCs/>
          <w:szCs w:val="21"/>
        </w:rPr>
        <w:t xml:space="preserve">十三、其他</w:t>
      </w:r>
      <w:r>
        <w:rPr>
          <w:rFonts w:ascii="宋体" w:hAnsi="宋体" w:cs="宋体"/>
          <w:b/>
          <w:bCs/>
          <w:szCs w:val="21"/>
        </w:rPr>
      </w:r>
      <w:r/>
    </w:p>
    <w:p>
      <w:pPr>
        <w:pStyle w:val="651"/>
        <w:ind w:firstLine="480"/>
        <w:spacing w:line="360" w:lineRule="auto"/>
        <w:rPr>
          <w:rFonts w:hint="eastAsia" w:ascii="宋体" w:hAnsi="宋体" w:cs="宋体"/>
          <w:szCs w:val="21"/>
        </w:rPr>
      </w:pPr>
      <w:r>
        <w:rPr>
          <w:rFonts w:hint="eastAsia" w:ascii="宋体" w:hAnsi="宋体" w:cs="宋体"/>
          <w:szCs w:val="21"/>
        </w:rPr>
        <w:t xml:space="preserve">工作中涉及的敏感资料、电子数据等相关信息，中标供应商应严格执行保密的相关规定，不得以任何方式向任何第三人披露、泄露或许可第三人使用，否则追究其相应法律责任。</w:t>
      </w:r>
      <w:r/>
    </w:p>
    <w:p>
      <w:pPr>
        <w:pStyle w:val="651"/>
        <w:ind w:firstLine="880"/>
        <w:jc w:val="center"/>
        <w:keepLines/>
        <w:keepNext/>
        <w:spacing w:before="340" w:after="330"/>
        <w:rPr>
          <w:rFonts w:hint="eastAsia" w:eastAsia="黑体"/>
          <w:bCs/>
          <w:sz w:val="44"/>
          <w:szCs w:val="44"/>
        </w:rPr>
        <w:outlineLvl w:val="0"/>
      </w:pPr>
      <w:r>
        <w:rPr>
          <w:rFonts w:hint="eastAsia" w:ascii="黑体" w:hAnsi="黑体" w:eastAsia="黑体"/>
          <w:bCs/>
          <w:sz w:val="44"/>
          <w:szCs w:val="24"/>
        </w:rPr>
        <w:br w:type="page" w:clear="all"/>
      </w:r>
      <w:bookmarkStart w:id="114" w:name="_Toc7015"/>
      <w:r/>
      <w:bookmarkStart w:id="115" w:name="_Toc31944"/>
      <w:r/>
      <w:bookmarkStart w:id="116" w:name="_Toc9266"/>
      <w:r>
        <w:rPr>
          <w:rFonts w:hint="eastAsia" w:eastAsia="黑体"/>
          <w:bCs/>
          <w:sz w:val="44"/>
          <w:szCs w:val="44"/>
        </w:rPr>
        <w:t xml:space="preserve">第五章</w:t>
      </w:r>
      <w:r>
        <w:rPr>
          <w:rFonts w:eastAsia="黑体"/>
          <w:bCs/>
          <w:sz w:val="44"/>
          <w:szCs w:val="44"/>
        </w:rPr>
        <w:t xml:space="preserve">  </w:t>
      </w:r>
      <w:r>
        <w:rPr>
          <w:rFonts w:hint="eastAsia" w:eastAsia="黑体"/>
          <w:bCs/>
          <w:sz w:val="44"/>
          <w:szCs w:val="44"/>
        </w:rPr>
        <w:t xml:space="preserve">评标方法与评标标准</w:t>
      </w:r>
      <w:bookmarkEnd w:id="114"/>
      <w:r/>
      <w:bookmarkEnd w:id="115"/>
      <w:r/>
      <w:bookmarkEnd w:id="116"/>
      <w:r>
        <w:rPr>
          <w:rFonts w:hint="eastAsia" w:eastAsia="黑体"/>
          <w:bCs/>
          <w:sz w:val="44"/>
          <w:szCs w:val="44"/>
        </w:rPr>
      </w:r>
      <w:r/>
    </w:p>
    <w:p>
      <w:pPr>
        <w:pStyle w:val="651"/>
        <w:ind w:firstLine="480"/>
        <w:rPr>
          <w:rFonts w:ascii="Calibri" w:hAnsi="Calibri"/>
          <w:sz w:val="24"/>
        </w:rPr>
      </w:pPr>
      <w:r>
        <w:rPr>
          <w:rFonts w:hint="eastAsia"/>
        </w:rPr>
        <w:t xml:space="preserve">一、评标方法</w:t>
      </w:r>
      <w:r>
        <w:rPr>
          <w:rFonts w:ascii="Calibri" w:hAnsi="Calibri"/>
          <w:sz w:val="24"/>
        </w:rPr>
      </w:r>
      <w:r/>
    </w:p>
    <w:p>
      <w:pPr>
        <w:pStyle w:val="651"/>
        <w:ind w:firstLine="480"/>
      </w:pPr>
      <w:r>
        <w:rPr>
          <w:rFonts w:hint="eastAsia"/>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651"/>
        <w:ind w:firstLine="480"/>
      </w:pPr>
      <w:r>
        <w:rPr>
          <w:rFonts w:hint="eastAsia"/>
        </w:rPr>
        <w:t xml:space="preserve">二、评标标准</w:t>
      </w:r>
      <w:r/>
    </w:p>
    <w:p>
      <w:pPr>
        <w:pStyle w:val="651"/>
        <w:ind w:firstLine="480"/>
      </w:pPr>
      <w:r>
        <w:rPr>
          <w:rFonts w:hint="eastAsia"/>
        </w:rPr>
        <w:t xml:space="preserve">（</w:t>
      </w:r>
      <w:r>
        <w:t xml:space="preserve">1</w:t>
      </w:r>
      <w:r>
        <w:rPr>
          <w:rFonts w:hint="eastAsia"/>
        </w:rPr>
        <w:t xml:space="preserve">）评标时，评委会以招标文件为评标依据，评委会各成员独立对每个投标人的投标文件进行评价，并汇总每个投标人的得分。评标过程中，不得去掉报价中的最高报价和最低报价。</w:t>
      </w:r>
      <w:r/>
    </w:p>
    <w:p>
      <w:pPr>
        <w:pStyle w:val="651"/>
        <w:ind w:firstLine="480"/>
      </w:pPr>
      <w:r>
        <w:rPr>
          <w:rFonts w:hint="eastAsia"/>
        </w:rPr>
        <w:t xml:space="preserve">（</w:t>
      </w:r>
      <w:r>
        <w:t xml:space="preserve">2</w:t>
      </w:r>
      <w:r>
        <w:rPr>
          <w:rFonts w:hint="eastAsia"/>
        </w:rPr>
        <w:t xml:space="preserve">）本项目评分总分为</w:t>
      </w:r>
      <w:r>
        <w:t xml:space="preserve">100</w:t>
      </w:r>
      <w:r>
        <w:rPr>
          <w:rFonts w:hint="eastAsia"/>
        </w:rPr>
        <w:t xml:space="preserve">分，按四舍五入取至小数点后两位。</w:t>
      </w:r>
      <w:r/>
    </w:p>
    <w:p>
      <w:pPr>
        <w:pStyle w:val="651"/>
        <w:ind w:firstLine="480"/>
      </w:pPr>
      <w:r>
        <w:rPr>
          <w:rFonts w:hint="eastAsia"/>
        </w:rPr>
        <w:t xml:space="preserve">（</w:t>
      </w:r>
      <w:r>
        <w:t xml:space="preserve">3</w:t>
      </w:r>
      <w:r>
        <w:rPr>
          <w:rFonts w:hint="eastAsia"/>
        </w:rPr>
        <w:t xml:space="preserve">）总得分</w:t>
      </w:r>
      <w:r>
        <w:t xml:space="preserve">=</w:t>
      </w:r>
      <w:r>
        <w:rPr>
          <w:rFonts w:hint="eastAsia"/>
        </w:rPr>
        <w:t xml:space="preserve">价格分</w:t>
      </w:r>
      <w:r>
        <w:t xml:space="preserve">+</w:t>
      </w:r>
      <w:r>
        <w:rPr>
          <w:rFonts w:hint="eastAsia"/>
        </w:rPr>
        <w:t xml:space="preserve">技术分</w:t>
      </w:r>
      <w:r>
        <w:t xml:space="preserve">+</w:t>
      </w:r>
      <w:r>
        <w:rPr>
          <w:rFonts w:hint="eastAsia"/>
        </w:rPr>
        <w:t xml:space="preserve">商务分。</w:t>
      </w:r>
      <w:r/>
    </w:p>
    <w:p>
      <w:pPr>
        <w:pStyle w:val="651"/>
        <w:ind w:firstLine="640"/>
        <w:jc w:val="center"/>
      </w:pPr>
      <w:r>
        <w:rPr>
          <w:rFonts w:hint="eastAsia" w:ascii="黑体" w:hAnsi="黑体" w:eastAsia="黑体"/>
          <w:sz w:val="32"/>
          <w:szCs w:val="24"/>
        </w:rPr>
        <w:t xml:space="preserve">综合评分法</w:t>
      </w:r>
      <w:r/>
    </w:p>
    <w:p>
      <w:pPr>
        <w:pStyle w:val="651"/>
        <w:ind w:firstLine="480"/>
      </w:pPr>
      <w:r>
        <w:rPr>
          <w:rFonts w:hint="eastAsia"/>
        </w:rPr>
        <w:t xml:space="preserve">（</w:t>
      </w:r>
      <w:r>
        <w:t xml:space="preserve">1</w:t>
      </w:r>
      <w:r>
        <w:rPr>
          <w:rFonts w:hint="eastAsia"/>
        </w:rPr>
        <w:t xml:space="preserve">）价格分（</w:t>
      </w:r>
      <w:r>
        <w:t xml:space="preserve">10</w:t>
      </w:r>
      <w:r>
        <w:rPr>
          <w:rFonts w:hint="eastAsia"/>
        </w:rPr>
        <w:t xml:space="preserve">分）</w:t>
      </w:r>
      <w:r/>
    </w:p>
    <w:p>
      <w:pPr>
        <w:pStyle w:val="651"/>
        <w:ind w:firstLine="480"/>
      </w:pPr>
      <w:r>
        <w:rPr>
          <w:rFonts w:hint="eastAsia"/>
        </w:rPr>
        <w:t xml:space="preserve">采用低价优先法计算，即满足招标文件要求且投标价格最低的投标报价为评标基准价，其价格分为满分。其他投标人的价格分统一按照下列公式计算：</w:t>
      </w:r>
      <w:r/>
    </w:p>
    <w:p>
      <w:pPr>
        <w:pStyle w:val="651"/>
        <w:ind w:firstLine="480"/>
      </w:pPr>
      <w:r>
        <w:rPr>
          <w:rFonts w:hint="eastAsia"/>
        </w:rPr>
        <w:t xml:space="preserve">投标报价得分</w:t>
      </w:r>
      <w:r>
        <w:t xml:space="preserve">=</w:t>
      </w:r>
      <w:r>
        <w:rPr>
          <w:rFonts w:hint="eastAsia"/>
        </w:rPr>
        <w:t xml:space="preserve">（评标基准价／投标报价）×</w:t>
      </w:r>
      <w:r>
        <w:t xml:space="preserve">10</w:t>
      </w:r>
      <w:r>
        <w:rPr>
          <w:rFonts w:hint="eastAsia"/>
        </w:rPr>
        <w:t xml:space="preserve">分</w:t>
      </w:r>
      <w:r/>
    </w:p>
    <w:p>
      <w:pPr>
        <w:pStyle w:val="651"/>
        <w:ind w:firstLine="480"/>
      </w:pPr>
      <w:r>
        <w:rPr>
          <w:rFonts w:hint="eastAsia"/>
        </w:rPr>
        <w:t xml:space="preserve">因落实政府采购政策进行价格扣除的，用扣除后的价格参加评审。</w:t>
      </w:r>
      <w:r/>
    </w:p>
    <w:p>
      <w:pPr>
        <w:pStyle w:val="651"/>
        <w:ind w:firstLine="480"/>
      </w:pPr>
      <w:r>
        <w:rPr>
          <w:rFonts w:hint="eastAsia"/>
        </w:rPr>
        <w:t xml:space="preserve">（</w:t>
      </w:r>
      <w:r>
        <w:t xml:space="preserve">2</w:t>
      </w:r>
      <w:r>
        <w:rPr>
          <w:rFonts w:hint="eastAsia"/>
        </w:rPr>
        <w:t xml:space="preserve">）技术分（</w:t>
      </w:r>
      <w:r>
        <w:t xml:space="preserve">6</w:t>
      </w:r>
      <w:r>
        <w:rPr>
          <w:rFonts w:hint="eastAsia"/>
        </w:rPr>
        <w:t xml:space="preserve">0分）</w:t>
      </w:r>
      <w:r/>
    </w:p>
    <w:tbl>
      <w:tblPr>
        <w:tblW w:w="481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2"/>
        <w:gridCol w:w="7831"/>
      </w:tblGrid>
      <w:tr>
        <w:trPr>
          <w:trHeight w:val="624"/>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651"/>
              <w:rPr>
                <w:rFonts w:ascii="宋体" w:hAnsi="宋体" w:cs="宋体"/>
                <w:b/>
                <w:bCs/>
                <w:sz w:val="20"/>
                <w:szCs w:val="21"/>
              </w:rPr>
            </w:pPr>
            <w:r>
              <w:rPr>
                <w:rFonts w:hint="eastAsia" w:ascii="宋体" w:hAnsi="宋体" w:cs="宋体"/>
                <w:b/>
                <w:bCs/>
                <w:sz w:val="20"/>
                <w:szCs w:val="21"/>
              </w:rPr>
              <w:t xml:space="preserve">评审因素</w:t>
            </w:r>
            <w:r>
              <w:rPr>
                <w:rFonts w:ascii="宋体" w:hAnsi="宋体" w:cs="宋体"/>
                <w:b/>
                <w:bCs/>
                <w:sz w:val="20"/>
                <w:szCs w:val="21"/>
              </w:rPr>
            </w:r>
            <w:r/>
          </w:p>
        </w:tc>
        <w:tc>
          <w:tcPr>
            <w:tcBorders>
              <w:top w:val="single" w:color="000000" w:sz="4" w:space="0"/>
              <w:left w:val="single" w:color="000000" w:sz="4" w:space="0"/>
              <w:bottom w:val="single" w:color="000000" w:sz="4" w:space="0"/>
              <w:right w:val="single" w:color="000000" w:sz="4" w:space="0"/>
            </w:tcBorders>
            <w:tcW w:w="7831" w:type="dxa"/>
            <w:vAlign w:val="center"/>
            <w:textDirection w:val="lrTb"/>
            <w:noWrap w:val="false"/>
          </w:tcPr>
          <w:p>
            <w:pPr>
              <w:pStyle w:val="651"/>
              <w:rPr>
                <w:rFonts w:ascii="宋体" w:hAnsi="宋体" w:cs="宋体"/>
                <w:b/>
                <w:bCs/>
                <w:sz w:val="20"/>
                <w:szCs w:val="21"/>
              </w:rPr>
            </w:pPr>
            <w:r>
              <w:rPr>
                <w:rFonts w:hint="eastAsia" w:ascii="宋体" w:hAnsi="宋体" w:cs="宋体"/>
                <w:b/>
                <w:bCs/>
                <w:sz w:val="20"/>
                <w:szCs w:val="21"/>
              </w:rPr>
              <w:t xml:space="preserve">评审标准</w:t>
            </w:r>
            <w:r>
              <w:rPr>
                <w:rFonts w:ascii="宋体" w:hAnsi="宋体" w:cs="宋体"/>
                <w:b/>
                <w:bCs/>
                <w:sz w:val="20"/>
                <w:szCs w:val="21"/>
              </w:rPr>
            </w:r>
            <w:r/>
          </w:p>
        </w:tc>
      </w:tr>
      <w:tr>
        <w:trPr>
          <w:trHeight w:val="624"/>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651"/>
              <w:jc w:val="left"/>
              <w:rPr>
                <w:rFonts w:ascii="宋体" w:hAnsi="宋体" w:cs="宋体"/>
                <w:sz w:val="20"/>
                <w:szCs w:val="21"/>
              </w:rPr>
            </w:pPr>
            <w:r>
              <w:rPr>
                <w:rFonts w:ascii="宋体" w:hAnsi="宋体" w:cs="宋体"/>
                <w:sz w:val="20"/>
                <w:szCs w:val="21"/>
              </w:rPr>
            </w:r>
            <w:r/>
          </w:p>
          <w:p>
            <w:pPr>
              <w:pStyle w:val="651"/>
              <w:jc w:val="left"/>
              <w:rPr>
                <w:rFonts w:ascii="宋体" w:hAnsi="宋体" w:cs="宋体"/>
                <w:sz w:val="20"/>
                <w:szCs w:val="21"/>
              </w:rPr>
            </w:pPr>
            <w:r>
              <w:rPr>
                <w:rFonts w:hint="eastAsia" w:ascii="宋体" w:hAnsi="宋体" w:cs="宋体"/>
                <w:sz w:val="20"/>
                <w:szCs w:val="21"/>
              </w:rPr>
              <w:t xml:space="preserve">技术参数评审（17分）</w:t>
            </w:r>
            <w:r>
              <w:rPr>
                <w:rFonts w:ascii="宋体" w:hAnsi="宋体" w:cs="宋体"/>
                <w:sz w:val="20"/>
                <w:szCs w:val="21"/>
              </w:rPr>
            </w:r>
            <w:r/>
          </w:p>
        </w:tc>
        <w:tc>
          <w:tcPr>
            <w:tcBorders>
              <w:top w:val="single" w:color="000000" w:sz="4" w:space="0"/>
              <w:left w:val="single" w:color="000000" w:sz="4" w:space="0"/>
              <w:bottom w:val="single" w:color="000000" w:sz="4" w:space="0"/>
              <w:right w:val="single" w:color="000000" w:sz="4" w:space="0"/>
            </w:tcBorders>
            <w:tcW w:w="7831" w:type="dxa"/>
            <w:vAlign w:val="center"/>
            <w:textDirection w:val="lrTb"/>
            <w:noWrap w:val="false"/>
          </w:tcPr>
          <w:p>
            <w:pPr>
              <w:pStyle w:val="651"/>
              <w:rPr>
                <w:rFonts w:hint="eastAsia" w:ascii="宋体" w:hAnsi="宋体" w:cs="宋体"/>
                <w:sz w:val="20"/>
                <w:szCs w:val="21"/>
              </w:rPr>
            </w:pPr>
            <w:r>
              <w:rPr>
                <w:rFonts w:hint="eastAsia" w:ascii="宋体" w:hAnsi="宋体" w:cs="宋体"/>
                <w:sz w:val="20"/>
                <w:szCs w:val="21"/>
              </w:rPr>
              <w:t xml:space="preserve">投标人对招标文件全部技术参数逐条响应，全部参数满足招标文件要求，得17分。</w:t>
            </w:r>
            <w:r/>
          </w:p>
          <w:p>
            <w:pPr>
              <w:pStyle w:val="651"/>
              <w:rPr>
                <w:rFonts w:hint="eastAsia" w:ascii="宋体" w:hAnsi="宋体" w:cs="宋体"/>
                <w:sz w:val="20"/>
                <w:szCs w:val="21"/>
              </w:rPr>
            </w:pPr>
            <w:r>
              <w:rPr>
                <w:rFonts w:hint="eastAsia" w:ascii="宋体" w:hAnsi="宋体" w:cs="宋体"/>
                <w:sz w:val="20"/>
                <w:szCs w:val="21"/>
              </w:rPr>
              <w:t xml:space="preserve">“详细功能参数”中非 “▲”为 一般技术参数，每负偏离一项扣 0.1 分；标注 “▲” 为重要技术参数，▲参数每有一项负偏离扣 0.5 分，本项分值扣完为止。</w:t>
            </w:r>
            <w:r/>
          </w:p>
          <w:p>
            <w:pPr>
              <w:pStyle w:val="651"/>
              <w:rPr>
                <w:rFonts w:ascii="宋体" w:hAnsi="宋体" w:cs="宋体"/>
                <w:sz w:val="20"/>
                <w:szCs w:val="21"/>
              </w:rPr>
            </w:pPr>
            <w:r>
              <w:rPr>
                <w:rFonts w:hint="eastAsia" w:ascii="宋体" w:hAnsi="宋体" w:cs="宋体"/>
                <w:sz w:val="20"/>
                <w:szCs w:val="21"/>
              </w:rPr>
              <w:t xml:space="preserve">注：</w:t>
            </w:r>
            <w:r>
              <w:rPr>
                <w:rFonts w:hint="eastAsia" w:ascii="宋体" w:hAnsi="宋体" w:cs="宋体"/>
                <w:b/>
                <w:bCs/>
                <w:sz w:val="20"/>
                <w:szCs w:val="21"/>
              </w:rPr>
              <w:t xml:space="preserve">打“▲”的重要技术参数以招标文件第四章项目需求中要求提供的证明材料为准，以便评委审核，未提供或提供不符合招标文件技术参数要求的，视为负偏离。</w:t>
            </w:r>
            <w:r>
              <w:rPr>
                <w:rFonts w:ascii="宋体" w:hAnsi="宋体" w:cs="宋体"/>
                <w:sz w:val="20"/>
                <w:szCs w:val="21"/>
              </w:rPr>
            </w:r>
            <w:r/>
          </w:p>
        </w:tc>
      </w:tr>
      <w:tr>
        <w:trPr>
          <w:trHeight w:val="624"/>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651"/>
              <w:rPr>
                <w:rFonts w:ascii="宋体" w:hAnsi="宋体" w:cs="宋体"/>
                <w:sz w:val="20"/>
                <w:szCs w:val="21"/>
              </w:rPr>
            </w:pPr>
            <w:r>
              <w:rPr>
                <w:rFonts w:hint="eastAsia" w:ascii="宋体" w:hAnsi="宋体" w:cs="宋体"/>
                <w:sz w:val="20"/>
                <w:szCs w:val="21"/>
              </w:rPr>
              <w:t xml:space="preserve">研发技术能力（10分）</w:t>
            </w:r>
            <w:r>
              <w:rPr>
                <w:rFonts w:ascii="宋体" w:hAnsi="宋体" w:cs="宋体"/>
                <w:sz w:val="20"/>
                <w:szCs w:val="21"/>
              </w:rPr>
            </w:r>
            <w:r/>
          </w:p>
        </w:tc>
        <w:tc>
          <w:tcPr>
            <w:tcBorders>
              <w:top w:val="single" w:color="000000" w:sz="4" w:space="0"/>
              <w:left w:val="single" w:color="000000" w:sz="4" w:space="0"/>
              <w:bottom w:val="single" w:color="000000" w:sz="4" w:space="0"/>
              <w:right w:val="single" w:color="000000" w:sz="4" w:space="0"/>
            </w:tcBorders>
            <w:tcW w:w="7831" w:type="dxa"/>
            <w:vAlign w:val="center"/>
            <w:textDirection w:val="lrTb"/>
            <w:noWrap w:val="false"/>
          </w:tcPr>
          <w:p>
            <w:pPr>
              <w:pStyle w:val="651"/>
              <w:rPr>
                <w:rFonts w:ascii="宋体" w:hAnsi="宋体" w:cs="宋体"/>
                <w:sz w:val="20"/>
                <w:szCs w:val="21"/>
              </w:rPr>
            </w:pPr>
            <w:r>
              <w:rPr>
                <w:rFonts w:hint="eastAsia" w:ascii="宋体" w:hAnsi="宋体" w:cs="宋体"/>
                <w:sz w:val="20"/>
                <w:szCs w:val="21"/>
              </w:rPr>
              <w:t xml:space="preserve">1、“区域医保智慧预警”系统：支持针对病历中的非结构化文书进行医学实体抽取、医学实体关系抽取和片段级解析，准确率大于90% ；支持对患者病历中主要诊断和诊疗经过一致性进行医学推理，识别存在错误的准确率大于90%；支持基于AI技术对诊断名称和ICD-10编码不一致质检，识别存在错误的准确率大于90%，支持医保2.0、国临2.0等版本。（</w:t>
            </w:r>
            <w:r>
              <w:rPr>
                <w:rFonts w:hint="eastAsia"/>
                <w:sz w:val="20"/>
                <w:szCs w:val="21"/>
              </w:rPr>
              <w:t xml:space="preserve">提供国家具有检测资质的第三方检测机构出具的</w:t>
            </w:r>
            <w:r>
              <w:rPr>
                <w:rFonts w:hint="eastAsia" w:ascii="宋体" w:hAnsi="宋体" w:cs="宋体"/>
                <w:b/>
                <w:bCs/>
                <w:sz w:val="20"/>
                <w:szCs w:val="21"/>
              </w:rPr>
              <w:t xml:space="preserve">检验报告原件彩色扫描件作为证明材料并加盖投标人公章</w:t>
            </w:r>
            <w:r>
              <w:rPr>
                <w:rFonts w:hint="eastAsia" w:ascii="宋体" w:hAnsi="宋体" w:cs="宋体"/>
                <w:sz w:val="20"/>
                <w:szCs w:val="21"/>
              </w:rPr>
              <w:t xml:space="preserve">）每提供一样得2分，最多得4分。</w:t>
            </w:r>
            <w:r>
              <w:rPr>
                <w:rFonts w:ascii="宋体" w:hAnsi="宋体" w:cs="宋体"/>
                <w:sz w:val="20"/>
                <w:szCs w:val="21"/>
              </w:rPr>
            </w:r>
            <w:r/>
          </w:p>
          <w:p>
            <w:pPr>
              <w:pStyle w:val="651"/>
              <w:rPr>
                <w:rFonts w:ascii="宋体" w:hAnsi="宋体" w:cs="宋体"/>
                <w:sz w:val="20"/>
                <w:szCs w:val="21"/>
              </w:rPr>
            </w:pPr>
            <w:r>
              <w:rPr>
                <w:rFonts w:hint="eastAsia" w:ascii="宋体" w:hAnsi="宋体" w:cs="宋体"/>
                <w:sz w:val="20"/>
                <w:szCs w:val="21"/>
              </w:rPr>
              <w:t xml:space="preserve">2、投标人（或联合体成员中任意一方）需提供与本项目相关的软件著作权证书，类型包含医保智慧预警、医生智能辅助诊断、财务运营管理三类</w:t>
            </w:r>
            <w:r>
              <w:rPr>
                <w:rFonts w:hint="eastAsia"/>
              </w:rPr>
              <w:t xml:space="preserve">，</w:t>
            </w:r>
            <w:r>
              <w:rPr>
                <w:rFonts w:hint="eastAsia" w:ascii="宋体" w:hAnsi="宋体" w:cs="宋体"/>
                <w:sz w:val="20"/>
                <w:szCs w:val="21"/>
              </w:rPr>
              <w:t xml:space="preserve">每提供一类得2分，共计6分。同一类型不重复计分。</w:t>
            </w:r>
            <w:r>
              <w:rPr>
                <w:rFonts w:ascii="宋体" w:hAnsi="宋体" w:cs="宋体"/>
                <w:sz w:val="20"/>
                <w:szCs w:val="21"/>
              </w:rPr>
            </w:r>
            <w:r/>
          </w:p>
          <w:p>
            <w:pPr>
              <w:pStyle w:val="651"/>
              <w:rPr>
                <w:rFonts w:hint="eastAsia" w:ascii="宋体" w:hAnsi="宋体" w:cs="宋体"/>
                <w:sz w:val="20"/>
                <w:szCs w:val="21"/>
              </w:rPr>
            </w:pPr>
            <w:r>
              <w:rPr>
                <w:rFonts w:hint="eastAsia" w:ascii="宋体" w:hAnsi="宋体" w:cs="宋体"/>
                <w:b/>
                <w:bCs/>
                <w:sz w:val="20"/>
                <w:szCs w:val="21"/>
              </w:rPr>
              <w:t xml:space="preserve">必须提供证书等证明材料原件彩色扫描件并加盖投标人公章</w:t>
            </w:r>
            <w:r>
              <w:rPr>
                <w:rFonts w:hint="eastAsia" w:ascii="宋体" w:hAnsi="宋体" w:cs="宋体"/>
                <w:sz w:val="20"/>
                <w:szCs w:val="21"/>
              </w:rPr>
              <w:t xml:space="preserve">。</w:t>
            </w:r>
            <w:r>
              <w:rPr>
                <w:rFonts w:hint="eastAsia" w:ascii="宋体" w:hAnsi="宋体" w:cs="宋体"/>
                <w:b/>
                <w:bCs/>
                <w:sz w:val="20"/>
                <w:szCs w:val="21"/>
              </w:rPr>
              <w:t xml:space="preserve">证书须为投标人（或联合体成员中任意一方）原始取得的软件著作权，证书未载明权利取得方式，或评标委员会无法判断是否为原始取得的，投标人应在投标文件中提供中国版权保护中心出具的登记查询结果、登记档案或其他有效证明材料；未提供或提供材料仍无法证明的，不得分。</w:t>
            </w:r>
            <w:r>
              <w:rPr>
                <w:rFonts w:hint="eastAsia" w:ascii="宋体" w:hAnsi="宋体" w:cs="宋体"/>
                <w:sz w:val="20"/>
                <w:szCs w:val="21"/>
              </w:rPr>
            </w:r>
            <w:r/>
          </w:p>
          <w:p>
            <w:pPr>
              <w:pStyle w:val="651"/>
              <w:rPr>
                <w:rFonts w:ascii="宋体" w:hAnsi="宋体" w:cs="宋体"/>
                <w:sz w:val="20"/>
                <w:szCs w:val="21"/>
              </w:rPr>
            </w:pPr>
            <w:r>
              <w:rPr>
                <w:rFonts w:hint="eastAsia" w:ascii="宋体" w:hAnsi="宋体" w:cs="宋体"/>
                <w:sz w:val="20"/>
                <w:szCs w:val="21"/>
              </w:rPr>
              <w:t xml:space="preserve">注：以上投标人提供的材料出现名称或功能相近的，由评标委员会统一认定。投标人可提供相关说明等证明材料，便于评审。</w:t>
            </w:r>
            <w:r>
              <w:rPr>
                <w:rFonts w:hint="eastAsia" w:ascii="宋体" w:hAnsi="宋体" w:cs="宋体"/>
                <w:b/>
                <w:bCs/>
                <w:sz w:val="20"/>
                <w:szCs w:val="21"/>
              </w:rPr>
              <w:t xml:space="preserve">未按要求提供证明材料或提供的证明材料无法佐证参数真实性的不得分。</w:t>
            </w:r>
            <w:r>
              <w:rPr>
                <w:rFonts w:ascii="宋体" w:hAnsi="宋体" w:cs="宋体"/>
                <w:sz w:val="20"/>
                <w:szCs w:val="21"/>
              </w:rPr>
            </w:r>
            <w:r/>
          </w:p>
        </w:tc>
      </w:tr>
      <w:tr>
        <w:trPr>
          <w:cantSplit/>
          <w:trHeight w:val="624"/>
        </w:trPr>
        <w:tc>
          <w:tcPr>
            <w:tcBorders>
              <w:top w:val="single" w:color="000000" w:sz="4" w:space="0"/>
              <w:left w:val="single" w:color="000000" w:sz="4" w:space="0"/>
              <w:right w:val="single" w:color="000000" w:sz="4" w:space="0"/>
            </w:tcBorders>
            <w:tcW w:w="1652" w:type="dxa"/>
            <w:vAlign w:val="center"/>
            <w:vMerge w:val="restart"/>
            <w:textDirection w:val="lrTb"/>
            <w:noWrap w:val="false"/>
          </w:tcPr>
          <w:p>
            <w:pPr>
              <w:pStyle w:val="651"/>
              <w:rPr>
                <w:rFonts w:ascii="宋体" w:hAnsi="宋体" w:cs="宋体"/>
                <w:sz w:val="20"/>
                <w:szCs w:val="21"/>
              </w:rPr>
            </w:pPr>
            <w:r>
              <w:rPr>
                <w:rFonts w:hint="eastAsia" w:ascii="宋体" w:hAnsi="宋体" w:cs="宋体"/>
                <w:sz w:val="20"/>
                <w:szCs w:val="21"/>
              </w:rPr>
              <w:t xml:space="preserve">技术方案评审（33分）</w:t>
            </w:r>
            <w:r>
              <w:rPr>
                <w:rFonts w:ascii="宋体" w:hAnsi="宋体" w:cs="宋体"/>
                <w:sz w:val="20"/>
                <w:szCs w:val="21"/>
              </w:rPr>
            </w:r>
            <w:r/>
          </w:p>
        </w:tc>
        <w:tc>
          <w:tcPr>
            <w:tcBorders>
              <w:top w:val="single" w:color="000000" w:sz="4" w:space="0"/>
              <w:left w:val="single" w:color="000000" w:sz="4" w:space="0"/>
              <w:bottom w:val="single" w:color="000000" w:sz="4" w:space="0"/>
              <w:right w:val="single" w:color="000000" w:sz="4" w:space="0"/>
            </w:tcBorders>
            <w:tcW w:w="7831" w:type="dxa"/>
            <w:vAlign w:val="center"/>
            <w:textDirection w:val="lrTb"/>
            <w:noWrap w:val="false"/>
          </w:tcPr>
          <w:p>
            <w:pPr>
              <w:pStyle w:val="651"/>
              <w:rPr>
                <w:rFonts w:hint="eastAsia" w:ascii="宋体" w:hAnsi="宋体" w:cs="宋体"/>
                <w:b/>
                <w:bCs/>
                <w:sz w:val="20"/>
                <w:szCs w:val="21"/>
              </w:rPr>
            </w:pPr>
            <w:r>
              <w:rPr>
                <w:rFonts w:ascii="宋体" w:hAnsi="宋体" w:cs="宋体"/>
                <w:b/>
                <w:bCs/>
                <w:sz w:val="20"/>
                <w:szCs w:val="21"/>
              </w:rPr>
              <w:t xml:space="preserve">1、</w:t>
            </w:r>
            <w:r>
              <w:rPr>
                <w:rFonts w:hint="eastAsia" w:ascii="宋体" w:hAnsi="宋体" w:cs="宋体"/>
                <w:b/>
                <w:bCs/>
                <w:sz w:val="20"/>
                <w:szCs w:val="21"/>
              </w:rPr>
              <w:t xml:space="preserve">技术建设方案（</w:t>
            </w:r>
            <w:r>
              <w:rPr>
                <w:rFonts w:hint="eastAsia" w:ascii="宋体" w:hAnsi="宋体" w:cs="宋体"/>
                <w:sz w:val="20"/>
                <w:szCs w:val="21"/>
              </w:rPr>
              <w:t xml:space="preserve">12分</w:t>
            </w:r>
            <w:r>
              <w:rPr>
                <w:rFonts w:hint="eastAsia" w:ascii="宋体" w:hAnsi="宋体" w:cs="宋体"/>
                <w:b/>
                <w:bCs/>
                <w:sz w:val="20"/>
                <w:szCs w:val="21"/>
              </w:rPr>
              <w:t xml:space="preserve">）</w:t>
            </w:r>
            <w:r/>
          </w:p>
          <w:p>
            <w:pPr>
              <w:pStyle w:val="651"/>
              <w:rPr>
                <w:rFonts w:hint="eastAsia" w:ascii="宋体" w:hAnsi="宋体" w:cs="宋体"/>
                <w:sz w:val="20"/>
                <w:szCs w:val="21"/>
              </w:rPr>
            </w:pPr>
            <w:r>
              <w:rPr>
                <w:rFonts w:hint="eastAsia" w:ascii="宋体" w:hAnsi="宋体" w:cs="宋体"/>
                <w:sz w:val="20"/>
                <w:szCs w:val="21"/>
              </w:rPr>
              <w:t xml:space="preserve">投标人结合赣榆区医共体现有情况，在充分利旧基础上针对建设内容提供完整的技术建设方案，方案中包括但不限于以下四个要点：</w:t>
            </w:r>
            <w:r/>
          </w:p>
          <w:p>
            <w:pPr>
              <w:pStyle w:val="651"/>
              <w:rPr>
                <w:rFonts w:hint="eastAsia" w:ascii="宋体" w:hAnsi="宋体" w:cs="宋体"/>
                <w:sz w:val="20"/>
                <w:szCs w:val="21"/>
              </w:rPr>
            </w:pPr>
            <w:r>
              <w:rPr>
                <w:rFonts w:hint="eastAsia" w:ascii="宋体" w:hAnsi="宋体" w:cs="宋体"/>
                <w:sz w:val="20"/>
                <w:szCs w:val="21"/>
              </w:rPr>
              <w:t xml:space="preserve">①成熟、稳定的技术架构（3分）</w:t>
            </w:r>
            <w:r/>
          </w:p>
          <w:p>
            <w:pPr>
              <w:pStyle w:val="651"/>
              <w:rPr>
                <w:rFonts w:hint="eastAsia" w:ascii="宋体" w:hAnsi="宋体" w:cs="宋体"/>
                <w:sz w:val="20"/>
                <w:szCs w:val="21"/>
              </w:rPr>
            </w:pPr>
            <w:r>
              <w:rPr>
                <w:rFonts w:hint="eastAsia" w:ascii="宋体" w:hAnsi="宋体" w:cs="宋体"/>
                <w:sz w:val="20"/>
                <w:szCs w:val="21"/>
              </w:rPr>
              <w:t xml:space="preserve">②技术路线的扩展性（3分）</w:t>
            </w:r>
            <w:r/>
          </w:p>
          <w:p>
            <w:pPr>
              <w:pStyle w:val="651"/>
              <w:rPr>
                <w:rFonts w:hint="eastAsia" w:ascii="宋体" w:hAnsi="宋体" w:cs="宋体"/>
                <w:sz w:val="20"/>
                <w:szCs w:val="21"/>
              </w:rPr>
            </w:pPr>
            <w:r>
              <w:rPr>
                <w:rFonts w:hint="eastAsia" w:ascii="宋体" w:hAnsi="宋体" w:cs="宋体"/>
                <w:sz w:val="20"/>
                <w:szCs w:val="21"/>
              </w:rPr>
              <w:t xml:space="preserve">③技术路线的安全性（3分）</w:t>
            </w:r>
            <w:r/>
          </w:p>
          <w:p>
            <w:pPr>
              <w:pStyle w:val="651"/>
              <w:rPr>
                <w:rFonts w:hint="eastAsia" w:ascii="宋体" w:hAnsi="宋体" w:cs="宋体"/>
                <w:sz w:val="20"/>
                <w:szCs w:val="21"/>
              </w:rPr>
            </w:pPr>
            <w:r>
              <w:rPr>
                <w:rFonts w:hint="eastAsia" w:ascii="宋体" w:hAnsi="宋体" w:cs="宋体"/>
                <w:sz w:val="20"/>
                <w:szCs w:val="21"/>
              </w:rPr>
              <w:t xml:space="preserve">④技术路线的可维护性（3分）</w:t>
            </w:r>
            <w:r/>
          </w:p>
          <w:p>
            <w:pPr>
              <w:pStyle w:val="651"/>
              <w:rPr>
                <w:rFonts w:hint="eastAsia" w:ascii="宋体" w:hAnsi="宋体" w:cs="宋体"/>
                <w:sz w:val="20"/>
                <w:szCs w:val="21"/>
              </w:rPr>
            </w:pPr>
            <w:r>
              <w:rPr>
                <w:rFonts w:hint="eastAsia" w:ascii="宋体" w:hAnsi="宋体" w:cs="宋体"/>
                <w:sz w:val="20"/>
                <w:szCs w:val="21"/>
              </w:rPr>
              <w:t xml:space="preserve">本项最高得12分。对上述四个要点分别评分，每个要点满分3分，按以下档次评分：</w:t>
            </w:r>
            <w:r/>
          </w:p>
          <w:p>
            <w:pPr>
              <w:pStyle w:val="651"/>
              <w:rPr>
                <w:rFonts w:hint="eastAsia" w:ascii="宋体" w:hAnsi="宋体" w:cs="宋体"/>
                <w:sz w:val="20"/>
                <w:szCs w:val="21"/>
              </w:rPr>
            </w:pPr>
            <w:r>
              <w:rPr>
                <w:rFonts w:hint="eastAsia" w:ascii="宋体" w:hAnsi="宋体" w:cs="宋体"/>
                <w:sz w:val="20"/>
                <w:szCs w:val="21"/>
              </w:rPr>
              <w:t xml:space="preserve">（1）满分（3分）：要点内容完整、针对本项目现状，技术路线清晰可行，与项目现有情况衔接明确，无需实质性补充即可实施。</w:t>
            </w:r>
            <w:r/>
          </w:p>
          <w:p>
            <w:pPr>
              <w:pStyle w:val="651"/>
              <w:rPr>
                <w:rFonts w:hint="eastAsia" w:ascii="宋体" w:hAnsi="宋体" w:cs="宋体"/>
                <w:sz w:val="20"/>
                <w:szCs w:val="21"/>
              </w:rPr>
            </w:pPr>
            <w:r>
              <w:rPr>
                <w:rFonts w:hint="eastAsia" w:ascii="宋体" w:hAnsi="宋体" w:cs="宋体"/>
                <w:sz w:val="20"/>
                <w:szCs w:val="21"/>
              </w:rPr>
              <w:t xml:space="preserve">（2）轻微缺陷（2分）：少量内容缺失、表述简略，核心内容完整，不影响方案整体可行性；</w:t>
            </w:r>
            <w:r/>
          </w:p>
          <w:p>
            <w:pPr>
              <w:pStyle w:val="651"/>
              <w:rPr>
                <w:rFonts w:hint="eastAsia" w:ascii="宋体" w:hAnsi="宋体" w:cs="宋体"/>
                <w:sz w:val="20"/>
                <w:szCs w:val="21"/>
              </w:rPr>
            </w:pPr>
            <w:r>
              <w:rPr>
                <w:rFonts w:hint="eastAsia" w:ascii="宋体" w:hAnsi="宋体" w:cs="宋体"/>
                <w:sz w:val="20"/>
                <w:szCs w:val="21"/>
              </w:rPr>
              <w:t xml:space="preserve">（3）中度缺陷（1分）：内容不全、部分不匹配项目需求，存在逻辑瑕疵，对方案落地存在一定影响；</w:t>
            </w:r>
            <w:r/>
          </w:p>
          <w:p>
            <w:pPr>
              <w:pStyle w:val="651"/>
              <w:rPr>
                <w:rFonts w:ascii="宋体" w:hAnsi="宋体" w:cs="宋体"/>
                <w:sz w:val="20"/>
                <w:szCs w:val="21"/>
              </w:rPr>
            </w:pPr>
            <w:r>
              <w:rPr>
                <w:rFonts w:hint="eastAsia" w:ascii="宋体" w:hAnsi="宋体" w:cs="宋体"/>
                <w:sz w:val="20"/>
                <w:szCs w:val="21"/>
              </w:rPr>
              <w:t xml:space="preserve">（4）严重缺陷或要点未提供(0分）。严重缺陷：核心内容缺失、大量套用其他项目模板、夸大不实、与赣榆区医共体现状冲突，方案无法落地。</w:t>
            </w:r>
            <w:r>
              <w:rPr>
                <w:rFonts w:ascii="宋体" w:hAnsi="宋体" w:cs="宋体"/>
                <w:sz w:val="20"/>
                <w:szCs w:val="21"/>
              </w:rPr>
            </w:r>
            <w:r/>
          </w:p>
        </w:tc>
      </w:tr>
      <w:tr>
        <w:trPr>
          <w:cantSplit/>
          <w:trHeight w:val="624"/>
        </w:trPr>
        <w:tc>
          <w:tcPr>
            <w:tcBorders>
              <w:left w:val="single" w:color="000000" w:sz="4" w:space="0"/>
              <w:right w:val="single" w:color="000000" w:sz="4" w:space="0"/>
            </w:tcBorders>
            <w:tcW w:w="1652" w:type="dxa"/>
            <w:vAlign w:val="center"/>
            <w:vMerge w:val="continue"/>
            <w:textDirection w:val="lrTb"/>
            <w:noWrap w:val="false"/>
          </w:tcPr>
          <w:p>
            <w:pPr>
              <w:pStyle w:val="651"/>
              <w:rPr>
                <w:rFonts w:ascii="宋体" w:hAnsi="宋体" w:cs="宋体"/>
                <w:sz w:val="20"/>
                <w:szCs w:val="21"/>
              </w:rPr>
            </w:pPr>
            <w:r>
              <w:rPr>
                <w:rFonts w:ascii="宋体" w:hAnsi="宋体" w:cs="宋体"/>
                <w:sz w:val="20"/>
                <w:szCs w:val="21"/>
              </w:rPr>
            </w:r>
            <w:r/>
          </w:p>
        </w:tc>
        <w:tc>
          <w:tcPr>
            <w:tcBorders>
              <w:top w:val="single" w:color="000000" w:sz="4" w:space="0"/>
              <w:left w:val="single" w:color="000000" w:sz="4" w:space="0"/>
              <w:bottom w:val="single" w:color="000000" w:sz="4" w:space="0"/>
              <w:right w:val="single" w:color="000000" w:sz="4" w:space="0"/>
            </w:tcBorders>
            <w:tcW w:w="7831" w:type="dxa"/>
            <w:vAlign w:val="center"/>
            <w:textDirection w:val="lrTb"/>
            <w:noWrap w:val="false"/>
          </w:tcPr>
          <w:p>
            <w:pPr>
              <w:pStyle w:val="651"/>
              <w:rPr>
                <w:rFonts w:hint="eastAsia" w:ascii="宋体" w:hAnsi="宋体" w:cs="宋体"/>
                <w:b/>
                <w:bCs/>
                <w:sz w:val="20"/>
                <w:szCs w:val="21"/>
              </w:rPr>
            </w:pPr>
            <w:r>
              <w:rPr>
                <w:rFonts w:hint="eastAsia" w:ascii="宋体" w:hAnsi="宋体" w:cs="宋体"/>
                <w:b/>
                <w:bCs/>
                <w:sz w:val="20"/>
                <w:szCs w:val="21"/>
              </w:rPr>
              <w:t xml:space="preserve">2、实施方案（15分）</w:t>
            </w:r>
            <w:r/>
          </w:p>
          <w:p>
            <w:pPr>
              <w:pStyle w:val="651"/>
              <w:rPr>
                <w:rFonts w:hint="eastAsia" w:ascii="宋体" w:hAnsi="宋体" w:cs="宋体"/>
                <w:sz w:val="20"/>
                <w:szCs w:val="21"/>
              </w:rPr>
            </w:pPr>
            <w:r>
              <w:rPr>
                <w:rFonts w:hint="eastAsia" w:ascii="宋体" w:hAnsi="宋体" w:cs="宋体"/>
                <w:sz w:val="20"/>
                <w:szCs w:val="21"/>
              </w:rPr>
              <w:t xml:space="preserve">投标人提供本项目的实施管理方案，包括但不限于以下五个要点：</w:t>
            </w:r>
            <w:r/>
          </w:p>
          <w:p>
            <w:pPr>
              <w:pStyle w:val="651"/>
              <w:rPr>
                <w:rFonts w:hint="eastAsia" w:ascii="宋体" w:hAnsi="宋体" w:cs="宋体"/>
                <w:sz w:val="20"/>
                <w:szCs w:val="21"/>
              </w:rPr>
            </w:pPr>
            <w:r>
              <w:rPr>
                <w:rFonts w:hint="eastAsia" w:ascii="宋体" w:hAnsi="宋体" w:cs="宋体"/>
                <w:sz w:val="20"/>
                <w:szCs w:val="21"/>
              </w:rPr>
              <w:t xml:space="preserve">①整体项目实施计划（3分）</w:t>
            </w:r>
            <w:r/>
          </w:p>
          <w:p>
            <w:pPr>
              <w:pStyle w:val="651"/>
              <w:rPr>
                <w:rFonts w:hint="eastAsia" w:ascii="宋体" w:hAnsi="宋体" w:cs="宋体"/>
                <w:sz w:val="20"/>
                <w:szCs w:val="21"/>
              </w:rPr>
            </w:pPr>
            <w:r>
              <w:rPr>
                <w:rFonts w:hint="eastAsia" w:ascii="宋体" w:hAnsi="宋体" w:cs="宋体"/>
                <w:sz w:val="20"/>
                <w:szCs w:val="21"/>
              </w:rPr>
              <w:t xml:space="preserve">②密码应用安全性评估改造实施方案（3分）</w:t>
            </w:r>
            <w:r/>
          </w:p>
          <w:p>
            <w:pPr>
              <w:pStyle w:val="651"/>
              <w:rPr>
                <w:rFonts w:hint="eastAsia" w:ascii="宋体" w:hAnsi="宋体" w:cs="宋体"/>
                <w:sz w:val="20"/>
                <w:szCs w:val="21"/>
              </w:rPr>
            </w:pPr>
            <w:r>
              <w:rPr>
                <w:rFonts w:hint="eastAsia" w:ascii="宋体" w:hAnsi="宋体" w:cs="宋体"/>
                <w:sz w:val="20"/>
                <w:szCs w:val="21"/>
              </w:rPr>
              <w:t xml:space="preserve">③数据安全实施方案、网络安全等级保护实施方案（3分）</w:t>
            </w:r>
            <w:r/>
          </w:p>
          <w:p>
            <w:pPr>
              <w:pStyle w:val="651"/>
              <w:rPr>
                <w:rFonts w:hint="eastAsia" w:ascii="宋体" w:hAnsi="宋体" w:cs="宋体"/>
                <w:sz w:val="20"/>
                <w:szCs w:val="21"/>
              </w:rPr>
            </w:pPr>
            <w:r>
              <w:rPr>
                <w:rFonts w:hint="eastAsia" w:ascii="宋体" w:hAnsi="宋体" w:cs="宋体"/>
                <w:sz w:val="20"/>
                <w:szCs w:val="21"/>
              </w:rPr>
              <w:t xml:space="preserve">④算力部署实施方案（3分）</w:t>
            </w:r>
            <w:r/>
          </w:p>
          <w:p>
            <w:pPr>
              <w:pStyle w:val="651"/>
              <w:rPr>
                <w:rFonts w:hint="eastAsia" w:ascii="宋体" w:hAnsi="宋体" w:cs="宋体"/>
                <w:sz w:val="20"/>
                <w:szCs w:val="21"/>
              </w:rPr>
            </w:pPr>
            <w:r>
              <w:rPr>
                <w:rFonts w:hint="eastAsia" w:ascii="宋体" w:hAnsi="宋体" w:cs="宋体"/>
                <w:sz w:val="20"/>
                <w:szCs w:val="21"/>
              </w:rPr>
              <w:t xml:space="preserve">⑤信创适配实施方案等进行综合评分（3分）</w:t>
            </w:r>
            <w:r/>
          </w:p>
          <w:p>
            <w:pPr>
              <w:pStyle w:val="651"/>
              <w:rPr>
                <w:rFonts w:hint="eastAsia" w:ascii="宋体" w:hAnsi="宋体" w:cs="宋体"/>
                <w:sz w:val="20"/>
                <w:szCs w:val="21"/>
              </w:rPr>
            </w:pPr>
            <w:r>
              <w:rPr>
                <w:rFonts w:hint="eastAsia" w:ascii="宋体" w:hAnsi="宋体" w:cs="宋体"/>
                <w:sz w:val="20"/>
                <w:szCs w:val="21"/>
              </w:rPr>
              <w:t xml:space="preserve">本项最高得15分。对上述五个要点分别评分，每个要点满分3分，按以下档次评分：</w:t>
            </w:r>
            <w:r/>
          </w:p>
          <w:p>
            <w:pPr>
              <w:pStyle w:val="651"/>
              <w:rPr>
                <w:rFonts w:hint="eastAsia" w:ascii="宋体" w:hAnsi="宋体" w:cs="宋体"/>
                <w:sz w:val="20"/>
                <w:szCs w:val="21"/>
              </w:rPr>
            </w:pPr>
            <w:r>
              <w:rPr>
                <w:rFonts w:hint="eastAsia" w:ascii="宋体" w:hAnsi="宋体" w:cs="宋体"/>
                <w:sz w:val="20"/>
                <w:szCs w:val="21"/>
              </w:rPr>
              <w:t xml:space="preserve">（1）满分（3分）：要点实施方案完整，措施具体、可执行，与项目现有情况衔接明确，无需实质性补充即可实施。</w:t>
            </w:r>
            <w:r/>
          </w:p>
          <w:p>
            <w:pPr>
              <w:pStyle w:val="651"/>
              <w:rPr>
                <w:rFonts w:hint="eastAsia" w:ascii="宋体" w:hAnsi="宋体" w:cs="宋体"/>
                <w:sz w:val="20"/>
                <w:szCs w:val="21"/>
              </w:rPr>
            </w:pPr>
            <w:r>
              <w:rPr>
                <w:rFonts w:hint="eastAsia" w:ascii="宋体" w:hAnsi="宋体" w:cs="宋体"/>
                <w:sz w:val="20"/>
                <w:szCs w:val="21"/>
              </w:rPr>
              <w:t xml:space="preserve">（2）轻微缺陷（2分）：少量内容缺失、表述简略，核心内容完整，不影响方案整体可行性；</w:t>
            </w:r>
            <w:r/>
          </w:p>
          <w:p>
            <w:pPr>
              <w:pStyle w:val="651"/>
              <w:rPr>
                <w:rFonts w:hint="eastAsia" w:ascii="宋体" w:hAnsi="宋体" w:cs="宋体"/>
                <w:sz w:val="20"/>
                <w:szCs w:val="21"/>
              </w:rPr>
            </w:pPr>
            <w:r>
              <w:rPr>
                <w:rFonts w:hint="eastAsia" w:ascii="宋体" w:hAnsi="宋体" w:cs="宋体"/>
                <w:sz w:val="20"/>
                <w:szCs w:val="21"/>
              </w:rPr>
              <w:t xml:space="preserve">（3）中度缺陷（1分）：内容不全、部分不匹配项目需求，存在逻辑瑕疵，对方案落地存在一定影响；</w:t>
            </w:r>
            <w:r/>
          </w:p>
          <w:p>
            <w:pPr>
              <w:pStyle w:val="651"/>
              <w:rPr>
                <w:rFonts w:ascii="宋体" w:hAnsi="宋体" w:cs="宋体"/>
                <w:sz w:val="20"/>
                <w:szCs w:val="21"/>
              </w:rPr>
            </w:pPr>
            <w:r>
              <w:rPr>
                <w:rFonts w:hint="eastAsia" w:ascii="宋体" w:hAnsi="宋体" w:cs="宋体"/>
                <w:sz w:val="20"/>
                <w:szCs w:val="21"/>
              </w:rPr>
              <w:t xml:space="preserve">（4）严重缺陷或要点未提供(0分）。严重缺陷：核心内容缺失、大量套用其他项目模板、夸大不实、与赣榆区医共体现状冲突，方案无法落地。</w:t>
            </w:r>
            <w:r>
              <w:rPr>
                <w:rFonts w:ascii="宋体" w:hAnsi="宋体" w:cs="宋体"/>
                <w:sz w:val="20"/>
                <w:szCs w:val="21"/>
              </w:rPr>
            </w:r>
            <w:r/>
          </w:p>
        </w:tc>
      </w:tr>
      <w:tr>
        <w:trPr>
          <w:cantSplit/>
          <w:trHeight w:val="624"/>
        </w:trPr>
        <w:tc>
          <w:tcPr>
            <w:tcBorders>
              <w:left w:val="single" w:color="000000" w:sz="4" w:space="0"/>
              <w:bottom w:val="single" w:color="000000" w:sz="4" w:space="0"/>
              <w:right w:val="single" w:color="000000" w:sz="4" w:space="0"/>
            </w:tcBorders>
            <w:tcW w:w="1652" w:type="dxa"/>
            <w:vAlign w:val="center"/>
            <w:vMerge w:val="continue"/>
            <w:textDirection w:val="lrTb"/>
            <w:noWrap w:val="false"/>
          </w:tcPr>
          <w:p>
            <w:pPr>
              <w:pStyle w:val="651"/>
              <w:rPr>
                <w:rFonts w:hint="eastAsia" w:ascii="宋体" w:hAnsi="宋体" w:cs="宋体"/>
                <w:sz w:val="20"/>
                <w:szCs w:val="21"/>
              </w:rPr>
            </w:pPr>
            <w:r>
              <w:rPr>
                <w:rFonts w:hint="eastAsia" w:ascii="宋体" w:hAnsi="宋体" w:cs="宋体"/>
                <w:sz w:val="20"/>
                <w:szCs w:val="21"/>
              </w:rPr>
            </w:r>
            <w:r/>
          </w:p>
        </w:tc>
        <w:tc>
          <w:tcPr>
            <w:tcBorders>
              <w:top w:val="single" w:color="000000" w:sz="4" w:space="0"/>
              <w:left w:val="single" w:color="000000" w:sz="4" w:space="0"/>
              <w:bottom w:val="single" w:color="000000" w:sz="4" w:space="0"/>
              <w:right w:val="single" w:color="000000" w:sz="4" w:space="0"/>
            </w:tcBorders>
            <w:tcW w:w="7831" w:type="dxa"/>
            <w:vAlign w:val="center"/>
            <w:textDirection w:val="lrTb"/>
            <w:noWrap w:val="false"/>
          </w:tcPr>
          <w:p>
            <w:pPr>
              <w:pStyle w:val="651"/>
              <w:rPr>
                <w:rFonts w:hint="eastAsia" w:ascii="宋体" w:hAnsi="宋体" w:cs="宋体"/>
                <w:b/>
                <w:bCs/>
                <w:sz w:val="20"/>
                <w:szCs w:val="21"/>
              </w:rPr>
            </w:pPr>
            <w:r>
              <w:rPr>
                <w:rFonts w:hint="eastAsia" w:ascii="宋体" w:hAnsi="宋体" w:cs="宋体"/>
                <w:b/>
                <w:bCs/>
                <w:sz w:val="20"/>
                <w:szCs w:val="21"/>
              </w:rPr>
              <w:t xml:space="preserve">3、培训方案</w:t>
            </w:r>
            <w:r>
              <w:rPr>
                <w:rFonts w:hint="eastAsia" w:ascii="宋体" w:hAnsi="宋体" w:cs="宋体"/>
                <w:sz w:val="20"/>
                <w:szCs w:val="21"/>
              </w:rPr>
              <w:t xml:space="preserve">（3分）</w:t>
            </w:r>
            <w:r>
              <w:rPr>
                <w:rFonts w:hint="eastAsia" w:ascii="宋体" w:hAnsi="宋体" w:cs="宋体"/>
                <w:b/>
                <w:bCs/>
                <w:sz w:val="20"/>
                <w:szCs w:val="21"/>
              </w:rPr>
            </w:r>
            <w:r/>
          </w:p>
          <w:p>
            <w:pPr>
              <w:pStyle w:val="651"/>
              <w:rPr>
                <w:rFonts w:hint="eastAsia" w:ascii="宋体" w:hAnsi="宋体" w:cs="宋体"/>
                <w:sz w:val="20"/>
                <w:szCs w:val="21"/>
              </w:rPr>
            </w:pPr>
            <w:r>
              <w:rPr>
                <w:rFonts w:hint="eastAsia" w:ascii="宋体" w:hAnsi="宋体" w:cs="宋体"/>
                <w:sz w:val="20"/>
                <w:szCs w:val="21"/>
              </w:rPr>
              <w:t xml:space="preserve">投标人具有完整的培训方案，包括但不限于培训目标、培训方法和培训师资。</w:t>
            </w:r>
            <w:r/>
          </w:p>
          <w:p>
            <w:pPr>
              <w:pStyle w:val="651"/>
              <w:rPr>
                <w:rFonts w:hint="eastAsia" w:ascii="宋体" w:hAnsi="宋体" w:cs="宋体"/>
                <w:sz w:val="20"/>
                <w:szCs w:val="21"/>
              </w:rPr>
            </w:pPr>
            <w:r>
              <w:rPr>
                <w:rFonts w:hint="eastAsia" w:ascii="宋体" w:hAnsi="宋体" w:cs="宋体"/>
                <w:sz w:val="20"/>
                <w:szCs w:val="21"/>
              </w:rPr>
              <w:t xml:space="preserve">（1）满分（3分）：培训方案完整，措施具体、可执行，无需实质性补充即可实施，得满分3分。</w:t>
            </w:r>
            <w:r/>
          </w:p>
          <w:p>
            <w:pPr>
              <w:pStyle w:val="651"/>
              <w:rPr>
                <w:rFonts w:hint="eastAsia" w:ascii="宋体" w:hAnsi="宋体" w:cs="宋体"/>
                <w:sz w:val="20"/>
                <w:szCs w:val="21"/>
              </w:rPr>
            </w:pPr>
            <w:r>
              <w:rPr>
                <w:rFonts w:hint="eastAsia" w:ascii="宋体" w:hAnsi="宋体" w:cs="宋体"/>
                <w:sz w:val="20"/>
                <w:szCs w:val="21"/>
              </w:rPr>
              <w:t xml:space="preserve">（2）轻微缺陷（2分）：少量内容缺失、表述简略，核心内容完整，不影响方案整体可行性；</w:t>
            </w:r>
            <w:r/>
          </w:p>
          <w:p>
            <w:pPr>
              <w:pStyle w:val="651"/>
              <w:rPr>
                <w:rFonts w:hint="eastAsia" w:ascii="宋体" w:hAnsi="宋体" w:cs="宋体"/>
                <w:sz w:val="20"/>
                <w:szCs w:val="21"/>
              </w:rPr>
            </w:pPr>
            <w:r>
              <w:rPr>
                <w:rFonts w:hint="eastAsia" w:ascii="宋体" w:hAnsi="宋体" w:cs="宋体"/>
                <w:sz w:val="20"/>
                <w:szCs w:val="21"/>
              </w:rPr>
              <w:t xml:space="preserve">（3）中度缺陷（1分）：内容不全、部分不匹配项目需求，存在逻辑瑕疵，对方案落地存在一定影响；</w:t>
            </w:r>
            <w:r/>
          </w:p>
          <w:p>
            <w:pPr>
              <w:pStyle w:val="651"/>
              <w:rPr>
                <w:rFonts w:hint="eastAsia" w:ascii="宋体" w:hAnsi="宋体" w:cs="宋体"/>
                <w:sz w:val="20"/>
                <w:szCs w:val="21"/>
              </w:rPr>
            </w:pPr>
            <w:r>
              <w:rPr>
                <w:rFonts w:hint="eastAsia" w:ascii="宋体" w:hAnsi="宋体" w:cs="宋体"/>
                <w:sz w:val="20"/>
                <w:szCs w:val="21"/>
              </w:rPr>
              <w:t xml:space="preserve">（4）严重缺陷或要点未提供(0分）。严重缺陷：核心内容缺失、大量套用其他项目模板、夸大不实、与赣榆区医共体现状冲突，方案无法落地。</w:t>
            </w:r>
            <w:r/>
          </w:p>
        </w:tc>
      </w:tr>
      <w:tr>
        <w:trPr>
          <w:cantSplit/>
          <w:trHeight w:val="624"/>
        </w:trPr>
        <w:tc>
          <w:tcPr>
            <w:tcBorders>
              <w:left w:val="single" w:color="000000" w:sz="4" w:space="0"/>
              <w:bottom w:val="single" w:color="000000" w:sz="4" w:space="0"/>
              <w:right w:val="single" w:color="000000" w:sz="4" w:space="0"/>
            </w:tcBorders>
            <w:tcW w:w="1652" w:type="dxa"/>
            <w:vAlign w:val="center"/>
            <w:vMerge w:val="continue"/>
            <w:textDirection w:val="lrTb"/>
            <w:noWrap w:val="false"/>
          </w:tcPr>
          <w:p>
            <w:pPr>
              <w:pStyle w:val="651"/>
              <w:rPr>
                <w:rFonts w:hint="eastAsia" w:ascii="宋体" w:hAnsi="宋体" w:cs="宋体"/>
                <w:sz w:val="20"/>
                <w:szCs w:val="21"/>
              </w:rPr>
            </w:pPr>
            <w:r>
              <w:rPr>
                <w:rFonts w:hint="eastAsia" w:ascii="宋体" w:hAnsi="宋体" w:cs="宋体"/>
                <w:sz w:val="20"/>
                <w:szCs w:val="21"/>
              </w:rPr>
            </w:r>
            <w:r/>
          </w:p>
        </w:tc>
        <w:tc>
          <w:tcPr>
            <w:tcBorders>
              <w:top w:val="single" w:color="000000" w:sz="4" w:space="0"/>
              <w:left w:val="single" w:color="000000" w:sz="4" w:space="0"/>
              <w:bottom w:val="single" w:color="000000" w:sz="4" w:space="0"/>
              <w:right w:val="single" w:color="000000" w:sz="4" w:space="0"/>
            </w:tcBorders>
            <w:tcW w:w="7831" w:type="dxa"/>
            <w:vAlign w:val="center"/>
            <w:textDirection w:val="lrTb"/>
            <w:noWrap w:val="false"/>
          </w:tcPr>
          <w:p>
            <w:pPr>
              <w:pStyle w:val="651"/>
              <w:rPr>
                <w:rFonts w:hint="eastAsia" w:ascii="宋体" w:hAnsi="宋体" w:cs="宋体"/>
                <w:b/>
                <w:bCs/>
                <w:sz w:val="20"/>
                <w:szCs w:val="21"/>
              </w:rPr>
            </w:pPr>
            <w:r>
              <w:rPr>
                <w:rFonts w:hint="eastAsia" w:ascii="宋体" w:hAnsi="宋体" w:cs="宋体"/>
                <w:b/>
                <w:bCs/>
                <w:sz w:val="20"/>
                <w:szCs w:val="21"/>
              </w:rPr>
              <w:t xml:space="preserve">4、售后服务方案</w:t>
            </w:r>
            <w:r>
              <w:rPr>
                <w:rFonts w:hint="eastAsia" w:ascii="宋体" w:hAnsi="宋体" w:cs="宋体"/>
                <w:sz w:val="20"/>
                <w:szCs w:val="21"/>
              </w:rPr>
              <w:t xml:space="preserve">（3分）</w:t>
            </w:r>
            <w:r>
              <w:rPr>
                <w:rFonts w:hint="eastAsia" w:ascii="宋体" w:hAnsi="宋体" w:cs="宋体"/>
                <w:b/>
                <w:bCs/>
                <w:sz w:val="20"/>
                <w:szCs w:val="21"/>
              </w:rPr>
            </w:r>
            <w:r/>
          </w:p>
          <w:p>
            <w:pPr>
              <w:pStyle w:val="651"/>
              <w:rPr>
                <w:rFonts w:hint="eastAsia" w:ascii="宋体" w:hAnsi="宋体" w:cs="宋体"/>
                <w:sz w:val="20"/>
                <w:szCs w:val="21"/>
              </w:rPr>
            </w:pPr>
            <w:r>
              <w:rPr>
                <w:rFonts w:hint="eastAsia" w:ascii="宋体" w:hAnsi="宋体" w:cs="宋体"/>
                <w:sz w:val="20"/>
                <w:szCs w:val="21"/>
              </w:rPr>
              <w:t xml:space="preserve">投标人具有稳定可靠的售后服务方案，包括但不限于售后服务体系、售后服务流程、故障响应处理等。</w:t>
            </w:r>
            <w:r/>
          </w:p>
          <w:p>
            <w:pPr>
              <w:pStyle w:val="651"/>
              <w:rPr>
                <w:rFonts w:hint="eastAsia" w:ascii="宋体" w:hAnsi="宋体" w:cs="宋体"/>
                <w:sz w:val="20"/>
                <w:szCs w:val="21"/>
              </w:rPr>
            </w:pPr>
            <w:r>
              <w:rPr>
                <w:rFonts w:hint="eastAsia" w:ascii="宋体" w:hAnsi="宋体" w:cs="宋体"/>
                <w:sz w:val="20"/>
                <w:szCs w:val="21"/>
              </w:rPr>
              <w:t xml:space="preserve">（1）满分（3分）：售后服务方案完整，措施具体、可执行，无需实质性补充即可实施，得满分3分。</w:t>
            </w:r>
            <w:r/>
          </w:p>
          <w:p>
            <w:pPr>
              <w:pStyle w:val="651"/>
              <w:rPr>
                <w:rFonts w:hint="eastAsia" w:ascii="宋体" w:hAnsi="宋体" w:cs="宋体"/>
                <w:sz w:val="20"/>
                <w:szCs w:val="21"/>
              </w:rPr>
            </w:pPr>
            <w:r>
              <w:rPr>
                <w:rFonts w:hint="eastAsia" w:ascii="宋体" w:hAnsi="宋体" w:cs="宋体"/>
                <w:sz w:val="20"/>
                <w:szCs w:val="21"/>
              </w:rPr>
              <w:t xml:space="preserve">（2）轻微缺陷（2分）：少量内容缺失、表述简略，核心内容完整，不影响方案整体可行性；</w:t>
            </w:r>
            <w:r/>
          </w:p>
          <w:p>
            <w:pPr>
              <w:pStyle w:val="651"/>
              <w:rPr>
                <w:rFonts w:hint="eastAsia" w:ascii="宋体" w:hAnsi="宋体" w:cs="宋体"/>
                <w:sz w:val="20"/>
                <w:szCs w:val="21"/>
              </w:rPr>
            </w:pPr>
            <w:r>
              <w:rPr>
                <w:rFonts w:hint="eastAsia" w:ascii="宋体" w:hAnsi="宋体" w:cs="宋体"/>
                <w:sz w:val="20"/>
                <w:szCs w:val="21"/>
              </w:rPr>
              <w:t xml:space="preserve">（3）中度缺陷（1分）：内容不全、部分不匹配项目需求，存在逻辑瑕疵，对方案落地存在一定影响；</w:t>
            </w:r>
            <w:r/>
          </w:p>
          <w:p>
            <w:pPr>
              <w:pStyle w:val="651"/>
              <w:rPr>
                <w:rFonts w:hint="eastAsia" w:ascii="宋体" w:hAnsi="宋体" w:cs="宋体"/>
                <w:sz w:val="20"/>
                <w:szCs w:val="21"/>
              </w:rPr>
            </w:pPr>
            <w:r>
              <w:rPr>
                <w:rFonts w:hint="eastAsia" w:ascii="宋体" w:hAnsi="宋体" w:cs="宋体"/>
                <w:sz w:val="20"/>
                <w:szCs w:val="21"/>
              </w:rPr>
              <w:t xml:space="preserve">（4）严重缺陷或要点未提供(0分）。严重缺陷：核心内容缺失、大量套用其他项目模板、夸大不实、与赣榆区医共体现状冲突，方案无法落地。</w:t>
            </w:r>
            <w:r/>
          </w:p>
        </w:tc>
      </w:tr>
    </w:tbl>
    <w:p>
      <w:pPr>
        <w:pStyle w:val="651"/>
        <w:ind w:firstLine="480"/>
        <w:rPr>
          <w:rFonts w:ascii="Calibri" w:hAnsi="Calibri"/>
        </w:rPr>
      </w:pPr>
      <w:r>
        <w:rPr>
          <w:rFonts w:hint="eastAsia"/>
        </w:rPr>
        <w:t xml:space="preserve">（</w:t>
      </w:r>
      <w:r>
        <w:t xml:space="preserve">3</w:t>
      </w:r>
      <w:r>
        <w:rPr>
          <w:rFonts w:hint="eastAsia"/>
        </w:rPr>
        <w:t xml:space="preserve">）商务分（30分）</w:t>
      </w:r>
      <w:r>
        <w:rPr>
          <w:rFonts w:ascii="Calibri" w:hAnsi="Calibri"/>
        </w:rPr>
      </w:r>
      <w:r/>
    </w:p>
    <w:p>
      <w:pPr>
        <w:pStyle w:val="675"/>
        <w:rPr>
          <w:rFonts w:hint="eastAsia" w:ascii="黑体" w:hAnsi="黑体" w:eastAsia="黑体"/>
          <w:bCs/>
          <w:color w:val="000000"/>
        </w:rPr>
      </w:pPr>
      <w:r>
        <w:rPr>
          <w:rFonts w:hint="eastAsia" w:ascii="黑体" w:hAnsi="黑体" w:eastAsia="黑体"/>
          <w:bCs/>
          <w:color w:val="000000"/>
        </w:rPr>
      </w:r>
      <w:r/>
    </w:p>
    <w:tbl>
      <w:tblPr>
        <w:tblW w:w="93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8"/>
        <w:gridCol w:w="7884"/>
      </w:tblGrid>
      <w:tr>
        <w:trPr>
          <w:trHeight w:val="436"/>
        </w:trPr>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651"/>
              <w:rPr>
                <w:rFonts w:ascii="宋体" w:hAnsi="宋体" w:cs="宋体"/>
                <w:b/>
                <w:bCs/>
                <w:sz w:val="20"/>
                <w:szCs w:val="21"/>
              </w:rPr>
            </w:pPr>
            <w:r>
              <w:rPr>
                <w:rFonts w:hint="eastAsia" w:ascii="宋体" w:hAnsi="宋体" w:cs="宋体"/>
                <w:b/>
                <w:bCs/>
                <w:sz w:val="20"/>
                <w:szCs w:val="21"/>
              </w:rPr>
              <w:t xml:space="preserve">评审因素</w:t>
            </w:r>
            <w:r>
              <w:rPr>
                <w:rFonts w:ascii="宋体" w:hAnsi="宋体" w:cs="宋体"/>
                <w:b/>
                <w:bCs/>
                <w:sz w:val="20"/>
                <w:szCs w:val="21"/>
              </w:rPr>
            </w:r>
            <w:r/>
          </w:p>
        </w:tc>
        <w:tc>
          <w:tcPr>
            <w:tcBorders>
              <w:top w:val="single" w:color="000000" w:sz="4" w:space="0"/>
              <w:left w:val="single" w:color="000000" w:sz="4" w:space="0"/>
              <w:bottom w:val="single" w:color="000000" w:sz="4" w:space="0"/>
              <w:right w:val="single" w:color="000000" w:sz="4" w:space="0"/>
            </w:tcBorders>
            <w:tcW w:w="7884" w:type="dxa"/>
            <w:vAlign w:val="center"/>
            <w:textDirection w:val="lrTb"/>
            <w:noWrap w:val="false"/>
          </w:tcPr>
          <w:p>
            <w:pPr>
              <w:pStyle w:val="651"/>
              <w:rPr>
                <w:rFonts w:ascii="宋体" w:hAnsi="宋体" w:cs="宋体"/>
                <w:b/>
                <w:bCs/>
                <w:sz w:val="20"/>
                <w:szCs w:val="21"/>
              </w:rPr>
            </w:pPr>
            <w:r>
              <w:rPr>
                <w:rFonts w:hint="eastAsia" w:ascii="宋体" w:hAnsi="宋体" w:cs="宋体"/>
                <w:b/>
                <w:bCs/>
                <w:sz w:val="20"/>
                <w:szCs w:val="21"/>
              </w:rPr>
              <w:t xml:space="preserve">评审标准</w:t>
            </w:r>
            <w:r>
              <w:rPr>
                <w:rFonts w:ascii="宋体" w:hAnsi="宋体" w:cs="宋体"/>
                <w:b/>
                <w:bCs/>
                <w:sz w:val="2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651"/>
              <w:jc w:val="left"/>
              <w:rPr>
                <w:rFonts w:ascii="宋体" w:hAnsi="宋体" w:cs="宋体"/>
                <w:sz w:val="20"/>
                <w:szCs w:val="21"/>
              </w:rPr>
            </w:pPr>
            <w:r>
              <w:rPr>
                <w:rFonts w:hint="eastAsia" w:ascii="宋体" w:hAnsi="宋体" w:cs="宋体"/>
                <w:sz w:val="20"/>
                <w:szCs w:val="21"/>
              </w:rPr>
              <w:t xml:space="preserve">企业服务能力（14分）</w:t>
            </w:r>
            <w:r>
              <w:rPr>
                <w:rFonts w:ascii="宋体" w:hAnsi="宋体" w:cs="宋体"/>
                <w:sz w:val="20"/>
                <w:szCs w:val="21"/>
              </w:rPr>
            </w:r>
            <w:r/>
          </w:p>
        </w:tc>
        <w:tc>
          <w:tcPr>
            <w:tcBorders>
              <w:top w:val="single" w:color="000000" w:sz="4" w:space="0"/>
              <w:left w:val="single" w:color="000000" w:sz="4" w:space="0"/>
              <w:bottom w:val="single" w:color="000000" w:sz="4" w:space="0"/>
              <w:right w:val="single" w:color="000000" w:sz="4" w:space="0"/>
            </w:tcBorders>
            <w:tcW w:w="7884" w:type="dxa"/>
            <w:vAlign w:val="center"/>
            <w:textDirection w:val="lrTb"/>
            <w:noWrap w:val="false"/>
          </w:tcPr>
          <w:p>
            <w:pPr>
              <w:pStyle w:val="651"/>
              <w:rPr>
                <w:rFonts w:hint="eastAsia" w:ascii="宋体" w:hAnsi="宋体" w:cs="宋体"/>
                <w:sz w:val="20"/>
                <w:szCs w:val="21"/>
              </w:rPr>
            </w:pPr>
            <w:r>
              <w:rPr>
                <w:rFonts w:hint="eastAsia" w:ascii="宋体" w:hAnsi="宋体" w:cs="宋体"/>
                <w:sz w:val="20"/>
                <w:szCs w:val="21"/>
              </w:rPr>
              <w:t xml:space="preserve">1、投标人（或联合体成员中任意一方）具有有效期内的质量管理体系标准认证、信息安全管理体系认证、隐私信息管理体系认证证书的，每提供一个得1分，最高得3分。</w:t>
            </w:r>
            <w:r/>
          </w:p>
          <w:p>
            <w:pPr>
              <w:pStyle w:val="651"/>
              <w:rPr>
                <w:rFonts w:hint="eastAsia" w:ascii="宋体" w:hAnsi="宋体" w:cs="宋体"/>
                <w:b/>
                <w:bCs/>
                <w:sz w:val="20"/>
                <w:szCs w:val="21"/>
              </w:rPr>
            </w:pPr>
            <w:r>
              <w:rPr>
                <w:rFonts w:hint="eastAsia" w:ascii="宋体" w:hAnsi="宋体" w:cs="宋体"/>
                <w:sz w:val="20"/>
                <w:szCs w:val="21"/>
              </w:rPr>
              <w:t xml:space="preserve">注：证书须在有效期内；</w:t>
            </w:r>
            <w:r>
              <w:rPr>
                <w:rFonts w:hint="eastAsia" w:ascii="宋体" w:hAnsi="宋体" w:cs="宋体"/>
                <w:b/>
                <w:bCs/>
                <w:sz w:val="20"/>
                <w:szCs w:val="21"/>
              </w:rPr>
              <w:t xml:space="preserve">本项证书主体须为同一单位。</w:t>
            </w:r>
            <w:r/>
          </w:p>
          <w:p>
            <w:pPr>
              <w:pStyle w:val="651"/>
              <w:rPr>
                <w:rFonts w:hint="eastAsia" w:ascii="宋体" w:hAnsi="宋体" w:cs="宋体"/>
                <w:b/>
                <w:bCs/>
                <w:sz w:val="20"/>
                <w:szCs w:val="21"/>
              </w:rPr>
            </w:pPr>
            <w:r>
              <w:rPr>
                <w:rFonts w:hint="eastAsia" w:ascii="宋体" w:hAnsi="宋体" w:cs="宋体"/>
                <w:sz w:val="20"/>
                <w:szCs w:val="21"/>
              </w:rPr>
              <w:t xml:space="preserve">2、投标人（或联合体成员中任意一方）具备有效期内的信息安全服务类资质认证证书（CCRC），种类包含：信息系统安全集成服务资质认证、软件安全开发服务资质认证、信息系统灾难备份与恢复服务，每提供一个得1分，最高得3分。</w:t>
            </w:r>
            <w:r>
              <w:rPr>
                <w:rFonts w:hint="eastAsia" w:ascii="宋体" w:hAnsi="宋体" w:cs="宋体"/>
                <w:b/>
                <w:bCs/>
                <w:sz w:val="20"/>
                <w:szCs w:val="21"/>
              </w:rPr>
              <w:t xml:space="preserve">本项证书主体须为同一单位。</w:t>
            </w:r>
            <w:r/>
          </w:p>
          <w:p>
            <w:pPr>
              <w:pStyle w:val="651"/>
              <w:rPr>
                <w:rFonts w:hint="eastAsia" w:ascii="宋体" w:hAnsi="宋体" w:cs="宋体"/>
                <w:sz w:val="20"/>
                <w:szCs w:val="21"/>
              </w:rPr>
            </w:pPr>
            <w:r>
              <w:rPr>
                <w:rFonts w:hint="eastAsia" w:ascii="宋体" w:hAnsi="宋体" w:cs="宋体"/>
                <w:sz w:val="20"/>
                <w:szCs w:val="21"/>
              </w:rPr>
              <w:t xml:space="preserve">3、投标人（或联合体成员中任意一方）具有信息系统建设和服务能力等级证书，能力达到杰出级（CS5）得满分3分；优秀级（CS4）及以下级别得1分；</w:t>
            </w:r>
            <w:r/>
          </w:p>
          <w:p>
            <w:pPr>
              <w:pStyle w:val="651"/>
              <w:rPr>
                <w:rFonts w:hint="eastAsia" w:ascii="宋体" w:hAnsi="宋体" w:cs="宋体"/>
                <w:sz w:val="20"/>
                <w:szCs w:val="21"/>
              </w:rPr>
            </w:pPr>
            <w:r>
              <w:rPr>
                <w:rFonts w:hint="eastAsia" w:ascii="宋体" w:hAnsi="宋体" w:cs="宋体"/>
                <w:sz w:val="20"/>
                <w:szCs w:val="21"/>
              </w:rPr>
              <w:t xml:space="preserve">4、投标人（或联合体成员中任意一方）具有大数据企业服务能力评价证书，能力达到一级得3分；二级及以下得1分，未提供不得分。</w:t>
            </w:r>
            <w:r/>
          </w:p>
          <w:p>
            <w:pPr>
              <w:pStyle w:val="651"/>
              <w:rPr>
                <w:rFonts w:hint="eastAsia" w:ascii="宋体" w:hAnsi="宋体" w:cs="宋体"/>
                <w:sz w:val="20"/>
                <w:szCs w:val="21"/>
              </w:rPr>
            </w:pPr>
            <w:r>
              <w:rPr>
                <w:rFonts w:hint="eastAsia" w:ascii="宋体" w:hAnsi="宋体" w:cs="宋体"/>
                <w:sz w:val="20"/>
                <w:szCs w:val="21"/>
              </w:rPr>
              <w:t xml:space="preserve">5、投标人（或联合体成员中任意一方）具有经CNAS（中国合格评定国家认可委员会）认可的SPCA评估机构颁发的有效的软件能力成熟度等级证书（SPCA认证）获得5级得满分2分，4级及以下得1分；提供证书原件扫描件，不提供不得分。</w:t>
            </w:r>
            <w:r/>
          </w:p>
          <w:p>
            <w:pPr>
              <w:pStyle w:val="651"/>
              <w:rPr>
                <w:rFonts w:ascii="宋体" w:hAnsi="宋体" w:cs="宋体"/>
                <w:sz w:val="20"/>
                <w:szCs w:val="21"/>
              </w:rPr>
            </w:pPr>
            <w:r>
              <w:rPr>
                <w:rFonts w:hint="eastAsia" w:ascii="宋体" w:hAnsi="宋体" w:cs="宋体"/>
                <w:sz w:val="20"/>
                <w:szCs w:val="21"/>
              </w:rPr>
              <w:t xml:space="preserve">注：投标文件附体系认证、等级证书、体系评价证书，未按要求提供证明材料或提供的证明材料无法佐证真实性的不得分。</w:t>
            </w:r>
            <w:r>
              <w:rPr>
                <w:rFonts w:ascii="宋体" w:hAnsi="宋体" w:cs="宋体"/>
                <w:sz w:val="20"/>
                <w:szCs w:val="21"/>
              </w:rPr>
            </w:r>
            <w:r/>
          </w:p>
        </w:tc>
      </w:tr>
      <w:tr>
        <w:trPr>
          <w:trHeight w:val="3616"/>
        </w:trPr>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651"/>
              <w:rPr>
                <w:rFonts w:ascii="宋体" w:hAnsi="宋体" w:cs="宋体"/>
                <w:sz w:val="20"/>
                <w:szCs w:val="21"/>
              </w:rPr>
            </w:pPr>
            <w:r>
              <w:rPr>
                <w:rFonts w:hint="eastAsia" w:ascii="宋体" w:hAnsi="宋体" w:cs="宋体"/>
                <w:sz w:val="20"/>
                <w:szCs w:val="21"/>
              </w:rPr>
              <w:t xml:space="preserve">项目团队能力（13分）</w:t>
            </w:r>
            <w:r>
              <w:rPr>
                <w:rFonts w:ascii="宋体" w:hAnsi="宋体" w:cs="宋体"/>
                <w:sz w:val="20"/>
                <w:szCs w:val="21"/>
              </w:rPr>
            </w:r>
            <w:r/>
          </w:p>
        </w:tc>
        <w:tc>
          <w:tcPr>
            <w:tcBorders>
              <w:top w:val="single" w:color="000000" w:sz="4" w:space="0"/>
              <w:left w:val="single" w:color="000000" w:sz="4" w:space="0"/>
              <w:bottom w:val="single" w:color="000000" w:sz="4" w:space="0"/>
              <w:right w:val="single" w:color="000000" w:sz="4" w:space="0"/>
            </w:tcBorders>
            <w:tcW w:w="7884" w:type="dxa"/>
            <w:vAlign w:val="center"/>
            <w:textDirection w:val="lrTb"/>
            <w:noWrap w:val="false"/>
          </w:tcPr>
          <w:p>
            <w:pPr>
              <w:pStyle w:val="651"/>
              <w:rPr>
                <w:rFonts w:ascii="宋体" w:hAnsi="宋体" w:cs="宋体"/>
                <w:b/>
                <w:bCs/>
                <w:sz w:val="20"/>
                <w:szCs w:val="21"/>
              </w:rPr>
            </w:pPr>
            <w:r>
              <w:rPr>
                <w:rFonts w:hint="eastAsia" w:ascii="宋体" w:hAnsi="宋体" w:cs="宋体"/>
                <w:b/>
                <w:bCs/>
                <w:sz w:val="20"/>
                <w:szCs w:val="21"/>
              </w:rPr>
              <w:t xml:space="preserve">投标人（或联合体成员中任意一方）拟投入本项目的人员配置要求：</w:t>
            </w:r>
            <w:r>
              <w:rPr>
                <w:rFonts w:ascii="宋体" w:hAnsi="宋体" w:cs="宋体"/>
                <w:b/>
                <w:bCs/>
                <w:sz w:val="20"/>
                <w:szCs w:val="21"/>
              </w:rPr>
            </w:r>
            <w:r/>
          </w:p>
          <w:p>
            <w:pPr>
              <w:pStyle w:val="651"/>
              <w:rPr>
                <w:rFonts w:hint="eastAsia" w:ascii="宋体" w:hAnsi="宋体" w:cs="宋体"/>
                <w:sz w:val="20"/>
                <w:szCs w:val="21"/>
              </w:rPr>
            </w:pPr>
            <w:r>
              <w:rPr>
                <w:rFonts w:hint="eastAsia" w:ascii="宋体" w:hAnsi="宋体" w:cs="宋体"/>
                <w:sz w:val="20"/>
                <w:szCs w:val="21"/>
              </w:rPr>
              <w:t xml:space="preserve">1、项目负责人（唯一）具有硕士及以上学历、信息系统项目管理师、ITSS-IT服务工程师、高级工程师认证证书的，每提供一个得1分，最高得4分。</w:t>
            </w:r>
            <w:r/>
          </w:p>
          <w:p>
            <w:pPr>
              <w:pStyle w:val="651"/>
              <w:rPr>
                <w:rFonts w:hint="eastAsia" w:ascii="宋体" w:hAnsi="宋体" w:cs="宋体"/>
                <w:sz w:val="20"/>
                <w:szCs w:val="21"/>
              </w:rPr>
            </w:pPr>
            <w:r>
              <w:rPr>
                <w:rFonts w:hint="eastAsia" w:ascii="宋体" w:hAnsi="宋体" w:cs="宋体"/>
                <w:sz w:val="20"/>
                <w:szCs w:val="21"/>
              </w:rPr>
              <w:t xml:space="preserve">2、项目技术负责人（唯一）具有硕士及以上学历、网络工程师、系统分析师、信息系统项目管理师证书的，每提供一个得1分，最高得4分。（技术负责人不得与项目负责人为同一人）</w:t>
            </w:r>
            <w:r/>
          </w:p>
          <w:p>
            <w:pPr>
              <w:pStyle w:val="651"/>
              <w:rPr>
                <w:rFonts w:hint="eastAsia" w:ascii="宋体" w:hAnsi="宋体" w:cs="宋体"/>
                <w:sz w:val="20"/>
                <w:szCs w:val="21"/>
              </w:rPr>
            </w:pPr>
            <w:r>
              <w:rPr>
                <w:rFonts w:hint="eastAsia" w:ascii="宋体" w:hAnsi="宋体" w:cs="宋体"/>
                <w:sz w:val="20"/>
                <w:szCs w:val="21"/>
              </w:rPr>
              <w:t xml:space="preserve">3、项目团队成员（不含项目负责人和技术负责人）具有系统分析师证书、系统架构设计师证书、数据库系统工程师证书、软件测试工程师、CISP注册信息安全专业人员认证证书的，每提供一个得1分，最高得5分。同一人员不重复计分。</w:t>
            </w:r>
            <w:r/>
          </w:p>
          <w:p>
            <w:pPr>
              <w:pStyle w:val="651"/>
              <w:rPr>
                <w:rFonts w:hint="eastAsia" w:ascii="宋体" w:hAnsi="宋体" w:cs="宋体"/>
                <w:sz w:val="20"/>
                <w:szCs w:val="21"/>
              </w:rPr>
            </w:pPr>
            <w:r>
              <w:rPr>
                <w:rFonts w:hint="eastAsia" w:ascii="宋体" w:hAnsi="宋体" w:cs="宋体"/>
                <w:sz w:val="20"/>
                <w:szCs w:val="21"/>
              </w:rPr>
              <w:t xml:space="preserve">注：以上人员需提供有效证书原件彩色扫描件及2026年4月份以来任意一个月投标人为其缴纳的社保证明（社会保险缴纳证明必须由社保部门出具并加盖社保机构章或社保机构参保缴费证明电子专用章，缺一不得分）</w:t>
            </w:r>
            <w:r/>
          </w:p>
        </w:tc>
      </w:tr>
      <w:tr>
        <w:trPr>
          <w:trHeight w:val="1144"/>
        </w:trPr>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651"/>
              <w:rPr>
                <w:rFonts w:ascii="宋体" w:hAnsi="宋体" w:cs="宋体"/>
                <w:sz w:val="20"/>
                <w:szCs w:val="21"/>
              </w:rPr>
            </w:pPr>
            <w:r>
              <w:rPr>
                <w:rFonts w:hint="eastAsia" w:ascii="宋体" w:hAnsi="宋体" w:cs="宋体"/>
                <w:sz w:val="20"/>
                <w:szCs w:val="21"/>
              </w:rPr>
              <w:t xml:space="preserve">类似业绩（3分）</w:t>
            </w:r>
            <w:r>
              <w:rPr>
                <w:rFonts w:ascii="宋体" w:hAnsi="宋体" w:cs="宋体"/>
                <w:sz w:val="20"/>
                <w:szCs w:val="21"/>
              </w:rPr>
            </w:r>
            <w:r/>
          </w:p>
        </w:tc>
        <w:tc>
          <w:tcPr>
            <w:tcBorders>
              <w:top w:val="single" w:color="000000" w:sz="4" w:space="0"/>
              <w:left w:val="single" w:color="000000" w:sz="4" w:space="0"/>
              <w:bottom w:val="single" w:color="000000" w:sz="4" w:space="0"/>
              <w:right w:val="single" w:color="000000" w:sz="4" w:space="0"/>
            </w:tcBorders>
            <w:tcW w:w="7884" w:type="dxa"/>
            <w:vAlign w:val="center"/>
            <w:textDirection w:val="lrTb"/>
            <w:noWrap w:val="false"/>
          </w:tcPr>
          <w:p>
            <w:pPr>
              <w:pStyle w:val="651"/>
              <w:rPr>
                <w:rFonts w:ascii="宋体" w:hAnsi="宋体" w:cs="宋体"/>
                <w:sz w:val="20"/>
                <w:szCs w:val="21"/>
              </w:rPr>
            </w:pPr>
            <w:r>
              <w:rPr>
                <w:rFonts w:hint="eastAsia" w:ascii="宋体" w:hAnsi="宋体" w:cs="宋体"/>
                <w:sz w:val="20"/>
                <w:szCs w:val="21"/>
              </w:rPr>
              <w:t xml:space="preserve">投标人（或联合体成员中任意一方）自2023年9月以来，具有与本项目相关的项目业绩，相关类型包含医保智慧预警、医生智能辅助诊断、财务运营管理三类，每提供一类业绩得1分，最高得3分。同一类型不重复计分。</w:t>
            </w:r>
            <w:r>
              <w:rPr>
                <w:rFonts w:ascii="宋体" w:hAnsi="宋体" w:cs="宋体"/>
                <w:sz w:val="20"/>
                <w:szCs w:val="21"/>
              </w:rPr>
            </w:r>
            <w:r/>
          </w:p>
          <w:p>
            <w:pPr>
              <w:pStyle w:val="651"/>
              <w:rPr>
                <w:rFonts w:ascii="宋体" w:hAnsi="宋体" w:cs="宋体"/>
                <w:sz w:val="20"/>
                <w:szCs w:val="21"/>
              </w:rPr>
            </w:pPr>
            <w:r>
              <w:rPr>
                <w:rFonts w:hint="eastAsia" w:ascii="宋体" w:hAnsi="宋体" w:cs="宋体"/>
                <w:sz w:val="20"/>
                <w:szCs w:val="21"/>
              </w:rPr>
              <w:t xml:space="preserve">投标文件中提供合同原件彩色扫描件，时间、服务内容以合同为准，否则不得分。</w:t>
            </w:r>
            <w:r>
              <w:rPr>
                <w:rFonts w:ascii="宋体" w:hAnsi="宋体" w:cs="宋体"/>
                <w:sz w:val="20"/>
                <w:szCs w:val="21"/>
              </w:rPr>
            </w:r>
            <w:r/>
          </w:p>
        </w:tc>
      </w:tr>
    </w:tbl>
    <w:p>
      <w:pPr>
        <w:pStyle w:val="675"/>
        <w:rPr>
          <w:rFonts w:hint="eastAsia" w:ascii="黑体" w:hAnsi="黑体" w:eastAsia="黑体"/>
          <w:bCs/>
          <w:color w:val="000000"/>
        </w:rPr>
      </w:pPr>
      <w:r>
        <w:rPr>
          <w:rFonts w:hint="eastAsia" w:ascii="黑体" w:hAnsi="黑体" w:eastAsia="黑体"/>
          <w:bCs/>
          <w:color w:val="000000"/>
        </w:rPr>
      </w:r>
      <w:r/>
    </w:p>
    <w:p>
      <w:pPr>
        <w:pStyle w:val="675"/>
        <w:rPr>
          <w:rFonts w:hint="eastAsia" w:ascii="黑体" w:hAnsi="黑体" w:eastAsia="黑体"/>
          <w:bCs/>
        </w:rPr>
      </w:pPr>
      <w:r>
        <w:rPr>
          <w:rFonts w:hint="eastAsia" w:ascii="黑体" w:hAnsi="黑体" w:eastAsia="黑体"/>
          <w:bCs/>
        </w:rPr>
      </w:r>
      <w:r/>
    </w:p>
    <w:p>
      <w:pPr>
        <w:pStyle w:val="652"/>
        <w:jc w:val="center"/>
        <w:spacing w:line="360" w:lineRule="auto"/>
        <w:rPr>
          <w:rFonts w:hint="eastAsia" w:ascii="黑体" w:hAnsi="黑体" w:eastAsia="黑体"/>
          <w:bCs w:val="0"/>
        </w:rPr>
      </w:pPr>
      <w:r>
        <w:rPr>
          <w:rFonts w:hint="eastAsia" w:ascii="黑体" w:hAnsi="黑体" w:eastAsia="黑体"/>
          <w:bCs w:val="0"/>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rPr>
      </w:pPr>
      <w:r>
        <w:rPr>
          <w:rFonts w:hint="eastAsia"/>
        </w:rPr>
      </w:r>
      <w:r/>
    </w:p>
    <w:p>
      <w:pPr>
        <w:pStyle w:val="651"/>
        <w:rPr>
          <w:rFonts w:hint="eastAsia" w:ascii="黑体" w:hAnsi="黑体" w:eastAsia="黑体"/>
          <w:bCs/>
        </w:rPr>
      </w:pPr>
      <w:r>
        <w:rPr>
          <w:rFonts w:hint="eastAsia" w:ascii="黑体" w:hAnsi="黑体" w:eastAsia="黑体"/>
          <w:bCs/>
        </w:rPr>
      </w:r>
      <w:r/>
    </w:p>
    <w:p>
      <w:pPr>
        <w:pStyle w:val="675"/>
        <w:rPr>
          <w:rFonts w:hint="eastAsia" w:ascii="黑体" w:hAnsi="黑体" w:eastAsia="黑体"/>
          <w:bCs/>
        </w:rPr>
      </w:pPr>
      <w:r>
        <w:rPr>
          <w:rFonts w:hint="eastAsia" w:ascii="黑体" w:hAnsi="黑体" w:eastAsia="黑体"/>
          <w:bCs/>
        </w:rPr>
      </w:r>
      <w:r/>
    </w:p>
    <w:p>
      <w:pPr>
        <w:pStyle w:val="675"/>
        <w:rPr>
          <w:rFonts w:hint="eastAsia" w:ascii="黑体" w:hAnsi="黑体" w:eastAsia="黑体"/>
          <w:bCs/>
        </w:rPr>
      </w:pPr>
      <w:r>
        <w:rPr>
          <w:rFonts w:hint="eastAsia" w:ascii="黑体" w:hAnsi="黑体" w:eastAsia="黑体"/>
          <w:bCs/>
        </w:rPr>
      </w:r>
      <w:r/>
    </w:p>
    <w:p>
      <w:pPr>
        <w:pStyle w:val="652"/>
        <w:jc w:val="center"/>
        <w:spacing w:line="360" w:lineRule="auto"/>
        <w:rPr>
          <w:rFonts w:ascii="黑体" w:hAnsi="黑体" w:eastAsia="黑体"/>
          <w:bCs w:val="0"/>
        </w:rPr>
      </w:pPr>
      <w:r/>
      <w:bookmarkStart w:id="117" w:name="_Toc31101"/>
      <w:r/>
      <w:bookmarkStart w:id="118" w:name="_Toc30153"/>
      <w:r>
        <w:rPr>
          <w:rFonts w:hint="eastAsia" w:ascii="黑体" w:hAnsi="黑体" w:eastAsia="黑体"/>
          <w:bCs w:val="0"/>
        </w:rPr>
        <w:t xml:space="preserve">第六章  投标文件格式</w:t>
      </w:r>
      <w:bookmarkEnd w:id="104"/>
      <w:r/>
      <w:bookmarkEnd w:id="117"/>
      <w:r/>
      <w:bookmarkEnd w:id="118"/>
      <w:r>
        <w:rPr>
          <w:rFonts w:ascii="黑体" w:hAnsi="黑体" w:eastAsia="黑体"/>
          <w:bCs w:val="0"/>
        </w:rPr>
      </w:r>
      <w:r/>
    </w:p>
    <w:p>
      <w:pPr>
        <w:pStyle w:val="651"/>
        <w:jc w:val="left"/>
        <w:spacing w:line="500" w:lineRule="exact"/>
        <w:rPr>
          <w:sz w:val="24"/>
          <w:szCs w:val="24"/>
        </w:rPr>
      </w:pPr>
      <w:r>
        <w:rPr>
          <w:sz w:val="24"/>
          <w:szCs w:val="24"/>
        </w:rPr>
      </w:r>
      <w:r/>
    </w:p>
    <w:p>
      <w:pPr>
        <w:pStyle w:val="651"/>
        <w:jc w:val="center"/>
        <w:rPr>
          <w:rFonts w:ascii="宋体" w:hAnsi="宋体"/>
          <w:b/>
          <w:color w:val="000000"/>
          <w:sz w:val="72"/>
          <w:szCs w:val="21"/>
        </w:rPr>
      </w:pPr>
      <w:r>
        <w:rPr>
          <w:rFonts w:ascii="宋体" w:hAnsi="宋体"/>
          <w:b/>
          <w:color w:val="000000"/>
          <w:sz w:val="72"/>
          <w:szCs w:val="21"/>
        </w:rPr>
      </w:r>
      <w:r/>
    </w:p>
    <w:p>
      <w:pPr>
        <w:pStyle w:val="651"/>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651"/>
        <w:jc w:val="center"/>
        <w:rPr>
          <w:rFonts w:ascii="宋体" w:hAnsi="宋体"/>
          <w:b/>
          <w:color w:val="000000"/>
          <w:sz w:val="72"/>
          <w:szCs w:val="21"/>
        </w:rPr>
      </w:pPr>
      <w:r>
        <w:rPr>
          <w:rFonts w:ascii="宋体" w:hAnsi="宋体"/>
          <w:b/>
          <w:color w:val="000000"/>
          <w:sz w:val="72"/>
          <w:szCs w:val="21"/>
        </w:rPr>
      </w:r>
      <w:r/>
    </w:p>
    <w:p>
      <w:pPr>
        <w:pStyle w:val="651"/>
        <w:jc w:val="center"/>
        <w:rPr>
          <w:rFonts w:ascii="宋体" w:hAnsi="宋体"/>
          <w:b/>
          <w:color w:val="000000"/>
          <w:sz w:val="72"/>
          <w:szCs w:val="21"/>
        </w:rPr>
      </w:pPr>
      <w:r>
        <w:rPr>
          <w:rFonts w:ascii="宋体" w:hAnsi="宋体"/>
          <w:b/>
          <w:color w:val="000000"/>
          <w:sz w:val="72"/>
          <w:szCs w:val="21"/>
        </w:rPr>
      </w:r>
      <w:r/>
    </w:p>
    <w:p>
      <w:pPr>
        <w:pStyle w:val="651"/>
        <w:jc w:val="center"/>
        <w:rPr>
          <w:rFonts w:ascii="宋体" w:hAnsi="宋体"/>
          <w:b/>
          <w:color w:val="000000"/>
          <w:sz w:val="36"/>
          <w:szCs w:val="21"/>
        </w:rPr>
      </w:pPr>
      <w:r>
        <w:rPr>
          <w:rFonts w:ascii="宋体" w:hAnsi="宋体"/>
          <w:b/>
          <w:color w:val="000000"/>
          <w:sz w:val="36"/>
          <w:szCs w:val="21"/>
        </w:rPr>
      </w:r>
      <w:r/>
    </w:p>
    <w:p>
      <w:pPr>
        <w:pStyle w:val="651"/>
        <w:jc w:val="center"/>
        <w:rPr>
          <w:rFonts w:ascii="宋体" w:hAnsi="宋体"/>
          <w:b/>
          <w:color w:val="000000"/>
          <w:sz w:val="36"/>
          <w:szCs w:val="21"/>
        </w:rPr>
      </w:pPr>
      <w:r>
        <w:rPr>
          <w:rFonts w:ascii="宋体" w:hAnsi="宋体"/>
          <w:b/>
          <w:color w:val="000000"/>
          <w:sz w:val="36"/>
          <w:szCs w:val="21"/>
        </w:rPr>
      </w:r>
      <w:r/>
    </w:p>
    <w:p>
      <w:pPr>
        <w:pStyle w:val="651"/>
        <w:jc w:val="center"/>
        <w:rPr>
          <w:rFonts w:ascii="宋体" w:hAnsi="宋体"/>
          <w:b/>
          <w:color w:val="000000"/>
          <w:sz w:val="36"/>
          <w:szCs w:val="21"/>
        </w:rPr>
      </w:pPr>
      <w:r>
        <w:rPr>
          <w:rFonts w:ascii="宋体" w:hAnsi="宋体"/>
          <w:b/>
          <w:color w:val="000000"/>
          <w:sz w:val="36"/>
          <w:szCs w:val="21"/>
        </w:rPr>
      </w:r>
      <w:r/>
    </w:p>
    <w:p>
      <w:pPr>
        <w:pStyle w:val="651"/>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651"/>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51"/>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651"/>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51"/>
        <w:jc w:val="left"/>
        <w:keepLines/>
        <w:keepNext/>
        <w:spacing w:before="360" w:after="200" w:line="360" w:lineRule="auto"/>
        <w:rPr>
          <w:rFonts w:ascii="宋体" w:hAnsi="宋体" w:cs="宋体"/>
          <w:i/>
          <w:sz w:val="36"/>
          <w:szCs w:val="36"/>
          <w:u w:val="single"/>
        </w:rPr>
        <w:outlineLvl w:val="1"/>
      </w:pPr>
      <w:r>
        <w:rPr>
          <w:rFonts w:ascii="宋体" w:hAnsi="宋体" w:cs="宋体"/>
          <w:i/>
          <w:sz w:val="36"/>
          <w:szCs w:val="36"/>
          <w:u w:val="single"/>
        </w:rPr>
      </w:r>
      <w:r/>
    </w:p>
    <w:p>
      <w:pPr>
        <w:pStyle w:val="651"/>
        <w:jc w:val="left"/>
        <w:keepLines/>
        <w:keepNext/>
        <w:spacing w:before="360" w:after="200" w:line="360" w:lineRule="auto"/>
        <w:rPr>
          <w:rFonts w:ascii="宋体" w:hAnsi="宋体" w:cs="宋体"/>
          <w:i/>
          <w:sz w:val="36"/>
          <w:szCs w:val="36"/>
          <w:u w:val="single"/>
        </w:rPr>
        <w:outlineLvl w:val="1"/>
      </w:pPr>
      <w:r>
        <w:rPr>
          <w:rFonts w:ascii="宋体" w:hAnsi="宋体" w:cs="宋体"/>
          <w:i/>
          <w:sz w:val="36"/>
          <w:szCs w:val="36"/>
          <w:u w:val="single"/>
        </w:rPr>
      </w:r>
      <w:r/>
    </w:p>
    <w:p>
      <w:pPr>
        <w:pStyle w:val="651"/>
        <w:jc w:val="left"/>
        <w:keepLines/>
        <w:keepNext/>
        <w:spacing w:before="360" w:after="200" w:line="360" w:lineRule="auto"/>
        <w:rPr>
          <w:rFonts w:ascii="宋体" w:hAnsi="宋体" w:cs="宋体"/>
          <w:i/>
          <w:sz w:val="36"/>
          <w:szCs w:val="36"/>
          <w:u w:val="single"/>
        </w:rPr>
        <w:outlineLvl w:val="1"/>
      </w:pPr>
      <w:r>
        <w:rPr>
          <w:rFonts w:ascii="宋体" w:hAnsi="宋体" w:cs="宋体"/>
          <w:i/>
          <w:sz w:val="36"/>
          <w:szCs w:val="36"/>
          <w:u w:val="single"/>
        </w:rPr>
      </w:r>
      <w:r/>
    </w:p>
    <w:p>
      <w:pPr>
        <w:pStyle w:val="675"/>
      </w:pPr>
      <w:r/>
      <w:r/>
    </w:p>
    <w:p>
      <w:pPr>
        <w:pStyle w:val="651"/>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651"/>
      </w:pPr>
      <w:r/>
      <w:r/>
    </w:p>
    <w:p>
      <w:pPr>
        <w:pStyle w:val="651"/>
      </w:pPr>
      <w:r/>
      <w:r/>
    </w:p>
    <w:p>
      <w:pPr>
        <w:pStyle w:val="651"/>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651"/>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651"/>
      </w:pPr>
      <w:r/>
      <w:r/>
    </w:p>
    <w:p>
      <w:pPr>
        <w:pStyle w:val="651"/>
      </w:pPr>
      <w:r/>
      <w:r/>
    </w:p>
    <w:p>
      <w:pPr>
        <w:pStyle w:val="65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651"/>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651"/>
      </w:pPr>
      <w:r/>
      <w:r/>
    </w:p>
    <w:p>
      <w:pPr>
        <w:pStyle w:val="651"/>
      </w:pPr>
      <w:r/>
      <w:r/>
    </w:p>
    <w:p>
      <w:pPr>
        <w:pStyle w:val="651"/>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651"/>
        <w:jc w:val="left"/>
        <w:rPr>
          <w:rFonts w:ascii="MS Mincho"/>
          <w:color w:val="000000"/>
          <w:szCs w:val="24"/>
        </w:rPr>
      </w:pPr>
      <w:r>
        <w:rPr>
          <w:rFonts w:ascii="MS Mincho"/>
          <w:color w:val="000000"/>
          <w:szCs w:val="24"/>
        </w:rPr>
      </w:r>
      <w:r/>
    </w:p>
    <w:p>
      <w:pPr>
        <w:pStyle w:val="651"/>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651"/>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651"/>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651"/>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651"/>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651"/>
        <w:ind w:firstLine="480"/>
        <w:jc w:val="left"/>
        <w:spacing w:line="500" w:lineRule="exact"/>
        <w:rPr>
          <w:sz w:val="24"/>
          <w:szCs w:val="24"/>
        </w:rPr>
      </w:pPr>
      <w:r>
        <w:rPr>
          <w:rFonts w:hint="eastAsia"/>
          <w:sz w:val="24"/>
          <w:szCs w:val="24"/>
        </w:rPr>
        <w:t xml:space="preserve">特此承诺</w:t>
      </w:r>
      <w:r>
        <w:rPr>
          <w:sz w:val="24"/>
          <w:szCs w:val="24"/>
        </w:rPr>
      </w:r>
      <w:r/>
    </w:p>
    <w:p>
      <w:pPr>
        <w:pStyle w:val="651"/>
        <w:ind w:firstLine="480"/>
        <w:jc w:val="left"/>
        <w:spacing w:line="500" w:lineRule="exact"/>
        <w:rPr>
          <w:sz w:val="24"/>
          <w:szCs w:val="24"/>
        </w:rPr>
      </w:pPr>
      <w:r>
        <w:rPr>
          <w:sz w:val="24"/>
          <w:szCs w:val="24"/>
        </w:rPr>
      </w:r>
      <w:r/>
    </w:p>
    <w:p>
      <w:pPr>
        <w:pStyle w:val="651"/>
        <w:ind w:firstLine="480"/>
        <w:jc w:val="left"/>
        <w:spacing w:line="500" w:lineRule="exact"/>
        <w:rPr>
          <w:sz w:val="24"/>
          <w:szCs w:val="24"/>
        </w:rPr>
      </w:pPr>
      <w:r>
        <w:rPr>
          <w:rFonts w:hint="eastAsia"/>
          <w:sz w:val="24"/>
          <w:szCs w:val="24"/>
        </w:rPr>
        <w:t xml:space="preserve">供应商（公章）：</w:t>
      </w:r>
      <w:r>
        <w:rPr>
          <w:sz w:val="24"/>
          <w:szCs w:val="24"/>
        </w:rPr>
      </w:r>
      <w:r/>
    </w:p>
    <w:p>
      <w:pPr>
        <w:pStyle w:val="651"/>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651"/>
        <w:ind w:firstLine="480"/>
        <w:jc w:val="left"/>
        <w:spacing w:line="500" w:lineRule="exact"/>
        <w:rPr>
          <w:sz w:val="24"/>
          <w:szCs w:val="24"/>
        </w:rPr>
      </w:pPr>
      <w:r>
        <w:rPr>
          <w:rFonts w:hint="eastAsia"/>
          <w:sz w:val="24"/>
          <w:szCs w:val="24"/>
        </w:rPr>
        <w:t xml:space="preserve">日期：    年     月     日</w:t>
      </w:r>
      <w:r>
        <w:rPr>
          <w:sz w:val="24"/>
          <w:szCs w:val="24"/>
        </w:rPr>
      </w:r>
      <w:r/>
    </w:p>
    <w:p>
      <w:pPr>
        <w:pStyle w:val="651"/>
      </w:pPr>
      <w:r/>
      <w:r/>
    </w:p>
    <w:p>
      <w:pPr>
        <w:pStyle w:val="651"/>
      </w:pPr>
      <w:r/>
      <w:r/>
    </w:p>
    <w:p>
      <w:pPr>
        <w:pStyle w:val="65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651"/>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651"/>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651"/>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651"/>
        <w:jc w:val="left"/>
        <w:rPr>
          <w:sz w:val="24"/>
          <w:szCs w:val="24"/>
        </w:rPr>
      </w:pPr>
      <w:r>
        <w:rPr>
          <w:sz w:val="24"/>
          <w:szCs w:val="24"/>
        </w:rPr>
      </w:r>
      <w:r/>
    </w:p>
    <w:p>
      <w:pPr>
        <w:pStyle w:val="651"/>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651"/>
        <w:ind w:firstLine="480"/>
        <w:spacing w:line="360" w:lineRule="auto"/>
        <w:rPr>
          <w:sz w:val="24"/>
          <w:szCs w:val="24"/>
        </w:rPr>
      </w:pPr>
      <w:r>
        <w:rPr>
          <w:sz w:val="24"/>
          <w:szCs w:val="24"/>
        </w:rPr>
      </w:r>
      <w:r/>
    </w:p>
    <w:p>
      <w:pPr>
        <w:pStyle w:val="651"/>
        <w:ind w:firstLine="480"/>
        <w:spacing w:line="360" w:lineRule="auto"/>
        <w:rPr>
          <w:sz w:val="24"/>
          <w:szCs w:val="24"/>
        </w:rPr>
      </w:pPr>
      <w:r>
        <w:rPr>
          <w:sz w:val="24"/>
          <w:szCs w:val="24"/>
        </w:rPr>
      </w:r>
      <w:r/>
    </w:p>
    <w:p>
      <w:pPr>
        <w:pStyle w:val="651"/>
        <w:ind w:firstLine="480"/>
        <w:spacing w:line="360" w:lineRule="auto"/>
        <w:rPr>
          <w:sz w:val="24"/>
          <w:szCs w:val="24"/>
        </w:rPr>
      </w:pPr>
      <w:r>
        <w:rPr>
          <w:rFonts w:hint="eastAsia"/>
          <w:sz w:val="24"/>
          <w:szCs w:val="24"/>
        </w:rPr>
        <w:t xml:space="preserve">投标人（盖章）：</w:t>
      </w:r>
      <w:r>
        <w:rPr>
          <w:sz w:val="24"/>
          <w:szCs w:val="24"/>
        </w:rPr>
      </w:r>
      <w:r/>
    </w:p>
    <w:p>
      <w:pPr>
        <w:pStyle w:val="651"/>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51"/>
        <w:ind w:firstLine="480"/>
        <w:spacing w:line="360" w:lineRule="auto"/>
        <w:rPr>
          <w:sz w:val="24"/>
          <w:szCs w:val="24"/>
        </w:rPr>
      </w:pPr>
      <w:r>
        <w:rPr>
          <w:rFonts w:hint="eastAsia"/>
          <w:sz w:val="24"/>
          <w:szCs w:val="24"/>
        </w:rPr>
        <w:t xml:space="preserve">日期：    年     月     日</w:t>
      </w:r>
      <w:r>
        <w:rPr>
          <w:sz w:val="24"/>
          <w:szCs w:val="24"/>
        </w:rPr>
      </w:r>
      <w:r/>
    </w:p>
    <w:p>
      <w:pPr>
        <w:pStyle w:val="651"/>
        <w:jc w:val="left"/>
        <w:rPr>
          <w:rFonts w:ascii="MS Mincho"/>
          <w:color w:val="000000"/>
          <w:szCs w:val="24"/>
        </w:rPr>
      </w:pPr>
      <w:r>
        <w:rPr>
          <w:rFonts w:ascii="MS Mincho"/>
          <w:color w:val="000000"/>
          <w:szCs w:val="24"/>
        </w:rPr>
      </w:r>
      <w:r/>
    </w:p>
    <w:p>
      <w:pPr>
        <w:pStyle w:val="651"/>
        <w:ind w:firstLine="480"/>
        <w:spacing w:line="360" w:lineRule="auto"/>
        <w:rPr>
          <w:color w:val="000000"/>
          <w:sz w:val="24"/>
          <w:szCs w:val="24"/>
        </w:rPr>
      </w:pPr>
      <w:r>
        <w:rPr>
          <w:rFonts w:hint="eastAsia"/>
          <w:color w:val="000000"/>
          <w:sz w:val="24"/>
          <w:szCs w:val="24"/>
        </w:rPr>
        <w:t xml:space="preserve">附主要设备和主要专业技术能力的证明材料如下：</w:t>
      </w:r>
      <w:r>
        <w:rPr>
          <w:color w:val="000000"/>
          <w:sz w:val="24"/>
          <w:szCs w:val="24"/>
        </w:rPr>
      </w:r>
      <w:r/>
    </w:p>
    <w:p>
      <w:pPr>
        <w:pStyle w:val="651"/>
        <w:jc w:val="left"/>
        <w:spacing w:line="360" w:lineRule="auto"/>
        <w:rPr>
          <w:color w:val="000000"/>
          <w:sz w:val="24"/>
          <w:szCs w:val="24"/>
        </w:rPr>
      </w:pPr>
      <w:r>
        <w:rPr>
          <w:color w:val="000000"/>
          <w:sz w:val="24"/>
          <w:szCs w:val="24"/>
        </w:rPr>
      </w:r>
      <w:r/>
    </w:p>
    <w:p>
      <w:pPr>
        <w:pStyle w:val="651"/>
        <w:jc w:val="left"/>
        <w:spacing w:line="360" w:lineRule="auto"/>
        <w:rPr>
          <w:color w:val="000000"/>
          <w:sz w:val="24"/>
          <w:szCs w:val="24"/>
        </w:rPr>
      </w:pPr>
      <w:r>
        <w:rPr>
          <w:color w:val="000000"/>
          <w:sz w:val="24"/>
          <w:szCs w:val="24"/>
        </w:rPr>
      </w:r>
      <w:r/>
    </w:p>
    <w:p>
      <w:pPr>
        <w:pStyle w:val="65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651"/>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651"/>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651"/>
        <w:ind w:firstLine="480"/>
        <w:jc w:val="left"/>
        <w:spacing w:line="500" w:lineRule="exact"/>
        <w:rPr>
          <w:sz w:val="24"/>
          <w:szCs w:val="24"/>
        </w:rPr>
      </w:pPr>
      <w:r>
        <w:rPr>
          <w:sz w:val="24"/>
          <w:szCs w:val="24"/>
        </w:rPr>
      </w:r>
      <w:r/>
    </w:p>
    <w:p>
      <w:pPr>
        <w:pStyle w:val="651"/>
        <w:ind w:firstLine="480"/>
        <w:jc w:val="left"/>
        <w:spacing w:line="500" w:lineRule="exact"/>
        <w:rPr>
          <w:sz w:val="24"/>
          <w:szCs w:val="24"/>
        </w:rPr>
      </w:pPr>
      <w:r>
        <w:rPr>
          <w:rFonts w:hint="eastAsia"/>
          <w:sz w:val="24"/>
          <w:szCs w:val="24"/>
        </w:rPr>
        <w:t xml:space="preserve">投标人（盖章）：</w:t>
      </w:r>
      <w:r>
        <w:rPr>
          <w:sz w:val="24"/>
          <w:szCs w:val="24"/>
        </w:rPr>
      </w:r>
      <w:r/>
    </w:p>
    <w:p>
      <w:pPr>
        <w:pStyle w:val="651"/>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51"/>
        <w:ind w:firstLine="480"/>
        <w:jc w:val="left"/>
        <w:spacing w:line="500" w:lineRule="exact"/>
        <w:rPr>
          <w:sz w:val="24"/>
          <w:szCs w:val="24"/>
        </w:rPr>
      </w:pPr>
      <w:r>
        <w:rPr>
          <w:rFonts w:hint="eastAsia"/>
          <w:sz w:val="24"/>
          <w:szCs w:val="24"/>
        </w:rPr>
        <w:t xml:space="preserve">日期：    年     月     日</w:t>
      </w:r>
      <w:r>
        <w:rPr>
          <w:sz w:val="24"/>
          <w:szCs w:val="24"/>
        </w:rPr>
      </w:r>
      <w:r/>
    </w:p>
    <w:p>
      <w:pPr>
        <w:pStyle w:val="651"/>
      </w:pPr>
      <w:r/>
      <w:r/>
    </w:p>
    <w:p>
      <w:pPr>
        <w:pStyle w:val="651"/>
      </w:pPr>
      <w:r/>
      <w:r/>
    </w:p>
    <w:p>
      <w:pPr>
        <w:pStyle w:val="65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651"/>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51"/>
      </w:pPr>
      <w:r/>
      <w:r/>
    </w:p>
    <w:p>
      <w:pPr>
        <w:pStyle w:val="65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651"/>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51"/>
      </w:pPr>
      <w:r/>
      <w:r/>
    </w:p>
    <w:p>
      <w:pPr>
        <w:pStyle w:val="651"/>
      </w:pPr>
      <w:r/>
      <w:r/>
    </w:p>
    <w:p>
      <w:pPr>
        <w:pStyle w:val="65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651"/>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51"/>
      </w:pPr>
      <w:r/>
      <w:r/>
    </w:p>
    <w:p>
      <w:pPr>
        <w:pStyle w:val="651"/>
      </w:pPr>
      <w:r/>
      <w:r/>
    </w:p>
    <w:p>
      <w:pPr>
        <w:pStyle w:val="65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651"/>
        <w:jc w:val="center"/>
        <w:spacing w:line="360" w:lineRule="exact"/>
        <w:rPr>
          <w:rFonts w:ascii="宋体" w:hAnsi="宋体"/>
          <w:b/>
          <w:color w:val="000000"/>
          <w:sz w:val="36"/>
          <w:szCs w:val="36"/>
        </w:rPr>
      </w:pPr>
      <w:r>
        <w:rPr>
          <w:rFonts w:ascii="宋体" w:hAnsi="宋体"/>
          <w:b/>
          <w:color w:val="000000"/>
          <w:sz w:val="36"/>
          <w:szCs w:val="36"/>
        </w:rPr>
      </w:r>
      <w:r/>
    </w:p>
    <w:p>
      <w:pPr>
        <w:pStyle w:val="651"/>
        <w:jc w:val="center"/>
        <w:spacing w:line="360" w:lineRule="exact"/>
        <w:rPr>
          <w:rFonts w:ascii="宋体" w:hAnsi="宋体"/>
          <w:b/>
          <w:color w:val="000000"/>
          <w:sz w:val="36"/>
          <w:szCs w:val="36"/>
        </w:rPr>
      </w:pPr>
      <w:r>
        <w:rPr>
          <w:rFonts w:ascii="宋体" w:hAnsi="宋体"/>
          <w:b/>
          <w:color w:val="000000"/>
          <w:sz w:val="36"/>
          <w:szCs w:val="36"/>
        </w:rPr>
      </w:r>
      <w:r/>
    </w:p>
    <w:p>
      <w:pPr>
        <w:pStyle w:val="651"/>
        <w:jc w:val="center"/>
        <w:spacing w:line="360" w:lineRule="exact"/>
        <w:rPr>
          <w:rFonts w:ascii="宋体" w:hAnsi="宋体"/>
          <w:b/>
          <w:color w:val="000000"/>
          <w:sz w:val="36"/>
          <w:szCs w:val="36"/>
        </w:rPr>
      </w:pPr>
      <w:r>
        <w:rPr>
          <w:rFonts w:ascii="宋体" w:hAnsi="宋体"/>
          <w:b/>
          <w:color w:val="000000"/>
          <w:sz w:val="36"/>
          <w:szCs w:val="36"/>
        </w:rPr>
      </w:r>
      <w:r/>
    </w:p>
    <w:p>
      <w:pPr>
        <w:pStyle w:val="651"/>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651"/>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651"/>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pStyle w:val="651"/>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651"/>
        <w:ind w:firstLine="420"/>
        <w:jc w:val="left"/>
        <w:spacing w:line="360" w:lineRule="auto"/>
        <w:rPr>
          <w:sz w:val="24"/>
          <w:szCs w:val="24"/>
        </w:rPr>
      </w:pPr>
      <w:r>
        <w:rPr>
          <w:rFonts w:hint="eastAsia"/>
          <w:sz w:val="24"/>
          <w:szCs w:val="24"/>
        </w:rPr>
        <w:t xml:space="preserve">代理人</w:t>
      </w:r>
      <w:r>
        <w:rPr>
          <w:sz w:val="24"/>
          <w:szCs w:val="24"/>
        </w:rPr>
        <w:t xml:space="preserve">无转委托权。</w:t>
        <w:br w:type="textWrapping" w:clear="all"/>
      </w:r>
      <w:r/>
    </w:p>
    <w:p>
      <w:pPr>
        <w:pStyle w:val="651"/>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651"/>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sz w:val="24"/>
          <w:szCs w:val="24"/>
        </w:rPr>
      </w:r>
      <w:r/>
    </w:p>
    <w:p>
      <w:pPr>
        <w:pStyle w:val="651"/>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sz w:val="24"/>
          <w:szCs w:val="24"/>
        </w:rPr>
      </w:r>
      <w:r/>
    </w:p>
    <w:p>
      <w:pPr>
        <w:pStyle w:val="651"/>
        <w:spacing w:line="360" w:lineRule="auto"/>
        <w:rPr>
          <w:sz w:val="24"/>
          <w:szCs w:val="24"/>
        </w:rPr>
      </w:pPr>
      <w:r>
        <w:rPr>
          <w:rFonts w:hint="eastAsia"/>
          <w:sz w:val="24"/>
          <w:szCs w:val="24"/>
        </w:rPr>
        <w:t xml:space="preserve">日期：    年     月     日</w:t>
      </w:r>
      <w:r>
        <w:rPr>
          <w:sz w:val="24"/>
          <w:szCs w:val="24"/>
        </w:rPr>
      </w:r>
      <w:r/>
    </w:p>
    <w:p>
      <w:pPr>
        <w:pStyle w:val="651"/>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5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51"/>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651"/>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651"/>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651"/>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651"/>
      </w:pPr>
      <w:r/>
      <w:r/>
    </w:p>
    <w:p>
      <w:pPr>
        <w:pStyle w:val="651"/>
      </w:pPr>
      <w:r/>
      <w:r/>
    </w:p>
    <w:p>
      <w:pPr>
        <w:pStyle w:val="651"/>
        <w:jc w:val="center"/>
        <w:spacing w:line="360" w:lineRule="exact"/>
        <w:rPr>
          <w:rFonts w:ascii="宋体" w:hAnsi="宋体"/>
          <w:b/>
          <w:color w:val="000000"/>
          <w:sz w:val="36"/>
          <w:szCs w:val="36"/>
        </w:rPr>
      </w:pPr>
      <w:r>
        <w:rPr>
          <w:rFonts w:ascii="宋体" w:hAnsi="宋体"/>
          <w:b/>
          <w:color w:val="000000"/>
          <w:sz w:val="36"/>
          <w:szCs w:val="36"/>
        </w:rPr>
      </w:r>
      <w:r/>
    </w:p>
    <w:p>
      <w:pPr>
        <w:pStyle w:val="651"/>
        <w:jc w:val="center"/>
        <w:spacing w:line="360" w:lineRule="exact"/>
        <w:rPr>
          <w:rFonts w:ascii="宋体" w:hAnsi="宋体"/>
          <w:b/>
          <w:color w:val="000000"/>
          <w:sz w:val="36"/>
          <w:szCs w:val="36"/>
        </w:rPr>
      </w:pPr>
      <w:r>
        <w:rPr>
          <w:rFonts w:ascii="宋体" w:hAnsi="宋体"/>
          <w:b/>
          <w:color w:val="000000"/>
          <w:sz w:val="36"/>
          <w:szCs w:val="36"/>
        </w:rPr>
      </w:r>
      <w:r/>
    </w:p>
    <w:p>
      <w:pPr>
        <w:pStyle w:val="651"/>
        <w:jc w:val="center"/>
        <w:spacing w:line="360" w:lineRule="exact"/>
        <w:rPr>
          <w:rFonts w:ascii="宋体" w:hAnsi="宋体"/>
          <w:b/>
          <w:color w:val="000000"/>
          <w:sz w:val="36"/>
          <w:szCs w:val="36"/>
        </w:rPr>
      </w:pPr>
      <w:r>
        <w:rPr>
          <w:rFonts w:ascii="宋体" w:hAnsi="宋体"/>
          <w:b/>
          <w:color w:val="000000"/>
          <w:sz w:val="36"/>
          <w:szCs w:val="36"/>
        </w:rPr>
      </w:r>
      <w:r/>
    </w:p>
    <w:p>
      <w:pPr>
        <w:pStyle w:val="651"/>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651"/>
        <w:spacing w:line="200" w:lineRule="exact"/>
        <w:rPr>
          <w:rFonts w:ascii="宋体" w:hAnsi="宋体"/>
          <w:sz w:val="20"/>
          <w:szCs w:val="20"/>
        </w:rPr>
      </w:pPr>
      <w:r>
        <w:rPr>
          <w:rFonts w:ascii="宋体" w:hAnsi="宋体"/>
          <w:sz w:val="20"/>
          <w:szCs w:val="20"/>
        </w:rPr>
      </w:r>
      <w:r/>
    </w:p>
    <w:p>
      <w:pPr>
        <w:pStyle w:val="651"/>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sz w:val="24"/>
          <w:szCs w:val="24"/>
          <w:u w:val="single"/>
        </w:rPr>
        <w:t xml:space="preserve"> 采购单位 </w:t>
      </w:r>
      <w:r>
        <w:rPr>
          <w:rFonts w:ascii="宋体" w:hAnsi="宋体"/>
          <w:color w:val="000000"/>
          <w:sz w:val="24"/>
          <w:szCs w:val="24"/>
        </w:rPr>
      </w:r>
      <w:r/>
    </w:p>
    <w:p>
      <w:pPr>
        <w:pStyle w:val="651"/>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651"/>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65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51"/>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pStyle w:val="65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5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51"/>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5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51"/>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651"/>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651"/>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651"/>
        <w:spacing w:line="360" w:lineRule="auto"/>
        <w:rPr>
          <w:sz w:val="24"/>
          <w:szCs w:val="24"/>
        </w:rPr>
      </w:pPr>
      <w:r>
        <w:rPr>
          <w:sz w:val="24"/>
          <w:szCs w:val="24"/>
        </w:rPr>
      </w:r>
      <w:r/>
    </w:p>
    <w:p>
      <w:pPr>
        <w:pStyle w:val="651"/>
        <w:spacing w:line="360" w:lineRule="auto"/>
        <w:rPr>
          <w:sz w:val="24"/>
          <w:szCs w:val="24"/>
        </w:rPr>
      </w:pPr>
      <w:r>
        <w:rPr>
          <w:rFonts w:hint="eastAsia"/>
          <w:sz w:val="24"/>
          <w:szCs w:val="24"/>
        </w:rPr>
        <w:t xml:space="preserve">日期：    年     月     日</w:t>
      </w:r>
      <w:r>
        <w:rPr>
          <w:sz w:val="24"/>
          <w:szCs w:val="24"/>
        </w:rPr>
      </w:r>
      <w:r/>
    </w:p>
    <w:p>
      <w:pPr>
        <w:pStyle w:val="651"/>
        <w:spacing w:line="360" w:lineRule="auto"/>
        <w:rPr>
          <w:sz w:val="24"/>
          <w:szCs w:val="24"/>
        </w:rPr>
      </w:pPr>
      <w:r>
        <w:rPr>
          <w:sz w:val="24"/>
          <w:szCs w:val="24"/>
        </w:rPr>
      </w:r>
      <w:r/>
    </w:p>
    <w:p>
      <w:pPr>
        <w:pStyle w:val="651"/>
      </w:pPr>
      <w:r/>
      <w:r/>
    </w:p>
    <w:p>
      <w:pPr>
        <w:pStyle w:val="651"/>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651"/>
        <w:jc w:val="center"/>
        <w:spacing w:line="360" w:lineRule="auto"/>
        <w:tabs>
          <w:tab w:val="left" w:pos="360" w:leader="none"/>
        </w:tabs>
        <w:rPr>
          <w:color w:val="000000"/>
          <w:sz w:val="24"/>
          <w:szCs w:val="24"/>
        </w:rPr>
      </w:pPr>
      <w:r>
        <w:rPr>
          <w:rFonts w:hint="eastAsia" w:ascii="黑体" w:hAnsi="黑体" w:eastAsia="黑体" w:cs="宋体"/>
          <w:bCs/>
          <w:sz w:val="36"/>
          <w:szCs w:val="28"/>
        </w:rPr>
        <w:t xml:space="preserve">投标函</w:t>
      </w:r>
      <w:r>
        <w:rPr>
          <w:color w:val="000000"/>
          <w:sz w:val="24"/>
          <w:szCs w:val="24"/>
        </w:rPr>
      </w:r>
      <w:r/>
    </w:p>
    <w:p>
      <w:pPr>
        <w:pStyle w:val="651"/>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651"/>
      </w:pPr>
      <w:r/>
      <w:r/>
    </w:p>
    <w:p>
      <w:pPr>
        <w:pStyle w:val="651"/>
      </w:pPr>
      <w:r/>
      <w:r/>
    </w:p>
    <w:p>
      <w:pPr>
        <w:pStyle w:val="651"/>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651"/>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51"/>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51"/>
      </w:pPr>
      <w:r/>
      <w:r/>
    </w:p>
    <w:p>
      <w:pPr>
        <w:pStyle w:val="651"/>
      </w:pPr>
      <w:r/>
      <w:r/>
    </w:p>
    <w:p>
      <w:pPr>
        <w:pStyle w:val="651"/>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651"/>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651"/>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pStyle w:val="651"/>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51"/>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651"/>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51"/>
        <w:ind w:right="1620"/>
        <w:spacing w:line="560" w:lineRule="exact"/>
        <w:rPr>
          <w:rFonts w:ascii="宋体" w:hAnsi="宋体"/>
          <w:color w:val="000000"/>
          <w:sz w:val="24"/>
          <w:szCs w:val="24"/>
        </w:rPr>
      </w:pPr>
      <w:r>
        <w:rPr>
          <w:rFonts w:ascii="宋体" w:hAnsi="宋体"/>
          <w:color w:val="000000"/>
          <w:sz w:val="24"/>
          <w:szCs w:val="24"/>
        </w:rPr>
      </w:r>
      <w:r/>
    </w:p>
    <w:p>
      <w:pPr>
        <w:pStyle w:val="651"/>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651"/>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51"/>
        <w:ind w:right="480"/>
        <w:jc w:val="left"/>
        <w:spacing w:line="360" w:lineRule="auto"/>
        <w:rPr>
          <w:rFonts w:ascii="宋体" w:hAnsi="宋体"/>
          <w:sz w:val="24"/>
          <w:szCs w:val="24"/>
        </w:rPr>
      </w:pPr>
      <w:r>
        <w:rPr>
          <w:rFonts w:ascii="宋体" w:hAnsi="宋体"/>
          <w:sz w:val="24"/>
          <w:szCs w:val="24"/>
        </w:rPr>
      </w:r>
      <w:r/>
    </w:p>
    <w:p>
      <w:pPr>
        <w:pStyle w:val="651"/>
        <w:ind w:right="480"/>
        <w:jc w:val="left"/>
        <w:spacing w:line="360" w:lineRule="auto"/>
        <w:rPr>
          <w:rFonts w:ascii="宋体" w:hAnsi="宋体"/>
          <w:sz w:val="24"/>
          <w:szCs w:val="24"/>
        </w:rPr>
      </w:pPr>
      <w:r>
        <w:rPr>
          <w:rFonts w:ascii="宋体" w:hAnsi="宋体"/>
          <w:sz w:val="24"/>
          <w:szCs w:val="24"/>
        </w:rPr>
      </w:r>
      <w:r/>
    </w:p>
    <w:p>
      <w:pPr>
        <w:pStyle w:val="651"/>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651"/>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651"/>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，如填写不完整或不一致或填写有误，将不享受扶持政策。</w:t>
      </w:r>
      <w:r>
        <w:rPr>
          <w:rFonts w:ascii="宋体" w:hAnsi="宋体"/>
          <w:sz w:val="24"/>
          <w:szCs w:val="24"/>
        </w:rPr>
      </w:r>
      <w:r/>
    </w:p>
    <w:p>
      <w:pPr>
        <w:pStyle w:val="651"/>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rPr>
          <w:rFonts w:ascii="宋体" w:hAnsi="宋体"/>
          <w:sz w:val="24"/>
          <w:szCs w:val="24"/>
        </w:rPr>
      </w:r>
      <w:r/>
    </w:p>
    <w:p>
      <w:pPr>
        <w:pStyle w:val="651"/>
      </w:pPr>
      <w:r/>
      <w:r/>
    </w:p>
    <w:p>
      <w:pPr>
        <w:pStyle w:val="651"/>
      </w:pPr>
      <w:r/>
      <w:r/>
    </w:p>
    <w:p>
      <w:pPr>
        <w:pStyle w:val="651"/>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651"/>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651"/>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651"/>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651"/>
        <w:ind w:firstLine="480"/>
        <w:spacing w:line="500" w:lineRule="exact"/>
        <w:rPr>
          <w:rFonts w:ascii="宋体" w:hAnsi="宋体"/>
          <w:color w:val="000000"/>
          <w:sz w:val="24"/>
          <w:szCs w:val="21"/>
        </w:rPr>
      </w:pPr>
      <w:r>
        <w:rPr>
          <w:rFonts w:ascii="宋体" w:hAnsi="宋体"/>
          <w:color w:val="000000"/>
          <w:sz w:val="24"/>
          <w:szCs w:val="21"/>
        </w:rPr>
      </w:r>
      <w:r/>
    </w:p>
    <w:p>
      <w:pPr>
        <w:pStyle w:val="651"/>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651"/>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51"/>
      </w:pPr>
      <w:r/>
      <w:r/>
    </w:p>
    <w:p>
      <w:pPr>
        <w:pStyle w:val="651"/>
      </w:pPr>
      <w:r/>
      <w:r/>
    </w:p>
    <w:p>
      <w:pPr>
        <w:pStyle w:val="651"/>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651"/>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，如填写不完整或不一致或填写有误，将不享受扶持政策。</w:t>
      </w:r>
      <w:r>
        <w:rPr>
          <w:rFonts w:ascii="宋体" w:hAnsi="宋体"/>
          <w:bCs/>
          <w:sz w:val="24"/>
          <w:szCs w:val="24"/>
        </w:rPr>
      </w:r>
      <w:r/>
    </w:p>
    <w:p>
      <w:pPr>
        <w:pStyle w:val="651"/>
        <w:ind w:firstLine="480"/>
        <w:jc w:val="left"/>
        <w:spacing w:line="360" w:lineRule="auto"/>
        <w:rPr>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sz w:val="24"/>
          <w:szCs w:val="24"/>
        </w:rPr>
      </w:r>
      <w:r/>
    </w:p>
    <w:p>
      <w:pPr>
        <w:pStyle w:val="651"/>
      </w:pPr>
      <w:r/>
      <w:r/>
    </w:p>
    <w:p>
      <w:pPr>
        <w:pStyle w:val="651"/>
      </w:pPr>
      <w:r/>
      <w:r/>
    </w:p>
    <w:p>
      <w:pPr>
        <w:pStyle w:val="651"/>
        <w:jc w:val="left"/>
        <w:keepLines/>
        <w:keepNext/>
        <w:spacing w:before="360" w:after="200" w:line="360" w:lineRule="auto"/>
        <w:rPr>
          <w:rFonts w:ascii="Arial" w:hAnsi="Arial" w:cs="Arial"/>
          <w:b/>
          <w:sz w:val="36"/>
        </w:rPr>
        <w:outlineLvl w:val="1"/>
      </w:pPr>
      <w:r>
        <w:rPr>
          <w:rFonts w:hint="eastAsia" w:ascii="Arial" w:hAnsi="Arial" w:cs="Arial"/>
          <w:b/>
          <w:sz w:val="36"/>
        </w:rPr>
        <w:t xml:space="preserve">十三、分包意向协议书</w:t>
      </w:r>
      <w:r>
        <w:rPr>
          <w:rFonts w:ascii="Arial" w:hAnsi="Arial" w:cs="Arial"/>
          <w:b/>
          <w:sz w:val="36"/>
        </w:rPr>
      </w:r>
      <w:r/>
    </w:p>
    <w:p>
      <w:pPr>
        <w:pStyle w:val="651"/>
        <w:jc w:val="center"/>
        <w:spacing w:line="264" w:lineRule="auto"/>
        <w:rPr>
          <w:sz w:val="29"/>
        </w:rPr>
      </w:pPr>
      <w:r>
        <w:rPr>
          <w:rFonts w:hint="eastAsia" w:ascii="宋体" w:hAnsi="宋体"/>
          <w:b/>
          <w:color w:val="000000"/>
          <w:sz w:val="29"/>
        </w:rPr>
        <w:t xml:space="preserve">分包意向协议书</w:t>
      </w:r>
      <w:r>
        <w:rPr>
          <w:sz w:val="29"/>
        </w:rPr>
      </w:r>
      <w:r/>
    </w:p>
    <w:p>
      <w:pPr>
        <w:pStyle w:val="651"/>
        <w:rPr>
          <w:rFonts w:ascii="宋体" w:hAnsi="宋体"/>
          <w:color w:val="000000"/>
        </w:rPr>
      </w:pPr>
      <w:r>
        <w:rPr>
          <w:rFonts w:ascii="宋体" w:hAnsi="宋体"/>
          <w:color w:val="000000"/>
        </w:rPr>
      </w:r>
      <w:r/>
    </w:p>
    <w:p>
      <w:pPr>
        <w:pStyle w:val="651"/>
        <w:ind w:firstLine="120"/>
        <w:spacing w:line="360" w:lineRule="auto"/>
        <w:rPr>
          <w:rFonts w:ascii="宋体" w:hAnsi="宋体"/>
          <w:sz w:val="24"/>
          <w:szCs w:val="24"/>
        </w:rPr>
      </w:pPr>
      <w:r>
        <w:rPr>
          <w:rFonts w:hint="eastAsia" w:ascii="宋体" w:hAnsi="宋体"/>
          <w:color w:val="000000"/>
          <w:sz w:val="24"/>
          <w:szCs w:val="24"/>
        </w:rPr>
        <w:t xml:space="preserve">立约方</w:t>
      </w:r>
      <w:r>
        <w:rPr>
          <w:rFonts w:hint="eastAsia" w:ascii="宋体" w:hAnsi="宋体"/>
          <w:color w:val="000000"/>
          <w:sz w:val="24"/>
          <w:szCs w:val="24"/>
          <w:u w:val="single"/>
        </w:rPr>
        <w:t xml:space="preserve">：（甲公司全称）</w:t>
      </w:r>
      <w:r>
        <w:rPr>
          <w:rFonts w:ascii="宋体" w:hAnsi="宋体"/>
          <w:sz w:val="24"/>
          <w:szCs w:val="24"/>
        </w:rPr>
      </w:r>
      <w:r/>
    </w:p>
    <w:p>
      <w:pPr>
        <w:pStyle w:val="651"/>
        <w:ind w:firstLine="1118"/>
        <w:spacing w:line="360" w:lineRule="auto"/>
        <w:rPr>
          <w:rFonts w:ascii="宋体" w:hAnsi="宋体"/>
          <w:sz w:val="24"/>
          <w:szCs w:val="24"/>
        </w:rPr>
      </w:pPr>
      <w:r>
        <w:rPr>
          <w:rFonts w:hint="eastAsia" w:ascii="宋体" w:hAnsi="宋体"/>
          <w:color w:val="000000"/>
          <w:sz w:val="24"/>
          <w:szCs w:val="24"/>
          <w:u w:val="single"/>
        </w:rPr>
        <w:t xml:space="preserve">（乙公司全称）</w:t>
      </w:r>
      <w:r>
        <w:rPr>
          <w:rFonts w:ascii="宋体" w:hAnsi="宋体"/>
          <w:sz w:val="24"/>
          <w:szCs w:val="24"/>
        </w:rPr>
      </w:r>
      <w:r/>
    </w:p>
    <w:p>
      <w:pPr>
        <w:pStyle w:val="651"/>
        <w:ind w:firstLine="1100"/>
        <w:spacing w:line="360" w:lineRule="auto"/>
        <w:rPr>
          <w:rFonts w:ascii="宋体" w:hAnsi="宋体"/>
          <w:sz w:val="24"/>
          <w:szCs w:val="24"/>
        </w:rPr>
      </w:pPr>
      <w:r>
        <w:rPr>
          <w:rFonts w:hint="eastAsia" w:ascii="宋体" w:hAnsi="宋体"/>
          <w:color w:val="000000"/>
          <w:sz w:val="24"/>
          <w:szCs w:val="24"/>
          <w:u w:val="single"/>
        </w:rPr>
        <w:t xml:space="preserve">（······公司全称）</w:t>
      </w:r>
      <w:r>
        <w:rPr>
          <w:rFonts w:ascii="宋体" w:hAnsi="宋体"/>
          <w:sz w:val="24"/>
          <w:szCs w:val="24"/>
        </w:rPr>
      </w:r>
      <w:r/>
    </w:p>
    <w:p>
      <w:pPr>
        <w:pStyle w:val="651"/>
        <w:ind w:left="60" w:right="1220" w:firstLine="540"/>
        <w:spacing w:line="360" w:lineRule="auto"/>
        <w:rPr>
          <w:rFonts w:ascii="宋体" w:hAnsi="宋体"/>
          <w:sz w:val="24"/>
          <w:szCs w:val="24"/>
        </w:rPr>
      </w:pPr>
      <w:r>
        <w:rPr>
          <w:rFonts w:hint="eastAsia" w:ascii="宋体" w:hAnsi="宋体"/>
          <w:color w:val="000000"/>
          <w:sz w:val="24"/>
          <w:szCs w:val="24"/>
          <w:u w:val="single"/>
        </w:rPr>
        <w:t xml:space="preserve">（甲公司全称）、（乙公司全称）、（······公司全称）</w:t>
      </w:r>
      <w:r>
        <w:rPr>
          <w:rFonts w:hint="eastAsia" w:ascii="宋体" w:hAnsi="宋体"/>
          <w:color w:val="000000"/>
          <w:sz w:val="24"/>
          <w:szCs w:val="24"/>
        </w:rPr>
        <w:t xml:space="preserve">自愿达成分包意向，参加</w:t>
      </w:r>
      <w:r>
        <w:rPr>
          <w:rFonts w:hint="eastAsia" w:ascii="宋体" w:hAnsi="宋体"/>
          <w:color w:val="000000"/>
          <w:sz w:val="24"/>
          <w:szCs w:val="24"/>
          <w:u w:val="single"/>
        </w:rPr>
        <w:t xml:space="preserve">（采购项目名称）（采购项目编号）</w:t>
      </w:r>
      <w:r>
        <w:rPr>
          <w:rFonts w:hint="eastAsia" w:ascii="宋体" w:hAnsi="宋体"/>
          <w:color w:val="000000"/>
          <w:sz w:val="24"/>
          <w:szCs w:val="24"/>
        </w:rPr>
        <w:t xml:space="preserve">的响应活动。经各方充分协商一致，就项目的响应和合同实施阶段的有关事务协商一致订立意向如下：</w:t>
      </w:r>
      <w:r>
        <w:rPr>
          <w:rFonts w:ascii="宋体" w:hAnsi="宋体"/>
          <w:sz w:val="24"/>
          <w:szCs w:val="24"/>
        </w:rPr>
      </w:r>
      <w:r/>
    </w:p>
    <w:p>
      <w:pPr>
        <w:pStyle w:val="651"/>
        <w:ind w:firstLine="520"/>
        <w:spacing w:line="360" w:lineRule="auto"/>
        <w:rPr>
          <w:rFonts w:ascii="宋体" w:hAnsi="宋体"/>
          <w:b/>
          <w:sz w:val="24"/>
          <w:szCs w:val="24"/>
        </w:rPr>
      </w:pPr>
      <w:r>
        <w:rPr>
          <w:rFonts w:hint="eastAsia" w:ascii="宋体" w:hAnsi="宋体"/>
          <w:b/>
          <w:color w:val="000000"/>
          <w:sz w:val="24"/>
          <w:szCs w:val="24"/>
        </w:rPr>
        <w:t xml:space="preserve">一、分包意向各方关系</w:t>
      </w:r>
      <w:r>
        <w:rPr>
          <w:rFonts w:ascii="宋体" w:hAnsi="宋体"/>
          <w:b/>
          <w:sz w:val="24"/>
          <w:szCs w:val="24"/>
        </w:rPr>
      </w:r>
      <w:r/>
    </w:p>
    <w:p>
      <w:pPr>
        <w:pStyle w:val="651"/>
        <w:ind w:left="60" w:right="1140" w:firstLine="480"/>
        <w:spacing w:line="360" w:lineRule="auto"/>
        <w:rPr>
          <w:rFonts w:ascii="宋体" w:hAnsi="宋体"/>
          <w:sz w:val="24"/>
          <w:szCs w:val="24"/>
        </w:rPr>
      </w:pPr>
      <w:r>
        <w:rPr>
          <w:rFonts w:hint="eastAsia" w:ascii="宋体" w:hAnsi="宋体"/>
          <w:color w:val="000000"/>
          <w:sz w:val="24"/>
          <w:szCs w:val="24"/>
          <w:u w:val="single"/>
        </w:rPr>
        <w:t xml:space="preserve">（甲公司全称）为投标方、（乙公司全称）、（······公司全称）</w:t>
      </w:r>
      <w:r>
        <w:rPr>
          <w:rFonts w:hint="eastAsia" w:ascii="宋体" w:hAnsi="宋体"/>
          <w:color w:val="000000"/>
          <w:sz w:val="24"/>
          <w:szCs w:val="24"/>
        </w:rPr>
        <w:t xml:space="preserve">为分包意向供应商，</w:t>
      </w:r>
      <w:r>
        <w:rPr>
          <w:rFonts w:hint="eastAsia" w:ascii="宋体" w:hAnsi="宋体"/>
          <w:color w:val="000000"/>
          <w:sz w:val="24"/>
          <w:szCs w:val="24"/>
          <w:u w:val="single"/>
        </w:rPr>
        <w:t xml:space="preserve">（甲公司全称）</w:t>
      </w:r>
      <w:r>
        <w:rPr>
          <w:rFonts w:hint="eastAsia" w:ascii="宋体" w:hAnsi="宋体"/>
          <w:color w:val="000000"/>
          <w:sz w:val="24"/>
          <w:szCs w:val="24"/>
        </w:rPr>
        <w:t xml:space="preserve">以投标供应商的身份参加本项目的响应。若中标，</w:t>
      </w:r>
      <w:r>
        <w:rPr>
          <w:rFonts w:hint="eastAsia" w:ascii="宋体" w:hAnsi="宋体"/>
          <w:color w:val="000000"/>
          <w:sz w:val="24"/>
          <w:szCs w:val="24"/>
          <w:u w:val="single"/>
        </w:rPr>
        <w:t xml:space="preserve">（甲公司全称）与采购人</w:t>
      </w:r>
      <w:r>
        <w:rPr>
          <w:rFonts w:hint="eastAsia" w:ascii="宋体" w:hAnsi="宋体"/>
          <w:color w:val="000000"/>
          <w:sz w:val="24"/>
          <w:szCs w:val="24"/>
        </w:rPr>
        <w:t xml:space="preserve">签订政府采购合同。承接分包意向的各供应商与</w:t>
      </w:r>
      <w:r>
        <w:rPr>
          <w:rFonts w:hint="eastAsia" w:ascii="宋体" w:hAnsi="宋体"/>
          <w:color w:val="000000"/>
          <w:sz w:val="24"/>
          <w:szCs w:val="24"/>
          <w:u w:val="single"/>
        </w:rPr>
        <w:t xml:space="preserve">（甲公司全称）</w:t>
      </w:r>
      <w:r>
        <w:rPr>
          <w:rFonts w:hint="eastAsia" w:ascii="宋体" w:hAnsi="宋体"/>
          <w:color w:val="000000"/>
          <w:sz w:val="24"/>
          <w:szCs w:val="24"/>
        </w:rPr>
        <w:t xml:space="preserve">签订分包合同。</w:t>
      </w:r>
      <w:r>
        <w:rPr>
          <w:rFonts w:hint="eastAsia" w:ascii="宋体" w:hAnsi="宋体"/>
          <w:color w:val="000000"/>
          <w:sz w:val="24"/>
          <w:szCs w:val="24"/>
          <w:u w:val="single"/>
        </w:rPr>
        <w:t xml:space="preserve">（甲公司全称）</w:t>
      </w:r>
      <w:r>
        <w:rPr>
          <w:rFonts w:hint="eastAsia" w:ascii="宋体" w:hAnsi="宋体"/>
          <w:color w:val="000000"/>
          <w:sz w:val="24"/>
          <w:szCs w:val="24"/>
        </w:rPr>
        <w:t xml:space="preserve">就采购项目和分包项目向采购人负责，分包供应商就分包项目承担责任。</w:t>
      </w:r>
      <w:r>
        <w:rPr>
          <w:rFonts w:ascii="宋体" w:hAnsi="宋体"/>
          <w:sz w:val="24"/>
          <w:szCs w:val="24"/>
        </w:rPr>
      </w:r>
      <w:r/>
    </w:p>
    <w:p>
      <w:pPr>
        <w:pStyle w:val="651"/>
        <w:ind w:firstLine="520"/>
        <w:spacing w:line="360" w:lineRule="auto"/>
        <w:rPr>
          <w:rFonts w:ascii="宋体" w:hAnsi="宋体"/>
          <w:b/>
          <w:sz w:val="24"/>
          <w:szCs w:val="24"/>
        </w:rPr>
      </w:pPr>
      <w:r>
        <w:rPr>
          <w:rFonts w:hint="eastAsia" w:ascii="宋体" w:hAnsi="宋体"/>
          <w:b/>
          <w:color w:val="000000"/>
          <w:sz w:val="24"/>
          <w:szCs w:val="24"/>
        </w:rPr>
        <w:t xml:space="preserve">二、有关事项约定如下：</w:t>
      </w:r>
      <w:r>
        <w:rPr>
          <w:rFonts w:ascii="宋体" w:hAnsi="宋体"/>
          <w:b/>
          <w:sz w:val="24"/>
          <w:szCs w:val="24"/>
        </w:rPr>
      </w:r>
      <w:r/>
    </w:p>
    <w:p>
      <w:pPr>
        <w:pStyle w:val="651"/>
        <w:ind w:left="60" w:right="1080" w:firstLine="460"/>
        <w:spacing w:before="83" w:line="360" w:lineRule="auto"/>
        <w:rPr>
          <w:rFonts w:ascii="宋体" w:hAnsi="宋体"/>
          <w:sz w:val="24"/>
          <w:szCs w:val="24"/>
        </w:rPr>
      </w:pPr>
      <w:r>
        <w:rPr>
          <w:rFonts w:hint="eastAsia" w:ascii="宋体" w:hAnsi="宋体"/>
          <w:color w:val="000000"/>
          <w:sz w:val="24"/>
          <w:szCs w:val="24"/>
        </w:rPr>
        <w:t xml:space="preserve">1．如中标，分包供应商分别与</w:t>
      </w:r>
      <w:r>
        <w:rPr>
          <w:rFonts w:hint="eastAsia" w:ascii="宋体" w:hAnsi="宋体"/>
          <w:color w:val="000000"/>
          <w:sz w:val="24"/>
          <w:szCs w:val="24"/>
          <w:u w:val="single"/>
        </w:rPr>
        <w:t xml:space="preserve">（甲公司全称）</w:t>
      </w:r>
      <w:r>
        <w:rPr>
          <w:rFonts w:hint="eastAsia" w:ascii="宋体" w:hAnsi="宋体"/>
          <w:color w:val="000000"/>
          <w:sz w:val="24"/>
          <w:szCs w:val="24"/>
        </w:rPr>
        <w:t xml:space="preserve">签订合同书，并就中标项目分包部分承担法律责任；</w:t>
      </w:r>
      <w:r>
        <w:rPr>
          <w:rFonts w:ascii="宋体" w:hAnsi="宋体"/>
          <w:sz w:val="24"/>
          <w:szCs w:val="24"/>
        </w:rPr>
      </w:r>
      <w:r/>
    </w:p>
    <w:p>
      <w:pPr>
        <w:pStyle w:val="651"/>
        <w:ind w:left="80" w:right="1160" w:firstLine="440"/>
        <w:spacing w:before="24" w:line="360" w:lineRule="auto"/>
        <w:rPr>
          <w:rFonts w:ascii="宋体" w:hAnsi="宋体"/>
          <w:sz w:val="24"/>
          <w:szCs w:val="24"/>
        </w:rPr>
      </w:pPr>
      <w:r>
        <w:rPr>
          <w:rFonts w:hint="eastAsia" w:ascii="宋体" w:hAnsi="宋体"/>
          <w:color w:val="000000"/>
          <w:sz w:val="24"/>
          <w:szCs w:val="24"/>
        </w:rPr>
        <w:t xml:space="preserve">2．分包意向供应商1</w:t>
      </w:r>
      <w:r>
        <w:rPr>
          <w:rFonts w:hint="eastAsia" w:ascii="宋体" w:hAnsi="宋体"/>
          <w:color w:val="000000"/>
          <w:sz w:val="24"/>
          <w:szCs w:val="24"/>
          <w:u w:val="single"/>
        </w:rPr>
        <w:t xml:space="preserve">（公司全称）为（请填写：大型、中型、小型、微型）企业</w:t>
      </w:r>
      <w:r>
        <w:rPr>
          <w:rFonts w:hint="eastAsia" w:ascii="宋体" w:hAnsi="宋体"/>
          <w:color w:val="000000"/>
          <w:sz w:val="24"/>
          <w:szCs w:val="24"/>
        </w:rPr>
        <w:t xml:space="preserve">，将承担适宜分包部分</w:t>
      </w:r>
      <w:r>
        <w:rPr>
          <w:rFonts w:hint="eastAsia" w:ascii="宋体" w:hAnsi="宋体"/>
          <w:color w:val="000000"/>
          <w:sz w:val="24"/>
          <w:szCs w:val="24"/>
          <w:u w:val="single"/>
        </w:rPr>
        <w:t xml:space="preserve">（具体分包内容）</w:t>
      </w:r>
      <w:r>
        <w:rPr>
          <w:rFonts w:hint="eastAsia" w:ascii="宋体" w:hAnsi="宋体"/>
          <w:color w:val="000000"/>
          <w:sz w:val="24"/>
          <w:szCs w:val="24"/>
        </w:rPr>
        <w:t xml:space="preserve">占合同总金额＿％的工作内容。</w:t>
      </w:r>
      <w:r>
        <w:rPr>
          <w:rFonts w:ascii="宋体" w:hAnsi="宋体"/>
          <w:sz w:val="24"/>
          <w:szCs w:val="24"/>
        </w:rPr>
      </w:r>
      <w:r/>
    </w:p>
    <w:p>
      <w:pPr>
        <w:pStyle w:val="651"/>
        <w:ind w:left="60" w:right="1120" w:firstLine="480"/>
        <w:spacing w:before="24" w:line="360" w:lineRule="auto"/>
        <w:rPr>
          <w:rFonts w:ascii="宋体" w:hAnsi="宋体"/>
          <w:sz w:val="24"/>
          <w:szCs w:val="24"/>
        </w:rPr>
      </w:pPr>
      <w:r>
        <w:rPr>
          <w:rFonts w:hint="eastAsia" w:ascii="宋体" w:hAnsi="宋体"/>
          <w:color w:val="000000"/>
          <w:sz w:val="24"/>
          <w:szCs w:val="24"/>
        </w:rPr>
        <w:t xml:space="preserve">3．分包意向供应商2</w:t>
      </w:r>
      <w:r>
        <w:rPr>
          <w:rFonts w:hint="eastAsia" w:ascii="宋体" w:hAnsi="宋体"/>
          <w:color w:val="000000"/>
          <w:sz w:val="24"/>
          <w:szCs w:val="24"/>
          <w:u w:val="single"/>
        </w:rPr>
        <w:t xml:space="preserve">（公司全称）为（请填写：大型、中型、小型、微型）企业</w:t>
      </w:r>
      <w:r>
        <w:rPr>
          <w:rFonts w:hint="eastAsia" w:ascii="宋体" w:hAnsi="宋体"/>
          <w:color w:val="000000"/>
          <w:sz w:val="24"/>
          <w:szCs w:val="24"/>
        </w:rPr>
        <w:t xml:space="preserve">，将承担适宜分包部分</w:t>
      </w:r>
      <w:r>
        <w:rPr>
          <w:rFonts w:hint="eastAsia" w:ascii="宋体" w:hAnsi="宋体"/>
          <w:color w:val="000000"/>
          <w:sz w:val="24"/>
          <w:szCs w:val="24"/>
          <w:u w:val="single"/>
        </w:rPr>
        <w:t xml:space="preserve">（具体分包内容）占</w:t>
      </w:r>
      <w:r>
        <w:rPr>
          <w:rFonts w:hint="eastAsia" w:ascii="宋体" w:hAnsi="宋体"/>
          <w:color w:val="000000"/>
          <w:sz w:val="24"/>
          <w:szCs w:val="24"/>
        </w:rPr>
        <w:t xml:space="preserve">合同总金额</w:t>
      </w:r>
      <w:r>
        <w:rPr>
          <w:rFonts w:hint="eastAsia" w:ascii="宋体" w:hAnsi="宋体"/>
          <w:color w:val="000000"/>
          <w:sz w:val="24"/>
          <w:szCs w:val="24"/>
          <w:u w:val="single"/>
        </w:rPr>
        <w:t xml:space="preserve">＿</w:t>
      </w:r>
      <w:r>
        <w:rPr>
          <w:rFonts w:hint="eastAsia" w:ascii="宋体" w:hAnsi="宋体"/>
          <w:color w:val="000000"/>
          <w:sz w:val="24"/>
          <w:szCs w:val="24"/>
        </w:rPr>
        <w:t xml:space="preserve">％的工作内容。</w:t>
      </w:r>
      <w:r>
        <w:rPr>
          <w:rFonts w:ascii="宋体" w:hAnsi="宋体"/>
          <w:sz w:val="24"/>
          <w:szCs w:val="24"/>
        </w:rPr>
      </w:r>
      <w:r/>
    </w:p>
    <w:p>
      <w:pPr>
        <w:pStyle w:val="651"/>
        <w:ind w:firstLine="520"/>
        <w:spacing w:line="360" w:lineRule="auto"/>
        <w:rPr>
          <w:rFonts w:ascii="宋体" w:hAnsi="宋体"/>
          <w:sz w:val="24"/>
          <w:szCs w:val="24"/>
        </w:rPr>
      </w:pPr>
      <w:r>
        <w:rPr>
          <w:rFonts w:hint="eastAsia" w:ascii="宋体" w:hAnsi="宋体"/>
          <w:color w:val="000000"/>
          <w:sz w:val="24"/>
          <w:szCs w:val="24"/>
        </w:rPr>
        <w:t xml:space="preserve">···</w:t>
      </w:r>
      <w:r>
        <w:rPr>
          <w:rFonts w:ascii="宋体" w:hAnsi="宋体"/>
          <w:sz w:val="24"/>
          <w:szCs w:val="24"/>
        </w:rPr>
      </w:r>
      <w:r/>
    </w:p>
    <w:p>
      <w:pPr>
        <w:pStyle w:val="651"/>
        <w:ind w:firstLine="500"/>
        <w:spacing w:before="34" w:line="360" w:lineRule="auto"/>
        <w:rPr>
          <w:rFonts w:ascii="宋体" w:hAnsi="宋体"/>
          <w:b/>
          <w:sz w:val="24"/>
          <w:szCs w:val="24"/>
        </w:rPr>
      </w:pPr>
      <w:r>
        <w:rPr>
          <w:rFonts w:hint="eastAsia" w:ascii="宋体" w:hAnsi="宋体"/>
          <w:b/>
          <w:color w:val="000000"/>
          <w:sz w:val="24"/>
          <w:szCs w:val="24"/>
        </w:rPr>
        <w:t xml:space="preserve">三、接受分包的企业与分包企业之间的关系：</w:t>
      </w:r>
      <w:r>
        <w:rPr>
          <w:rFonts w:ascii="宋体" w:hAnsi="宋体"/>
          <w:b/>
          <w:sz w:val="24"/>
          <w:szCs w:val="24"/>
        </w:rPr>
      </w:r>
      <w:r/>
    </w:p>
    <w:p>
      <w:pPr>
        <w:pStyle w:val="651"/>
        <w:ind w:left="40" w:right="1040" w:firstLine="480"/>
        <w:spacing w:before="4" w:line="360" w:lineRule="auto"/>
        <w:rPr>
          <w:rFonts w:ascii="宋体" w:hAnsi="宋体"/>
          <w:sz w:val="24"/>
          <w:szCs w:val="24"/>
        </w:rPr>
      </w:pPr>
      <w:r>
        <w:rPr>
          <w:rFonts w:hint="eastAsia" w:ascii="宋体" w:hAnsi="宋体"/>
          <w:color w:val="000000"/>
          <w:sz w:val="24"/>
          <w:szCs w:val="24"/>
        </w:rPr>
        <w:t xml:space="preserve">1．分包意向供应商1</w:t>
      </w:r>
      <w:r>
        <w:rPr>
          <w:rFonts w:hint="eastAsia" w:ascii="宋体" w:hAnsi="宋体"/>
          <w:color w:val="000000"/>
          <w:sz w:val="24"/>
          <w:szCs w:val="24"/>
          <w:u w:val="single"/>
        </w:rPr>
        <w:t xml:space="preserve">（公司全称）</w:t>
      </w:r>
      <w:r>
        <w:rPr>
          <w:rFonts w:hint="eastAsia" w:ascii="宋体" w:hAnsi="宋体"/>
          <w:color w:val="000000"/>
          <w:sz w:val="24"/>
          <w:szCs w:val="24"/>
        </w:rPr>
        <w:t xml:space="preserve">与分包企业之间</w:t>
      </w:r>
      <w:r>
        <w:rPr>
          <w:rFonts w:hint="eastAsia" w:ascii="宋体" w:hAnsi="宋体"/>
          <w:color w:val="000000"/>
          <w:sz w:val="24"/>
          <w:szCs w:val="24"/>
          <w:u w:val="single"/>
        </w:rPr>
        <w:t xml:space="preserve">（请填写：是否存在）</w:t>
      </w:r>
      <w:r>
        <w:rPr>
          <w:rFonts w:hint="eastAsia" w:ascii="宋体" w:hAnsi="宋体"/>
          <w:color w:val="000000"/>
          <w:sz w:val="24"/>
          <w:szCs w:val="24"/>
        </w:rPr>
        <w:t xml:space="preserve">直接控股、管理关系的情形。</w:t>
      </w:r>
      <w:r>
        <w:rPr>
          <w:rFonts w:ascii="宋体" w:hAnsi="宋体"/>
          <w:sz w:val="24"/>
          <w:szCs w:val="24"/>
        </w:rPr>
      </w:r>
      <w:r/>
    </w:p>
    <w:p>
      <w:pPr>
        <w:pStyle w:val="651"/>
        <w:ind w:left="40" w:right="1000" w:firstLine="460"/>
        <w:spacing w:before="44" w:line="360" w:lineRule="auto"/>
        <w:rPr>
          <w:rFonts w:ascii="宋体" w:hAnsi="宋体"/>
          <w:sz w:val="24"/>
          <w:szCs w:val="24"/>
        </w:rPr>
      </w:pPr>
      <w:r>
        <w:rPr>
          <w:rFonts w:hint="eastAsia" w:ascii="宋体" w:hAnsi="宋体"/>
          <w:color w:val="000000"/>
          <w:sz w:val="24"/>
          <w:szCs w:val="24"/>
        </w:rPr>
        <w:t xml:space="preserve">2．分包意向供应商2</w:t>
      </w:r>
      <w:r>
        <w:rPr>
          <w:rFonts w:hint="eastAsia" w:ascii="宋体" w:hAnsi="宋体"/>
          <w:color w:val="000000"/>
          <w:sz w:val="24"/>
          <w:szCs w:val="24"/>
          <w:u w:val="single"/>
        </w:rPr>
        <w:t xml:space="preserve">（公司全称）</w:t>
      </w:r>
      <w:r>
        <w:rPr>
          <w:rFonts w:hint="eastAsia" w:ascii="宋体" w:hAnsi="宋体"/>
          <w:color w:val="000000"/>
          <w:sz w:val="24"/>
          <w:szCs w:val="24"/>
        </w:rPr>
        <w:t xml:space="preserve">与分包企业之间</w:t>
      </w:r>
      <w:r>
        <w:rPr>
          <w:rFonts w:hint="eastAsia" w:ascii="宋体" w:hAnsi="宋体"/>
          <w:color w:val="000000"/>
          <w:sz w:val="24"/>
          <w:szCs w:val="24"/>
          <w:u w:val="single"/>
        </w:rPr>
        <w:t xml:space="preserve">（请填写：是否存在）</w:t>
      </w:r>
      <w:r>
        <w:rPr>
          <w:rFonts w:hint="eastAsia" w:ascii="宋体" w:hAnsi="宋体"/>
          <w:color w:val="000000"/>
          <w:sz w:val="24"/>
          <w:szCs w:val="24"/>
        </w:rPr>
        <w:t xml:space="preserve">直接控股、管理关系的情形。</w:t>
      </w:r>
      <w:r>
        <w:rPr>
          <w:rFonts w:ascii="宋体" w:hAnsi="宋体"/>
          <w:sz w:val="24"/>
          <w:szCs w:val="24"/>
        </w:rPr>
      </w:r>
      <w:r/>
    </w:p>
    <w:p>
      <w:pPr>
        <w:pStyle w:val="651"/>
        <w:ind w:firstLine="520"/>
        <w:spacing w:line="360" w:lineRule="auto"/>
        <w:rPr>
          <w:rFonts w:ascii="宋体" w:hAnsi="宋体"/>
          <w:sz w:val="24"/>
          <w:szCs w:val="24"/>
        </w:rPr>
      </w:pPr>
      <w:r>
        <w:rPr>
          <w:rFonts w:hint="eastAsia" w:ascii="宋体" w:hAnsi="宋体"/>
          <w:color w:val="000000"/>
          <w:sz w:val="24"/>
          <w:szCs w:val="24"/>
        </w:rPr>
        <w:t xml:space="preserve">...</w:t>
      </w:r>
      <w:r>
        <w:rPr>
          <w:rFonts w:ascii="宋体" w:hAnsi="宋体"/>
          <w:sz w:val="24"/>
          <w:szCs w:val="24"/>
        </w:rPr>
      </w:r>
      <w:r/>
    </w:p>
    <w:p>
      <w:pPr>
        <w:pStyle w:val="651"/>
        <w:ind w:left="20" w:right="880" w:firstLine="480"/>
        <w:spacing w:before="93" w:line="360" w:lineRule="auto"/>
        <w:rPr>
          <w:rFonts w:ascii="宋体" w:hAnsi="宋体"/>
          <w:sz w:val="24"/>
          <w:szCs w:val="24"/>
        </w:rPr>
      </w:pPr>
      <w:r>
        <w:rPr>
          <w:rFonts w:hint="eastAsia" w:ascii="宋体" w:hAnsi="宋体"/>
          <w:color w:val="000000"/>
          <w:sz w:val="24"/>
          <w:szCs w:val="24"/>
        </w:rPr>
        <w:t xml:space="preserve">四、如因违约过失责任而导致采购人经济损失或被索赔时，</w:t>
      </w:r>
      <w:r>
        <w:rPr>
          <w:rFonts w:hint="eastAsia" w:ascii="宋体" w:hAnsi="宋体"/>
          <w:color w:val="000000"/>
          <w:sz w:val="24"/>
          <w:szCs w:val="24"/>
          <w:u w:val="single"/>
        </w:rPr>
        <w:t xml:space="preserve">（甲公司全称）</w:t>
      </w:r>
      <w:r>
        <w:rPr>
          <w:rFonts w:hint="eastAsia" w:ascii="宋体" w:hAnsi="宋体"/>
          <w:color w:val="000000"/>
          <w:sz w:val="24"/>
          <w:szCs w:val="24"/>
        </w:rPr>
        <w:t xml:space="preserve">同意无条件优先清偿采购人的一切债务和经济赔偿。</w:t>
      </w:r>
      <w:r>
        <w:rPr>
          <w:rFonts w:ascii="宋体" w:hAnsi="宋体"/>
          <w:sz w:val="24"/>
          <w:szCs w:val="24"/>
        </w:rPr>
      </w:r>
      <w:r/>
    </w:p>
    <w:p>
      <w:pPr>
        <w:pStyle w:val="651"/>
        <w:ind w:firstLine="500"/>
        <w:spacing w:before="22" w:line="360" w:lineRule="auto"/>
        <w:rPr>
          <w:rFonts w:ascii="宋体" w:hAnsi="宋体"/>
          <w:sz w:val="24"/>
          <w:szCs w:val="24"/>
        </w:rPr>
      </w:pPr>
      <w:r>
        <w:rPr>
          <w:rFonts w:hint="eastAsia" w:ascii="宋体" w:hAnsi="宋体"/>
          <w:color w:val="000000"/>
          <w:sz w:val="24"/>
          <w:szCs w:val="24"/>
        </w:rPr>
        <w:t xml:space="preserve">五、如中标，分包意向供应商不得以任何理由提出终止本意向协议。</w:t>
      </w:r>
      <w:r>
        <w:rPr>
          <w:rFonts w:ascii="宋体" w:hAnsi="宋体"/>
          <w:sz w:val="24"/>
          <w:szCs w:val="24"/>
        </w:rPr>
      </w:r>
      <w:r/>
    </w:p>
    <w:p>
      <w:pPr>
        <w:pStyle w:val="651"/>
        <w:ind w:left="60" w:right="820" w:firstLine="460"/>
        <w:spacing w:before="64" w:line="360" w:lineRule="auto"/>
        <w:rPr>
          <w:rFonts w:ascii="宋体" w:hAnsi="宋体"/>
          <w:color w:val="000000"/>
          <w:sz w:val="24"/>
          <w:szCs w:val="24"/>
        </w:rPr>
      </w:pPr>
      <w:r>
        <w:rPr>
          <w:rFonts w:hint="eastAsia" w:ascii="宋体" w:hAnsi="宋体"/>
          <w:color w:val="000000"/>
          <w:sz w:val="24"/>
          <w:szCs w:val="24"/>
        </w:rPr>
        <w:t xml:space="preserve">六、本意向书在自签署之日起生效，有效期内有效，如获中标资格，有效期延续至合同履行完毕之日。</w:t>
      </w:r>
      <w:r>
        <w:rPr>
          <w:rFonts w:ascii="宋体" w:hAnsi="宋体"/>
          <w:color w:val="000000"/>
          <w:sz w:val="24"/>
          <w:szCs w:val="24"/>
        </w:rPr>
      </w:r>
      <w:r/>
    </w:p>
    <w:p>
      <w:pPr>
        <w:pStyle w:val="651"/>
        <w:spacing w:line="360" w:lineRule="auto"/>
        <w:rPr>
          <w:rFonts w:ascii="宋体" w:hAnsi="宋体"/>
          <w:color w:val="000000"/>
          <w:sz w:val="24"/>
          <w:szCs w:val="24"/>
        </w:rPr>
      </w:pPr>
      <w:r>
        <w:rPr>
          <w:rFonts w:ascii="宋体" w:hAnsi="宋体"/>
          <w:color w:val="000000"/>
          <w:sz w:val="24"/>
          <w:szCs w:val="24"/>
        </w:rPr>
      </w:r>
      <w:r/>
    </w:p>
    <w:p>
      <w:pPr>
        <w:pStyle w:val="651"/>
        <w:spacing w:line="360" w:lineRule="auto"/>
        <w:rPr>
          <w:rFonts w:ascii="宋体" w:hAnsi="宋体"/>
          <w:color w:val="000000"/>
          <w:sz w:val="24"/>
          <w:szCs w:val="24"/>
        </w:rPr>
      </w:pPr>
      <w:r>
        <w:rPr>
          <w:rFonts w:ascii="宋体" w:hAnsi="宋体"/>
          <w:color w:val="000000"/>
          <w:sz w:val="24"/>
          <w:szCs w:val="24"/>
        </w:rPr>
      </w:r>
      <w:r/>
    </w:p>
    <w:p>
      <w:pPr>
        <w:pStyle w:val="651"/>
        <w:ind w:firstLine="480"/>
        <w:spacing w:line="360" w:lineRule="auto"/>
        <w:rPr>
          <w:rFonts w:ascii="宋体" w:hAnsi="宋体"/>
          <w:sz w:val="24"/>
          <w:szCs w:val="24"/>
        </w:rPr>
      </w:pPr>
      <w:r>
        <w:rPr>
          <w:rFonts w:hint="eastAsia" w:ascii="宋体" w:hAnsi="宋体"/>
          <w:color w:val="000000"/>
          <w:sz w:val="24"/>
          <w:szCs w:val="24"/>
        </w:rPr>
        <w:t xml:space="preserve">甲公司全称：（盖章）</w:t>
      </w:r>
      <w:r>
        <w:rPr>
          <w:rFonts w:ascii="宋体" w:hAnsi="宋体"/>
          <w:sz w:val="24"/>
          <w:szCs w:val="24"/>
        </w:rPr>
      </w:r>
      <w:r/>
    </w:p>
    <w:p>
      <w:pPr>
        <w:pStyle w:val="651"/>
        <w:ind w:firstLine="480"/>
        <w:spacing w:line="360" w:lineRule="auto"/>
        <w:rPr>
          <w:rFonts w:ascii="宋体" w:hAnsi="宋体"/>
          <w:sz w:val="24"/>
          <w:szCs w:val="24"/>
        </w:rPr>
      </w:pPr>
      <w:r>
        <w:rPr>
          <w:rFonts w:hint="eastAsia" w:ascii="宋体" w:hAnsi="宋体"/>
          <w:color w:val="000000"/>
          <w:sz w:val="24"/>
          <w:szCs w:val="24"/>
        </w:rPr>
        <w:t xml:space="preserve">法定代表人（签字或盖章）</w:t>
      </w:r>
      <w:r>
        <w:rPr>
          <w:rFonts w:ascii="宋体" w:hAnsi="宋体"/>
          <w:sz w:val="24"/>
          <w:szCs w:val="24"/>
        </w:rPr>
      </w:r>
      <w:r/>
    </w:p>
    <w:p>
      <w:pPr>
        <w:pStyle w:val="651"/>
        <w:ind w:firstLine="1680"/>
        <w:spacing w:line="360" w:lineRule="auto"/>
        <w:rPr>
          <w:rFonts w:ascii="宋体" w:hAnsi="宋体"/>
          <w:sz w:val="24"/>
          <w:szCs w:val="24"/>
        </w:rPr>
      </w:pPr>
      <w:r>
        <w:rPr>
          <w:rFonts w:hint="eastAsia" w:ascii="宋体" w:hAnsi="宋体"/>
          <w:color w:val="000000"/>
          <w:sz w:val="24"/>
          <w:szCs w:val="24"/>
        </w:rPr>
        <w:t xml:space="preserve">年 月 日</w:t>
      </w:r>
      <w:r>
        <w:rPr>
          <w:rFonts w:ascii="宋体" w:hAnsi="宋体"/>
          <w:sz w:val="24"/>
          <w:szCs w:val="24"/>
        </w:rPr>
      </w:r>
      <w:r/>
    </w:p>
    <w:p>
      <w:pPr>
        <w:pStyle w:val="651"/>
        <w:spacing w:line="360" w:lineRule="auto"/>
        <w:rPr>
          <w:rFonts w:ascii="宋体" w:hAnsi="宋体"/>
          <w:color w:val="000000"/>
          <w:sz w:val="24"/>
          <w:szCs w:val="24"/>
        </w:rPr>
      </w:pPr>
      <w:r>
        <w:rPr>
          <w:rFonts w:ascii="宋体" w:hAnsi="宋体"/>
          <w:color w:val="000000"/>
          <w:sz w:val="24"/>
          <w:szCs w:val="24"/>
        </w:rPr>
      </w:r>
      <w:r/>
    </w:p>
    <w:p>
      <w:pPr>
        <w:pStyle w:val="651"/>
        <w:ind w:firstLine="480"/>
        <w:spacing w:line="360" w:lineRule="auto"/>
        <w:rPr>
          <w:rFonts w:ascii="宋体" w:hAnsi="宋体"/>
          <w:sz w:val="24"/>
          <w:szCs w:val="24"/>
        </w:rPr>
      </w:pPr>
      <w:r>
        <w:rPr>
          <w:rFonts w:hint="eastAsia" w:ascii="宋体" w:hAnsi="宋体"/>
          <w:color w:val="000000"/>
          <w:sz w:val="24"/>
          <w:szCs w:val="24"/>
        </w:rPr>
        <w:t xml:space="preserve">乙公司全称：（盖章）</w:t>
      </w:r>
      <w:r>
        <w:rPr>
          <w:rFonts w:ascii="宋体" w:hAnsi="宋体"/>
          <w:sz w:val="24"/>
          <w:szCs w:val="24"/>
        </w:rPr>
      </w:r>
      <w:r/>
    </w:p>
    <w:p>
      <w:pPr>
        <w:pStyle w:val="651"/>
        <w:ind w:firstLine="480"/>
        <w:spacing w:line="360" w:lineRule="auto"/>
        <w:rPr>
          <w:rFonts w:ascii="宋体" w:hAnsi="宋体"/>
          <w:sz w:val="24"/>
          <w:szCs w:val="24"/>
        </w:rPr>
      </w:pPr>
      <w:r>
        <w:rPr>
          <w:rFonts w:hint="eastAsia" w:ascii="宋体" w:hAnsi="宋体"/>
          <w:color w:val="000000"/>
          <w:sz w:val="24"/>
          <w:szCs w:val="24"/>
        </w:rPr>
        <w:t xml:space="preserve">法定代表人（签字或盖章）</w:t>
      </w:r>
      <w:r>
        <w:rPr>
          <w:rFonts w:ascii="宋体" w:hAnsi="宋体"/>
          <w:sz w:val="24"/>
          <w:szCs w:val="24"/>
        </w:rPr>
      </w:r>
      <w:r/>
    </w:p>
    <w:p>
      <w:pPr>
        <w:pStyle w:val="651"/>
        <w:ind w:firstLine="1680"/>
        <w:spacing w:line="360" w:lineRule="auto"/>
        <w:rPr>
          <w:rFonts w:ascii="宋体" w:hAnsi="宋体"/>
          <w:sz w:val="24"/>
          <w:szCs w:val="24"/>
        </w:rPr>
      </w:pPr>
      <w:r>
        <w:rPr>
          <w:rFonts w:hint="eastAsia" w:ascii="宋体" w:hAnsi="宋体"/>
          <w:color w:val="000000"/>
          <w:sz w:val="24"/>
          <w:szCs w:val="24"/>
        </w:rPr>
        <w:t xml:space="preserve">年 月 日</w:t>
      </w:r>
      <w:r>
        <w:rPr>
          <w:rFonts w:ascii="宋体" w:hAnsi="宋体"/>
          <w:sz w:val="24"/>
          <w:szCs w:val="24"/>
        </w:rPr>
      </w:r>
      <w:r/>
    </w:p>
    <w:p>
      <w:pPr>
        <w:pStyle w:val="651"/>
        <w:spacing w:line="360" w:lineRule="auto"/>
        <w:rPr>
          <w:rFonts w:ascii="宋体" w:hAnsi="宋体"/>
          <w:color w:val="000000"/>
          <w:sz w:val="24"/>
          <w:szCs w:val="24"/>
        </w:rPr>
      </w:pPr>
      <w:r>
        <w:rPr>
          <w:rFonts w:ascii="宋体" w:hAnsi="宋体"/>
          <w:color w:val="000000"/>
          <w:sz w:val="24"/>
          <w:szCs w:val="24"/>
        </w:rPr>
      </w:r>
      <w:r/>
    </w:p>
    <w:p>
      <w:pPr>
        <w:pStyle w:val="651"/>
        <w:ind w:firstLine="480"/>
        <w:spacing w:line="360" w:lineRule="auto"/>
        <w:rPr>
          <w:rFonts w:ascii="宋体" w:hAnsi="宋体"/>
          <w:sz w:val="24"/>
          <w:szCs w:val="24"/>
        </w:rPr>
      </w:pPr>
      <w:r>
        <w:rPr>
          <w:rFonts w:hint="eastAsia" w:ascii="宋体" w:hAnsi="宋体"/>
          <w:color w:val="000000"/>
          <w:sz w:val="24"/>
          <w:szCs w:val="24"/>
        </w:rPr>
        <w:t xml:space="preserve">······公司全称（盖章）</w:t>
      </w:r>
      <w:r>
        <w:rPr>
          <w:rFonts w:ascii="宋体" w:hAnsi="宋体"/>
          <w:sz w:val="24"/>
          <w:szCs w:val="24"/>
        </w:rPr>
      </w:r>
      <w:r/>
    </w:p>
    <w:p>
      <w:pPr>
        <w:pStyle w:val="651"/>
        <w:ind w:firstLine="480"/>
        <w:spacing w:before="14" w:line="360" w:lineRule="auto"/>
        <w:rPr>
          <w:rFonts w:ascii="宋体" w:hAnsi="宋体"/>
          <w:sz w:val="24"/>
          <w:szCs w:val="24"/>
        </w:rPr>
      </w:pPr>
      <w:r>
        <w:rPr>
          <w:rFonts w:hint="eastAsia" w:ascii="宋体" w:hAnsi="宋体"/>
          <w:color w:val="000000"/>
          <w:sz w:val="24"/>
          <w:szCs w:val="24"/>
        </w:rPr>
        <w:t xml:space="preserve">法定代表人：（签字或盖章）</w:t>
      </w:r>
      <w:r>
        <w:rPr>
          <w:rFonts w:ascii="宋体" w:hAnsi="宋体"/>
          <w:sz w:val="24"/>
          <w:szCs w:val="24"/>
        </w:rPr>
      </w:r>
      <w:r/>
    </w:p>
    <w:p>
      <w:pPr>
        <w:pStyle w:val="651"/>
        <w:ind w:firstLine="1920"/>
        <w:spacing w:before="12" w:line="360" w:lineRule="auto"/>
        <w:rPr>
          <w:rFonts w:ascii="宋体" w:hAnsi="宋体"/>
          <w:sz w:val="24"/>
          <w:szCs w:val="24"/>
        </w:rPr>
      </w:pPr>
      <w:r>
        <w:rPr>
          <w:rFonts w:hint="eastAsia" w:ascii="宋体" w:hAnsi="宋体"/>
          <w:color w:val="000000"/>
          <w:sz w:val="24"/>
          <w:szCs w:val="24"/>
        </w:rPr>
        <w:t xml:space="preserve">年 月 日</w:t>
      </w:r>
      <w:r>
        <w:rPr>
          <w:rFonts w:ascii="宋体" w:hAnsi="宋体"/>
          <w:sz w:val="24"/>
          <w:szCs w:val="24"/>
        </w:rPr>
      </w:r>
      <w:r/>
    </w:p>
    <w:p>
      <w:pPr>
        <w:pStyle w:val="651"/>
        <w:spacing w:line="360" w:lineRule="auto"/>
        <w:rPr>
          <w:rFonts w:ascii="宋体" w:hAnsi="宋体"/>
          <w:color w:val="000000"/>
          <w:sz w:val="24"/>
          <w:szCs w:val="24"/>
        </w:rPr>
      </w:pPr>
      <w:r>
        <w:rPr>
          <w:rFonts w:ascii="宋体" w:hAnsi="宋体"/>
          <w:color w:val="000000"/>
          <w:sz w:val="24"/>
          <w:szCs w:val="24"/>
        </w:rPr>
      </w:r>
      <w:r/>
    </w:p>
    <w:p>
      <w:pPr>
        <w:pStyle w:val="651"/>
        <w:spacing w:line="360" w:lineRule="auto"/>
        <w:rPr>
          <w:rFonts w:ascii="宋体" w:hAnsi="宋体"/>
          <w:color w:val="000000"/>
          <w:sz w:val="24"/>
          <w:szCs w:val="24"/>
        </w:rPr>
      </w:pPr>
      <w:r>
        <w:rPr>
          <w:rFonts w:ascii="宋体" w:hAnsi="宋体"/>
          <w:color w:val="000000"/>
          <w:sz w:val="24"/>
          <w:szCs w:val="24"/>
        </w:rPr>
      </w:r>
      <w:r/>
    </w:p>
    <w:p>
      <w:pPr>
        <w:pStyle w:val="651"/>
        <w:ind w:firstLine="20"/>
        <w:spacing w:line="360" w:lineRule="auto"/>
        <w:rPr>
          <w:rFonts w:ascii="宋体" w:hAnsi="宋体"/>
          <w:b/>
          <w:color w:val="000000"/>
          <w:sz w:val="24"/>
          <w:szCs w:val="24"/>
        </w:rPr>
      </w:pPr>
      <w:r>
        <w:rPr>
          <w:rFonts w:hint="eastAsia" w:ascii="宋体" w:hAnsi="宋体"/>
          <w:b/>
          <w:color w:val="000000"/>
          <w:sz w:val="24"/>
          <w:szCs w:val="24"/>
        </w:rPr>
        <w:t xml:space="preserve">注：</w:t>
      </w:r>
      <w:r>
        <w:rPr>
          <w:rFonts w:ascii="宋体" w:hAnsi="宋体"/>
          <w:b/>
          <w:color w:val="000000"/>
          <w:sz w:val="24"/>
          <w:szCs w:val="24"/>
        </w:rPr>
      </w:r>
      <w:r/>
    </w:p>
    <w:p>
      <w:pPr>
        <w:pStyle w:val="651"/>
        <w:ind w:firstLine="494"/>
        <w:spacing w:line="360" w:lineRule="auto"/>
        <w:rPr>
          <w:rFonts w:ascii="宋体" w:hAnsi="宋体"/>
          <w:b/>
          <w:color w:val="000000"/>
          <w:sz w:val="24"/>
          <w:szCs w:val="24"/>
        </w:rPr>
      </w:pPr>
      <w:r>
        <w:rPr>
          <w:rFonts w:hint="eastAsia" w:ascii="宋体" w:hAnsi="宋体"/>
          <w:b/>
          <w:color w:val="000000"/>
          <w:sz w:val="24"/>
          <w:szCs w:val="24"/>
        </w:rPr>
        <w:t xml:space="preserve">1.各方成员应在本意向书上共同盖章确认。</w:t>
      </w:r>
      <w:r>
        <w:rPr>
          <w:rFonts w:ascii="宋体" w:hAnsi="宋体"/>
          <w:b/>
          <w:color w:val="000000"/>
          <w:sz w:val="24"/>
          <w:szCs w:val="24"/>
        </w:rPr>
      </w:r>
      <w:r/>
    </w:p>
    <w:p>
      <w:pPr>
        <w:pStyle w:val="651"/>
        <w:ind w:firstLine="494"/>
        <w:spacing w:line="360" w:lineRule="auto"/>
        <w:rPr>
          <w:rFonts w:ascii="宋体" w:hAnsi="宋体"/>
          <w:b/>
          <w:color w:val="000000"/>
          <w:sz w:val="24"/>
          <w:szCs w:val="24"/>
        </w:rPr>
      </w:pPr>
      <w:r>
        <w:rPr>
          <w:rFonts w:hint="eastAsia" w:ascii="宋体" w:hAnsi="宋体"/>
          <w:b/>
          <w:color w:val="000000"/>
          <w:sz w:val="24"/>
          <w:szCs w:val="24"/>
        </w:rPr>
        <w:t xml:space="preserve">2.本意向书内容将作为签订合同的附件之一。</w:t>
      </w:r>
      <w:r>
        <w:rPr>
          <w:rFonts w:ascii="宋体" w:hAnsi="宋体"/>
          <w:b/>
          <w:color w:val="000000"/>
          <w:sz w:val="24"/>
          <w:szCs w:val="24"/>
        </w:rPr>
      </w:r>
      <w:r/>
    </w:p>
    <w:p>
      <w:pPr>
        <w:pStyle w:val="651"/>
        <w:ind w:firstLine="482"/>
        <w:spacing w:line="360" w:lineRule="auto"/>
        <w:rPr>
          <w:rFonts w:ascii="宋体" w:hAnsi="宋体"/>
          <w:b/>
          <w:sz w:val="24"/>
          <w:szCs w:val="24"/>
        </w:rPr>
      </w:pPr>
      <w:r>
        <w:rPr>
          <w:rFonts w:hint="eastAsia" w:ascii="宋体" w:hAnsi="宋体"/>
          <w:b/>
          <w:color w:val="000000"/>
          <w:sz w:val="24"/>
          <w:szCs w:val="24"/>
        </w:rPr>
        <w:t xml:space="preserve">3.按照第一章 投标邀请 资格条件：</w:t>
      </w:r>
      <w:r>
        <w:rPr>
          <w:rFonts w:hint="eastAsia" w:ascii="宋体" w:hAnsi="宋体"/>
          <w:b/>
          <w:sz w:val="24"/>
          <w:szCs w:val="24"/>
        </w:rPr>
        <w:t xml:space="preserve">（二）落实政府采购政策需满足的资格要求，提供对应的《中小企业声明函》等证明材料。</w:t>
      </w:r>
      <w:r>
        <w:rPr>
          <w:rFonts w:ascii="宋体" w:hAnsi="宋体"/>
          <w:b/>
          <w:sz w:val="24"/>
          <w:szCs w:val="24"/>
        </w:rPr>
      </w:r>
      <w:r/>
    </w:p>
    <w:p>
      <w:pPr>
        <w:pStyle w:val="651"/>
        <w:ind w:firstLine="482"/>
        <w:spacing w:line="360" w:lineRule="auto"/>
        <w:rPr>
          <w:rFonts w:ascii="宋体" w:hAnsi="宋体"/>
          <w:b/>
          <w:sz w:val="24"/>
          <w:szCs w:val="24"/>
        </w:rPr>
      </w:pPr>
      <w:r>
        <w:rPr>
          <w:rFonts w:hint="eastAsia" w:ascii="宋体" w:hAnsi="宋体"/>
          <w:b/>
          <w:sz w:val="24"/>
          <w:szCs w:val="24"/>
        </w:rPr>
        <w:t xml:space="preserve">4.适宜分包部分详见十四、投标分项报价表。</w:t>
      </w:r>
      <w:r>
        <w:rPr>
          <w:rFonts w:ascii="宋体" w:hAnsi="宋体"/>
          <w:b/>
          <w:sz w:val="24"/>
          <w:szCs w:val="24"/>
        </w:rPr>
      </w:r>
      <w:r/>
    </w:p>
    <w:p>
      <w:pPr>
        <w:pStyle w:val="651"/>
        <w:ind w:firstLine="482"/>
        <w:spacing w:line="360" w:lineRule="auto"/>
        <w:rPr>
          <w:rFonts w:ascii="宋体" w:hAnsi="宋体"/>
          <w:b/>
          <w:bCs/>
          <w:sz w:val="24"/>
          <w:szCs w:val="24"/>
        </w:rPr>
      </w:pPr>
      <w:r>
        <w:rPr>
          <w:rFonts w:hint="eastAsia" w:ascii="宋体" w:hAnsi="宋体"/>
          <w:b/>
          <w:sz w:val="24"/>
          <w:szCs w:val="24"/>
        </w:rPr>
        <w:t xml:space="preserve">5.分包协议中所填写的比例如与投标分项报价表中经计算得出的比例不一致，投标人将承担一切不利后果。</w:t>
      </w:r>
      <w:r>
        <w:rPr>
          <w:rFonts w:ascii="宋体" w:hAnsi="宋体"/>
          <w:b/>
          <w:bCs/>
          <w:sz w:val="24"/>
          <w:szCs w:val="24"/>
        </w:rPr>
      </w:r>
      <w:r/>
    </w:p>
    <w:p>
      <w:pPr>
        <w:pStyle w:val="651"/>
      </w:pPr>
      <w:r/>
      <w:r/>
    </w:p>
    <w:p>
      <w:pPr>
        <w:pStyle w:val="651"/>
        <w:jc w:val="left"/>
        <w:keepLines/>
        <w:keepNext/>
        <w:spacing w:before="360" w:after="200" w:line="360" w:lineRule="auto"/>
        <w:rPr>
          <w:rFonts w:ascii="Arial" w:hAnsi="Arial" w:cs="Arial"/>
          <w:sz w:val="36"/>
        </w:rPr>
        <w:outlineLvl w:val="1"/>
      </w:pPr>
      <w:r>
        <w:rPr>
          <w:rFonts w:hint="eastAsia" w:ascii="Arial" w:hAnsi="Arial" w:cs="Arial"/>
          <w:sz w:val="36"/>
        </w:rPr>
        <w:t xml:space="preserve">十四、联合体协议（参考格式）（分包号：**）</w:t>
      </w:r>
      <w:r>
        <w:rPr>
          <w:rFonts w:ascii="Arial" w:hAnsi="Arial" w:cs="Arial"/>
          <w:sz w:val="36"/>
        </w:rPr>
      </w:r>
      <w:r/>
    </w:p>
    <w:p>
      <w:pPr>
        <w:pStyle w:val="651"/>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651"/>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651"/>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651"/>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651"/>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651"/>
        <w:ind w:firstLine="480"/>
        <w:spacing w:line="500" w:lineRule="exact"/>
        <w:rPr>
          <w:rFonts w:ascii="宋体" w:hAnsi="宋体"/>
          <w:color w:val="000000"/>
          <w:sz w:val="24"/>
          <w:szCs w:val="21"/>
        </w:rPr>
      </w:pPr>
      <w:r>
        <w:rPr>
          <w:rFonts w:ascii="宋体" w:hAnsi="宋体"/>
          <w:color w:val="000000"/>
          <w:sz w:val="24"/>
          <w:szCs w:val="21"/>
        </w:rPr>
      </w:r>
      <w:r/>
    </w:p>
    <w:p>
      <w:pPr>
        <w:pStyle w:val="651"/>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651"/>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p>
    <w:p>
      <w:pPr>
        <w:pStyle w:val="651"/>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651"/>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651"/>
        <w:ind w:firstLine="480"/>
        <w:spacing w:line="360" w:lineRule="auto"/>
        <w:rPr>
          <w:rFonts w:ascii="宋体" w:hAnsi="宋体"/>
          <w:sz w:val="24"/>
          <w:szCs w:val="24"/>
        </w:rPr>
      </w:pPr>
      <w:r>
        <w:rPr>
          <w:rFonts w:ascii="宋体" w:hAnsi="宋体"/>
          <w:sz w:val="24"/>
          <w:szCs w:val="24"/>
        </w:rPr>
      </w:r>
      <w:r/>
    </w:p>
    <w:p>
      <w:pPr>
        <w:pStyle w:val="651"/>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p>
    <w:p>
      <w:pPr>
        <w:pStyle w:val="651"/>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651"/>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651"/>
        <w:ind w:firstLine="480"/>
        <w:spacing w:line="360" w:lineRule="auto"/>
        <w:rPr>
          <w:rFonts w:ascii="宋体" w:hAnsi="宋体"/>
          <w:sz w:val="24"/>
          <w:szCs w:val="24"/>
        </w:rPr>
      </w:pPr>
      <w:r>
        <w:rPr>
          <w:rFonts w:ascii="宋体" w:hAnsi="宋体"/>
          <w:sz w:val="24"/>
          <w:szCs w:val="24"/>
        </w:rPr>
      </w:r>
      <w:r/>
    </w:p>
    <w:p>
      <w:pPr>
        <w:pStyle w:val="651"/>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51"/>
        <w:ind w:firstLine="480"/>
        <w:spacing w:line="500" w:lineRule="exact"/>
        <w:rPr>
          <w:rFonts w:ascii="宋体" w:hAnsi="宋体"/>
          <w:sz w:val="24"/>
          <w:szCs w:val="24"/>
        </w:rPr>
      </w:pPr>
      <w:r>
        <w:rPr>
          <w:rFonts w:ascii="宋体" w:hAnsi="宋体"/>
          <w:sz w:val="24"/>
          <w:szCs w:val="24"/>
        </w:rPr>
      </w:r>
      <w:r/>
    </w:p>
    <w:p>
      <w:pPr>
        <w:pStyle w:val="651"/>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65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十五、投标分项报价表（分包号：**）</w:t>
      </w:r>
      <w:r>
        <w:rPr>
          <w:rFonts w:ascii="Arial" w:hAnsi="Arial" w:cs="Arial"/>
          <w:i/>
          <w:iCs/>
          <w:sz w:val="36"/>
          <w:u w:val="single"/>
        </w:rPr>
      </w:r>
      <w:r/>
    </w:p>
    <w:p>
      <w:pPr>
        <w:pStyle w:val="65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651"/>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pStyle w:val="651"/>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651"/>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651"/>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651"/>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651"/>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651"/>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651"/>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651"/>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651"/>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651"/>
              <w:jc w:val="center"/>
              <w:spacing w:line="560" w:lineRule="exact"/>
              <w:rPr>
                <w:rFonts w:ascii="宋体" w:hAnsi="宋体"/>
                <w:color w:val="000000"/>
                <w:sz w:val="24"/>
              </w:rPr>
            </w:pPr>
            <w:r>
              <w:rPr>
                <w:rFonts w:ascii="宋体" w:hAnsi="宋体"/>
                <w:color w:val="000000"/>
                <w:sz w:val="24"/>
              </w:rPr>
            </w:r>
            <w:r/>
          </w:p>
        </w:tc>
      </w:tr>
    </w:tbl>
    <w:p>
      <w:pPr>
        <w:pStyle w:val="651"/>
        <w:ind w:firstLine="420"/>
        <w:spacing w:line="360" w:lineRule="auto"/>
        <w:rPr>
          <w:color w:val="000000"/>
          <w:szCs w:val="24"/>
        </w:rPr>
      </w:pPr>
      <w:r>
        <w:rPr>
          <w:color w:val="000000"/>
          <w:szCs w:val="24"/>
        </w:rPr>
      </w:r>
      <w:r/>
    </w:p>
    <w:p>
      <w:pPr>
        <w:pStyle w:val="651"/>
        <w:ind w:firstLine="420"/>
        <w:spacing w:line="360" w:lineRule="auto"/>
        <w:rPr>
          <w:color w:val="000000"/>
          <w:szCs w:val="24"/>
        </w:rPr>
      </w:pPr>
      <w:r>
        <w:rPr>
          <w:rFonts w:hint="eastAsia"/>
          <w:color w:val="000000"/>
          <w:szCs w:val="24"/>
        </w:rPr>
        <w:t xml:space="preserve">投标人（盖章）：</w:t>
      </w:r>
      <w:r>
        <w:rPr>
          <w:color w:val="000000"/>
          <w:szCs w:val="24"/>
        </w:rPr>
      </w:r>
      <w:r/>
    </w:p>
    <w:p>
      <w:pPr>
        <w:pStyle w:val="651"/>
        <w:ind w:firstLine="420"/>
        <w:spacing w:line="360" w:lineRule="auto"/>
        <w:rPr>
          <w:color w:val="000000"/>
          <w:szCs w:val="24"/>
        </w:rPr>
      </w:pPr>
      <w:r>
        <w:rPr>
          <w:rFonts w:hint="eastAsia"/>
          <w:color w:val="000000"/>
          <w:szCs w:val="24"/>
        </w:rPr>
        <w:t xml:space="preserve">法定代表人</w:t>
      </w:r>
      <w:r>
        <w:rPr>
          <w:color w:val="000000"/>
          <w:szCs w:val="24"/>
        </w:rPr>
        <w:t xml:space="preserve">（单位负责人）</w:t>
      </w:r>
      <w:r>
        <w:rPr>
          <w:rFonts w:hint="eastAsia"/>
          <w:color w:val="000000"/>
          <w:szCs w:val="24"/>
        </w:rPr>
        <w:t xml:space="preserve">或委托代理人（签字或盖章）：</w:t>
      </w:r>
      <w:r>
        <w:rPr>
          <w:color w:val="000000"/>
          <w:szCs w:val="24"/>
        </w:rPr>
      </w:r>
      <w:r/>
    </w:p>
    <w:p>
      <w:pPr>
        <w:pStyle w:val="651"/>
        <w:ind w:firstLine="420"/>
        <w:spacing w:line="360" w:lineRule="auto"/>
        <w:rPr>
          <w:rFonts w:ascii="宋体" w:hAnsi="宋体"/>
          <w:color w:val="000000"/>
          <w:szCs w:val="24"/>
        </w:rPr>
      </w:pPr>
      <w:r>
        <w:rPr>
          <w:rFonts w:hint="eastAsia"/>
          <w:color w:val="000000"/>
          <w:szCs w:val="24"/>
        </w:rPr>
        <w:t xml:space="preserve">日期：    年     月     日</w:t>
      </w:r>
      <w:r>
        <w:rPr>
          <w:rFonts w:ascii="宋体" w:hAnsi="宋体"/>
          <w:color w:val="000000"/>
          <w:szCs w:val="24"/>
        </w:rPr>
      </w:r>
      <w:r/>
    </w:p>
    <w:p>
      <w:pPr>
        <w:pStyle w:val="651"/>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651"/>
      </w:pPr>
      <w:r/>
      <w:r/>
    </w:p>
    <w:p>
      <w:pPr>
        <w:pStyle w:val="651"/>
      </w:pPr>
      <w:r/>
      <w:r/>
    </w:p>
    <w:p>
      <w:pPr>
        <w:pStyle w:val="651"/>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rPr>
          <w:rFonts w:ascii="Arial" w:hAnsi="Arial" w:cs="Arial"/>
          <w:i/>
          <w:iCs/>
          <w:sz w:val="36"/>
          <w:u w:val="single"/>
        </w:rPr>
      </w:r>
      <w:r/>
    </w:p>
    <w:p>
      <w:pPr>
        <w:pStyle w:val="65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651"/>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bl>
    <w:p>
      <w:pPr>
        <w:pStyle w:val="651"/>
        <w:ind w:firstLine="480"/>
        <w:spacing w:line="500" w:lineRule="exact"/>
        <w:rPr>
          <w:rFonts w:ascii="宋体" w:hAnsi="宋体"/>
          <w:color w:val="000000"/>
          <w:sz w:val="24"/>
          <w:szCs w:val="24"/>
        </w:rPr>
      </w:pPr>
      <w:r>
        <w:rPr>
          <w:rFonts w:ascii="宋体" w:hAnsi="宋体"/>
          <w:color w:val="000000"/>
          <w:sz w:val="24"/>
          <w:szCs w:val="24"/>
        </w:rPr>
      </w:r>
      <w:r/>
    </w:p>
    <w:p>
      <w:pPr>
        <w:pStyle w:val="651"/>
        <w:ind w:firstLine="480"/>
        <w:spacing w:line="500" w:lineRule="exact"/>
        <w:rPr>
          <w:rFonts w:ascii="宋体" w:hAnsi="宋体"/>
          <w:color w:val="000000"/>
          <w:sz w:val="24"/>
          <w:szCs w:val="24"/>
        </w:rPr>
      </w:pPr>
      <w:r>
        <w:rPr>
          <w:rFonts w:ascii="宋体" w:hAnsi="宋体"/>
          <w:color w:val="000000"/>
          <w:sz w:val="24"/>
          <w:szCs w:val="24"/>
        </w:rPr>
      </w:r>
      <w:r/>
    </w:p>
    <w:p>
      <w:pPr>
        <w:pStyle w:val="651"/>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651"/>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51"/>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51"/>
      </w:pPr>
      <w:r/>
      <w:r/>
    </w:p>
    <w:p>
      <w:pPr>
        <w:pStyle w:val="651"/>
      </w:pPr>
      <w:r/>
      <w:r/>
    </w:p>
    <w:p>
      <w:pPr>
        <w:pStyle w:val="651"/>
        <w:jc w:val="left"/>
        <w:keepLines/>
        <w:keepNext/>
        <w:spacing w:before="360" w:after="200" w:line="360" w:lineRule="auto"/>
        <w:rPr>
          <w:rFonts w:ascii="Arial" w:hAnsi="Arial" w:cs="Arial"/>
          <w:i/>
          <w:iCs/>
          <w:sz w:val="36"/>
          <w:u w:val="single"/>
        </w:rPr>
        <w:outlineLvl w:val="1"/>
      </w:pPr>
      <w:r/>
      <w:bookmarkStart w:id="119" w:name="_Hlt26955054"/>
      <w:r/>
      <w:bookmarkEnd w:id="119"/>
      <w:r>
        <w:rPr>
          <w:rFonts w:hint="eastAsia" w:ascii="Arial" w:hAnsi="Arial" w:cs="Arial"/>
          <w:i/>
          <w:iCs/>
          <w:sz w:val="36"/>
          <w:u w:val="single"/>
        </w:rPr>
        <w:t xml:space="preserve">十七、商务要求响应及偏离表（分包号：**）</w:t>
      </w:r>
      <w:r>
        <w:rPr>
          <w:rFonts w:ascii="Arial" w:hAnsi="Arial" w:cs="Arial"/>
          <w:i/>
          <w:iCs/>
          <w:sz w:val="36"/>
          <w:u w:val="single"/>
        </w:rPr>
      </w:r>
      <w:r/>
    </w:p>
    <w:p>
      <w:pPr>
        <w:pStyle w:val="65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651"/>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651"/>
              <w:jc w:val="center"/>
              <w:rPr>
                <w:rFonts w:ascii="宋体" w:hAnsi="宋体"/>
                <w:color w:val="000000"/>
                <w:sz w:val="24"/>
                <w:szCs w:val="24"/>
              </w:rPr>
            </w:pPr>
            <w:r/>
            <w:bookmarkStart w:id="120" w:name="_Hlt26955064"/>
            <w:r/>
            <w:bookmarkEnd w:id="120"/>
            <w:r/>
            <w:bookmarkStart w:id="121" w:name="_Hlt26671343"/>
            <w:r/>
            <w:bookmarkEnd w:id="121"/>
            <w:r/>
            <w:bookmarkStart w:id="122" w:name="_Hlt26609391"/>
            <w:r/>
            <w:bookmarkEnd w:id="122"/>
            <w:r/>
            <w:bookmarkStart w:id="123" w:name="_Hlt26580838"/>
            <w:r/>
            <w:bookmarkEnd w:id="123"/>
            <w:r/>
            <w:bookmarkStart w:id="124" w:name="_Hlt26955056"/>
            <w:r/>
            <w:bookmarkEnd w:id="124"/>
            <w:r/>
            <w:bookmarkStart w:id="125" w:name="_Hlt24879081"/>
            <w:r/>
            <w:bookmarkEnd w:id="125"/>
            <w:r/>
            <w:bookmarkStart w:id="126" w:name="_Hlt26671372"/>
            <w:r/>
            <w:bookmarkEnd w:id="126"/>
            <w:r/>
            <w:bookmarkStart w:id="127" w:name="_Hlt26782999"/>
            <w:r/>
            <w:bookmarkEnd w:id="127"/>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bl>
    <w:p>
      <w:pPr>
        <w:pStyle w:val="651"/>
        <w:ind w:firstLine="480"/>
        <w:spacing w:line="500" w:lineRule="exact"/>
        <w:rPr>
          <w:rFonts w:ascii="宋体" w:hAnsi="宋体"/>
          <w:color w:val="000000"/>
          <w:sz w:val="24"/>
          <w:szCs w:val="24"/>
        </w:rPr>
      </w:pPr>
      <w:r>
        <w:rPr>
          <w:rFonts w:ascii="宋体" w:hAnsi="宋体"/>
          <w:color w:val="000000"/>
          <w:sz w:val="24"/>
          <w:szCs w:val="24"/>
        </w:rPr>
      </w:r>
      <w:r/>
    </w:p>
    <w:p>
      <w:pPr>
        <w:pStyle w:val="651"/>
        <w:ind w:firstLine="480"/>
        <w:spacing w:line="500" w:lineRule="exact"/>
        <w:rPr>
          <w:rFonts w:ascii="宋体" w:hAnsi="宋体"/>
          <w:color w:val="000000"/>
          <w:sz w:val="24"/>
          <w:szCs w:val="24"/>
        </w:rPr>
      </w:pPr>
      <w:r>
        <w:rPr>
          <w:rFonts w:ascii="宋体" w:hAnsi="宋体"/>
          <w:color w:val="000000"/>
          <w:sz w:val="24"/>
          <w:szCs w:val="24"/>
        </w:rPr>
      </w:r>
      <w:r/>
    </w:p>
    <w:p>
      <w:pPr>
        <w:pStyle w:val="651"/>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651"/>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51"/>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51"/>
      </w:pPr>
      <w:r/>
      <w:bookmarkStart w:id="128" w:name="_Hlt26955066"/>
      <w:r/>
      <w:bookmarkEnd w:id="128"/>
      <w:r/>
      <w:bookmarkStart w:id="129" w:name="_格式2__法定代表人授权书"/>
      <w:r/>
      <w:bookmarkEnd w:id="129"/>
      <w:r/>
      <w:bookmarkStart w:id="130" w:name="_Hlt26671374"/>
      <w:r/>
      <w:bookmarkEnd w:id="130"/>
      <w:r/>
      <w:bookmarkStart w:id="131" w:name="_Hlt26609389"/>
      <w:r/>
      <w:bookmarkEnd w:id="131"/>
      <w:r/>
      <w:r/>
    </w:p>
    <w:p>
      <w:pPr>
        <w:pStyle w:val="651"/>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rPr>
          <w:rFonts w:ascii="Arial" w:hAnsi="Arial" w:cs="Arial"/>
          <w:iCs/>
          <w:sz w:val="36"/>
        </w:rPr>
      </w:r>
      <w:r/>
    </w:p>
    <w:p>
      <w:pPr>
        <w:pStyle w:val="65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651"/>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bl>
    <w:p>
      <w:pPr>
        <w:pStyle w:val="651"/>
        <w:ind w:firstLine="480"/>
        <w:spacing w:line="500" w:lineRule="exact"/>
        <w:rPr>
          <w:rFonts w:ascii="宋体" w:hAnsi="宋体"/>
          <w:color w:val="000000"/>
          <w:sz w:val="24"/>
          <w:szCs w:val="24"/>
        </w:rPr>
      </w:pPr>
      <w:r>
        <w:rPr>
          <w:rFonts w:ascii="宋体" w:hAnsi="宋体"/>
          <w:color w:val="000000"/>
          <w:sz w:val="24"/>
          <w:szCs w:val="24"/>
        </w:rPr>
      </w:r>
      <w:r/>
    </w:p>
    <w:p>
      <w:pPr>
        <w:pStyle w:val="651"/>
        <w:ind w:firstLine="480"/>
        <w:spacing w:line="500" w:lineRule="exact"/>
        <w:rPr>
          <w:rFonts w:ascii="宋体" w:hAnsi="宋体"/>
          <w:color w:val="000000"/>
          <w:sz w:val="24"/>
          <w:szCs w:val="24"/>
        </w:rPr>
      </w:pPr>
      <w:r>
        <w:rPr>
          <w:rFonts w:ascii="宋体" w:hAnsi="宋体"/>
          <w:color w:val="000000"/>
          <w:sz w:val="24"/>
          <w:szCs w:val="24"/>
        </w:rPr>
      </w:r>
      <w:r/>
    </w:p>
    <w:p>
      <w:pPr>
        <w:pStyle w:val="651"/>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651"/>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51"/>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51"/>
      </w:pPr>
      <w:r/>
      <w:r/>
    </w:p>
    <w:p>
      <w:pPr>
        <w:pStyle w:val="651"/>
      </w:pPr>
      <w:r/>
      <w:r/>
    </w:p>
    <w:p>
      <w:pPr>
        <w:pStyle w:val="651"/>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十九、项目团队人员一览表（分包号：**）</w:t>
      </w:r>
      <w:r>
        <w:rPr>
          <w:rFonts w:ascii="Arial" w:hAnsi="Arial" w:cs="Arial"/>
          <w:iCs/>
          <w:sz w:val="36"/>
        </w:rPr>
      </w:r>
      <w:r/>
    </w:p>
    <w:p>
      <w:pPr>
        <w:pStyle w:val="651"/>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651"/>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651"/>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51"/>
              <w:jc w:val="center"/>
              <w:rPr>
                <w:rFonts w:ascii="宋体" w:hAnsi="宋体"/>
                <w:color w:val="000000"/>
                <w:sz w:val="24"/>
                <w:szCs w:val="24"/>
              </w:rPr>
            </w:pPr>
            <w:r>
              <w:rPr>
                <w:rFonts w:ascii="宋体" w:hAnsi="宋体"/>
                <w:color w:val="000000"/>
                <w:sz w:val="24"/>
                <w:szCs w:val="24"/>
              </w:rPr>
            </w:r>
            <w:r/>
          </w:p>
        </w:tc>
      </w:tr>
    </w:tbl>
    <w:p>
      <w:pPr>
        <w:pStyle w:val="651"/>
        <w:ind w:firstLine="480"/>
        <w:spacing w:line="500" w:lineRule="exact"/>
        <w:rPr>
          <w:rFonts w:ascii="宋体" w:hAnsi="宋体"/>
          <w:color w:val="000000"/>
          <w:sz w:val="24"/>
          <w:szCs w:val="24"/>
        </w:rPr>
      </w:pPr>
      <w:r>
        <w:rPr>
          <w:rFonts w:ascii="宋体" w:hAnsi="宋体"/>
          <w:color w:val="000000"/>
          <w:sz w:val="24"/>
          <w:szCs w:val="24"/>
        </w:rPr>
      </w:r>
      <w:r/>
    </w:p>
    <w:p>
      <w:pPr>
        <w:pStyle w:val="651"/>
        <w:ind w:firstLine="480"/>
        <w:spacing w:line="360" w:lineRule="auto"/>
        <w:rPr>
          <w:color w:val="000000"/>
          <w:sz w:val="24"/>
          <w:szCs w:val="24"/>
        </w:rPr>
      </w:pPr>
      <w:r>
        <w:rPr>
          <w:rFonts w:hint="eastAsia"/>
          <w:color w:val="000000"/>
          <w:sz w:val="24"/>
          <w:szCs w:val="24"/>
        </w:rPr>
        <w:t xml:space="preserve">投标人（盖章）：</w:t>
      </w:r>
      <w:r>
        <w:rPr>
          <w:color w:val="000000"/>
          <w:sz w:val="24"/>
          <w:szCs w:val="24"/>
        </w:rPr>
      </w:r>
      <w:r/>
    </w:p>
    <w:p>
      <w:pPr>
        <w:pStyle w:val="651"/>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color w:val="000000"/>
          <w:sz w:val="24"/>
          <w:szCs w:val="24"/>
        </w:rPr>
      </w:r>
      <w:r/>
    </w:p>
    <w:p>
      <w:pPr>
        <w:pStyle w:val="651"/>
        <w:ind w:firstLine="480"/>
        <w:spacing w:line="500" w:lineRule="exact"/>
        <w:rPr>
          <w:color w:val="000000"/>
          <w:sz w:val="24"/>
          <w:szCs w:val="24"/>
        </w:rPr>
      </w:pPr>
      <w:r>
        <w:rPr>
          <w:rFonts w:hint="eastAsia"/>
          <w:color w:val="000000"/>
          <w:sz w:val="24"/>
          <w:szCs w:val="24"/>
        </w:rPr>
        <w:t xml:space="preserve">日期：    年     月     日</w:t>
      </w:r>
      <w:r>
        <w:rPr>
          <w:color w:val="000000"/>
          <w:sz w:val="24"/>
          <w:szCs w:val="24"/>
        </w:rPr>
      </w:r>
      <w:r/>
    </w:p>
    <w:p>
      <w:pPr>
        <w:pStyle w:val="651"/>
      </w:pPr>
      <w:r/>
      <w:r/>
    </w:p>
    <w:p>
      <w:pPr>
        <w:pStyle w:val="651"/>
        <w:jc w:val="left"/>
        <w:keepLines/>
        <w:keepNext/>
        <w:spacing w:before="360" w:after="200" w:line="360" w:lineRule="auto"/>
        <w:rPr>
          <w:rFonts w:ascii="Arial" w:hAnsi="Arial" w:cs="Arial"/>
          <w:i/>
          <w:sz w:val="36"/>
          <w:u w:val="single"/>
        </w:rPr>
        <w:outlineLvl w:val="1"/>
      </w:pPr>
      <w:r>
        <w:rPr>
          <w:rFonts w:ascii="Arial" w:hAnsi="Arial" w:cs="Arial"/>
          <w:i/>
          <w:sz w:val="36"/>
          <w:u w:val="single"/>
        </w:rPr>
      </w:r>
      <w:r/>
    </w:p>
    <w:p>
      <w:pPr>
        <w:pStyle w:val="651"/>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二十、开标一览表</w:t>
      </w:r>
      <w:r>
        <w:rPr>
          <w:rFonts w:ascii="Arial" w:hAnsi="Arial" w:cs="Arial"/>
          <w:i/>
          <w:sz w:val="36"/>
          <w:u w:val="single"/>
        </w:rPr>
      </w:r>
      <w:r/>
    </w:p>
    <w:p>
      <w:pPr>
        <w:pStyle w:val="651"/>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rPr>
          <w:rFonts w:ascii="Arial" w:hAnsi="Arial" w:cs="Arial"/>
          <w:color w:val="000000"/>
          <w:sz w:val="36"/>
        </w:rPr>
      </w:r>
      <w:r/>
    </w:p>
    <w:p>
      <w:pPr>
        <w:pStyle w:val="651"/>
        <w:ind w:firstLine="480"/>
        <w:jc w:val="right"/>
        <w:spacing w:line="500" w:lineRule="exact"/>
        <w:rPr>
          <w:color w:val="000000"/>
          <w:sz w:val="24"/>
          <w:szCs w:val="24"/>
        </w:rPr>
      </w:pPr>
      <w:r>
        <w:rPr>
          <w:color w:val="000000"/>
          <w:sz w:val="24"/>
          <w:szCs w:val="24"/>
        </w:rPr>
        <w:t xml:space="preserve">货币单位：人民币元</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651"/>
              <w:jc w:val="center"/>
              <w:spacing w:line="500" w:lineRule="exact"/>
              <w:rPr>
                <w:color w:val="000000"/>
                <w:sz w:val="24"/>
                <w:szCs w:val="24"/>
              </w:rPr>
            </w:pPr>
            <w:r>
              <w:rPr>
                <w:color w:val="000000"/>
                <w:sz w:val="24"/>
                <w:szCs w:val="24"/>
              </w:rPr>
              <w:t xml:space="preserve">项目名称</w:t>
            </w:r>
            <w:r/>
          </w:p>
        </w:tc>
        <w:tc>
          <w:tcPr>
            <w:tcW w:w="2841" w:type="dxa"/>
            <w:vAlign w:val="top"/>
            <w:textDirection w:val="lrTb"/>
            <w:noWrap w:val="false"/>
          </w:tcPr>
          <w:p>
            <w:pPr>
              <w:pStyle w:val="651"/>
              <w:jc w:val="center"/>
              <w:spacing w:line="500" w:lineRule="exact"/>
              <w:rPr>
                <w:color w:val="000000"/>
                <w:sz w:val="24"/>
                <w:szCs w:val="24"/>
              </w:rPr>
            </w:pPr>
            <w:r>
              <w:rPr>
                <w:color w:val="000000"/>
                <w:sz w:val="24"/>
                <w:szCs w:val="24"/>
              </w:rPr>
              <w:t xml:space="preserve">项目内容</w:t>
            </w:r>
            <w:r/>
          </w:p>
        </w:tc>
        <w:tc>
          <w:tcPr>
            <w:tcW w:w="2841" w:type="dxa"/>
            <w:vAlign w:val="top"/>
            <w:textDirection w:val="lrTb"/>
            <w:noWrap w:val="false"/>
          </w:tcPr>
          <w:p>
            <w:pPr>
              <w:pStyle w:val="651"/>
              <w:jc w:val="center"/>
              <w:spacing w:line="500" w:lineRule="exact"/>
              <w:rPr>
                <w:color w:val="000000"/>
                <w:sz w:val="24"/>
                <w:szCs w:val="24"/>
              </w:rPr>
            </w:pPr>
            <w:r>
              <w:rPr>
                <w:color w:val="000000"/>
                <w:sz w:val="24"/>
                <w:szCs w:val="24"/>
              </w:rPr>
              <w:t xml:space="preserve">总价</w:t>
            </w:r>
            <w:r>
              <w:rPr>
                <w:rFonts w:hint="eastAsia"/>
                <w:color w:val="000000"/>
                <w:sz w:val="24"/>
                <w:szCs w:val="24"/>
              </w:rPr>
              <w:t xml:space="preserve">（小写）</w:t>
            </w:r>
            <w:r>
              <w:rPr>
                <w:color w:val="000000"/>
                <w:sz w:val="24"/>
                <w:szCs w:val="24"/>
              </w:rPr>
            </w:r>
            <w:r/>
          </w:p>
        </w:tc>
      </w:tr>
      <w:tr>
        <w:trPr/>
        <w:tc>
          <w:tcPr>
            <w:tcW w:w="2840" w:type="dxa"/>
            <w:vAlign w:val="top"/>
            <w:textDirection w:val="lrTb"/>
            <w:noWrap w:val="false"/>
          </w:tcPr>
          <w:p>
            <w:pPr>
              <w:pStyle w:val="651"/>
              <w:jc w:val="center"/>
              <w:spacing w:line="500" w:lineRule="exact"/>
              <w:rPr>
                <w:color w:val="000000"/>
                <w:sz w:val="24"/>
                <w:szCs w:val="24"/>
              </w:rPr>
            </w:pPr>
            <w:r>
              <w:rPr>
                <w:color w:val="000000"/>
                <w:sz w:val="24"/>
                <w:szCs w:val="24"/>
              </w:rPr>
            </w:r>
            <w:r/>
          </w:p>
        </w:tc>
        <w:tc>
          <w:tcPr>
            <w:tcW w:w="2841" w:type="dxa"/>
            <w:vAlign w:val="top"/>
            <w:textDirection w:val="lrTb"/>
            <w:noWrap w:val="false"/>
          </w:tcPr>
          <w:p>
            <w:pPr>
              <w:pStyle w:val="651"/>
              <w:jc w:val="center"/>
              <w:spacing w:line="500" w:lineRule="exact"/>
              <w:rPr>
                <w:color w:val="000000"/>
                <w:sz w:val="24"/>
                <w:szCs w:val="24"/>
              </w:rPr>
            </w:pPr>
            <w:r>
              <w:rPr>
                <w:color w:val="000000"/>
                <w:sz w:val="24"/>
                <w:szCs w:val="24"/>
              </w:rPr>
              <w:t xml:space="preserve">详见投标文件</w:t>
            </w:r>
            <w:r/>
          </w:p>
        </w:tc>
        <w:tc>
          <w:tcPr>
            <w:tcW w:w="2841" w:type="dxa"/>
            <w:vAlign w:val="top"/>
            <w:textDirection w:val="lrTb"/>
            <w:noWrap w:val="false"/>
          </w:tcPr>
          <w:p>
            <w:pPr>
              <w:pStyle w:val="651"/>
              <w:jc w:val="center"/>
              <w:spacing w:line="500" w:lineRule="exact"/>
              <w:rPr>
                <w:color w:val="000000"/>
                <w:sz w:val="24"/>
                <w:szCs w:val="24"/>
              </w:rPr>
            </w:pPr>
            <w:r>
              <w:rPr>
                <w:rFonts w:hint="eastAsia"/>
                <w:color w:val="000000"/>
                <w:sz w:val="24"/>
                <w:szCs w:val="24"/>
              </w:rPr>
              <w:t xml:space="preserve">元</w:t>
            </w:r>
            <w:r>
              <w:rPr>
                <w:color w:val="000000"/>
                <w:sz w:val="24"/>
                <w:szCs w:val="24"/>
              </w:rPr>
            </w:r>
            <w:r/>
          </w:p>
        </w:tc>
      </w:tr>
      <w:tr>
        <w:trPr/>
        <w:tc>
          <w:tcPr>
            <w:tcW w:w="2840" w:type="dxa"/>
            <w:vAlign w:val="top"/>
            <w:textDirection w:val="lrTb"/>
            <w:noWrap w:val="false"/>
          </w:tcPr>
          <w:p>
            <w:pPr>
              <w:pStyle w:val="651"/>
              <w:jc w:val="center"/>
              <w:spacing w:line="500" w:lineRule="exact"/>
              <w:rPr>
                <w:color w:val="000000"/>
                <w:sz w:val="24"/>
                <w:szCs w:val="24"/>
              </w:rPr>
            </w:pPr>
            <w:r>
              <w:rPr>
                <w:color w:val="000000"/>
                <w:sz w:val="24"/>
                <w:szCs w:val="24"/>
              </w:rPr>
              <w:t xml:space="preserve">总价（大写）</w:t>
            </w:r>
            <w:r/>
          </w:p>
        </w:tc>
        <w:tc>
          <w:tcPr>
            <w:gridSpan w:val="2"/>
            <w:tcW w:w="5682" w:type="dxa"/>
            <w:vAlign w:val="top"/>
            <w:textDirection w:val="lrTb"/>
            <w:noWrap w:val="false"/>
          </w:tcPr>
          <w:p>
            <w:pPr>
              <w:pStyle w:val="651"/>
              <w:jc w:val="center"/>
              <w:spacing w:line="500" w:lineRule="exact"/>
              <w:rPr>
                <w:color w:val="000000"/>
                <w:sz w:val="24"/>
                <w:szCs w:val="24"/>
              </w:rPr>
            </w:pPr>
            <w:r>
              <w:rPr>
                <w:color w:val="000000"/>
                <w:sz w:val="24"/>
                <w:szCs w:val="24"/>
              </w:rPr>
            </w:r>
            <w:r/>
          </w:p>
        </w:tc>
      </w:tr>
    </w:tbl>
    <w:p>
      <w:pPr>
        <w:pStyle w:val="651"/>
        <w:spacing w:line="500" w:lineRule="exact"/>
        <w:rPr>
          <w:rFonts w:hint="eastAsia"/>
          <w:color w:val="000000"/>
          <w:sz w:val="24"/>
          <w:szCs w:val="24"/>
        </w:rPr>
      </w:pPr>
      <w:r>
        <w:rPr>
          <w:color w:val="000000"/>
          <w:sz w:val="24"/>
          <w:szCs w:val="24"/>
        </w:rPr>
        <w:t xml:space="preserve">投标人公章：</w:t>
      </w:r>
      <w:r>
        <w:rPr>
          <w:rFonts w:hint="eastAsia"/>
          <w:color w:val="000000"/>
          <w:sz w:val="24"/>
          <w:szCs w:val="24"/>
        </w:rPr>
        <w:t xml:space="preserve">             （电子签章）</w:t>
      </w:r>
      <w:r/>
    </w:p>
    <w:p>
      <w:pPr>
        <w:pStyle w:val="651"/>
        <w:spacing w:line="500" w:lineRule="exact"/>
        <w:rPr>
          <w:rFonts w:hint="eastAsia"/>
          <w:color w:val="000000"/>
          <w:sz w:val="24"/>
          <w:szCs w:val="24"/>
        </w:rPr>
      </w:pPr>
      <w:r>
        <w:rPr>
          <w:rFonts w:hint="eastAsia"/>
          <w:color w:val="000000"/>
          <w:sz w:val="24"/>
          <w:szCs w:val="24"/>
        </w:rPr>
      </w:r>
      <w:r/>
    </w:p>
    <w:p>
      <w:pPr>
        <w:pStyle w:val="651"/>
        <w:spacing w:line="500" w:lineRule="exact"/>
        <w:rPr>
          <w:rFonts w:hint="eastAsia"/>
          <w:color w:val="000000"/>
          <w:sz w:val="24"/>
          <w:szCs w:val="24"/>
        </w:rPr>
      </w:pPr>
      <w:r>
        <w:rPr>
          <w:rFonts w:hint="eastAsia"/>
          <w:color w:val="000000"/>
          <w:sz w:val="24"/>
          <w:szCs w:val="24"/>
        </w:rPr>
      </w:r>
      <w:r/>
    </w:p>
    <w:p>
      <w:pPr>
        <w:pStyle w:val="651"/>
        <w:spacing w:line="500" w:lineRule="exact"/>
        <w:rPr>
          <w:rFonts w:hint="eastAsia"/>
          <w:color w:val="000000"/>
          <w:sz w:val="24"/>
          <w:szCs w:val="24"/>
        </w:rPr>
      </w:pPr>
      <w:r>
        <w:rPr>
          <w:rFonts w:hint="eastAsia"/>
          <w:color w:val="000000"/>
          <w:sz w:val="24"/>
          <w:szCs w:val="24"/>
        </w:rPr>
      </w:r>
      <w:r/>
    </w:p>
    <w:p>
      <w:pPr>
        <w:pStyle w:val="651"/>
        <w:spacing w:line="500" w:lineRule="exact"/>
        <w:rPr>
          <w:rFonts w:hint="eastAsia"/>
          <w:color w:val="000000"/>
          <w:sz w:val="24"/>
          <w:szCs w:val="24"/>
        </w:rPr>
      </w:pPr>
      <w:r>
        <w:rPr>
          <w:rFonts w:hint="eastAsia"/>
          <w:color w:val="000000"/>
          <w:sz w:val="24"/>
          <w:szCs w:val="24"/>
        </w:rPr>
      </w:r>
      <w:r/>
    </w:p>
    <w:p>
      <w:pPr>
        <w:pStyle w:val="651"/>
        <w:spacing w:line="500" w:lineRule="exact"/>
        <w:rPr>
          <w:rFonts w:hint="eastAsia"/>
          <w:color w:val="000000"/>
          <w:sz w:val="24"/>
          <w:szCs w:val="24"/>
        </w:rPr>
      </w:pPr>
      <w:r>
        <w:rPr>
          <w:rFonts w:hint="eastAsia"/>
          <w:color w:val="000000"/>
          <w:sz w:val="24"/>
          <w:szCs w:val="24"/>
        </w:rPr>
      </w:r>
      <w:r/>
    </w:p>
    <w:p>
      <w:pPr>
        <w:pStyle w:val="651"/>
        <w:spacing w:line="500" w:lineRule="exact"/>
        <w:rPr>
          <w:rFonts w:hint="eastAsia"/>
          <w:color w:val="000000"/>
          <w:sz w:val="24"/>
          <w:szCs w:val="24"/>
        </w:rPr>
      </w:pPr>
      <w:r>
        <w:rPr>
          <w:rFonts w:hint="eastAsia"/>
          <w:color w:val="000000"/>
          <w:sz w:val="24"/>
          <w:szCs w:val="24"/>
        </w:rPr>
      </w:r>
      <w:r/>
    </w:p>
    <w:p>
      <w:pPr>
        <w:pStyle w:val="651"/>
        <w:spacing w:line="500" w:lineRule="exact"/>
        <w:rPr>
          <w:rFonts w:hint="eastAsia"/>
          <w:color w:val="000000"/>
          <w:sz w:val="24"/>
          <w:szCs w:val="24"/>
        </w:rPr>
      </w:pPr>
      <w:r>
        <w:rPr>
          <w:rFonts w:hint="eastAsia"/>
          <w:color w:val="000000"/>
          <w:sz w:val="24"/>
          <w:szCs w:val="24"/>
        </w:rPr>
      </w:r>
      <w:r/>
    </w:p>
    <w:p>
      <w:pPr>
        <w:pStyle w:val="651"/>
        <w:spacing w:line="500" w:lineRule="exact"/>
        <w:rPr>
          <w:rFonts w:hint="eastAsia"/>
          <w:color w:val="000000"/>
          <w:sz w:val="24"/>
          <w:szCs w:val="24"/>
        </w:rPr>
      </w:pPr>
      <w:r>
        <w:rPr>
          <w:rFonts w:hint="eastAsia"/>
          <w:color w:val="000000"/>
          <w:sz w:val="24"/>
          <w:szCs w:val="24"/>
        </w:rPr>
      </w:r>
      <w:r/>
    </w:p>
    <w:p>
      <w:pPr>
        <w:pStyle w:val="651"/>
        <w:spacing w:line="500" w:lineRule="exact"/>
        <w:rPr>
          <w:color w:val="000000"/>
          <w:sz w:val="24"/>
          <w:szCs w:val="24"/>
        </w:rPr>
      </w:pPr>
      <w:r>
        <w:rPr>
          <w:color w:val="000000"/>
          <w:sz w:val="24"/>
          <w:szCs w:val="24"/>
        </w:rPr>
      </w:r>
      <w:r/>
    </w:p>
    <w:p>
      <w:pPr>
        <w:pStyle w:val="651"/>
        <w:jc w:val="left"/>
        <w:keepLines/>
        <w:keepNext/>
        <w:spacing w:before="360" w:after="200" w:line="360" w:lineRule="auto"/>
        <w:rPr>
          <w:rFonts w:ascii="宋体" w:hAnsi="宋体" w:cs="宋体"/>
          <w:b/>
          <w:sz w:val="36"/>
        </w:rPr>
        <w:outlineLvl w:val="1"/>
      </w:pPr>
      <w:r/>
      <w:bookmarkStart w:id="132" w:name="OLE_LINK1"/>
      <w:r>
        <w:rPr>
          <w:rFonts w:hint="eastAsia" w:ascii="宋体" w:hAnsi="宋体" w:cs="宋体"/>
          <w:b/>
          <w:sz w:val="36"/>
        </w:rPr>
        <w:t xml:space="preserve">二十一、关于符合本国产品标准的声明函</w:t>
      </w:r>
      <w:r>
        <w:rPr>
          <w:rFonts w:ascii="宋体" w:hAnsi="宋体" w:cs="宋体"/>
          <w:b/>
          <w:sz w:val="36"/>
        </w:rPr>
      </w:r>
      <w:r/>
    </w:p>
    <w:p>
      <w:pPr>
        <w:pStyle w:val="668"/>
        <w:ind w:firstLine="420"/>
        <w:spacing w:line="0" w:lineRule="atLeast"/>
      </w:pPr>
      <w:r>
        <w:rPr>
          <w:rFonts w:hint="eastAsia"/>
        </w:rPr>
        <w:t xml:space="preserve">本公司（单位）郑重声明，根据《国务院办公厅关于在政府采购中实施本国产品标准及相关政策的通知》（国办发〔</w:t>
      </w:r>
      <w:r>
        <w:t xml:space="preserve">2025</w:t>
      </w:r>
      <w:r>
        <w:rPr>
          <w:rFonts w:hint="eastAsia"/>
        </w:rPr>
        <w:t xml:space="preserve">〕</w:t>
      </w:r>
      <w:r>
        <w:t xml:space="preserve">34</w:t>
      </w:r>
      <w:r>
        <w:rPr>
          <w:rFonts w:hint="eastAsia"/>
        </w:rPr>
        <w:t xml:space="preserve">号）的规定，本公司（单位）提供的以下产品属于本国产品。具体情况如下：</w:t>
      </w:r>
      <w:r/>
    </w:p>
    <w:p>
      <w:pPr>
        <w:pStyle w:val="668"/>
        <w:ind w:firstLine="420"/>
        <w:spacing w:beforeAutospacing="0" w:after="30" w:afterAutospacing="0" w:line="0" w:lineRule="atLeast"/>
      </w:pPr>
      <w:r>
        <w:rPr>
          <w:shd w:val="clear" w:color="auto" w:fill="ffffff"/>
        </w:rPr>
        <w:t xml:space="preserve">1.</w:t>
      </w:r>
      <w:r>
        <w:rPr>
          <w:rStyle w:val="673"/>
          <w:rFonts w:hint="eastAsia"/>
          <w:u w:val="single"/>
          <w:shd w:val="clear" w:color="auto" w:fill="ffffff"/>
        </w:rPr>
        <w:t xml:space="preserve">（产品名称</w:t>
      </w:r>
      <w:r>
        <w:rPr>
          <w:rStyle w:val="673"/>
          <w:u w:val="single"/>
          <w:shd w:val="clear" w:color="auto" w:fill="ffffff"/>
        </w:rPr>
        <w:t xml:space="preserve">1</w:t>
      </w:r>
      <w:r>
        <w:rPr>
          <w:rStyle w:val="673"/>
          <w:rFonts w:hint="eastAsia"/>
          <w:u w:val="single"/>
          <w:shd w:val="clear" w:color="auto" w:fill="ffffff"/>
        </w:rPr>
        <w:t xml:space="preserve">）</w:t>
      </w:r>
      <w:r>
        <w:rPr>
          <w:rStyle w:val="673"/>
          <w:shd w:val="clear" w:color="auto" w:fill="ffffff"/>
          <w:vertAlign w:val="superscript"/>
        </w:rPr>
        <w:t xml:space="preserve">1</w:t>
      </w:r>
      <w:r>
        <w:rPr>
          <w:rFonts w:hint="eastAsia"/>
          <w:shd w:val="clear" w:color="auto" w:fill="ffffff"/>
        </w:rPr>
        <w:t xml:space="preserve">，生产厂为</w:t>
      </w:r>
      <w:r>
        <w:rPr>
          <w:rStyle w:val="673"/>
          <w:rFonts w:hint="eastAsia"/>
          <w:u w:val="single"/>
          <w:shd w:val="clear" w:color="auto" w:fill="ffffff"/>
        </w:rPr>
        <w:t xml:space="preserve">（厂名）</w:t>
      </w:r>
      <w:r>
        <w:rPr>
          <w:rStyle w:val="673"/>
          <w:shd w:val="clear" w:color="auto" w:fill="ffffff"/>
          <w:vertAlign w:val="superscript"/>
        </w:rPr>
        <w:t xml:space="preserve">2</w:t>
      </w:r>
      <w:r>
        <w:rPr>
          <w:rFonts w:hint="eastAsia"/>
          <w:shd w:val="clear" w:color="auto" w:fill="ffffff"/>
        </w:rPr>
        <w:t xml:space="preserve">，厂址为</w:t>
      </w:r>
      <w:r>
        <w:rPr>
          <w:rStyle w:val="673"/>
          <w:rFonts w:hint="eastAsia"/>
          <w:u w:val="single"/>
          <w:shd w:val="clear" w:color="auto" w:fill="ffffff"/>
        </w:rPr>
        <w:t xml:space="preserve">（生产厂址）</w:t>
      </w:r>
      <w:r>
        <w:rPr>
          <w:rFonts w:hint="eastAsia"/>
          <w:shd w:val="clear" w:color="auto" w:fill="ffffff"/>
        </w:rPr>
        <w:t xml:space="preserve">。</w:t>
      </w:r>
      <w:r>
        <w:rPr>
          <w:u w:val="single"/>
          <w:shd w:val="clear" w:color="auto" w:fill="ffffff"/>
        </w:rPr>
        <w:t xml:space="preserve"> </w:t>
      </w:r>
      <w:r>
        <w:rPr>
          <w:rStyle w:val="673"/>
          <w:rFonts w:hint="eastAsia"/>
          <w:u w:val="single"/>
          <w:shd w:val="clear" w:color="auto" w:fill="ffffff"/>
        </w:rPr>
        <w:t xml:space="preserve">（产品名称</w:t>
      </w:r>
      <w:r>
        <w:rPr>
          <w:rStyle w:val="673"/>
          <w:u w:val="single"/>
          <w:shd w:val="clear" w:color="auto" w:fill="ffffff"/>
        </w:rPr>
        <w:t xml:space="preserve">1</w:t>
      </w:r>
      <w:r>
        <w:rPr>
          <w:rStyle w:val="673"/>
          <w:rFonts w:hint="eastAsia"/>
          <w:u w:val="single"/>
          <w:shd w:val="clear" w:color="auto" w:fill="ffffff"/>
        </w:rPr>
        <w:t xml:space="preserve">）</w:t>
      </w:r>
      <w:r>
        <w:rPr>
          <w:rStyle w:val="673"/>
          <w:u w:val="single"/>
          <w:shd w:val="clear" w:color="auto" w:fill="ffffff"/>
        </w:rPr>
        <w:t xml:space="preserve"> </w:t>
      </w:r>
      <w:r>
        <w:rPr>
          <w:rFonts w:hint="eastAsia"/>
          <w:shd w:val="clear" w:color="auto" w:fill="ffffff"/>
        </w:rPr>
        <w:t xml:space="preserve">的中国境内生产的组件成本占比≥</w:t>
      </w:r>
      <w:r>
        <w:rPr>
          <w:rStyle w:val="673"/>
          <w:rFonts w:hint="eastAsia"/>
          <w:u w:val="single"/>
          <w:shd w:val="clear" w:color="auto" w:fill="ffffff"/>
        </w:rPr>
        <w:t xml:space="preserve">（规定比例）</w:t>
      </w:r>
      <w:r>
        <w:rPr>
          <w:rStyle w:val="673"/>
          <w:shd w:val="clear" w:color="auto" w:fill="ffffff"/>
          <w:vertAlign w:val="superscript"/>
        </w:rPr>
        <w:t xml:space="preserve">3</w:t>
      </w:r>
      <w:r>
        <w:rPr>
          <w:rFonts w:hint="eastAsia"/>
          <w:shd w:val="clear" w:color="auto" w:fill="ffffff"/>
        </w:rPr>
        <w:t xml:space="preserve">。</w:t>
      </w:r>
      <w:r>
        <w:rPr>
          <w:rStyle w:val="673"/>
          <w:rFonts w:hint="eastAsia"/>
          <w:u w:val="single"/>
          <w:shd w:val="clear" w:color="auto" w:fill="ffffff"/>
        </w:rPr>
        <w:t xml:space="preserve">（产品名称</w:t>
      </w:r>
      <w:r>
        <w:rPr>
          <w:rStyle w:val="673"/>
          <w:u w:val="single"/>
          <w:shd w:val="clear" w:color="auto" w:fill="ffffff"/>
        </w:rPr>
        <w:t xml:space="preserve">1</w:t>
      </w:r>
      <w:r>
        <w:rPr>
          <w:rStyle w:val="673"/>
          <w:rFonts w:hint="eastAsia"/>
          <w:u w:val="single"/>
          <w:shd w:val="clear" w:color="auto" w:fill="ffffff"/>
        </w:rPr>
        <w:t xml:space="preserve">）</w:t>
      </w:r>
      <w:r>
        <w:rPr>
          <w:rFonts w:hint="eastAsia"/>
          <w:shd w:val="clear" w:color="auto" w:fill="ffffff"/>
        </w:rPr>
        <w:t xml:space="preserve">的</w:t>
      </w:r>
      <w:r>
        <w:rPr>
          <w:rStyle w:val="673"/>
          <w:rFonts w:hint="eastAsia"/>
          <w:u w:val="single"/>
          <w:shd w:val="clear" w:color="auto" w:fill="ffffff"/>
        </w:rPr>
        <w:t xml:space="preserve">（关键组件）</w:t>
      </w:r>
      <w:r>
        <w:rPr>
          <w:rStyle w:val="673"/>
          <w:shd w:val="clear" w:color="auto" w:fill="ffffff"/>
          <w:vertAlign w:val="superscript"/>
        </w:rPr>
        <w:t xml:space="preserve">4</w:t>
      </w:r>
      <w:r>
        <w:rPr>
          <w:rFonts w:hint="eastAsia"/>
          <w:shd w:val="clear" w:color="auto" w:fill="ffffff"/>
        </w:rPr>
        <w:t xml:space="preserve">在中国境内生产。</w:t>
      </w:r>
      <w:r>
        <w:rPr>
          <w:rStyle w:val="673"/>
          <w:rFonts w:hint="eastAsia"/>
          <w:u w:val="single"/>
          <w:shd w:val="clear" w:color="auto" w:fill="ffffff"/>
        </w:rPr>
        <w:t xml:space="preserve">（产品名称</w:t>
      </w:r>
      <w:r>
        <w:rPr>
          <w:rStyle w:val="673"/>
          <w:u w:val="single"/>
          <w:shd w:val="clear" w:color="auto" w:fill="ffffff"/>
        </w:rPr>
        <w:t xml:space="preserve">1</w:t>
      </w:r>
      <w:r>
        <w:rPr>
          <w:rStyle w:val="673"/>
          <w:rFonts w:hint="eastAsia"/>
          <w:u w:val="single"/>
          <w:shd w:val="clear" w:color="auto" w:fill="ffffff"/>
        </w:rPr>
        <w:t xml:space="preserve">）</w:t>
      </w:r>
      <w:r>
        <w:rPr>
          <w:rFonts w:hint="eastAsia"/>
          <w:shd w:val="clear" w:color="auto" w:fill="ffffff"/>
        </w:rPr>
        <w:t xml:space="preserve">的</w:t>
      </w:r>
      <w:r>
        <w:rPr>
          <w:rStyle w:val="673"/>
          <w:rFonts w:hint="eastAsia"/>
          <w:u w:val="single"/>
          <w:shd w:val="clear" w:color="auto" w:fill="ffffff"/>
        </w:rPr>
        <w:t xml:space="preserve">（关键工序）</w:t>
      </w:r>
      <w:r>
        <w:rPr>
          <w:rStyle w:val="673"/>
          <w:shd w:val="clear" w:color="auto" w:fill="ffffff"/>
          <w:vertAlign w:val="superscript"/>
        </w:rPr>
        <w:t xml:space="preserve">5</w:t>
      </w:r>
      <w:r>
        <w:rPr>
          <w:rFonts w:hint="eastAsia"/>
          <w:shd w:val="clear" w:color="auto" w:fill="ffffff"/>
        </w:rPr>
        <w:t xml:space="preserve">在中国境内完成。</w:t>
      </w:r>
      <w:r/>
    </w:p>
    <w:p>
      <w:pPr>
        <w:pStyle w:val="668"/>
        <w:ind w:firstLine="420"/>
        <w:spacing w:beforeAutospacing="0" w:after="30" w:afterAutospacing="0" w:line="0" w:lineRule="atLeast"/>
      </w:pPr>
      <w:r>
        <w:rPr>
          <w:shd w:val="clear" w:color="auto" w:fill="ffffff"/>
        </w:rPr>
        <w:t xml:space="preserve">2.</w:t>
      </w:r>
      <w:r>
        <w:rPr>
          <w:rStyle w:val="673"/>
          <w:rFonts w:hint="eastAsia"/>
          <w:u w:val="single"/>
          <w:shd w:val="clear" w:color="auto" w:fill="ffffff"/>
        </w:rPr>
        <w:t xml:space="preserve">（产品名称</w:t>
      </w:r>
      <w:r>
        <w:rPr>
          <w:rStyle w:val="673"/>
          <w:u w:val="single"/>
          <w:shd w:val="clear" w:color="auto" w:fill="ffffff"/>
        </w:rPr>
        <w:t xml:space="preserve">2</w:t>
      </w:r>
      <w:r>
        <w:rPr>
          <w:rStyle w:val="673"/>
          <w:rFonts w:hint="eastAsia"/>
          <w:u w:val="single"/>
          <w:shd w:val="clear" w:color="auto" w:fill="ffffff"/>
        </w:rPr>
        <w:t xml:space="preserve">）</w:t>
      </w:r>
      <w:r>
        <w:rPr>
          <w:rFonts w:hint="eastAsia"/>
          <w:shd w:val="clear" w:color="auto" w:fill="ffffff"/>
        </w:rPr>
        <w:t xml:space="preserve">，生产厂为</w:t>
      </w:r>
      <w:r>
        <w:rPr>
          <w:rStyle w:val="673"/>
          <w:rFonts w:hint="eastAsia"/>
          <w:u w:val="single"/>
          <w:shd w:val="clear" w:color="auto" w:fill="ffffff"/>
        </w:rPr>
        <w:t xml:space="preserve">（厂名）</w:t>
      </w:r>
      <w:r>
        <w:rPr>
          <w:rFonts w:hint="eastAsia"/>
          <w:shd w:val="clear" w:color="auto" w:fill="ffffff"/>
        </w:rPr>
        <w:t xml:space="preserve">，厂址为</w:t>
      </w:r>
      <w:r>
        <w:rPr>
          <w:rStyle w:val="673"/>
          <w:rFonts w:hint="eastAsia"/>
          <w:u w:val="single"/>
          <w:shd w:val="clear" w:color="auto" w:fill="ffffff"/>
        </w:rPr>
        <w:t xml:space="preserve">（生产厂址）</w:t>
      </w:r>
      <w:r>
        <w:rPr>
          <w:rFonts w:hint="eastAsia"/>
          <w:shd w:val="clear" w:color="auto" w:fill="ffffff"/>
        </w:rPr>
        <w:t xml:space="preserve">。</w:t>
      </w:r>
      <w:r>
        <w:rPr>
          <w:rStyle w:val="673"/>
          <w:rFonts w:hint="eastAsia"/>
          <w:u w:val="single"/>
          <w:shd w:val="clear" w:color="auto" w:fill="ffffff"/>
        </w:rPr>
        <w:t xml:space="preserve">（产品名称</w:t>
      </w:r>
      <w:r>
        <w:rPr>
          <w:rStyle w:val="673"/>
          <w:u w:val="single"/>
          <w:shd w:val="clear" w:color="auto" w:fill="ffffff"/>
        </w:rPr>
        <w:t xml:space="preserve">2</w:t>
      </w:r>
      <w:r>
        <w:rPr>
          <w:rStyle w:val="673"/>
          <w:rFonts w:hint="eastAsia"/>
          <w:u w:val="single"/>
          <w:shd w:val="clear" w:color="auto" w:fill="ffffff"/>
        </w:rPr>
        <w:t xml:space="preserve">）</w:t>
      </w:r>
      <w:r>
        <w:rPr>
          <w:rFonts w:hint="eastAsia"/>
          <w:shd w:val="clear" w:color="auto" w:fill="ffffff"/>
        </w:rPr>
        <w:t xml:space="preserve">的中国境内生产的组件成本占比≥</w:t>
      </w:r>
      <w:r>
        <w:rPr>
          <w:rStyle w:val="673"/>
          <w:rFonts w:hint="eastAsia"/>
          <w:u w:val="single"/>
          <w:shd w:val="clear" w:color="auto" w:fill="ffffff"/>
        </w:rPr>
        <w:t xml:space="preserve">（规定比例）</w:t>
      </w:r>
      <w:r>
        <w:rPr>
          <w:rFonts w:hint="eastAsia"/>
          <w:shd w:val="clear" w:color="auto" w:fill="ffffff"/>
        </w:rPr>
        <w:t xml:space="preserve">。</w:t>
      </w:r>
      <w:r>
        <w:rPr>
          <w:rStyle w:val="673"/>
          <w:rFonts w:hint="eastAsia"/>
          <w:u w:val="single"/>
          <w:shd w:val="clear" w:color="auto" w:fill="ffffff"/>
        </w:rPr>
        <w:t xml:space="preserve">（产品名称</w:t>
      </w:r>
      <w:r>
        <w:rPr>
          <w:rStyle w:val="673"/>
          <w:u w:val="single"/>
          <w:shd w:val="clear" w:color="auto" w:fill="ffffff"/>
        </w:rPr>
        <w:t xml:space="preserve">2</w:t>
      </w:r>
      <w:r>
        <w:rPr>
          <w:rStyle w:val="673"/>
          <w:rFonts w:hint="eastAsia"/>
          <w:u w:val="single"/>
          <w:shd w:val="clear" w:color="auto" w:fill="ffffff"/>
        </w:rPr>
        <w:t xml:space="preserve">）</w:t>
      </w:r>
      <w:r>
        <w:rPr>
          <w:rFonts w:hint="eastAsia"/>
          <w:shd w:val="clear" w:color="auto" w:fill="ffffff"/>
        </w:rPr>
        <w:t xml:space="preserve">的</w:t>
      </w:r>
      <w:r>
        <w:rPr>
          <w:rStyle w:val="673"/>
          <w:rFonts w:hint="eastAsia"/>
          <w:u w:val="single"/>
          <w:shd w:val="clear" w:color="auto" w:fill="ffffff"/>
        </w:rPr>
        <w:t xml:space="preserve">（关键组件）</w:t>
      </w:r>
      <w:r>
        <w:rPr>
          <w:rFonts w:hint="eastAsia"/>
          <w:shd w:val="clear" w:color="auto" w:fill="ffffff"/>
        </w:rPr>
        <w:t xml:space="preserve">在中国境内生产。</w:t>
      </w:r>
      <w:r>
        <w:rPr>
          <w:rStyle w:val="673"/>
          <w:rFonts w:hint="eastAsia"/>
          <w:u w:val="single"/>
          <w:shd w:val="clear" w:color="auto" w:fill="ffffff"/>
        </w:rPr>
        <w:t xml:space="preserve">（产品名称</w:t>
      </w:r>
      <w:r>
        <w:rPr>
          <w:rStyle w:val="673"/>
          <w:u w:val="single"/>
          <w:shd w:val="clear" w:color="auto" w:fill="ffffff"/>
        </w:rPr>
        <w:t xml:space="preserve">1</w:t>
      </w:r>
      <w:r>
        <w:rPr>
          <w:rStyle w:val="673"/>
          <w:rFonts w:hint="eastAsia"/>
          <w:u w:val="single"/>
          <w:shd w:val="clear" w:color="auto" w:fill="ffffff"/>
        </w:rPr>
        <w:t xml:space="preserve">）</w:t>
      </w:r>
      <w:r>
        <w:rPr>
          <w:rFonts w:hint="eastAsia"/>
          <w:shd w:val="clear" w:color="auto" w:fill="ffffff"/>
        </w:rPr>
        <w:t xml:space="preserve">的</w:t>
      </w:r>
      <w:r>
        <w:rPr>
          <w:rStyle w:val="673"/>
          <w:rFonts w:hint="eastAsia"/>
          <w:u w:val="single"/>
          <w:shd w:val="clear" w:color="auto" w:fill="ffffff"/>
        </w:rPr>
        <w:t xml:space="preserve">（关键工序）</w:t>
      </w:r>
      <w:r>
        <w:rPr>
          <w:rFonts w:hint="eastAsia"/>
          <w:shd w:val="clear" w:color="auto" w:fill="ffffff"/>
        </w:rPr>
        <w:t xml:space="preserve">在中国境内完成。</w:t>
      </w:r>
      <w:r/>
    </w:p>
    <w:p>
      <w:pPr>
        <w:pStyle w:val="668"/>
        <w:ind w:firstLine="420"/>
        <w:spacing w:before="30" w:beforeAutospacing="0" w:after="30" w:afterAutospacing="0" w:line="0" w:lineRule="atLeast"/>
      </w:pPr>
      <w:r>
        <w:rPr>
          <w:rFonts w:hint="eastAsia"/>
          <w:shd w:val="clear" w:color="auto" w:fill="ffffff"/>
        </w:rPr>
        <w:t xml:space="preserve">……</w:t>
      </w:r>
      <w:r/>
    </w:p>
    <w:p>
      <w:pPr>
        <w:pStyle w:val="668"/>
        <w:ind w:firstLine="420"/>
        <w:spacing w:before="30" w:beforeAutospacing="0" w:after="30" w:afterAutospacing="0" w:line="0" w:lineRule="atLeast"/>
      </w:pPr>
      <w:r>
        <w:rPr>
          <w:rFonts w:hint="eastAsia"/>
          <w:shd w:val="clear" w:color="auto" w:fill="ffffff"/>
        </w:rPr>
        <w:t xml:space="preserve">本公司（单位）对上述声明内容的真实性负责。如有虚假，愿承担相应法律责任。</w:t>
      </w:r>
      <w:r/>
    </w:p>
    <w:p>
      <w:pPr>
        <w:pStyle w:val="668"/>
        <w:spacing w:before="30" w:beforeAutospacing="0" w:after="30" w:afterAutospacing="0" w:line="0" w:lineRule="atLeast"/>
      </w:pPr>
      <w:r/>
      <w:r/>
    </w:p>
    <w:p>
      <w:pPr>
        <w:pStyle w:val="668"/>
        <w:ind w:right="480" w:firstLine="3720"/>
        <w:spacing w:before="30" w:beforeAutospacing="0" w:after="30" w:afterAutospacing="0" w:line="0" w:lineRule="atLeast"/>
      </w:pPr>
      <w:r>
        <w:rPr>
          <w:rFonts w:hint="eastAsia"/>
          <w:shd w:val="clear" w:color="auto" w:fill="ffffff"/>
        </w:rPr>
        <w:t xml:space="preserve">公司（单位）名称（盖章）：　        </w:t>
      </w:r>
      <w:r/>
    </w:p>
    <w:p>
      <w:pPr>
        <w:pStyle w:val="668"/>
        <w:jc w:val="center"/>
        <w:spacing w:before="30" w:beforeAutospacing="0" w:after="30" w:afterAutospacing="0" w:line="0" w:lineRule="atLeast"/>
      </w:pPr>
      <w:r>
        <w:rPr>
          <w:shd w:val="clear" w:color="auto" w:fill="ffffff"/>
        </w:rPr>
        <w:t xml:space="preserve">                                </w:t>
      </w:r>
      <w:r>
        <w:rPr>
          <w:rFonts w:hint="eastAsia"/>
          <w:shd w:val="clear" w:color="auto" w:fill="ffffff"/>
        </w:rPr>
        <w:t xml:space="preserve">日期：　   年　  月　  日         </w:t>
      </w:r>
      <w:r/>
    </w:p>
    <w:p>
      <w:pPr>
        <w:pStyle w:val="668"/>
        <w:spacing w:before="30" w:beforeAutospacing="0" w:after="30" w:afterAutospacing="0" w:line="0" w:lineRule="atLeast"/>
      </w:pPr>
      <w:r>
        <w:rPr>
          <w:shd w:val="clear" w:color="auto" w:fill="ffffff"/>
        </w:rPr>
        <w:t xml:space="preserve">__________________</w:t>
      </w:r>
      <w:r/>
    </w:p>
    <w:p>
      <w:pPr>
        <w:pStyle w:val="668"/>
        <w:spacing w:before="30" w:beforeAutospacing="0" w:after="30" w:afterAutospacing="0" w:line="0" w:lineRule="atLeast"/>
      </w:pPr>
      <w:r>
        <w:rPr>
          <w:shd w:val="clear" w:color="auto" w:fill="ffffff"/>
        </w:rPr>
        <w:t xml:space="preserve">1.</w:t>
      </w:r>
      <w:r>
        <w:rPr>
          <w:rFonts w:hint="eastAsia"/>
          <w:shd w:val="clear" w:color="auto" w:fill="ffffff"/>
        </w:rPr>
        <w:t xml:space="preserve">产品如有型号，请在“产品名称”栏一并填写。</w:t>
      </w:r>
      <w:r/>
    </w:p>
    <w:p>
      <w:pPr>
        <w:pStyle w:val="668"/>
        <w:spacing w:before="30" w:beforeAutospacing="0" w:after="30" w:afterAutospacing="0" w:line="0" w:lineRule="atLeast"/>
      </w:pPr>
      <w:r>
        <w:rPr>
          <w:shd w:val="clear" w:color="auto" w:fill="ffffff"/>
        </w:rPr>
        <w:t xml:space="preserve">2.</w:t>
      </w:r>
      <w:r>
        <w:rPr>
          <w:rFonts w:hint="eastAsia"/>
          <w:shd w:val="clear" w:color="auto" w:fill="ffffff"/>
        </w:rPr>
        <w:t xml:space="preserve">生产厂名与厂址应与生产厂营业执照载明的相关信息保持一致。</w:t>
      </w:r>
      <w:r/>
    </w:p>
    <w:p>
      <w:pPr>
        <w:pStyle w:val="668"/>
        <w:spacing w:before="30" w:beforeAutospacing="0" w:after="30" w:afterAutospacing="0" w:line="0" w:lineRule="atLeast"/>
      </w:pPr>
      <w:r>
        <w:rPr>
          <w:shd w:val="clear" w:color="auto" w:fill="ffffff"/>
        </w:rPr>
        <w:t xml:space="preserve">3.</w:t>
      </w:r>
      <w:r>
        <w:rPr>
          <w:rFonts w:hint="eastAsia"/>
          <w:shd w:val="clear" w:color="auto" w:fill="ffffff"/>
        </w:rPr>
        <w:t xml:space="preserve">该产品的中国境内生产的组件成本占比相关要求实施前，“规定比例”栏可不填，下同。</w:t>
      </w:r>
      <w:r/>
    </w:p>
    <w:p>
      <w:pPr>
        <w:pStyle w:val="668"/>
        <w:spacing w:before="30" w:beforeAutospacing="0" w:after="30" w:afterAutospacing="0" w:line="0" w:lineRule="atLeast"/>
      </w:pPr>
      <w:r>
        <w:rPr>
          <w:shd w:val="clear" w:color="auto" w:fill="ffffff"/>
        </w:rPr>
        <w:t xml:space="preserve">4.</w:t>
      </w:r>
      <w:r>
        <w:rPr>
          <w:rFonts w:hint="eastAsia"/>
          <w:shd w:val="clear" w:color="auto" w:fill="ffffff"/>
        </w:rPr>
        <w:t xml:space="preserve">该产品的关键组件要求实施前，“关键组件”栏可不填，下同。</w:t>
      </w:r>
      <w:r/>
    </w:p>
    <w:p>
      <w:pPr>
        <w:pStyle w:val="668"/>
        <w:spacing w:before="30" w:beforeAutospacing="0" w:after="30" w:afterAutospacing="0" w:line="0" w:lineRule="atLeast"/>
        <w:rPr>
          <w:shd w:val="clear" w:color="auto" w:fill="ffffff"/>
        </w:rPr>
      </w:pPr>
      <w:r>
        <w:rPr>
          <w:shd w:val="clear" w:color="auto" w:fill="ffffff"/>
        </w:rPr>
        <w:t xml:space="preserve">5.</w:t>
      </w:r>
      <w:r>
        <w:rPr>
          <w:rFonts w:hint="eastAsia"/>
          <w:shd w:val="clear" w:color="auto" w:fill="ffffff"/>
        </w:rPr>
        <w:t xml:space="preserve">该产品的关键工序要求实施前，“关键工序”栏可不填，下同。</w:t>
      </w:r>
      <w:r>
        <w:rPr>
          <w:shd w:val="clear" w:color="auto" w:fill="ffffff"/>
        </w:rPr>
      </w:r>
      <w:r/>
    </w:p>
    <w:p>
      <w:pPr>
        <w:pStyle w:val="651"/>
        <w:rPr>
          <w:rFonts w:ascii="宋体" w:hAnsi="宋体" w:cs="宋体"/>
          <w:b/>
          <w:bCs/>
          <w:sz w:val="24"/>
          <w:szCs w:val="24"/>
        </w:rPr>
      </w:pPr>
      <w:r>
        <w:rPr>
          <w:rFonts w:hint="eastAsia" w:ascii="宋体" w:hAnsi="宋体" w:cs="宋体"/>
          <w:sz w:val="24"/>
          <w:szCs w:val="24"/>
          <w:shd w:val="clear" w:color="auto" w:fill="ffffff"/>
        </w:rPr>
        <w:t xml:space="preserve">6.用斜线划除的地方无需填写。</w:t>
      </w:r>
      <w:r>
        <w:rPr>
          <w:rFonts w:ascii="宋体" w:hAnsi="宋体" w:cs="宋体"/>
          <w:b/>
          <w:bCs/>
          <w:sz w:val="24"/>
          <w:szCs w:val="24"/>
        </w:rPr>
      </w:r>
      <w:r/>
    </w:p>
    <w:p>
      <w:pPr>
        <w:pStyle w:val="651"/>
        <w:jc w:val="left"/>
        <w:widowControl/>
        <w:rPr>
          <w:rFonts w:ascii="黑体" w:hAnsi="黑体" w:eastAsia="黑体" w:cs="仿宋"/>
          <w:bCs/>
          <w:color w:val="000000"/>
          <w:sz w:val="40"/>
          <w:szCs w:val="32"/>
        </w:rPr>
      </w:pPr>
      <w:r/>
      <w:bookmarkEnd w:id="132"/>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651"/>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651"/>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rPr>
          <w:rFonts w:ascii="宋体" w:hAnsi="宋体" w:cs="仿宋"/>
          <w:bCs/>
          <w:color w:val="000000"/>
          <w:sz w:val="24"/>
          <w:szCs w:val="24"/>
        </w:rPr>
      </w:r>
      <w:r/>
    </w:p>
    <w:p>
      <w:pPr>
        <w:pStyle w:val="65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65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1"/>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1"/>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1"/>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1"/>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651"/>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1"/>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1"/>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65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1"/>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1"/>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51"/>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1"/>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651"/>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1"/>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51"/>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51"/>
        <w:spacing w:line="500" w:lineRule="exact"/>
        <w:rPr>
          <w:rFonts w:ascii="宋体" w:hAnsi="宋体"/>
          <w:b/>
          <w:color w:val="000000"/>
          <w:sz w:val="24"/>
          <w:szCs w:val="24"/>
        </w:rPr>
      </w:pPr>
      <w:r>
        <w:rPr>
          <w:rFonts w:ascii="宋体" w:hAnsi="宋体"/>
          <w:b/>
          <w:color w:val="000000"/>
          <w:sz w:val="24"/>
          <w:szCs w:val="24"/>
        </w:rPr>
      </w:r>
      <w:r/>
    </w:p>
    <w:p>
      <w:pPr>
        <w:pStyle w:val="651"/>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5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5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65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5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5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51"/>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宋体" w:hAnsi="宋体"/>
          <w:color w:val="000000"/>
          <w:sz w:val="24"/>
          <w:szCs w:val="24"/>
        </w:rPr>
      </w:r>
      <w:r/>
    </w:p>
    <w:sectPr>
      <w:footnotePr/>
      <w:endnotePr/>
      <w:type w:val="nextPage"/>
      <w:pgSz w:w="11906" w:h="16838" w:orient="portrait"/>
      <w:pgMar w:top="907" w:right="1134" w:bottom="56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黑体">
    <w:panose1 w:val="02010609060101010101"/>
  </w:font>
  <w:font w:name="Symbol">
    <w:panose1 w:val="05050102010706020507"/>
  </w:font>
  <w:font w:name="Wingdings">
    <w:panose1 w:val="05000000000000000000"/>
  </w:font>
  <w:font w:name="MS Mincho">
    <w:panose1 w:val="02020603050405090304"/>
  </w:font>
  <w:font w:name="Calibri">
    <w:panose1 w:val="020F0502020204030204"/>
  </w:font>
  <w:font w:name="Courier New">
    <w:panose1 w:val="02070309020205020404"/>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4"/>
                          </w:pPr>
                          <w:r>
                            <w:fldChar w:fldCharType="begin"/>
                          </w:r>
                          <w:r>
                            <w:instrText xml:space="preserve"> PAGE  \* MERGEFORMAT </w:instrText>
                          </w:r>
                          <w:r>
                            <w:fldChar w:fldCharType="separate"/>
                          </w:r>
                          <w:r>
                            <w:t xml:space="preserve">8</w:t>
                          </w:r>
                          <w:r>
                            <w:fldChar w:fldCharType="end"/>
                          </w:r>
                          <w:r/>
                        </w:p>
                        <w:p>
                          <w:pPr>
                            <w:pStyle w:val="6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4"/>
                    </w:pPr>
                    <w:r>
                      <w:fldChar w:fldCharType="begin"/>
                    </w:r>
                    <w:r>
                      <w:instrText xml:space="preserve"> PAGE  \* MERGEFORMAT </w:instrText>
                    </w:r>
                    <w:r>
                      <w:fldChar w:fldCharType="separate"/>
                    </w:r>
                    <w:r>
                      <w:t xml:space="preserve">8</w:t>
                    </w:r>
                    <w:r>
                      <w:fldChar w:fldCharType="end"/>
                    </w:r>
                    <w:r/>
                  </w:p>
                  <w:p>
                    <w:pPr>
                      <w:pStyle w:val="6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677"/>
      <w:isLgl w:val="false"/>
      <w:suff w:val="nothing"/>
      <w:lvlText w:val="%1、"/>
      <w:lvlJc w:val="left"/>
      <w:pPr>
        <w:pStyle w:val="65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82"/>
      <w:isLgl w:val="false"/>
      <w:suff w:val="nothing"/>
      <w:lvlText w:val="%1．"/>
      <w:lvlJc w:val="left"/>
      <w:pPr>
        <w:pStyle w:val="65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651"/>
      </w:pPr>
      <w:rPr>
        <w:rFonts w:hint="eastAsia"/>
      </w:r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3">
    <w:multiLevelType w:val="hybridMultilevel"/>
    <w:lvl w:ilvl="0">
      <w:start w:val="1"/>
      <w:numFmt w:val="chineseCounting"/>
      <w:pStyle w:val="681"/>
      <w:isLgl w:val="false"/>
      <w:suff w:val="nothing"/>
      <w:lvlText w:val="（%1）"/>
      <w:lvlJc w:val="left"/>
      <w:pPr>
        <w:pStyle w:val="65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679"/>
      <w:isLgl w:val="false"/>
      <w:suff w:val="nothing"/>
      <w:lvlText w:val="（%1）"/>
      <w:lvlJc w:val="left"/>
      <w:pPr>
        <w:pStyle w:val="65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678"/>
      <w:isLgl w:val="false"/>
      <w:suff w:val="nothing"/>
      <w:lvlText w:val="%1．"/>
      <w:lvlJc w:val="left"/>
      <w:pPr>
        <w:pStyle w:val="65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pStyle w:val="6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pStyle w:val="680"/>
      <w:isLgl w:val="false"/>
      <w:suff w:val="nothing"/>
      <w:lvlText w:val="%1、"/>
      <w:lvlJc w:val="left"/>
      <w:pPr>
        <w:pStyle w:val="65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4"/>
  </w:num>
  <w:num w:numId="4">
    <w:abstractNumId w:val="7"/>
  </w:num>
  <w:num w:numId="5">
    <w:abstractNumId w:val="3"/>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1"/>
    <w:link w:val="651"/>
    <w:qFormat/>
    <w:pPr>
      <w:jc w:val="both"/>
      <w:widowControl w:val="off"/>
    </w:pPr>
    <w:rPr>
      <w:sz w:val="21"/>
      <w:szCs w:val="22"/>
      <w:lang w:val="en-US" w:eastAsia="zh-CN" w:bidi="ar-SA"/>
    </w:rPr>
  </w:style>
  <w:style w:type="paragraph" w:styleId="652">
    <w:name w:val="标题 1"/>
    <w:basedOn w:val="651"/>
    <w:next w:val="651"/>
    <w:link w:val="651"/>
    <w:uiPriority w:val="9"/>
    <w:qFormat/>
    <w:pPr>
      <w:keepLines/>
      <w:keepNext/>
      <w:spacing w:before="340" w:after="330" w:line="578" w:lineRule="auto"/>
      <w:outlineLvl w:val="0"/>
    </w:pPr>
    <w:rPr>
      <w:b/>
      <w:bCs/>
      <w:sz w:val="44"/>
      <w:szCs w:val="44"/>
    </w:rPr>
  </w:style>
  <w:style w:type="paragraph" w:styleId="653">
    <w:name w:val="标题 2"/>
    <w:basedOn w:val="651"/>
    <w:next w:val="651"/>
    <w:link w:val="651"/>
    <w:uiPriority w:val="9"/>
    <w:qFormat/>
    <w:pPr>
      <w:keepLines/>
      <w:keepNext/>
      <w:spacing w:before="260" w:after="260" w:line="416" w:lineRule="auto"/>
      <w:outlineLvl w:val="1"/>
    </w:pPr>
    <w:rPr>
      <w:rFonts w:ascii="Calibri Light" w:hAnsi="Calibri Light" w:eastAsia="宋体" w:cs="Times New Roman"/>
      <w:b/>
      <w:bCs/>
      <w:sz w:val="32"/>
      <w:szCs w:val="32"/>
    </w:rPr>
  </w:style>
  <w:style w:type="paragraph" w:styleId="654">
    <w:name w:val="标题 3"/>
    <w:basedOn w:val="651"/>
    <w:next w:val="651"/>
    <w:link w:val="651"/>
    <w:uiPriority w:val="9"/>
    <w:qFormat/>
    <w:pPr>
      <w:keepLines/>
      <w:keepNext/>
      <w:spacing w:before="260" w:after="260" w:line="416" w:lineRule="auto"/>
      <w:outlineLvl w:val="2"/>
    </w:pPr>
    <w:rPr>
      <w:b/>
      <w:bCs/>
      <w:sz w:val="32"/>
      <w:szCs w:val="32"/>
    </w:rPr>
  </w:style>
  <w:style w:type="character" w:styleId="655">
    <w:name w:val="默认段落字体"/>
    <w:next w:val="655"/>
    <w:link w:val="651"/>
    <w:semiHidden/>
    <w:qFormat/>
  </w:style>
  <w:style w:type="table" w:styleId="656">
    <w:name w:val="普通表格"/>
    <w:next w:val="656"/>
    <w:link w:val="651"/>
    <w:semiHidden/>
    <w:qFormat/>
    <w:tblPr/>
  </w:style>
  <w:style w:type="numbering" w:styleId="657">
    <w:name w:val="无列表"/>
    <w:next w:val="657"/>
    <w:link w:val="651"/>
    <w:uiPriority w:val="99"/>
    <w:semiHidden/>
    <w:unhideWhenUsed/>
  </w:style>
  <w:style w:type="paragraph" w:styleId="658">
    <w:name w:val="批注文字"/>
    <w:basedOn w:val="651"/>
    <w:next w:val="658"/>
    <w:link w:val="659"/>
    <w:pPr>
      <w:jc w:val="left"/>
    </w:pPr>
  </w:style>
  <w:style w:type="character" w:styleId="659">
    <w:name w:val="批注文字 Char"/>
    <w:basedOn w:val="655"/>
    <w:next w:val="659"/>
    <w:link w:val="658"/>
    <w:rPr>
      <w:sz w:val="21"/>
      <w:szCs w:val="22"/>
    </w:rPr>
  </w:style>
  <w:style w:type="paragraph" w:styleId="660">
    <w:name w:val="纯文本"/>
    <w:basedOn w:val="651"/>
    <w:next w:val="660"/>
    <w:link w:val="661"/>
    <w:unhideWhenUsed/>
    <w:qFormat/>
    <w:rPr>
      <w:rFonts w:ascii="宋体" w:hAnsi="Courier New"/>
      <w:szCs w:val="20"/>
    </w:rPr>
  </w:style>
  <w:style w:type="character" w:styleId="661">
    <w:name w:val="纯文本 Char"/>
    <w:basedOn w:val="655"/>
    <w:next w:val="661"/>
    <w:link w:val="660"/>
    <w:qFormat/>
    <w:rPr>
      <w:rFonts w:ascii="宋体" w:hAnsi="Courier New"/>
      <w:sz w:val="21"/>
    </w:rPr>
  </w:style>
  <w:style w:type="paragraph" w:styleId="662">
    <w:name w:val="批注框文本"/>
    <w:basedOn w:val="651"/>
    <w:next w:val="662"/>
    <w:link w:val="663"/>
    <w:rPr>
      <w:sz w:val="18"/>
      <w:szCs w:val="18"/>
    </w:rPr>
  </w:style>
  <w:style w:type="character" w:styleId="663">
    <w:name w:val="批注框文本 Char"/>
    <w:basedOn w:val="655"/>
    <w:next w:val="663"/>
    <w:link w:val="662"/>
    <w:rPr>
      <w:sz w:val="18"/>
      <w:szCs w:val="18"/>
    </w:rPr>
  </w:style>
  <w:style w:type="paragraph" w:styleId="664">
    <w:name w:val="页脚"/>
    <w:basedOn w:val="651"/>
    <w:next w:val="664"/>
    <w:link w:val="651"/>
    <w:uiPriority w:val="99"/>
    <w:unhideWhenUsed/>
    <w:qFormat/>
    <w:pPr>
      <w:jc w:val="left"/>
      <w:tabs>
        <w:tab w:val="center" w:pos="4153" w:leader="none"/>
        <w:tab w:val="right" w:pos="8306" w:leader="none"/>
      </w:tabs>
    </w:pPr>
    <w:rPr>
      <w:sz w:val="18"/>
      <w:szCs w:val="18"/>
    </w:rPr>
  </w:style>
  <w:style w:type="paragraph" w:styleId="665">
    <w:name w:val="页眉"/>
    <w:basedOn w:val="651"/>
    <w:next w:val="665"/>
    <w:link w:val="666"/>
    <w:pPr>
      <w:jc w:val="center"/>
      <w:tabs>
        <w:tab w:val="center" w:pos="4153" w:leader="none"/>
        <w:tab w:val="right" w:pos="8306" w:leader="none"/>
      </w:tabs>
      <w:pBdr>
        <w:bottom w:val="single" w:color="000000" w:sz="6" w:space="1"/>
      </w:pBdr>
    </w:pPr>
    <w:rPr>
      <w:sz w:val="18"/>
      <w:szCs w:val="18"/>
    </w:rPr>
  </w:style>
  <w:style w:type="character" w:styleId="666">
    <w:name w:val="页眉 Char"/>
    <w:basedOn w:val="655"/>
    <w:next w:val="666"/>
    <w:link w:val="665"/>
    <w:rPr>
      <w:sz w:val="18"/>
      <w:szCs w:val="18"/>
    </w:rPr>
  </w:style>
  <w:style w:type="paragraph" w:styleId="667">
    <w:name w:val="目录 1"/>
    <w:basedOn w:val="651"/>
    <w:next w:val="651"/>
    <w:link w:val="651"/>
    <w:uiPriority w:val="39"/>
    <w:unhideWhenUsed/>
    <w:qFormat/>
  </w:style>
  <w:style w:type="paragraph" w:styleId="668">
    <w:name w:val="普通(网站)"/>
    <w:basedOn w:val="651"/>
    <w:next w:val="668"/>
    <w:link w:val="651"/>
    <w:unhideWhenUsed/>
    <w:qFormat/>
    <w:pPr>
      <w:jc w:val="left"/>
      <w:spacing w:beforeAutospacing="1" w:afterAutospacing="1"/>
    </w:pPr>
    <w:rPr>
      <w:rFonts w:ascii="Calibri" w:hAnsi="Calibri" w:eastAsia="宋体"/>
      <w:sz w:val="24"/>
    </w:rPr>
  </w:style>
  <w:style w:type="paragraph" w:styleId="669">
    <w:name w:val="批注主题"/>
    <w:basedOn w:val="658"/>
    <w:next w:val="658"/>
    <w:link w:val="670"/>
    <w:rPr>
      <w:b/>
      <w:bCs/>
    </w:rPr>
  </w:style>
  <w:style w:type="character" w:styleId="670">
    <w:name w:val="批注主题 Char"/>
    <w:basedOn w:val="659"/>
    <w:next w:val="670"/>
    <w:link w:val="669"/>
  </w:style>
  <w:style w:type="table" w:styleId="671">
    <w:name w:val="网格型"/>
    <w:basedOn w:val="656"/>
    <w:next w:val="671"/>
    <w:link w:val="651"/>
    <w:uiPriority w:val="59"/>
    <w:qFormat/>
    <w:tblPr/>
  </w:style>
  <w:style w:type="character" w:styleId="672">
    <w:name w:val="要点"/>
    <w:basedOn w:val="655"/>
    <w:next w:val="672"/>
    <w:link w:val="651"/>
    <w:qFormat/>
    <w:rPr>
      <w:b/>
    </w:rPr>
  </w:style>
  <w:style w:type="character" w:styleId="673">
    <w:name w:val="强调"/>
    <w:next w:val="673"/>
    <w:link w:val="651"/>
    <w:qFormat/>
    <w:rPr>
      <w:i/>
    </w:rPr>
  </w:style>
  <w:style w:type="character" w:styleId="674">
    <w:name w:val="批注引用"/>
    <w:basedOn w:val="655"/>
    <w:next w:val="674"/>
    <w:link w:val="651"/>
    <w:rPr>
      <w:sz w:val="21"/>
      <w:szCs w:val="21"/>
    </w:rPr>
  </w:style>
  <w:style w:type="paragraph" w:styleId="675">
    <w:name w:val="Default"/>
    <w:next w:val="675"/>
    <w:link w:val="676"/>
    <w:uiPriority w:val="99"/>
    <w:qFormat/>
    <w:pPr>
      <w:widowControl w:val="off"/>
    </w:pPr>
    <w:rPr>
      <w:rFonts w:ascii="MS Mincho"/>
      <w:color w:val="000000"/>
      <w:sz w:val="21"/>
      <w:szCs w:val="24"/>
      <w:lang w:bidi="ar-SA"/>
    </w:rPr>
  </w:style>
  <w:style w:type="character" w:styleId="676">
    <w:name w:val="Default Char"/>
    <w:next w:val="676"/>
    <w:link w:val="675"/>
    <w:uiPriority w:val="99"/>
    <w:qFormat/>
    <w:rPr>
      <w:rFonts w:ascii="MS Mincho"/>
      <w:color w:val="000000"/>
      <w:sz w:val="21"/>
      <w:szCs w:val="24"/>
      <w:lang w:bidi="ar-SA"/>
    </w:rPr>
  </w:style>
  <w:style w:type="paragraph" w:styleId="677">
    <w:name w:val="a"/>
    <w:next w:val="677"/>
    <w:link w:val="651"/>
    <w:qFormat/>
    <w:pPr>
      <w:numPr>
        <w:ilvl w:val="0"/>
        <w:numId w:val="1"/>
      </w:numPr>
      <w:ind w:firstLine="0"/>
      <w:jc w:val="center"/>
      <w:spacing w:before="50" w:after="50" w:line="360" w:lineRule="auto"/>
    </w:pPr>
    <w:rPr>
      <w:b/>
      <w:sz w:val="36"/>
      <w:lang w:val="en-US" w:eastAsia="zh-CN" w:bidi="ar-SA"/>
    </w:rPr>
  </w:style>
  <w:style w:type="paragraph" w:styleId="678">
    <w:name w:val="c"/>
    <w:next w:val="678"/>
    <w:link w:val="651"/>
    <w:qFormat/>
    <w:pPr>
      <w:numPr>
        <w:ilvl w:val="0"/>
        <w:numId w:val="2"/>
      </w:numPr>
      <w:ind w:firstLine="0"/>
      <w:jc w:val="center"/>
      <w:spacing w:before="50" w:after="50" w:line="360" w:lineRule="auto"/>
    </w:pPr>
    <w:rPr>
      <w:b/>
      <w:sz w:val="28"/>
      <w:lang w:val="en-US" w:eastAsia="zh-CN" w:bidi="ar-SA"/>
    </w:rPr>
  </w:style>
  <w:style w:type="paragraph" w:styleId="679">
    <w:name w:val="b"/>
    <w:next w:val="679"/>
    <w:link w:val="651"/>
    <w:qFormat/>
    <w:pPr>
      <w:numPr>
        <w:ilvl w:val="0"/>
        <w:numId w:val="3"/>
      </w:numPr>
      <w:ind w:firstLine="0"/>
      <w:jc w:val="center"/>
      <w:spacing w:before="50" w:after="50" w:line="360" w:lineRule="auto"/>
    </w:pPr>
    <w:rPr>
      <w:b/>
      <w:sz w:val="30"/>
      <w:lang w:val="en-US" w:eastAsia="zh-CN" w:bidi="ar-SA"/>
    </w:rPr>
  </w:style>
  <w:style w:type="paragraph" w:styleId="680">
    <w:name w:val="1"/>
    <w:next w:val="680"/>
    <w:link w:val="651"/>
    <w:qFormat/>
    <w:pPr>
      <w:numPr>
        <w:ilvl w:val="0"/>
        <w:numId w:val="4"/>
      </w:numPr>
      <w:jc w:val="center"/>
      <w:spacing w:before="50" w:after="50" w:line="360" w:lineRule="auto"/>
    </w:pPr>
    <w:rPr>
      <w:rFonts w:hint="eastAsia" w:ascii="宋体" w:hAnsi="宋体" w:cs="宋体"/>
      <w:b/>
      <w:color w:val="000000"/>
      <w:sz w:val="36"/>
      <w:szCs w:val="48"/>
      <w:lang w:val="en-US" w:eastAsia="zh-CN" w:bidi="ar-SA"/>
    </w:rPr>
  </w:style>
  <w:style w:type="paragraph" w:styleId="681">
    <w:name w:val="2"/>
    <w:next w:val="681"/>
    <w:link w:val="651"/>
    <w:qFormat/>
    <w:pPr>
      <w:numPr>
        <w:ilvl w:val="0"/>
        <w:numId w:val="5"/>
      </w:numPr>
      <w:jc w:val="center"/>
      <w:spacing w:before="50" w:after="50" w:line="360" w:lineRule="auto"/>
    </w:pPr>
    <w:rPr>
      <w:rFonts w:hint="eastAsia" w:ascii="宋体" w:hAnsi="宋体" w:cs="宋体"/>
      <w:b/>
      <w:color w:val="000000"/>
      <w:sz w:val="30"/>
      <w:szCs w:val="48"/>
      <w:lang w:val="en-US" w:eastAsia="zh-CN" w:bidi="ar-SA"/>
    </w:rPr>
  </w:style>
  <w:style w:type="paragraph" w:styleId="682">
    <w:name w:val="3"/>
    <w:next w:val="682"/>
    <w:link w:val="651"/>
    <w:qFormat/>
    <w:pPr>
      <w:numPr>
        <w:ilvl w:val="0"/>
        <w:numId w:val="6"/>
      </w:numPr>
      <w:jc w:val="center"/>
      <w:spacing w:before="50" w:after="50" w:line="360" w:lineRule="auto"/>
    </w:pPr>
    <w:rPr>
      <w:rFonts w:hint="eastAsia" w:ascii="宋体" w:hAnsi="宋体" w:cs="宋体"/>
      <w:b/>
      <w:color w:val="000000"/>
      <w:sz w:val="28"/>
      <w:szCs w:val="48"/>
      <w:lang w:val="en-US" w:eastAsia="zh-CN" w:bidi="ar-SA"/>
    </w:rPr>
  </w:style>
  <w:style w:type="paragraph" w:styleId="683">
    <w:name w:val="4"/>
    <w:next w:val="683"/>
    <w:link w:val="651"/>
    <w:qFormat/>
    <w:pPr>
      <w:ind w:firstLine="482"/>
      <w:spacing w:line="360" w:lineRule="auto"/>
    </w:pPr>
    <w:rPr>
      <w:rFonts w:hint="eastAsia" w:ascii="宋体" w:hAnsi="宋体" w:cs="宋体"/>
      <w:color w:val="000000"/>
      <w:sz w:val="24"/>
      <w:szCs w:val="48"/>
      <w:lang w:val="en-US" w:eastAsia="zh-CN" w:bidi="ar-SA"/>
    </w:rPr>
  </w:style>
  <w:style w:type="paragraph" w:styleId="684">
    <w:name w:val="MsoNormal"/>
    <w:basedOn w:val="651"/>
    <w:next w:val="684"/>
    <w:link w:val="651"/>
    <w:qFormat/>
    <w:pPr>
      <w:jc w:val="left"/>
      <w:widowControl/>
    </w:pPr>
    <w:rPr>
      <w:rFonts w:ascii="Times New Roman" w:hAnsi="Times New Roman" w:eastAsia="Times New Roman" w:cs="Times New Roman"/>
      <w:sz w:val="24"/>
      <w:szCs w:val="24"/>
      <w:lang w:eastAsia="en-US"/>
    </w:rPr>
  </w:style>
  <w:style w:type="paragraph" w:styleId="685">
    <w:name w:val="纯文本11"/>
    <w:next w:val="685"/>
    <w:link w:val="651"/>
    <w:qFormat/>
    <w:pPr>
      <w:jc w:val="both"/>
      <w:widowControl w:val="off"/>
    </w:pPr>
    <w:rPr>
      <w:rFonts w:ascii="宋体" w:hAnsi="Courier New"/>
      <w:sz w:val="21"/>
      <w:lang w:val="en-US" w:eastAsia="zh-CN" w:bidi="ar-SA"/>
    </w:rPr>
  </w:style>
  <w:style w:type="character" w:styleId="11963" w:default="1">
    <w:name w:val="Default Paragraph Font"/>
    <w:uiPriority w:val="1"/>
    <w:semiHidden/>
    <w:unhideWhenUsed/>
  </w:style>
  <w:style w:type="numbering" w:styleId="11964" w:default="1">
    <w:name w:val="No List"/>
    <w:uiPriority w:val="99"/>
    <w:semiHidden/>
    <w:unhideWhenUsed/>
  </w:style>
  <w:style w:type="table" w:styleId="11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刘昊</cp:lastModifiedBy>
  <cp:revision>4</cp:revision>
  <dcterms:created xsi:type="dcterms:W3CDTF">2026-10-21T08:00:00Z</dcterms:created>
  <dcterms:modified xsi:type="dcterms:W3CDTF">2026-10-22T01:00:20Z</dcterms:modified>
  <cp:version>786432</cp:version>
</cp:coreProperties>
</file>