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r>
      <w:r/>
    </w:p>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r>
      <w:r/>
    </w:p>
    <w:p>
      <w:pPr>
        <w:jc w:val="center"/>
        <w:spacing w:line="360" w:lineRule="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政府采购</w:t>
      </w:r>
      <w:r/>
    </w:p>
    <w:p>
      <w:pPr>
        <w:jc w:val="center"/>
        <w:spacing w:line="360" w:lineRule="auto"/>
        <w:rPr>
          <w:rFonts w:hint="eastAsia" w:ascii="宋体" w:hAnsi="宋体" w:cs="宋体"/>
          <w:b/>
          <w:color w:val="000000" w:themeColor="text1"/>
          <w:spacing w:val="20"/>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公开招标文件</w:t>
      </w:r>
      <w:r/>
    </w:p>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（全流程电子化）</w:t>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ind w:firstLine="420"/>
        <w:spacing w:line="48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JSZC-320000-JSWD-G2026-0051</w:t>
      </w:r>
      <w:r/>
    </w:p>
    <w:p>
      <w:pPr>
        <w:ind w:firstLine="420"/>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采购项目名称：无锡职业技术大学机电控制场景应用实训室设备采购</w:t>
      </w:r>
      <w:r/>
    </w:p>
    <w:p>
      <w:pPr>
        <w:ind w:firstLine="420"/>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 购 人：无锡职业技术大学</w:t>
      </w:r>
      <w:r/>
    </w:p>
    <w:p>
      <w:pPr>
        <w:ind w:firstLine="420"/>
        <w:jc w:val="left"/>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采购代理机构：江苏万达工程造价事务所有限公司</w:t>
      </w:r>
      <w:r/>
    </w:p>
    <w:p>
      <w:pPr>
        <w:jc w:val="center"/>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二○二六年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十</w:t>
      </w:r>
      <w:r>
        <w:rPr>
          <w:rFonts w:hint="eastAsia" w:ascii="宋体" w:hAnsi="宋体" w:cs="宋体"/>
          <w:b/>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目  录</w:t>
      </w:r>
      <w:r/>
    </w:p>
    <w:p>
      <w:pPr>
        <w:jc w:val="cente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1000" w:lineRule="exact"/>
        <w:tabs>
          <w:tab w:val="left" w:pos="8000" w:leader="none"/>
        </w:tabs>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第一部分    投标邀请</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第二部分    投标供应商须知</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第三部分    采购需求</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第四部分    合同书（格式文本）</w:t>
      </w:r>
      <w:r/>
    </w:p>
    <w:p>
      <w:pPr>
        <w:spacing w:line="10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第五部分    附件（投标文件格式）</w:t>
      </w:r>
      <w:r/>
    </w:p>
    <w:p>
      <w:pPr>
        <w:jc w:val="center"/>
        <w:spacing w:line="360" w:lineRule="auto"/>
        <w:widowControl/>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第一部分. 投标邀请</w:t>
      </w:r>
      <w:r/>
    </w:p>
    <w:p>
      <w:pPr>
        <w:ind w:firstLine="482"/>
        <w:spacing w:line="360" w:lineRule="auto"/>
        <w:widowControl/>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江苏万达工程造价事务所有限公司</w:t>
      </w:r>
      <w:r>
        <w:rPr>
          <w:rFonts w:hint="eastAsia" w:ascii="宋体" w:hAnsi="宋体" w:cs="宋体"/>
          <w:color w:val="000000" w:themeColor="text1"/>
          <w:sz w:val="24"/>
          <w:highlight w:val="none"/>
          <w14:textFill>
            <w14:solidFill>
              <w14:schemeClr w14:val="tx1"/>
            </w14:solidFill>
          </w14:textFill>
        </w:rPr>
        <w:t xml:space="preserve">受</w:t>
      </w:r>
      <w:r>
        <w:rPr>
          <w:rFonts w:hint="eastAsia" w:ascii="宋体" w:hAnsi="宋体" w:cs="宋体"/>
          <w:b/>
          <w:bCs/>
          <w:color w:val="000000" w:themeColor="text1"/>
          <w:sz w:val="24"/>
          <w:highlight w:val="none"/>
          <w14:textFill>
            <w14:solidFill>
              <w14:schemeClr w14:val="tx1"/>
            </w14:solidFill>
          </w14:textFill>
        </w:rPr>
        <w:t xml:space="preserve">无锡职业技术大学</w:t>
      </w:r>
      <w:r>
        <w:rPr>
          <w:rFonts w:hint="eastAsia" w:ascii="宋体" w:hAnsi="宋体" w:cs="宋体"/>
          <w:color w:val="000000" w:themeColor="text1"/>
          <w:sz w:val="24"/>
          <w:highlight w:val="none"/>
          <w14:textFill>
            <w14:solidFill>
              <w14:schemeClr w14:val="tx1"/>
            </w14:solidFill>
          </w14:textFill>
        </w:rPr>
        <w:t xml:space="preserve">委托，就其</w:t>
      </w:r>
      <w:r>
        <w:rPr>
          <w:rFonts w:hint="eastAsia" w:ascii="宋体" w:hAnsi="宋体" w:cs="宋体"/>
          <w:b/>
          <w:bCs/>
          <w:color w:val="000000" w:themeColor="text1"/>
          <w:sz w:val="24"/>
          <w:highlight w:val="none"/>
          <w14:textFill>
            <w14:solidFill>
              <w14:schemeClr w14:val="tx1"/>
            </w14:solidFill>
          </w14:textFill>
        </w:rPr>
        <w:t xml:space="preserve">无锡职业技术大学机电控制场景应用实训室设备采购</w:t>
      </w:r>
      <w:r>
        <w:rPr>
          <w:rFonts w:hint="eastAsia" w:ascii="宋体" w:hAnsi="宋体" w:cs="宋体"/>
          <w:color w:val="000000" w:themeColor="text1"/>
          <w:sz w:val="24"/>
          <w:highlight w:val="none"/>
          <w14:textFill>
            <w14:solidFill>
              <w14:schemeClr w14:val="tx1"/>
            </w14:solidFill>
          </w14:textFill>
        </w:rPr>
        <w:t xml:space="preserve">进行公开招标。现欢迎符合相关条件的供应商参加投标，投标邀请如下：</w:t>
      </w:r>
      <w:r/>
    </w:p>
    <w:tbl>
      <w:tblPr>
        <w:tblStyle w:val="69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8303"/>
      </w:tblGrid>
      <w:tr>
        <w:trPr>
          <w:jc w:val="center"/>
          <w:trHeight w:val="435"/>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78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w:t>
            </w:r>
            <w:r/>
          </w:p>
        </w:tc>
      </w:tr>
      <w:tr>
        <w:trPr>
          <w:jc w:val="center"/>
          <w:trHeight w:val="90"/>
        </w:trPr>
        <w:tc>
          <w:tcPr>
            <w:tcW w:w="710"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采购项目名称：无锡职业技术大学机电控制场景应用实训室设备采购</w:t>
            </w:r>
            <w:r/>
          </w:p>
          <w:p>
            <w:pPr>
              <w:spacing w:line="32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采购项目编号：</w:t>
            </w:r>
            <w:r>
              <w:rPr>
                <w:rFonts w:hint="eastAsia" w:ascii="宋体" w:hAnsi="宋体" w:cs="宋体"/>
                <w:color w:val="000000" w:themeColor="text1"/>
                <w:sz w:val="24"/>
                <w:highlight w:val="none"/>
                <w:lang w:eastAsia="zh-CN"/>
                <w14:textFill>
                  <w14:solidFill>
                    <w14:schemeClr w14:val="tx1"/>
                  </w14:solidFill>
                </w14:textFill>
              </w:rPr>
              <w:t xml:space="preserve">JSZC-320000-JSWD-G2026-0051</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采购方式：公开招标</w:t>
            </w:r>
            <w:r/>
          </w:p>
        </w:tc>
      </w:tr>
      <w:tr>
        <w:trPr>
          <w:jc w:val="center"/>
          <w:trHeight w:val="1443"/>
        </w:trPr>
        <w:tc>
          <w:tcPr>
            <w:tcW w:w="710"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采购人地址：无锡市大学城高浪西路1600号</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采购代理机构：江苏万达工程造价事务所有限公司</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采购代理机构地址：无锡市滨湖区滴翠路100号B幢1005室</w:t>
            </w:r>
            <w:r/>
          </w:p>
        </w:tc>
      </w:tr>
      <w:tr>
        <w:trPr>
          <w:jc w:val="center"/>
          <w:trHeight w:val="442"/>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7810" w:type="dxa"/>
            <w:vAlign w:val="center"/>
            <w:textDirection w:val="lrTb"/>
            <w:noWrap w:val="false"/>
          </w:tcPr>
          <w:p>
            <w:pPr>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采购项目概况、要求：</w:t>
            </w:r>
            <w:r/>
          </w:p>
          <w:p>
            <w:pPr>
              <w:jc w:val="left"/>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（1）采购内容：</w:t>
            </w:r>
            <w:bookmarkStart w:id="0" w:name="OLE_LINK5"/>
            <w:r>
              <w:rPr>
                <w:rFonts w:hint="eastAsia" w:ascii="宋体" w:hAnsi="宋体"/>
                <w:color w:val="000000" w:themeColor="text1"/>
                <w:sz w:val="24"/>
                <w:highlight w:val="none"/>
                <w14:textFill>
                  <w14:solidFill>
                    <w14:schemeClr w14:val="tx1"/>
                  </w14:solidFill>
                </w14:textFill>
              </w:rPr>
              <w:t xml:space="preserve">本次采购的机电设备控制场景应用实训台，融合PLC、机器人、机器视觉、运动控制等多领域技术，拟建一个集工业场景式教学、技术研发、社会服务于一体的智能控制综合平台，学生能够系统掌握机电设备智能控制关键技术，提升综合工程素养与实践创新能力。</w:t>
            </w:r>
            <w:bookmarkEnd w:id="0"/>
            <w:r>
              <w:rPr>
                <w:rFonts w:hint="eastAsia" w:ascii="宋体" w:hAnsi="宋体" w:cs="宋体"/>
                <w:color w:val="000000" w:themeColor="text1"/>
                <w:sz w:val="24"/>
                <w:highlight w:val="none"/>
                <w14:textFill>
                  <w14:solidFill>
                    <w14:schemeClr w14:val="tx1"/>
                  </w14:solidFill>
                </w14:textFill>
              </w:rPr>
              <w:t xml:space="preserve">具体要求详见招标文件第三部分“采购需求”。</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bookmarkStart w:id="1" w:name="_Hlk42028919"/>
            <w:r>
              <w:rPr>
                <w:rFonts w:hint="eastAsia" w:ascii="宋体" w:hAnsi="宋体"/>
                <w:color w:val="000000" w:themeColor="text1"/>
                <w:sz w:val="24"/>
                <w:highlight w:val="none"/>
                <w14:textFill>
                  <w14:solidFill>
                    <w14:schemeClr w14:val="tx1"/>
                  </w14:solidFill>
                </w14:textFill>
              </w:rPr>
              <w:t xml:space="preserve">供货及完工期限：合同签订生效后30日内完成供货安装调试。</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bookmarkEnd w:id="1"/>
            <w:r>
              <w:rPr>
                <w:rFonts w:hint="eastAsia" w:ascii="宋体" w:hAnsi="宋体"/>
                <w:color w:val="000000" w:themeColor="text1"/>
                <w:sz w:val="24"/>
                <w:highlight w:val="none"/>
                <w14:textFill>
                  <w14:solidFill>
                    <w14:schemeClr w14:val="tx1"/>
                  </w14:solidFill>
                </w14:textFill>
              </w:rPr>
              <w:t xml:space="preserve">质量要求：一次性验收通过，100%合格。</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（4）质保要求：自验收合格日起一年；</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（5）预算金额及最高限价：155万元；</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本项目是否专门面向中小</w:t>
            </w:r>
            <w:r>
              <w:rPr>
                <w:rFonts w:hint="eastAsia" w:ascii="宋体" w:hAnsi="宋体"/>
                <w:color w:val="000000" w:themeColor="text1"/>
                <w:sz w:val="24"/>
                <w:highlight w:val="none"/>
                <w14:textFill>
                  <w14:solidFill>
                    <w14:schemeClr w14:val="tx1"/>
                  </w14:solidFill>
                </w14:textFill>
              </w:rPr>
              <w:t xml:space="preserve">微</w:t>
            </w:r>
            <w:r>
              <w:rPr>
                <w:rFonts w:hint="eastAsia" w:ascii="宋体" w:hAnsi="宋体"/>
                <w:color w:val="000000" w:themeColor="text1"/>
                <w:sz w:val="24"/>
                <w:highlight w:val="none"/>
                <w:lang w:val="zh-CN"/>
                <w14:textFill>
                  <w14:solidFill>
                    <w14:schemeClr w14:val="tx1"/>
                  </w14:solidFill>
                </w14:textFill>
              </w:rPr>
              <w:t xml:space="preserve">企业采购：</w:t>
            </w:r>
            <w:r>
              <w:rPr>
                <w:rFonts w:hint="eastAsia" w:ascii="宋体" w:hAnsi="宋体"/>
                <w:color w:val="000000" w:themeColor="text1"/>
                <w:sz w:val="24"/>
                <w:highlight w:val="none"/>
                <w14:textFill>
                  <w14:solidFill>
                    <w14:schemeClr w14:val="tx1"/>
                  </w14:solidFill>
                </w14:textFill>
              </w:rPr>
              <w:t xml:space="preserve">否；</w:t>
            </w:r>
            <w:r/>
          </w:p>
          <w:p>
            <w:pPr>
              <w:jc w:val="left"/>
              <w:spacing w:line="324" w:lineRule="auto"/>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本项目标的所属行业：工业；根据《中小企业划型标准规定》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324" w:lineRule="auto"/>
              <w:widowControl/>
              <w:rPr>
                <w:rFonts w:hint="eastAsia"/>
              </w:rPr>
            </w:pPr>
            <w:r>
              <w:rPr>
                <w:rFonts w:hint="eastAsia" w:ascii="宋体" w:hAnsi="宋体" w:cs="宋体"/>
                <w:bCs/>
                <w:color w:val="0000ff"/>
                <w:sz w:val="24"/>
                <w:highlight w:val="none"/>
                <w:lang w:val="zh-CN"/>
              </w:rPr>
              <w:t xml:space="preserve">（</w:t>
            </w:r>
            <w:r>
              <w:rPr>
                <w:rFonts w:hint="eastAsia" w:ascii="宋体" w:hAnsi="宋体" w:cs="宋体"/>
                <w:bCs/>
                <w:color w:val="0000ff"/>
                <w:sz w:val="24"/>
                <w:highlight w:val="none"/>
                <w:lang w:val="en-US" w:eastAsia="zh-CN"/>
              </w:rPr>
              <w:t xml:space="preserve">8</w:t>
            </w:r>
            <w:r>
              <w:rPr>
                <w:rFonts w:hint="eastAsia" w:ascii="宋体" w:hAnsi="宋体" w:cs="宋体"/>
                <w:bCs/>
                <w:color w:val="0000ff"/>
                <w:sz w:val="24"/>
                <w:highlight w:val="none"/>
                <w:lang w:val="zh-CN"/>
              </w:rPr>
              <w:t xml:space="preserve">）本项目不接受进口产品参与投标。(所称进口产品是指通过中国海关报关验放进入中国境内且产自关境外的产品。）</w:t>
            </w:r>
            <w:bookmarkStart w:id="8" w:name="_GoBack"/>
            <w:r/>
            <w:bookmarkEnd w:id="8"/>
            <w:r>
              <w:t xml:space="preserve">   </w:t>
            </w:r>
            <w:r/>
          </w:p>
        </w:tc>
      </w:tr>
      <w:tr>
        <w:trPr>
          <w:jc w:val="center"/>
          <w:trHeight w:val="3974"/>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7810" w:type="dxa"/>
            <w:vAlign w:val="center"/>
            <w:textDirection w:val="lrTb"/>
            <w:noWrap w:val="false"/>
          </w:tcPr>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投标供应商资格要求</w:t>
            </w:r>
            <w:r>
              <w:rPr>
                <w:rFonts w:hint="eastAsia" w:ascii="宋体" w:hAnsi="宋体" w:cs="宋体"/>
                <w:color w:val="000000" w:themeColor="text1"/>
                <w:sz w:val="24"/>
                <w:highlight w:val="none"/>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未被</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信用中国</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网站</w:t>
            </w:r>
            <w:r>
              <w:rPr>
                <w:rFonts w:hint="eastAsia" w:ascii="宋体" w:hAnsi="宋体" w:cs="宋体"/>
                <w:color w:val="000000" w:themeColor="text1"/>
                <w:sz w:val="24"/>
                <w:highlight w:val="none"/>
                <w14:textFill>
                  <w14:solidFill>
                    <w14:schemeClr w14:val="tx1"/>
                  </w14:solidFill>
                </w14:textFill>
              </w:rPr>
              <w:t xml:space="preserve">（www.creditchina.gov.cn）</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”(www.ccgp.gov.cn)</w:t>
            </w:r>
            <w:r>
              <w:rPr>
                <w:rFonts w:hint="eastAsia" w:ascii="宋体" w:hAnsi="宋体" w:cs="宋体"/>
                <w:color w:val="000000" w:themeColor="text1"/>
                <w:sz w:val="24"/>
                <w:highlight w:val="none"/>
                <w:lang w:val="zh-CN"/>
                <w14:textFill>
                  <w14:solidFill>
                    <w14:schemeClr w14:val="tx1"/>
                  </w14:solidFill>
                </w14:textFill>
              </w:rPr>
              <w:t xml:space="preserve">列入失信被执行人、重大税收违法案件当事人名单、政府采购严重失信行为记录名单</w:t>
            </w:r>
            <w:r>
              <w:rPr>
                <w:rFonts w:hint="eastAsia" w:ascii="宋体" w:hAnsi="宋体" w:cs="宋体"/>
                <w:color w:val="000000" w:themeColor="text1"/>
                <w:sz w:val="24"/>
                <w:highlight w:val="none"/>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（2）满足</w:t>
            </w:r>
            <w:r>
              <w:rPr>
                <w:rFonts w:hint="eastAsia" w:ascii="宋体" w:hAnsi="宋体" w:cs="宋体"/>
                <w:color w:val="000000" w:themeColor="text1"/>
                <w:sz w:val="24"/>
                <w:highlight w:val="none"/>
                <w:lang w:val="zh-CN"/>
                <w14:textFill>
                  <w14:solidFill>
                    <w14:schemeClr w14:val="tx1"/>
                  </w14:solidFill>
                </w14:textFill>
              </w:rPr>
              <w:t xml:space="preserve">《中华人民共和国政府采购法》第二十二条的规定；</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）授权代表</w:t>
            </w:r>
            <w:r>
              <w:rPr>
                <w:rFonts w:hint="eastAsia" w:ascii="宋体" w:hAnsi="宋体" w:cs="宋体"/>
                <w:color w:val="000000" w:themeColor="text1"/>
                <w:sz w:val="24"/>
                <w:highlight w:val="none"/>
                <w14:textFill>
                  <w14:solidFill>
                    <w14:schemeClr w14:val="tx1"/>
                  </w14:solidFill>
                </w14:textFill>
              </w:rPr>
              <w:t xml:space="preserve">须</w:t>
            </w:r>
            <w:r>
              <w:rPr>
                <w:rFonts w:hint="eastAsia" w:ascii="宋体" w:hAnsi="宋体" w:cs="宋体"/>
                <w:color w:val="000000" w:themeColor="text1"/>
                <w:sz w:val="24"/>
                <w:highlight w:val="none"/>
                <w:lang w:val="zh-CN"/>
                <w14:textFill>
                  <w14:solidFill>
                    <w14:schemeClr w14:val="tx1"/>
                  </w14:solidFill>
                </w14:textFill>
              </w:rPr>
              <w:t xml:space="preserve">为</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zh-CN"/>
                <w14:textFill>
                  <w14:solidFill>
                    <w14:schemeClr w14:val="tx1"/>
                  </w14:solidFill>
                </w14:textFill>
              </w:rPr>
              <w:t xml:space="preserve">供应商本单位在职员工；</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本项目不接受联合体投标。</w:t>
            </w:r>
            <w:r/>
          </w:p>
          <w:p>
            <w:pPr>
              <w:spacing w:line="324" w:lineRule="auto"/>
              <w:widowControl/>
              <w:rPr>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注：采购人及采购代理机构有权对以上资格条件进行核查，如供应商有弄虚作假行为或不具备以上条件的将取消报价资格。</w:t>
            </w:r>
            <w:r/>
          </w:p>
        </w:tc>
      </w:tr>
      <w:tr>
        <w:trPr>
          <w:jc w:val="center"/>
          <w:trHeight w:val="1530"/>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7810" w:type="dxa"/>
            <w:vAlign w:val="center"/>
            <w:textDirection w:val="lrTb"/>
            <w:noWrap w:val="false"/>
          </w:tcPr>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w:t>
            </w:r>
            <w:r>
              <w:rPr>
                <w:rFonts w:hint="eastAsia" w:ascii="宋体" w:hAnsi="宋体" w:cs="宋体"/>
                <w:color w:val="000000" w:themeColor="text1"/>
                <w:sz w:val="24"/>
                <w:highlight w:val="none"/>
                <w14:textFill>
                  <w14:solidFill>
                    <w14:schemeClr w14:val="tx1"/>
                  </w14:solidFill>
                </w14:textFill>
              </w:rPr>
              <w:t xml:space="preserve">获取</w:t>
            </w:r>
            <w:r>
              <w:rPr>
                <w:rFonts w:hint="eastAsia" w:ascii="宋体" w:hAnsi="宋体" w:cs="宋体"/>
                <w:color w:val="000000" w:themeColor="text1"/>
                <w:sz w:val="24"/>
                <w:highlight w:val="none"/>
                <w:lang w:val="zh-CN"/>
                <w14:textFill>
                  <w14:solidFill>
                    <w14:schemeClr w14:val="tx1"/>
                  </w14:solidFill>
                </w14:textFill>
              </w:rPr>
              <w:t xml:space="preserve">期限：本项目公告发布之日起五个工作日内</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文件提供地点：</w:t>
            </w:r>
            <w:r>
              <w:rPr>
                <w:rFonts w:ascii="宋体" w:hAnsi="宋体" w:cs="宋体"/>
                <w:color w:val="000000" w:themeColor="text1"/>
                <w:sz w:val="24"/>
                <w:highlight w:val="none"/>
                <w14:textFill>
                  <w14:solidFill>
                    <w14:schemeClr w14:val="tx1"/>
                  </w14:solidFill>
                </w14:textFill>
              </w:rPr>
              <w:t xml:space="preserve">江苏政府采购（苏采云）平台</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注：投标供应商应承担其编制投标文件以及递交投标文件所涉及的一切费用。无论投标结果如何，采购人对上述费用不负任何责任。</w:t>
            </w:r>
            <w:r/>
          </w:p>
        </w:tc>
      </w:tr>
      <w:tr>
        <w:trPr>
          <w:jc w:val="center"/>
          <w:trHeight w:val="84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踏勘现场：由投标供应商自行踏勘现场。</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投标供应商要求澄清采购文件的截止时间：</w:t>
            </w:r>
            <w:r>
              <w:rPr>
                <w:rFonts w:hint="eastAsia" w:ascii="宋体" w:hAnsi="宋体" w:cs="宋体"/>
                <w:color w:val="000000" w:themeColor="text1"/>
                <w:sz w:val="24"/>
                <w:highlight w:val="none"/>
                <w:lang w:eastAsia="zh-CN"/>
                <w14:textFill>
                  <w14:solidFill>
                    <w14:schemeClr w14:val="tx1"/>
                  </w14:solidFill>
                </w14:textFill>
              </w:rPr>
              <w:t xml:space="preserve">2026年10月30日</w:t>
            </w:r>
            <w:r>
              <w:rPr>
                <w:rFonts w:hint="eastAsia" w:ascii="宋体" w:hAnsi="宋体" w:cs="宋体"/>
                <w:color w:val="000000" w:themeColor="text1"/>
                <w:sz w:val="24"/>
                <w:highlight w:val="none"/>
                <w14:textFill>
                  <w14:solidFill>
                    <w14:schemeClr w14:val="tx1"/>
                  </w14:solidFill>
                </w14:textFill>
              </w:rPr>
              <w:t xml:space="preserve">11时，以书面（或电子稿）形式和电子邮件形式发送给采购代理机构。</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采购人对采购文件澄清、修改时间：投标截止时间15天前，以书面（或电子稿）形式发送给各报名投标供应商。</w:t>
            </w:r>
            <w:r/>
          </w:p>
        </w:tc>
      </w:tr>
      <w:tr>
        <w:trPr>
          <w:jc w:val="center"/>
          <w:trHeight w:val="517"/>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7810" w:type="dxa"/>
            <w:vAlign w:val="center"/>
            <w:textDirection w:val="lrTb"/>
            <w:noWrap w:val="false"/>
          </w:tcPr>
          <w:p>
            <w:pPr>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tc>
      </w:tr>
      <w:tr>
        <w:trPr>
          <w:jc w:val="center"/>
          <w:trHeight w:val="45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投标有效期：投标截止时间起90天。</w:t>
            </w:r>
            <w:r/>
          </w:p>
        </w:tc>
      </w:tr>
      <w:tr>
        <w:trPr>
          <w:jc w:val="center"/>
          <w:trHeight w:val="467"/>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）网上投标截止时间：</w:t>
            </w:r>
            <w:r>
              <w:rPr>
                <w:rFonts w:hint="eastAsia" w:ascii="宋体" w:hAnsi="宋体" w:cs="宋体"/>
                <w:color w:val="000000" w:themeColor="text1"/>
                <w:sz w:val="24"/>
                <w:highlight w:val="none"/>
                <w:lang w:eastAsia="zh-CN"/>
                <w14:textFill>
                  <w14:solidFill>
                    <w14:schemeClr w14:val="tx1"/>
                  </w14:solidFill>
                </w14:textFill>
              </w:rPr>
              <w:t xml:space="preserve">2026年11月16日14：00</w:t>
            </w:r>
            <w:r>
              <w:rPr>
                <w:rFonts w:hint="eastAsia" w:ascii="宋体" w:hAnsi="宋体" w:cs="宋体"/>
                <w:color w:val="000000" w:themeColor="text1"/>
                <w:sz w:val="24"/>
                <w:highlight w:val="none"/>
                <w14:textFill>
                  <w14:solidFill>
                    <w14:schemeClr w14:val="tx1"/>
                  </w14:solidFill>
                </w14:textFill>
              </w:rPr>
              <w:t xml:space="preserve">，投标截止时间后的投标文件恕不接受。</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）网上投标解密时间：</w:t>
            </w:r>
            <w:r>
              <w:rPr>
                <w:rFonts w:hint="eastAsia" w:ascii="宋体" w:hAnsi="宋体" w:cs="宋体"/>
                <w:color w:val="000000" w:themeColor="text1"/>
                <w:sz w:val="24"/>
                <w:highlight w:val="none"/>
                <w:lang w:eastAsia="zh-CN"/>
                <w14:textFill>
                  <w14:solidFill>
                    <w14:schemeClr w14:val="tx1"/>
                  </w14:solidFill>
                </w14:textFill>
              </w:rPr>
              <w:t xml:space="preserve">2026年11月16日14：00</w:t>
            </w:r>
            <w:r>
              <w:rPr>
                <w:rFonts w:hint="eastAsia" w:ascii="宋体" w:hAnsi="宋体" w:cs="宋体"/>
                <w:color w:val="000000" w:themeColor="text1"/>
                <w:sz w:val="24"/>
                <w:highlight w:val="none"/>
                <w:lang w:val="zh-CN"/>
                <w14:textFill>
                  <w14:solidFill>
                    <w14:schemeClr w14:val="tx1"/>
                  </w14:solidFill>
                </w14:textFill>
              </w:rPr>
              <w:t xml:space="preserve">；解密时限：开启解密后30分钟。</w:t>
            </w:r>
            <w:r/>
          </w:p>
          <w:p>
            <w:pPr>
              <w:jc w:val="left"/>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）投标文件提交地点：苏采云平台（http://jszfcg.jscz.gov.cn/jszc/login），线上不见面开标。</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特别提醒：</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jc w:val="center"/>
          <w:trHeight w:val="772"/>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7810" w:type="dxa"/>
            <w:vAlign w:val="center"/>
            <w:textDirection w:val="lrTb"/>
            <w:noWrap w:val="false"/>
          </w:tcPr>
          <w:p>
            <w:pPr>
              <w:spacing w:line="324" w:lineRule="auto"/>
              <w:tabs>
                <w:tab w:val="left" w:pos="36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开标时间：</w:t>
            </w:r>
            <w:r>
              <w:rPr>
                <w:rFonts w:hint="eastAsia" w:ascii="宋体" w:hAnsi="宋体" w:cs="宋体"/>
                <w:color w:val="000000" w:themeColor="text1"/>
                <w:sz w:val="24"/>
                <w:highlight w:val="none"/>
                <w:lang w:eastAsia="zh-CN"/>
                <w14:textFill>
                  <w14:solidFill>
                    <w14:schemeClr w14:val="tx1"/>
                  </w14:solidFill>
                </w14:textFill>
              </w:rPr>
              <w:t xml:space="preserve">2026年11月16日14：00</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开标地点：苏采云平台（http://jszfcg.jscz.gov.cn/jszc/login）</w:t>
            </w:r>
            <w:r/>
          </w:p>
        </w:tc>
      </w:tr>
      <w:tr>
        <w:trPr>
          <w:jc w:val="center"/>
          <w:trHeight w:val="394"/>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p>
        </w:tc>
        <w:tc>
          <w:tcPr>
            <w:tcW w:w="7810"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确定中标单位时间：评审结束后</w:t>
            </w:r>
            <w:r/>
          </w:p>
        </w:tc>
      </w:tr>
      <w:tr>
        <w:trPr>
          <w:jc w:val="center"/>
          <w:trHeight w:val="1530"/>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评标和中标结果发布全程电子化。</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本项目为线上不见面采购，投标供应商无需到开标现场及递交纸质文件。中标供应商在收到中标通知书后与采购人签订合同前，必须提供与系统中电子投标文件一致的纸质投标文件盖章版三份。</w:t>
            </w:r>
            <w:r/>
          </w:p>
        </w:tc>
      </w:tr>
      <w:tr>
        <w:trPr>
          <w:jc w:val="center"/>
          <w:trHeight w:val="417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p>
        </w:tc>
        <w:tc>
          <w:tcPr>
            <w:tcW w:w="7810"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联系地址：无锡市大学城高浪西路1600号</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联系人：吴老师</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联系方式：0510-81838723     </w:t>
            </w:r>
            <w:r/>
          </w:p>
          <w:p>
            <w:pPr>
              <w:spacing w:line="324" w:lineRule="auto"/>
              <w:tabs>
                <w:tab w:val="left" w:pos="3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采购代理机构：江苏万达工程造价事务所有限公司</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联系人：宗继红、王黎明</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联系电话：0510-85133566、17351686783</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联系地址：无锡市滨湖区滴翠路100号B幢1005室</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邮政编码：214000</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电子邮件地址：94017187@qq.com</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有关本次采购活动程序方面的问题，可来人、来函（传真）或电话联系。</w:t>
            </w:r>
            <w:r/>
          </w:p>
        </w:tc>
      </w:tr>
      <w:tr>
        <w:trPr>
          <w:jc w:val="center"/>
          <w:trHeight w:val="4215"/>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p>
        </w:tc>
        <w:tc>
          <w:tcPr>
            <w:tcW w:w="7810" w:type="dxa"/>
            <w:vAlign w:val="center"/>
            <w:textDirection w:val="lrTb"/>
            <w:noWrap w:val="false"/>
          </w:tcPr>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1.潜在投标供应商访问江苏省政府采购（苏采云）平台的网络地址和方法：</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供应商访问江苏省政府采购（苏采云）平台的方法：</w:t>
            </w:r>
            <w:r>
              <w:rPr>
                <w:rFonts w:hint="eastAsia" w:ascii="宋体" w:hAnsi="宋体" w:cs="宋体"/>
                <w:bCs/>
                <w:color w:val="000000" w:themeColor="text1"/>
                <w:sz w:val="24"/>
                <w:highlight w:val="none"/>
                <w14:textFill>
                  <w14:solidFill>
                    <w14:schemeClr w14:val="tx1"/>
                  </w14:solidFill>
                </w14:textFill>
              </w:rPr>
              <w:t xml:space="preserve">“苏采云”系统用户注册－－获取“CA数字证书”--CA绑定与登录--网上获取--下载采购文件-－将采购文件导入政府采购客户端工具－－制作</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文件－－导出加密的</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文件（后缀名为zip）--通过“苏采云”系统上传</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文件。具体见《</w:t>
            </w:r>
            <w:r>
              <w:rPr>
                <w:rFonts w:hint="eastAsia" w:ascii="宋体" w:hAnsi="宋体" w:cs="宋体"/>
                <w:color w:val="000000" w:themeColor="text1"/>
                <w:sz w:val="24"/>
                <w:highlight w:val="none"/>
                <w:shd w:val="clear" w:color="auto" w:fill="ffffff"/>
                <w14:textFill>
                  <w14:solidFill>
                    <w14:schemeClr w14:val="tx1"/>
                  </w14:solidFill>
                </w14:textFill>
              </w:rPr>
              <w:t xml:space="preserve">“苏采云”系统供应商操作手册</w:t>
            </w:r>
            <w:r>
              <w:rPr>
                <w:rFonts w:hint="eastAsia" w:ascii="宋体" w:hAnsi="宋体" w:cs="宋体"/>
                <w:bCs/>
                <w:color w:val="000000" w:themeColor="text1"/>
                <w:sz w:val="24"/>
                <w:highlight w:val="none"/>
                <w14:textFill>
                  <w14:solidFill>
                    <w14:schemeClr w14:val="tx1"/>
                  </w14:solidFill>
                </w14:textFill>
              </w:rPr>
              <w:t xml:space="preserve">》。</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（2）点击“江苏省政府采购（苏采云平台）”——“用户注册”按钮，进行账号注册并填写申请信息，也可以直接通过</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cs="宋体"/>
                <w:bCs/>
                <w:color w:val="000000" w:themeColor="text1"/>
                <w:sz w:val="24"/>
                <w:highlight w:val="none"/>
                <w14:textFill>
                  <w14:solidFill>
                    <w14:schemeClr w14:val="tx1"/>
                  </w14:solidFill>
                </w14:textFill>
              </w:rPr>
              <w:t xml:space="preserve">苏采云 （http://jszfcg.jsczt.cn/）</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进入注册界面。</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themeColor="text1"/>
                <w:sz w:val="24"/>
                <w:highlight w:val="none"/>
                <w14:textFill>
                  <w14:solidFill>
                    <w14:schemeClr w14:val="tx1"/>
                  </w14:solidFill>
                </w14:textFill>
              </w:rPr>
              <w:t xml:space="preserve">领取CA和办理电子签章详见“江苏省政府采购数字证书CA及电子签章办理指南”（http://jsxcmm.com/help/help.html）</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（5）采购文件、供应商操作手册及政府采购客户端工具可通过“苏采云”系统－－已获取项目—获取详情页面内相应链接进行下载。</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（7）采购代理机构将数据电文形式的采购文件加载至“苏采云”系统，供潜在供应商下载或者查阅。</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（8）“苏采云”系统应使用谷歌浏览器参与不见面开标。</w:t>
            </w:r>
            <w:r/>
          </w:p>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2.有关本次招标的事项若存在变动或修改，敬请及时关注“江苏政府采购网”发布的信息。</w:t>
            </w:r>
            <w:r/>
          </w:p>
        </w:tc>
      </w:tr>
    </w:tbl>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第二部分. 投标供应商须知</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（一）遵循原则：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（二）采购文件：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2.投标供应商应向江苏万达工程造价事务所有限公司购买文件及有关资料，按采购文件要求提交全部资料并对采购文件各项内容做出实质性响应，否则投标无效。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3.投标供应商一旦参加本项目投标，即表明承诺接受了本采购文件中所有条件和规定。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4.采购文件一经售出、一律不退，且仅作为本次投标使用。</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（三）采购文件的解释：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1.投标供应商如有需要对采购文件要求澄清的问题，请以书面形式提出，并按“投标邀请”第6项规定的时间将电子邮件或书面传真发送至江苏万达工程造价事务所有限公司，联系方式详见“投标邀请”第13项。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2.采购人、江苏万达工程造价事务所有限公司将按“投标邀请”第6项规定的时间对投标供应商针对采购文件书面提出的要求澄清的问题进行书面答疑。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3.本文件的最终解释权归采购人。</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（四）采购文件的补充或修正：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1.投标截止时间15日前江苏万达工程造价事务所有限公司可对采购文件进行必要的澄清或者修改，并视具体情况，延长投标截止时间。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2.如需对采购文件进行补充或修正，江苏万达工程造价事务所有限公司将在江苏政府采购网上发布更正公告。该澄清或者修改的内容为采购文件的组成部分，与采购文件具有同等约束力。</w:t>
      </w:r>
      <w:r/>
    </w:p>
    <w:p>
      <w:pPr>
        <w:ind w:firstLine="480"/>
        <w:spacing w:line="360" w:lineRule="auto"/>
        <w:tabs>
          <w:tab w:val="left" w:pos="945" w:leader="none"/>
        </w:tabs>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ascii="宋体" w:hAnsi="宋体"/>
          <w:bCs/>
          <w:color w:val="000000" w:themeColor="text1"/>
          <w:sz w:val="24"/>
          <w:highlight w:val="none"/>
          <w14:textFill>
            <w14:solidFill>
              <w14:schemeClr w14:val="tx1"/>
            </w14:solidFill>
          </w14:textFill>
        </w:rPr>
        <w:t xml:space="preserve">供应商认为</w:t>
      </w:r>
      <w:r>
        <w:rPr>
          <w:rFonts w:hint="eastAsia" w:ascii="宋体" w:hAnsi="宋体"/>
          <w:bCs/>
          <w:color w:val="000000" w:themeColor="text1"/>
          <w:sz w:val="24"/>
          <w:highlight w:val="none"/>
          <w14:textFill>
            <w14:solidFill>
              <w14:schemeClr w14:val="tx1"/>
            </w14:solidFill>
          </w14:textFill>
        </w:rPr>
        <w:t xml:space="preserve">招标</w:t>
      </w:r>
      <w:r>
        <w:rPr>
          <w:rFonts w:ascii="宋体" w:hAnsi="宋体"/>
          <w:bCs/>
          <w:color w:val="000000" w:themeColor="text1"/>
          <w:sz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highlight w:val="none"/>
          <w14:textFill>
            <w14:solidFill>
              <w14:schemeClr w14:val="tx1"/>
            </w14:solidFill>
          </w14:textFill>
        </w:rPr>
        <w:t xml:space="preserve">招标</w:t>
      </w:r>
      <w:r>
        <w:rPr>
          <w:rFonts w:ascii="宋体" w:hAnsi="宋体"/>
          <w:bCs/>
          <w:color w:val="000000" w:themeColor="text1"/>
          <w:sz w:val="24"/>
          <w:highlight w:val="none"/>
          <w14:textFill>
            <w14:solidFill>
              <w14:schemeClr w14:val="tx1"/>
            </w14:solidFill>
          </w14:textFill>
        </w:rPr>
        <w:t xml:space="preserve">文件之日或者</w:t>
      </w:r>
      <w:r>
        <w:rPr>
          <w:rFonts w:hint="eastAsia" w:ascii="宋体" w:hAnsi="宋体"/>
          <w:bCs/>
          <w:color w:val="000000" w:themeColor="text1"/>
          <w:sz w:val="24"/>
          <w:highlight w:val="none"/>
          <w14:textFill>
            <w14:solidFill>
              <w14:schemeClr w14:val="tx1"/>
            </w14:solidFill>
          </w14:textFill>
        </w:rPr>
        <w:t xml:space="preserve">招标</w:t>
      </w:r>
      <w:r>
        <w:rPr>
          <w:rFonts w:ascii="宋体" w:hAnsi="宋体"/>
          <w:bCs/>
          <w:color w:val="000000" w:themeColor="text1"/>
          <w:sz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highlight w:val="none"/>
          <w14:textFill>
            <w14:solidFill>
              <w14:schemeClr w14:val="tx1"/>
            </w14:solidFill>
          </w14:textFill>
        </w:rPr>
        <w:t xml:space="preserve">采购人、采购代理机构提出质疑。</w:t>
      </w:r>
      <w:r>
        <w:rPr>
          <w:rFonts w:ascii="宋体" w:hAnsi="宋体"/>
          <w:b/>
          <w:color w:val="000000" w:themeColor="text1"/>
          <w:sz w:val="24"/>
          <w:highlight w:val="none"/>
          <w14:textFill>
            <w14:solidFill>
              <w14:schemeClr w14:val="tx1"/>
            </w14:solidFill>
          </w14:textFill>
        </w:rPr>
        <w:t xml:space="preserve">针对同一采购程序环节的质疑</w:t>
      </w:r>
      <w:r>
        <w:rPr>
          <w:rFonts w:hint="eastAsia" w:ascii="宋体" w:hAnsi="宋体"/>
          <w:b/>
          <w:color w:val="000000" w:themeColor="text1"/>
          <w:sz w:val="24"/>
          <w:highlight w:val="none"/>
          <w14:textFill>
            <w14:solidFill>
              <w14:schemeClr w14:val="tx1"/>
            </w14:solidFill>
          </w14:textFill>
        </w:rPr>
        <w:t xml:space="preserve">，须</w:t>
      </w:r>
      <w:r>
        <w:rPr>
          <w:rFonts w:ascii="宋体" w:hAnsi="宋体"/>
          <w:b/>
          <w:color w:val="000000" w:themeColor="text1"/>
          <w:sz w:val="24"/>
          <w:highlight w:val="none"/>
          <w14:textFill>
            <w14:solidFill>
              <w14:schemeClr w14:val="tx1"/>
            </w14:solidFill>
          </w14:textFill>
        </w:rPr>
        <w:t xml:space="preserve">在法定质疑期内一次性提出</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color w:val="000000" w:themeColor="text1"/>
          <w:sz w:val="24"/>
          <w:highlight w:val="none"/>
          <w14:textFill>
            <w14:solidFill>
              <w14:schemeClr w14:val="tx1"/>
            </w14:solidFill>
          </w14:textFill>
        </w:rPr>
        <w:t xml:space="preserve">政府采购供应商质疑函范本</w:t>
      </w:r>
      <w:r>
        <w:rPr>
          <w:rFonts w:hint="eastAsia" w:ascii="宋体" w:hAnsi="宋体"/>
          <w:bCs/>
          <w:color w:val="000000" w:themeColor="text1"/>
          <w:sz w:val="24"/>
          <w:highlight w:val="none"/>
          <w14:textFill>
            <w14:solidFill>
              <w14:schemeClr w14:val="tx1"/>
            </w14:solidFill>
          </w14:textFill>
        </w:rPr>
        <w:fldChar w:fldCharType="end"/>
      </w:r>
      <w:r>
        <w:rPr>
          <w:rFonts w:hint="eastAsia" w:ascii="宋体" w:hAnsi="宋体"/>
          <w:bCs/>
          <w:color w:val="000000" w:themeColor="text1"/>
          <w:sz w:val="24"/>
          <w:highlight w:val="none"/>
          <w14:textFill>
            <w14:solidFill>
              <w14:schemeClr w14:val="tx1"/>
            </w14:solidFill>
          </w14:textFill>
        </w:rPr>
        <w:t xml:space="preserve">》）。江苏万达工程造价事务所有限公司将在收到符合上述要求的书面质疑后七个工作日内，对质疑内容作出答复。投标供应商在法定质疑期限外送达的质疑函或法定质疑期限内送达的质疑函不符合上述要求的均为无效质疑，江苏万达工程造价事务所有限公司对无效质疑不予受理。</w:t>
      </w:r>
      <w:r/>
    </w:p>
    <w:p>
      <w:pPr>
        <w:ind w:firstLine="482"/>
        <w:spacing w:line="360" w:lineRule="auto"/>
        <w:rPr>
          <w:rFonts w:hint="eastAsia" w:ascii="宋体" w:hAnsi="宋体" w:cs="宋体"/>
          <w:b/>
          <w:bCs/>
          <w:color w:val="000000" w:themeColor="text1"/>
          <w:sz w:val="30"/>
          <w:szCs w:val="30"/>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（五）投标文件的组成：</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1.证明文件：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1.1资格、资信证明文件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关于资格的声明函（格式见附件）；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投标供应商企业营业执照副本或相关部门的登记证明文件扫描件</w:t>
      </w:r>
      <w:r>
        <w:rPr>
          <w:rFonts w:hint="eastAsia" w:ascii="宋体" w:hAnsi="宋体" w:cs="宋体"/>
          <w:color w:val="000000" w:themeColor="text1"/>
          <w:sz w:val="24"/>
          <w:highlight w:val="none"/>
          <w:lang w:eastAsia="zh-CN"/>
          <w14:textFill>
            <w14:solidFill>
              <w14:schemeClr w14:val="tx1"/>
            </w14:solidFill>
          </w14:textFill>
        </w:rPr>
        <w:t xml:space="preserve">并加盖投标供应商公章</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投标供应商法定代表人授权委托书（格式见附件，法定代表人亲自参加的除外）；</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投标供应商法定代表人身份证扫描件及法定代表人授权代表身份证扫描件</w:t>
      </w:r>
      <w:r>
        <w:rPr>
          <w:rFonts w:hint="eastAsia" w:ascii="宋体" w:hAnsi="宋体" w:cs="宋体"/>
          <w:color w:val="000000" w:themeColor="text1"/>
          <w:sz w:val="24"/>
          <w:highlight w:val="none"/>
          <w:lang w:eastAsia="zh-CN"/>
          <w14:textFill>
            <w14:solidFill>
              <w14:schemeClr w14:val="tx1"/>
            </w14:solidFill>
          </w14:textFill>
        </w:rPr>
        <w:t xml:space="preserve">并加盖投标供应商公章</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授权代表为供应商本单位在职员工，提供被授权代表与企业签订的劳动合同</w:t>
      </w:r>
      <w:r>
        <w:rPr>
          <w:rFonts w:hint="eastAsia" w:ascii="宋体" w:hAnsi="宋体" w:cs="宋体"/>
          <w:color w:val="000000" w:themeColor="text1"/>
          <w:sz w:val="24"/>
          <w:highlight w:val="none"/>
          <w14:textFill>
            <w14:solidFill>
              <w14:schemeClr w14:val="tx1"/>
            </w14:solidFill>
          </w14:textFill>
        </w:rPr>
        <w:t xml:space="preserve">和</w:t>
      </w:r>
      <w:r>
        <w:rPr>
          <w:rFonts w:hint="eastAsia" w:ascii="宋体" w:hAnsi="宋体" w:cs="宋体"/>
          <w:color w:val="000000" w:themeColor="text1"/>
          <w:sz w:val="24"/>
          <w:highlight w:val="none"/>
          <w:lang w:val="zh-CN"/>
          <w14:textFill>
            <w14:solidFill>
              <w14:schemeClr w14:val="tx1"/>
            </w14:solidFill>
          </w14:textFill>
        </w:rPr>
        <w:t xml:space="preserve">由社保机构出具的</w:t>
      </w: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近一年中任意一个月份（不含</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zh-CN"/>
          <w14:textFill>
            <w14:solidFill>
              <w14:schemeClr w14:val="tx1"/>
            </w14:solidFill>
          </w14:textFill>
        </w:rPr>
        <w:t xml:space="preserve">当月）</w:t>
      </w:r>
      <w:r>
        <w:rPr>
          <w:rFonts w:hint="eastAsia" w:ascii="宋体" w:hAnsi="宋体" w:cs="宋体"/>
          <w:color w:val="000000" w:themeColor="text1"/>
          <w:sz w:val="24"/>
          <w:highlight w:val="none"/>
          <w14:textFill>
            <w14:solidFill>
              <w14:schemeClr w14:val="tx1"/>
            </w14:solidFill>
          </w14:textFill>
        </w:rPr>
        <w:t xml:space="preserve">为其缴纳社保</w:t>
      </w:r>
      <w:r>
        <w:rPr>
          <w:rFonts w:hint="eastAsia" w:ascii="宋体" w:hAnsi="宋体" w:cs="宋体"/>
          <w:color w:val="000000" w:themeColor="text1"/>
          <w:sz w:val="24"/>
          <w:highlight w:val="none"/>
          <w:lang w:val="zh-CN"/>
          <w14:textFill>
            <w14:solidFill>
              <w14:schemeClr w14:val="tx1"/>
            </w14:solidFill>
          </w14:textFill>
        </w:rPr>
        <w:t xml:space="preserve">的缴费证明</w:t>
      </w:r>
      <w:r>
        <w:rPr>
          <w:rFonts w:hint="eastAsia" w:ascii="宋体" w:hAnsi="宋体" w:cs="宋体"/>
          <w:color w:val="000000" w:themeColor="text1"/>
          <w:sz w:val="24"/>
          <w:highlight w:val="none"/>
          <w14:textFill>
            <w14:solidFill>
              <w14:schemeClr w14:val="tx1"/>
            </w14:solidFill>
          </w14:textFill>
        </w:rPr>
        <w:t xml:space="preserve">扫描件</w:t>
      </w:r>
      <w:r>
        <w:rPr>
          <w:rFonts w:hint="eastAsia" w:ascii="宋体" w:hAnsi="宋体" w:cs="宋体"/>
          <w:color w:val="000000" w:themeColor="text1"/>
          <w:sz w:val="24"/>
          <w:highlight w:val="none"/>
          <w:lang w:eastAsia="zh-CN"/>
          <w14:textFill>
            <w14:solidFill>
              <w14:schemeClr w14:val="tx1"/>
            </w14:solidFill>
          </w14:textFill>
        </w:rPr>
        <w:t xml:space="preserve">并加盖投标供应商公章</w:t>
      </w:r>
      <w:r>
        <w:rPr>
          <w:rFonts w:hint="eastAsia" w:ascii="宋体" w:hAnsi="宋体" w:cs="宋体"/>
          <w:color w:val="000000" w:themeColor="text1"/>
          <w:sz w:val="24"/>
          <w:highlight w:val="none"/>
          <w:lang w:val="zh-CN"/>
          <w14:textFill>
            <w14:solidFill>
              <w14:schemeClr w14:val="tx1"/>
            </w14:solidFill>
          </w14:textFill>
        </w:rPr>
        <w:t xml:space="preserve">（法定代表人亲自参加</w:t>
      </w:r>
      <w:r>
        <w:rPr>
          <w:rFonts w:hint="eastAsia" w:ascii="宋体" w:hAnsi="宋体" w:cs="宋体"/>
          <w:color w:val="000000" w:themeColor="text1"/>
          <w:sz w:val="24"/>
          <w:highlight w:val="none"/>
          <w14:textFill>
            <w14:solidFill>
              <w14:schemeClr w14:val="tx1"/>
            </w14:solidFill>
          </w14:textFill>
        </w:rPr>
        <w:t xml:space="preserve">投标的除外</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(不含投标当月)的财务状况报告（资产负债表和利润表）或由会计师事务所出具的近两年中（2024年或2025年）任意一个年度的审计报告和所附已审财务报告扫描件</w:t>
      </w:r>
      <w:r>
        <w:rPr>
          <w:rFonts w:hint="eastAsia" w:ascii="宋体" w:hAnsi="宋体" w:cs="宋体"/>
          <w:color w:val="000000" w:themeColor="text1"/>
          <w:sz w:val="24"/>
          <w:highlight w:val="none"/>
          <w:lang w:eastAsia="zh-CN"/>
          <w14:textFill>
            <w14:solidFill>
              <w14:schemeClr w14:val="tx1"/>
            </w14:solidFill>
          </w14:textFill>
        </w:rPr>
        <w:t xml:space="preserve">并加盖投标供应商公章</w:t>
      </w:r>
      <w:r>
        <w:rPr>
          <w:rFonts w:hint="eastAsia" w:ascii="宋体" w:hAnsi="宋体" w:cs="宋体"/>
          <w:color w:val="000000" w:themeColor="text1"/>
          <w:sz w:val="24"/>
          <w:highlight w:val="none"/>
          <w14:textFill>
            <w14:solidFill>
              <w14:schemeClr w14:val="tx1"/>
            </w14:solidFill>
          </w14:textFill>
        </w:rPr>
        <w:t xml:space="preserve">； </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(不含投标当月)的依法缴纳税收和社会保障资金的相关材料（提供相关主管部门证明或银行代扣证明）扫描件</w:t>
      </w:r>
      <w:r>
        <w:rPr>
          <w:rFonts w:hint="eastAsia" w:ascii="宋体" w:hAnsi="宋体" w:cs="宋体"/>
          <w:color w:val="000000" w:themeColor="text1"/>
          <w:sz w:val="24"/>
          <w:highlight w:val="none"/>
          <w:lang w:eastAsia="zh-CN"/>
          <w14:textFill>
            <w14:solidFill>
              <w14:schemeClr w14:val="tx1"/>
            </w14:solidFill>
          </w14:textFill>
        </w:rPr>
        <w:t xml:space="preserve">并加盖投标供应商公章</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承诺书(格式见附件）；</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上述资格、资信证明文件投标供应商必须按要求全部提供，其中要求提交的原件或公证件必须与投标文件同时提交，如果原件正在年检（或换证），则必须提供法定年检（或换证）单位出具的有效证明原件，否则投标文件无效。如上述资格、资信证明文件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1.2补充证明文件</w:t>
      </w:r>
      <w:r/>
    </w:p>
    <w:p>
      <w:pPr>
        <w:numPr>
          <w:ilvl w:val="0"/>
          <w:numId w:val="7"/>
        </w:num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供应商简介和经营情况说明（格式见附件）；</w:t>
      </w:r>
      <w:r/>
    </w:p>
    <w:p>
      <w:pPr>
        <w:numPr>
          <w:ilvl w:val="0"/>
          <w:numId w:val="7"/>
        </w:num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项目人员配备表（格式见附件）</w:t>
      </w:r>
      <w:r/>
    </w:p>
    <w:p>
      <w:pPr>
        <w:numPr>
          <w:ilvl w:val="0"/>
          <w:numId w:val="7"/>
        </w:num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投标供应商类似业绩一览表（格式见附件）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w:t>
      </w:r>
      <w:r>
        <w:rPr>
          <w:rFonts w:ascii="宋体" w:hAnsi="宋体" w:cs="宋体"/>
          <w:color w:val="000000" w:themeColor="text1"/>
          <w:sz w:val="24"/>
          <w:szCs w:val="28"/>
          <w:highlight w:val="none"/>
          <w14:textFill>
            <w14:solidFill>
              <w14:schemeClr w14:val="tx1"/>
            </w14:solidFill>
          </w14:textFill>
        </w:rPr>
        <w:t xml:space="preserve">中小企业声明函</w:t>
      </w:r>
      <w:r>
        <w:rPr>
          <w:rFonts w:hint="eastAsia" w:ascii="宋体" w:hAnsi="宋体" w:cs="宋体"/>
          <w:color w:val="000000" w:themeColor="text1"/>
          <w:sz w:val="24"/>
          <w:szCs w:val="28"/>
          <w:highlight w:val="none"/>
          <w14:textFill>
            <w14:solidFill>
              <w14:schemeClr w14:val="tx1"/>
            </w14:solidFill>
          </w14:textFill>
        </w:rPr>
        <w:t xml:space="preserve">（</w:t>
      </w:r>
      <w:r>
        <w:rPr>
          <w:rFonts w:ascii="宋体" w:hAnsi="宋体" w:cs="宋体"/>
          <w:color w:val="000000" w:themeColor="text1"/>
          <w:sz w:val="24"/>
          <w:szCs w:val="28"/>
          <w:highlight w:val="none"/>
          <w14:textFill>
            <w14:solidFill>
              <w14:schemeClr w14:val="tx1"/>
            </w14:solidFill>
          </w14:textFill>
        </w:rPr>
        <w:t xml:space="preserve">格式见附件</w:t>
      </w:r>
      <w:r>
        <w:rPr>
          <w:rFonts w:hint="eastAsia" w:ascii="宋体" w:hAnsi="宋体" w:cs="宋体"/>
          <w:color w:val="000000" w:themeColor="text1"/>
          <w:sz w:val="24"/>
          <w:szCs w:val="28"/>
          <w:highlight w:val="none"/>
          <w14:textFill>
            <w14:solidFill>
              <w14:schemeClr w14:val="tx1"/>
            </w14:solidFill>
          </w14:textFill>
        </w:rPr>
        <w:t xml:space="preserve">）</w:t>
      </w:r>
      <w:r>
        <w:rPr>
          <w:rFonts w:ascii="宋体" w:hAnsi="宋体" w:cs="宋体"/>
          <w:color w:val="000000" w:themeColor="text1"/>
          <w:sz w:val="24"/>
          <w:szCs w:val="28"/>
          <w:highlight w:val="none"/>
          <w14:textFill>
            <w14:solidFill>
              <w14:schemeClr w14:val="tx1"/>
            </w14:solidFill>
          </w14:textFill>
        </w:rPr>
        <w:t xml:space="preserve">或由省级以上监狱管理局、戒毒管理局(含新疆生产建设兵团)出具的属于监狱企业的证明文件</w:t>
      </w:r>
      <w:r>
        <w:rPr>
          <w:rFonts w:hint="eastAsia" w:ascii="宋体" w:hAnsi="宋体" w:cs="宋体"/>
          <w:color w:val="000000" w:themeColor="text1"/>
          <w:sz w:val="24"/>
          <w:szCs w:val="28"/>
          <w:highlight w:val="none"/>
          <w14:textFill>
            <w14:solidFill>
              <w14:schemeClr w14:val="tx1"/>
            </w14:solidFill>
          </w14:textFill>
        </w:rPr>
        <w:t xml:space="preserve">扫描件</w:t>
      </w:r>
      <w:r>
        <w:rPr>
          <w:rFonts w:ascii="宋体" w:hAnsi="宋体" w:cs="宋体"/>
          <w:color w:val="000000" w:themeColor="text1"/>
          <w:sz w:val="24"/>
          <w:szCs w:val="28"/>
          <w:highlight w:val="none"/>
          <w14:textFill>
            <w14:solidFill>
              <w14:schemeClr w14:val="tx1"/>
            </w14:solidFill>
          </w14:textFill>
        </w:rPr>
        <w:t xml:space="preserve">或残疾人福利单位声明函；（如</w:t>
      </w:r>
      <w:r>
        <w:rPr>
          <w:rFonts w:hint="eastAsia" w:ascii="宋体" w:hAnsi="宋体" w:cs="宋体"/>
          <w:color w:val="000000" w:themeColor="text1"/>
          <w:sz w:val="24"/>
          <w:szCs w:val="28"/>
          <w:highlight w:val="none"/>
          <w14:textFill>
            <w14:solidFill>
              <w14:schemeClr w14:val="tx1"/>
            </w14:solidFill>
          </w14:textFill>
        </w:rPr>
        <w:t xml:space="preserve">是</w:t>
      </w:r>
      <w:r>
        <w:rPr>
          <w:rFonts w:ascii="宋体" w:hAnsi="宋体" w:cs="宋体"/>
          <w:color w:val="000000" w:themeColor="text1"/>
          <w:sz w:val="24"/>
          <w:szCs w:val="28"/>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（5）技术偏离表（格式见附件）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（6）评分标准中对应的其它所需证明材料（如有自行添加）</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（7）要求采购人提供的配合（如有自拟并自行添加）</w:t>
      </w:r>
      <w:r/>
    </w:p>
    <w:p>
      <w:pPr>
        <w:ind w:firstLine="480"/>
        <w:jc w:val="left"/>
        <w:spacing w:line="360" w:lineRule="auto"/>
        <w:widowControl/>
        <w:rPr>
          <w:color w:val="000000" w:themeColor="text1"/>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（8）其它（供应商认为有必要提供的声明和文件，如有自拟并自行添加）</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3.报价文件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（1）开标一览表（格式见附件）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w:t>
      </w:r>
      <w:r>
        <w:rPr>
          <w:rFonts w:hint="eastAsia" w:ascii="宋体" w:hAnsi="宋体" w:cs="宋体"/>
          <w:color w:val="000000" w:themeColor="text1"/>
          <w:sz w:val="24"/>
          <w:szCs w:val="28"/>
          <w:highlight w:val="none"/>
          <w:lang w:eastAsia="zh-CN"/>
          <w14:textFill>
            <w14:solidFill>
              <w14:schemeClr w14:val="tx1"/>
            </w14:solidFill>
          </w14:textFill>
        </w:rPr>
        <w:t xml:space="preserve">分项报价表</w:t>
      </w:r>
      <w:r>
        <w:rPr>
          <w:rFonts w:hint="eastAsia" w:ascii="宋体" w:hAnsi="宋体" w:cs="宋体"/>
          <w:color w:val="000000" w:themeColor="text1"/>
          <w:sz w:val="24"/>
          <w:szCs w:val="28"/>
          <w:highlight w:val="none"/>
          <w14:textFill>
            <w14:solidFill>
              <w14:schemeClr w14:val="tx1"/>
            </w14:solidFill>
          </w14:textFill>
        </w:rPr>
        <w:t xml:space="preserve">（格式</w:t>
      </w:r>
      <w:r>
        <w:rPr>
          <w:rFonts w:hint="eastAsia" w:ascii="宋体" w:hAnsi="宋体" w:cs="宋体"/>
          <w:color w:val="000000" w:themeColor="text1"/>
          <w:sz w:val="24"/>
          <w:szCs w:val="28"/>
          <w:highlight w:val="none"/>
          <w:lang w:val="en-US" w:eastAsia="zh-CN"/>
          <w14:textFill>
            <w14:solidFill>
              <w14:schemeClr w14:val="tx1"/>
            </w14:solidFill>
          </w14:textFill>
        </w:rPr>
        <w:t xml:space="preserve">见附件</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4、技术文件（按照项目需求及评分标准编制，格式自拟）</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（六）投标文件的要求：</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3.如无特别说明，</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文件格式部分，应由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供应商按给定格式提供，不得更改。</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供应商按采购文件规定的网上解密时间进行解密，如未按时解密后果自负</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应当对</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提出的要求和条件作出实质性响应，并在电子投标系统逐条应答</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bCs/>
          <w:color w:val="000000" w:themeColor="text1"/>
          <w:sz w:val="24"/>
          <w:highlight w:val="none"/>
          <w14:textFill>
            <w14:solidFill>
              <w14:schemeClr w14:val="tx1"/>
            </w14:solidFill>
          </w14:textFill>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10.投标费用自理。</w:t>
      </w:r>
      <w:r/>
    </w:p>
    <w:p>
      <w:pPr>
        <w:ind w:firstLine="480"/>
        <w:spacing w:line="360" w:lineRule="auto"/>
        <w:tabs>
          <w:tab w:val="left" w:pos="0" w:leader="none"/>
          <w:tab w:val="left" w:pos="588"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投标供应商在制作电子投标文件时，请正确关联到对应页，在评审过程中，评审专家如因在相对应页面找不到该相关联的文件，由此产生的后果由投标供应商自行承担。</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（七）无效投标文件的确认：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4.投标供应商未按采购文件要求解密电子投标文件的；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12.不具备采购文件中规定的资格要求或未按采购文件规定的要求提供资格、资信证明文件的或提供的资格、资信证明文件图片字迹模糊不清、无法辨认的；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19.同一投标供应商提交两种（含两种）以上不同的投标报价的</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20.评标委员会认为投标供应商的报价明显低于其他通过符合性审查的投标供应商的报价，有可能影响产品质量或者不能诚信履约的，未能在合理的时间内提交书面说明或相关证明材料以证明其报价合理性的；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26.同一投标文件中单位名称落款与公章不是同一单位的；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29.不同投标供应商的投标文件由同一台电脑编制或者同一把数字证书加密锁加密或者同一台附属设备打印的；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31.电子投标文件与采购文件要求格式不一致而无法导入计算机评标系统；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32.电子投标文件未按采购文件规定的格式编制；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33.其他法律法规及本采购文件规定的属于无效投标的情形；</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34.同一投标供应商提交两种（含两种）以上不同的投标报价的。</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（八） 开标、评标：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2.解密时，供应商须自行准备设备（包括但不限于笔记本电脑、</w:t>
      </w:r>
      <w:r>
        <w:rPr>
          <w:rStyle w:val="1211"/>
          <w:rFonts w:hint="eastAsia" w:ascii="宋体" w:hAnsi="宋体" w:cs="宋体"/>
          <w:color w:val="000000" w:themeColor="text1"/>
          <w:sz w:val="24"/>
          <w:highlight w:val="none"/>
          <w14:textFill>
            <w14:solidFill>
              <w14:schemeClr w14:val="tx1"/>
            </w14:solidFill>
          </w14:textFill>
        </w:rPr>
        <w:t xml:space="preserve">CA锁、</w:t>
      </w:r>
      <w:r>
        <w:rPr>
          <w:rFonts w:hint="eastAsia" w:ascii="宋体" w:hAnsi="宋体" w:cs="宋体"/>
          <w:color w:val="000000" w:themeColor="text1"/>
          <w:sz w:val="24"/>
          <w:highlight w:val="none"/>
          <w14:textFill>
            <w14:solidFill>
              <w14:schemeClr w14:val="tx1"/>
            </w14:solidFill>
          </w14:textFill>
        </w:rPr>
        <w:t xml:space="preserve">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5.投标文件的审查</w:t>
      </w:r>
      <w:r/>
    </w:p>
    <w:p>
      <w:pPr>
        <w:pStyle w:val="1218"/>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（1）投标文件报价出现前后不一致的，按照下列规定修正：</w:t>
      </w:r>
      <w:r/>
    </w:p>
    <w:p>
      <w:pPr>
        <w:pStyle w:val="1218"/>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①投标文件中开标一览表（报价表）内容与投标文件中相应内容不一致的，以开标一览表（报价表）为准；</w:t>
      </w:r>
      <w:r/>
    </w:p>
    <w:p>
      <w:pPr>
        <w:pStyle w:val="1218"/>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②大写金额和小写金额不一致的，以大写金额为准；</w:t>
      </w:r>
      <w:r/>
    </w:p>
    <w:p>
      <w:pPr>
        <w:pStyle w:val="1218"/>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③单价金额小数点或者百分比有明显错位的，以开标一览表的总价为准，并修改单价；</w:t>
      </w:r>
      <w:r/>
    </w:p>
    <w:p>
      <w:pPr>
        <w:pStyle w:val="1218"/>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④总价金额与按单价汇总金额不一致的，以单价金额计算结果为准。</w:t>
      </w:r>
      <w:r/>
    </w:p>
    <w:p>
      <w:pPr>
        <w:pStyle w:val="1218"/>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218"/>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（2）电子投标文件与纸质投标文件（如有）不符的，以电子投标文件为准。</w:t>
      </w:r>
      <w:r/>
    </w:p>
    <w:p>
      <w:pPr>
        <w:ind w:firstLine="480"/>
        <w:spacing w:line="360" w:lineRule="auto"/>
        <w:tabs>
          <w:tab w:val="left" w:pos="840" w:leader="none"/>
          <w:tab w:val="left" w:pos="105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（3）投标供应商未参加开标的，视同认可开标结果。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6.评标程序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评标工作由江苏万达工程造价事务所有限公司负责组织，具体评标事务由依法组建的评标委员会负责。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（1）投标文件初审。初审分为资格性审查和符合性审查。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资格性审查。采购人依据法律法规和采购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B．符合性审查。评标委员会依据采购文件的规定，从投标文件的有效性、完整性和对采购文件的响应程度进行审查，以确定是否对采购文件的实质性要求作出响应。</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①未通过资格审查或符合性审查的投标供应商，将在“苏采云”系统中告知未通过资格审查或符合性审查的原因，评标结束后，将不再告知未通过资格审查和符合性审查的原因。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所谓重大偏离或保留是指与招标文件规定的实质性要求存在负偏离，或者在实质上与招标文件不一致，而且限制了合同中买方和采购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C.如果投标文件实质上没有响应招标文件的要求，评委会将予以拒绝，其投标文件无效，投标供应商不得通过修改或撤销不符合要求的偏离或保留而使其投标成为实质性响应的投标。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（2）澄清有关问题。对投标文件中含义不明确、同类问题表述不一致或者有明显文字和计算错误的内容，评</w:t>
      </w:r>
      <w:r>
        <w:rPr>
          <w:rFonts w:hint="eastAsia" w:ascii="宋体" w:hAnsi="宋体" w:cs="宋体"/>
          <w:color w:val="000000" w:themeColor="text1"/>
          <w:sz w:val="24"/>
          <w:highlight w:val="none"/>
          <w14:textFill>
            <w14:solidFill>
              <w14:schemeClr w14:val="tx1"/>
            </w14:solidFill>
          </w14:textFill>
        </w:rPr>
        <w:t xml:space="preserve">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（3）比较与评价。评标委员会按采购文件中规定的评标方法和标准，对资格性检查和符合性检查合格的投标文件进行商务和技术评估，综合比较与评价。</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根据《关于推动解决政府采购异常低价问题的通知》（财库〔2026〕2号）中相关内容：</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val="zh-CN"/>
          <w14:textFill>
            <w14:solidFill>
              <w14:schemeClr w14:val="tx1"/>
            </w14:solidFill>
          </w14:textFill>
        </w:rPr>
        <w:t xml:space="preserve">）评审中出现下列情形之一的，评审委员会应当启动异常低价投标（响应）审查程序：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②</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投标（响应）报价低于采购项目最高限价45%的，即投标（响应）报价&lt;采购项目最高限价×45%；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评审委员会基于专业判断，认为供应商报价过低，有可能影响产品质量或者不能诚信履约的其他情形。</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zh-CN"/>
          <w14:textFill>
            <w14:solidFill>
              <w14:schemeClr w14:val="tx1"/>
            </w14:solidFill>
          </w14:textFill>
        </w:rPr>
        <w:t xml:space="preserve">）评审委员会启动异常低价投标（响应）审查后，属于前述第</w:t>
      </w: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项至第</w:t>
      </w: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项情形，供应商已随投标（响应）文件一并提交相关书面说明及必要的证明材料的，在评审现场可不再重复提交。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7.评标方法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投标供应商通过初审的，方可进入比较与评价程序。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比较与评价采用综合评分法（计分均保留2位小数）。</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中标候选人并列的按技术文件优劣顺序排列。投标文件满足采购文件全部实质性要求，且按照评审因素的量化指标评审得分最高的投标供应商为排名第一的中标候选人。</w:t>
      </w:r>
      <w:r/>
    </w:p>
    <w:p>
      <w:pPr>
        <w:ind w:firstLine="482"/>
        <w:spacing w:line="360" w:lineRule="auto"/>
        <w:tabs>
          <w:tab w:val="left" w:pos="1365"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核心产品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numPr>
          <w:ilvl w:val="0"/>
          <w:numId w:val="8"/>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评分细则</w:t>
      </w:r>
      <w:r/>
    </w:p>
    <w:p>
      <w:pPr>
        <w:pStyle w:val="1220"/>
        <w:jc w:val="both"/>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 </w:t>
      </w:r>
      <w:r>
        <w:rPr>
          <w:rFonts w:hint="eastAsia" w:ascii="宋体" w:hAnsi="宋体" w:cs="宋体"/>
          <w:b/>
          <w:color w:val="000000" w:themeColor="text1"/>
          <w:highlight w:val="none"/>
          <w14:textFill>
            <w14:solidFill>
              <w14:schemeClr w14:val="tx1"/>
            </w14:solidFill>
          </w14:textFill>
        </w:rPr>
        <w:t xml:space="preserve">落实政府采购政策的价格调整</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价格扣除：专门面向中小/小微企业的项目除外。</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 号）。</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 （财库[2014]68号）的规定提供由省级以上监狱管理局、戒毒管理局(含新疆生产建设兵团)出具的属于监狱企业的证明文件扫描件。</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③残疾人福利性单位视同小型、微型企业，对其产品价格给予 10%的扣除，用扣除后的价格参与评审。参加投标的残疾人福利性单位，应当按照《财政部、民政部、中国残疾人联合会关于促进残疾人就业政府采购政策的通知》（财库〔2017〕141 号）的规定提供《残疾人福利性单位声明函》。</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注：同一投标供应商，上述三项价格扣除优惠不得重复享受。</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宋体"/>
          <w:b/>
          <w:bCs/>
          <w:color w:val="000000" w:themeColor="text1"/>
          <w:sz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2.2注意事项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（1）提供本国产品进行投标（报价）的供应商需在其投</w:t>
      </w:r>
      <w:r>
        <w:rPr>
          <w:rFonts w:hint="eastAsia" w:ascii="宋体" w:hAnsi="宋体" w:cs="宋体"/>
          <w:bCs/>
          <w:color w:val="000000" w:themeColor="text1"/>
          <w:sz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cs="宋体"/>
          <w:b/>
          <w:bCs/>
          <w:color w:val="000000" w:themeColor="text1"/>
          <w:sz w:val="24"/>
          <w:highlight w:val="none"/>
          <w14:textFill>
            <w14:solidFill>
              <w14:schemeClr w14:val="tx1"/>
            </w14:solidFill>
          </w14:textFill>
        </w:rPr>
        <w:t xml:space="preserve">货物成本之和</w:t>
      </w:r>
      <w:r>
        <w:rPr>
          <w:rFonts w:hint="eastAsia" w:ascii="宋体" w:hAnsi="宋体" w:cs="宋体"/>
          <w:bCs/>
          <w:color w:val="000000" w:themeColor="text1"/>
          <w:sz w:val="24"/>
          <w:highlight w:val="none"/>
          <w14:textFill>
            <w14:solidFill>
              <w14:schemeClr w14:val="tx1"/>
            </w14:solidFill>
          </w14:textFill>
        </w:rPr>
        <w:t xml:space="preserve">；“全部产品成本之和”是指货物或服务项目（或者采购包）中包含的</w:t>
      </w:r>
      <w:r>
        <w:rPr>
          <w:rFonts w:hint="eastAsia" w:ascii="宋体" w:hAnsi="宋体" w:cs="宋体"/>
          <w:b/>
          <w:bCs/>
          <w:color w:val="000000" w:themeColor="text1"/>
          <w:sz w:val="24"/>
          <w:highlight w:val="none"/>
          <w14:textFill>
            <w14:solidFill>
              <w14:schemeClr w14:val="tx1"/>
            </w14:solidFill>
          </w14:textFill>
        </w:rPr>
        <w:t xml:space="preserve">全部货物、服务产品的成本之和</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1000000×[1-（10%+20%）]=700000元</w:t>
      </w:r>
      <w:r/>
    </w:p>
    <w:p>
      <w:pPr>
        <w:pStyle w:val="704"/>
        <w:numPr>
          <w:ilvl w:val="255"/>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 各项目评分标准</w:t>
      </w:r>
      <w:r/>
    </w:p>
    <w:p>
      <w:pPr>
        <w:ind w:firstLine="480"/>
        <w:spacing w:line="360" w:lineRule="auto"/>
        <w:rPr>
          <w:highlight w:val="none"/>
        </w:rPr>
      </w:pPr>
      <w:r>
        <w:rPr>
          <w:rFonts w:hint="eastAsia" w:ascii="宋体" w:hAnsi="宋体" w:cs="宋体"/>
          <w:color w:val="000000" w:themeColor="text1"/>
          <w:sz w:val="24"/>
          <w:highlight w:val="none"/>
          <w14:textFill>
            <w14:solidFill>
              <w14:schemeClr w14:val="tx1"/>
            </w14:solidFill>
          </w14:textFill>
        </w:rPr>
        <w:t xml:space="preserve">综合评分法满分为100分，计分均保留2位小数。</w:t>
      </w:r>
      <w:r/>
    </w:p>
    <w:tbl>
      <w:tblPr>
        <w:tblStyle w:val="694"/>
        <w:tblW w:w="10447" w:type="dxa"/>
        <w:jc w:val="center"/>
        <w:tblBorders>
          <w:top w:val="single" w:color="000000" w:sz="8" w:space="0"/>
          <w:left w:val="single" w:color="000000" w:sz="8" w:space="0"/>
          <w:bottom w:val="single" w:color="000000" w:sz="4"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3"/>
        <w:gridCol w:w="1246"/>
        <w:gridCol w:w="7862"/>
        <w:gridCol w:w="646"/>
      </w:tblGrid>
      <w:tr>
        <w:trPr>
          <w:jc w:val="center"/>
          <w:trHeight w:val="329"/>
        </w:trPr>
        <w:tc>
          <w:tcPr>
            <w:tcW w:w="693"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W w:w="12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评分因素</w:t>
            </w:r>
            <w:r/>
          </w:p>
        </w:tc>
        <w:tc>
          <w:tcPr>
            <w:tcW w:w="7862"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评审标准</w:t>
            </w:r>
            <w:r/>
          </w:p>
        </w:tc>
        <w:tc>
          <w:tcPr>
            <w:tcW w:w="6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分值</w:t>
            </w:r>
            <w:r/>
          </w:p>
        </w:tc>
      </w:tr>
      <w:tr>
        <w:trPr>
          <w:jc w:val="center"/>
          <w:trHeight w:val="329"/>
        </w:trPr>
        <w:tc>
          <w:tcPr>
            <w:tcW w:w="693"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p>
        </w:tc>
        <w:tc>
          <w:tcPr>
            <w:gridSpan w:val="3"/>
            <w:tcW w:w="9754"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价格部分（30分）</w:t>
            </w:r>
            <w:r/>
          </w:p>
        </w:tc>
      </w:tr>
      <w:tr>
        <w:trPr>
          <w:jc w:val="center"/>
          <w:trHeight w:val="365"/>
        </w:trPr>
        <w:tc>
          <w:tcPr>
            <w:tcW w:w="693"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p>
        </w:tc>
        <w:tc>
          <w:tcPr>
            <w:tcW w:w="12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投标报价</w:t>
            </w:r>
            <w:r/>
          </w:p>
        </w:tc>
        <w:tc>
          <w:tcPr>
            <w:tcW w:w="7862"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本项目采用低价优先法，各供应商的有效投标报价，满足采购文件要求且经评审后的有效最低投标报价为评标基准价，其价格分为满分。其他供应商的价格分统一按照下列公式计算：</w:t>
            </w:r>
            <w:r/>
          </w:p>
          <w:p>
            <w:pPr>
              <w:jc w:val="left"/>
              <w:rPr>
                <w:rFonts w:hint="eastAsia" w:ascii="宋体" w:hAnsi="宋体" w:cs="宋体"/>
                <w:b/>
                <w:bCs/>
                <w:sz w:val="24"/>
                <w:highlight w:val="none"/>
              </w:rPr>
            </w:pPr>
            <w:r>
              <w:rPr>
                <w:rFonts w:hint="eastAsia" w:ascii="宋体" w:hAnsi="宋体" w:cs="宋体"/>
                <w:b/>
                <w:bCs/>
                <w:sz w:val="24"/>
                <w:highlight w:val="none"/>
              </w:rPr>
              <w:t xml:space="preserve">投标报价得分=(评标基准价／有效投标报价)×30。</w:t>
            </w:r>
            <w:r/>
          </w:p>
          <w:p>
            <w:pPr>
              <w:jc w:val="left"/>
              <w:rPr>
                <w:rFonts w:hint="eastAsia"/>
                <w:highlight w:val="none"/>
              </w:rPr>
            </w:pP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eastAsia="zh-CN"/>
              </w:rPr>
              <w:t xml:space="preserve">落实政府采购政策进行价格调整的，以调整后的价格计算投标报价</w:t>
            </w:r>
            <w:r>
              <w:rPr>
                <w:rFonts w:hint="eastAsia" w:ascii="宋体" w:hAnsi="宋体" w:eastAsia="宋体" w:cs="Times New Roman"/>
                <w:b/>
                <w:bCs/>
                <w:color w:val="000000"/>
                <w:sz w:val="24"/>
                <w:highlight w:val="none"/>
                <w:lang w:val="en-US" w:eastAsia="zh-CN"/>
              </w:rPr>
              <w:t xml:space="preserve">得分</w:t>
            </w:r>
            <w:r>
              <w:rPr>
                <w:rFonts w:hint="eastAsia" w:ascii="宋体" w:hAnsi="宋体" w:eastAsia="宋体" w:cs="Times New Roman"/>
                <w:b/>
                <w:bCs/>
                <w:color w:val="000000"/>
                <w:sz w:val="24"/>
                <w:highlight w:val="none"/>
                <w:lang w:eastAsia="zh-CN"/>
              </w:rPr>
              <w:t xml:space="preserve">。关于价格扣除详见本章第二部分“ </w:t>
            </w:r>
            <w:r>
              <w:rPr>
                <w:rFonts w:hint="eastAsia" w:ascii="宋体" w:hAnsi="宋体" w:eastAsia="宋体" w:cs="Times New Roman"/>
                <w:b/>
                <w:bCs/>
                <w:color w:val="000000"/>
                <w:sz w:val="24"/>
                <w:highlight w:val="none"/>
                <w:lang w:val="en-US" w:eastAsia="zh-CN"/>
              </w:rPr>
              <w:t xml:space="preserve">6.1</w:t>
            </w:r>
            <w:r>
              <w:rPr>
                <w:rFonts w:hint="eastAsia" w:ascii="宋体" w:hAnsi="宋体" w:eastAsia="宋体" w:cs="Times New Roman"/>
                <w:b/>
                <w:bCs/>
                <w:color w:val="000000"/>
                <w:sz w:val="24"/>
                <w:highlight w:val="none"/>
                <w:lang w:eastAsia="zh-CN"/>
              </w:rPr>
              <w:t xml:space="preserve">落实政府采购政策的价格调整”。</w:t>
            </w:r>
            <w:r/>
          </w:p>
        </w:tc>
        <w:tc>
          <w:tcPr>
            <w:tcW w:w="6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p>
        </w:tc>
      </w:tr>
      <w:tr>
        <w:trPr>
          <w:jc w:val="center"/>
          <w:trHeight w:val="551"/>
        </w:trPr>
        <w:tc>
          <w:tcPr>
            <w:tcW w:w="693"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w:t>
            </w:r>
            <w:r/>
          </w:p>
        </w:tc>
        <w:tc>
          <w:tcPr>
            <w:gridSpan w:val="3"/>
            <w:tcW w:w="9754"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商务部分（</w:t>
            </w:r>
            <w:r>
              <w:rPr>
                <w:rFonts w:hint="eastAsia" w:ascii="宋体" w:hAnsi="宋体" w:cs="宋体"/>
                <w:b/>
                <w:bCs/>
                <w:color w:val="000000"/>
                <w:sz w:val="24"/>
                <w:highlight w:val="none"/>
                <w:lang w:val="en-US" w:eastAsia="zh-CN"/>
              </w:rPr>
              <w:t xml:space="preserve">18</w:t>
            </w:r>
            <w:r>
              <w:rPr>
                <w:rFonts w:hint="eastAsia" w:ascii="宋体" w:hAnsi="宋体" w:cs="宋体"/>
                <w:b/>
                <w:bCs/>
                <w:color w:val="000000"/>
                <w:sz w:val="24"/>
                <w:highlight w:val="none"/>
              </w:rPr>
              <w:t xml:space="preserve">分）</w:t>
            </w:r>
            <w:r/>
          </w:p>
        </w:tc>
      </w:tr>
      <w:tr>
        <w:trPr>
          <w:jc w:val="center"/>
          <w:trHeight w:val="283"/>
        </w:trPr>
        <w:tc>
          <w:tcPr>
            <w:tcW w:w="693"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p>
        </w:tc>
        <w:tc>
          <w:tcPr>
            <w:tcBorders>
              <w:bottom w:val="single" w:color="auto" w:sz="4" w:space="0"/>
            </w:tcBorders>
            <w:tcW w:w="12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业绩</w:t>
            </w:r>
            <w:r/>
          </w:p>
        </w:tc>
        <w:tc>
          <w:tcPr>
            <w:tcW w:w="7862"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sz w:val="24"/>
                <w:highlight w:val="none"/>
              </w:rPr>
              <w:t xml:space="preserve">投标供应商自2023年1月1日以来具有</w:t>
            </w:r>
            <w:r>
              <w:rPr>
                <w:rFonts w:hint="eastAsia" w:ascii="宋体" w:hAnsi="宋体" w:cs="宋体"/>
                <w:sz w:val="24"/>
                <w:highlight w:val="none"/>
                <w:lang w:val="en-US" w:eastAsia="zh-CN"/>
              </w:rPr>
              <w:t xml:space="preserve">本项目</w:t>
            </w:r>
            <w:r>
              <w:rPr>
                <w:rFonts w:hint="eastAsia" w:ascii="宋体" w:hAnsi="宋体" w:cs="宋体"/>
                <w:sz w:val="24"/>
                <w:highlight w:val="none"/>
              </w:rPr>
              <w:t xml:space="preserve">同类项目业绩的，每提供一个业绩得2分，</w:t>
            </w:r>
            <w:r>
              <w:rPr>
                <w:rFonts w:hint="eastAsia" w:ascii="宋体" w:hAnsi="宋体" w:cs="宋体"/>
                <w:color w:val="000000"/>
                <w:sz w:val="24"/>
                <w:highlight w:val="none"/>
              </w:rPr>
              <w:t xml:space="preserve">本项最高得4分。</w:t>
            </w:r>
            <w:r/>
          </w:p>
          <w:p>
            <w:pPr>
              <w:jc w:val="left"/>
              <w:rPr>
                <w:rFonts w:hint="eastAsia" w:ascii="宋体" w:hAnsi="宋体" w:cs="宋体"/>
                <w:color w:val="ff0000"/>
                <w:sz w:val="24"/>
                <w:highlight w:val="none"/>
              </w:rPr>
            </w:pPr>
            <w:r>
              <w:rPr>
                <w:rFonts w:hint="eastAsia" w:ascii="宋体" w:hAnsi="宋体" w:cs="宋体"/>
                <w:b/>
                <w:bCs/>
                <w:color w:val="000000"/>
                <w:sz w:val="24"/>
                <w:highlight w:val="none"/>
              </w:rPr>
              <w:t xml:space="preserve">注：</w:t>
            </w:r>
            <w:r>
              <w:rPr>
                <w:rFonts w:hint="eastAsia" w:ascii="宋体" w:hAnsi="宋体" w:cs="宋体"/>
                <w:sz w:val="24"/>
                <w:highlight w:val="none"/>
              </w:rPr>
              <w:t xml:space="preserve">业绩时间以合同签订时间为准，提供合同协议书</w:t>
            </w:r>
            <w:r>
              <w:rPr>
                <w:rFonts w:hint="eastAsia" w:ascii="宋体" w:hAnsi="宋体" w:cs="宋体"/>
                <w:sz w:val="24"/>
                <w:highlight w:val="none"/>
                <w:lang w:val="en-US" w:eastAsia="zh-CN"/>
              </w:rPr>
              <w:t xml:space="preserve">扫描件</w:t>
            </w:r>
            <w:r>
              <w:rPr>
                <w:rFonts w:hint="eastAsia" w:ascii="宋体" w:hAnsi="宋体" w:cs="宋体"/>
                <w:sz w:val="24"/>
                <w:highlight w:val="none"/>
              </w:rPr>
              <w:t xml:space="preserve">并加盖投标供应商公章。</w:t>
            </w:r>
            <w:r/>
          </w:p>
        </w:tc>
        <w:tc>
          <w:tcPr>
            <w:tcW w:w="6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4</w:t>
            </w:r>
            <w:r/>
          </w:p>
        </w:tc>
      </w:tr>
      <w:tr>
        <w:trPr>
          <w:jc w:val="center"/>
          <w:trHeight w:val="283"/>
        </w:trPr>
        <w:tc>
          <w:tcPr>
            <w:tcW w:w="693"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p>
        </w:tc>
        <w:tc>
          <w:tcPr>
            <w:tcBorders>
              <w:top w:val="single" w:color="auto" w:sz="4" w:space="0"/>
            </w:tcBorders>
            <w:tcW w:w="1246"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质保承诺</w:t>
            </w:r>
            <w:r/>
          </w:p>
        </w:tc>
        <w:tc>
          <w:tcPr>
            <w:tcW w:w="7862"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投标供应商承诺免费质保期满足招标文件最低要求基础上，每额外延长1年免费质保得1分，延长不足1年不计分；本项最高得2分。</w:t>
            </w:r>
            <w:r/>
          </w:p>
          <w:p>
            <w:pPr>
              <w:jc w:val="left"/>
              <w:rPr>
                <w:rFonts w:hint="eastAsia" w:ascii="宋体" w:hAnsi="宋体" w:cs="宋体"/>
                <w:sz w:val="24"/>
                <w:highlight w:val="none"/>
              </w:rPr>
            </w:pPr>
            <w:r>
              <w:rPr>
                <w:rFonts w:hint="eastAsia" w:ascii="宋体" w:hAnsi="宋体" w:cs="宋体"/>
                <w:b/>
                <w:bCs/>
                <w:sz w:val="24"/>
                <w:highlight w:val="none"/>
              </w:rPr>
              <w:t xml:space="preserve">注：</w:t>
            </w:r>
            <w:r>
              <w:rPr>
                <w:rFonts w:hint="eastAsia" w:ascii="宋体" w:hAnsi="宋体" w:cs="宋体"/>
                <w:sz w:val="24"/>
                <w:highlight w:val="none"/>
              </w:rPr>
              <w:t xml:space="preserve">质保期自项目最终验收合格之日起计算；仅满足招标文件最低质保要求不得分；须提供加盖投标人公章的书面承诺；中标后承诺的质保期限纳入合同条款严格执行。</w:t>
            </w:r>
            <w:r/>
          </w:p>
        </w:tc>
        <w:tc>
          <w:tcPr>
            <w:tcW w:w="6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p>
        </w:tc>
      </w:tr>
      <w:tr>
        <w:trPr>
          <w:jc w:val="center"/>
          <w:trHeight w:val="283"/>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Borders>
              <w:top w:val="single" w:color="auto" w:sz="4" w:space="0"/>
            </w:tcBorders>
            <w:tcW w:w="12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功能演示</w:t>
            </w:r>
            <w:r/>
          </w:p>
        </w:tc>
        <w:tc>
          <w:tcPr>
            <w:tcBorders>
              <w:top w:val="single" w:color="auto" w:sz="4" w:space="0"/>
            </w:tcBorders>
            <w:tcW w:w="7862" w:type="dxa"/>
            <w:vAlign w:val="center"/>
            <w:textDirection w:val="lrTb"/>
            <w:noWrap w:val="false"/>
          </w:tcPr>
          <w:p>
            <w:pPr>
              <w:ind w:firstLine="12"/>
              <w:jc w:val="left"/>
              <w:spacing w:line="300" w:lineRule="auto"/>
              <w:widowControl/>
              <w:rPr>
                <w:rFonts w:hint="eastAsia" w:ascii="宋体" w:hAnsi="宋体" w:cs="宋体"/>
                <w:b/>
                <w:bCs/>
                <w:color w:val="000000" w:themeColor="text1"/>
                <w:spacing w:val="-6"/>
                <w:sz w:val="24"/>
                <w:highlight w:val="none"/>
                <w14:textFill>
                  <w14:solidFill>
                    <w14:schemeClr w14:val="tx1"/>
                  </w14:solidFill>
                </w14:textFill>
              </w:rPr>
            </w:pPr>
            <w:r>
              <w:rPr>
                <w:rFonts w:hint="eastAsia" w:ascii="宋体" w:hAnsi="宋体" w:cs="宋体"/>
                <w:b/>
                <w:bCs/>
                <w:color w:val="000000" w:themeColor="text1"/>
                <w:spacing w:val="-6"/>
                <w:sz w:val="24"/>
                <w:highlight w:val="none"/>
                <w14:textFill>
                  <w14:solidFill>
                    <w14:schemeClr w14:val="tx1"/>
                  </w14:solidFill>
                </w14:textFill>
              </w:rPr>
              <w:t xml:space="preserve">2.1演示的要求：</w:t>
            </w:r>
            <w:r/>
          </w:p>
          <w:p>
            <w:pPr>
              <w:ind w:firstLine="12"/>
              <w:jc w:val="left"/>
              <w:spacing w:line="300" w:lineRule="auto"/>
              <w:widowControl/>
              <w:rPr>
                <w:rFonts w:hint="eastAsia" w:ascii="宋体" w:hAnsi="宋体" w:cs="宋体"/>
                <w:b/>
                <w:bCs/>
                <w:color w:val="000000" w:themeColor="text1"/>
                <w:spacing w:val="-6"/>
                <w:sz w:val="24"/>
                <w:highlight w:val="none"/>
                <w14:textFill>
                  <w14:solidFill>
                    <w14:schemeClr w14:val="tx1"/>
                  </w14:solidFill>
                </w14:textFill>
              </w:rPr>
            </w:pPr>
            <w:r>
              <w:rPr>
                <w:rFonts w:hint="eastAsia" w:ascii="宋体" w:hAnsi="宋体" w:cs="宋体"/>
                <w:b/>
                <w:bCs/>
                <w:color w:val="000000" w:themeColor="text1"/>
                <w:spacing w:val="-6"/>
                <w:sz w:val="24"/>
                <w:highlight w:val="none"/>
                <w14:textFill>
                  <w14:solidFill>
                    <w14:schemeClr w14:val="tx1"/>
                  </w14:solidFill>
                </w14:textFill>
              </w:rPr>
              <w:t xml:space="preserve">（1）投标供应商须按照评分标准规定的演示内容制作演示视频文件，视频文件的格式为*.mp4或*.avi，投标供应商须将视频文件分段压缩为*.zip文件上传（单个文件不得大于50M，所有文件总共不得大于300M）。每个演示视频时间不超过5分钟；文件上传方式见《操作手册》规定，上传的演示视频将作为投标文件的组成部分。</w:t>
            </w:r>
            <w:r/>
          </w:p>
          <w:p>
            <w:pPr>
              <w:ind w:firstLine="12"/>
              <w:jc w:val="left"/>
              <w:spacing w:line="30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pacing w:val="-6"/>
                <w:sz w:val="24"/>
                <w:highlight w:val="none"/>
                <w14:textFill>
                  <w14:solidFill>
                    <w14:schemeClr w14:val="tx1"/>
                  </w14:solidFill>
                </w14:textFill>
              </w:rPr>
              <w:t xml:space="preserve">（2）全部视频制作完成后，投标人须制作视频目录，将每条视频的文件名和评分项一一对应，供评标委员会评审，目录为PDF格式。</w:t>
            </w:r>
            <w:r/>
          </w:p>
          <w:p>
            <w:pPr>
              <w:jc w:val="left"/>
              <w:widowControl/>
              <w:rPr>
                <w:rFonts w:hint="eastAsia" w:ascii="宋体" w:hAnsi="宋体" w:cs="宋体"/>
                <w:sz w:val="24"/>
                <w:highlight w:val="none"/>
              </w:rPr>
            </w:pPr>
            <w:r>
              <w:rPr>
                <w:rFonts w:hint="eastAsia" w:ascii="宋体" w:hAnsi="宋体" w:cs="宋体"/>
                <w:sz w:val="24"/>
                <w:highlight w:val="none"/>
              </w:rPr>
              <w:t xml:space="preserve">2.2演示内容：</w:t>
            </w:r>
            <w:r/>
          </w:p>
          <w:p>
            <w:pPr>
              <w:jc w:val="left"/>
              <w:widowControl/>
              <w:rPr>
                <w:rFonts w:hint="eastAsia" w:ascii="宋体" w:hAnsi="宋体" w:cs="宋体"/>
                <w:sz w:val="24"/>
                <w:highlight w:val="none"/>
              </w:rPr>
            </w:pPr>
            <w:r>
              <w:rPr>
                <w:rFonts w:hint="eastAsia" w:ascii="宋体" w:hAnsi="宋体" w:cs="宋体"/>
                <w:sz w:val="24"/>
                <w:highlight w:val="none"/>
              </w:rPr>
              <w:t xml:space="preserve">按照技术参数中要求演示的指标要求，本项目包括五个软件，包括：可编程控制器AR实时仿真软件、</w:t>
            </w:r>
            <w:r>
              <w:rPr>
                <w:rFonts w:hint="eastAsia" w:ascii="宋体" w:hAnsi="宋体" w:cs="宋体"/>
                <w:bCs/>
                <w:sz w:val="24"/>
                <w:highlight w:val="none"/>
              </w:rPr>
              <w:t xml:space="preserve">数字孪生仿真平台、</w:t>
            </w:r>
            <w:r>
              <w:rPr>
                <w:rFonts w:hint="eastAsia" w:ascii="宋体" w:hAnsi="宋体" w:cs="宋体"/>
                <w:sz w:val="24"/>
                <w:highlight w:val="none"/>
              </w:rPr>
              <w:t xml:space="preserve">可编程控制器虚拟仿真软件、工业机器人离线编程软件、智能产线设计与虚拟调试软件（教育版），评委根据投标人的演示内容进行评分，完全满足每项得1分，满分12分。</w:t>
            </w:r>
            <w:r/>
          </w:p>
          <w:p>
            <w:pPr>
              <w:pStyle w:val="701"/>
              <w:jc w:val="left"/>
              <w:rPr>
                <w:rFonts w:hint="eastAsia" w:ascii="宋体" w:hAnsi="宋体" w:eastAsia="宋体" w:cs="宋体"/>
                <w:sz w:val="24"/>
                <w:highlight w:val="none"/>
              </w:rPr>
            </w:pPr>
            <w:r>
              <w:rPr>
                <w:rFonts w:hint="eastAsia" w:ascii="宋体" w:hAnsi="宋体" w:eastAsia="宋体" w:cs="宋体"/>
                <w:sz w:val="24"/>
                <w:highlight w:val="none"/>
              </w:rPr>
              <w:t xml:space="preserve">（1）满足“可编程控制器AR实时仿真软件”功能要求：提供包含电梯控制模块、扶梯模块、水泵排水模块、刀库捷径模块等不少于12个PLC实训模块。内置AI智能语音助手，点击模型相应位置，自动语音讲解其功能。</w:t>
            </w:r>
            <w:r/>
          </w:p>
          <w:p>
            <w:pPr>
              <w:pStyle w:val="701"/>
              <w:jc w:val="left"/>
              <w:rPr>
                <w:rFonts w:hint="eastAsia" w:ascii="宋体" w:hAnsi="宋体" w:eastAsia="宋体" w:cs="宋体"/>
                <w:sz w:val="24"/>
                <w:highlight w:val="none"/>
              </w:rPr>
            </w:pPr>
            <w:r>
              <w:rPr>
                <w:rFonts w:hint="eastAsia" w:ascii="宋体" w:hAnsi="宋体" w:eastAsia="宋体" w:cs="宋体"/>
                <w:sz w:val="24"/>
                <w:highlight w:val="none"/>
              </w:rPr>
              <w:t xml:space="preserve">（2）满足“可编程控制器AR实时仿真软件”中模型在线仿真要求：点击在线仿真，在网络区输入PLC的IP地址和端口号，连接成功后，网络图标变蓝，通过PLC在线编程控制模型中的LED指示灯，对应实训原理的流程实时展示运行情况；实现PLC编程的虚拟控制训练；</w:t>
            </w:r>
            <w:r/>
          </w:p>
          <w:p>
            <w:pPr>
              <w:pStyle w:val="701"/>
              <w:jc w:val="left"/>
              <w:rPr>
                <w:rFonts w:hint="eastAsia" w:ascii="宋体" w:hAnsi="宋体" w:eastAsia="宋体" w:cs="宋体"/>
                <w:sz w:val="24"/>
                <w:highlight w:val="none"/>
              </w:rPr>
            </w:pPr>
            <w:r>
              <w:rPr>
                <w:rFonts w:hint="eastAsia" w:ascii="宋体" w:hAnsi="宋体" w:eastAsia="宋体" w:cs="宋体"/>
                <w:sz w:val="24"/>
                <w:highlight w:val="none"/>
              </w:rPr>
              <w:t xml:space="preserve">（3）满足“数字孪生仿真平台”功能要求：要求提供不少于10个基础训练实训项目（模型采用LED指示灯、按钮开关、接线端子、喷绘图形的形式进行展现），涵盖了装配流水线模拟、十字路口交通灯模拟、天塔之光模拟、水塔水位模拟、步进电机模拟、电动机星三角启动模拟、三层电梯模拟、自动配料装车模拟、四节传送带模拟、刀库捷径选择模拟、数码显示模拟、自动扶梯模拟、水泵排水模拟；</w:t>
            </w:r>
            <w:r/>
          </w:p>
          <w:p>
            <w:pPr>
              <w:pStyle w:val="701"/>
              <w:jc w:val="left"/>
              <w:rPr>
                <w:rFonts w:hint="eastAsia" w:ascii="宋体" w:hAnsi="宋体" w:eastAsia="宋体" w:cs="宋体"/>
                <w:sz w:val="24"/>
                <w:highlight w:val="none"/>
              </w:rPr>
            </w:pPr>
            <w:r>
              <w:rPr>
                <w:rFonts w:hint="eastAsia" w:ascii="宋体" w:hAnsi="宋体" w:eastAsia="宋体" w:cs="宋体"/>
                <w:sz w:val="24"/>
                <w:highlight w:val="none"/>
              </w:rPr>
              <w:t xml:space="preserve">（4）满足“可编程控制器虚拟仿真软件”功能要求：提供不少于23个功能实训画面，涵盖了基本指令练习、装配流水线控制、十字路口交通灯控制、天塔之光控制、水塔水位控制、数码管控制、电动机星三角启动控制、四节输送线控制、自控轧钢机控制、机械手控制、液体混合装置控制、邮箱自动分拣控制、物料分拣控制、电动机正反控制、电镀生产线控制、自动售货机控制、小车运料控制、自动送料装车控制、抢答器、自动洗衣机控制、自动成型机控制、自动冲压机、柔性生产线控制等实训仿真画面。</w:t>
            </w:r>
            <w:r/>
          </w:p>
          <w:p>
            <w:pPr>
              <w:pStyle w:val="701"/>
              <w:jc w:val="left"/>
              <w:rPr>
                <w:rFonts w:hint="eastAsia" w:ascii="宋体" w:hAnsi="宋体" w:eastAsia="宋体" w:cs="宋体"/>
                <w:sz w:val="24"/>
                <w:highlight w:val="none"/>
              </w:rPr>
            </w:pPr>
            <w:r>
              <w:rPr>
                <w:rFonts w:hint="eastAsia" w:ascii="宋体" w:hAnsi="宋体" w:eastAsia="宋体" w:cs="宋体"/>
                <w:sz w:val="24"/>
                <w:highlight w:val="none"/>
              </w:rPr>
              <w:t xml:space="preserve">（5）满足“工业机器人离线编程软件”功能要求：支持轨迹编辑功能，以图形化方式通过拖动参数曲线，来编辑一条轨迹中指定个数的点，实现整条轨迹光滑过渡的效果；</w:t>
            </w:r>
            <w:r/>
          </w:p>
          <w:p>
            <w:pPr>
              <w:pStyle w:val="701"/>
              <w:jc w:val="left"/>
              <w:rPr>
                <w:rFonts w:hint="eastAsia" w:ascii="宋体" w:hAnsi="宋体" w:eastAsia="宋体" w:cs="宋体"/>
                <w:sz w:val="24"/>
                <w:highlight w:val="none"/>
              </w:rPr>
            </w:pPr>
            <w:r>
              <w:rPr>
                <w:rFonts w:hint="eastAsia" w:ascii="宋体" w:hAnsi="宋体" w:eastAsia="宋体" w:cs="宋体"/>
                <w:sz w:val="24"/>
                <w:highlight w:val="none"/>
              </w:rPr>
              <w:t xml:space="preserve">（6）满足“工业机器人离线编程软件”功能要求：支持开放的拓展指令功能，用户可根据机器人指令自行配置工艺参数模板，再通过给轨迹点添加相关的参数内容，实现工艺指令参数化控制；</w:t>
            </w:r>
            <w:r/>
          </w:p>
          <w:p>
            <w:pPr>
              <w:pStyle w:val="701"/>
              <w:jc w:val="left"/>
              <w:rPr>
                <w:rFonts w:hint="eastAsia" w:ascii="宋体" w:hAnsi="宋体" w:eastAsia="宋体" w:cs="宋体"/>
                <w:sz w:val="24"/>
                <w:highlight w:val="none"/>
              </w:rPr>
            </w:pPr>
            <w:r>
              <w:rPr>
                <w:rFonts w:hint="eastAsia" w:ascii="宋体" w:hAnsi="宋体" w:eastAsia="宋体" w:cs="宋体"/>
                <w:sz w:val="24"/>
                <w:highlight w:val="none"/>
              </w:rPr>
              <w:t xml:space="preserve">（7）满足“工业机器人离线编程软件”功能要求：利用云服务平台，实时把控前端软件考试活动进度；考试结果通过云端智能算法自动进行打分评判；考试全程远程、自动化运行；</w:t>
            </w:r>
            <w:r/>
          </w:p>
          <w:p>
            <w:pPr>
              <w:pStyle w:val="701"/>
              <w:jc w:val="left"/>
              <w:rPr>
                <w:rFonts w:hint="eastAsia" w:ascii="宋体" w:hAnsi="宋体" w:eastAsia="宋体" w:cs="宋体"/>
                <w:sz w:val="24"/>
                <w:highlight w:val="none"/>
              </w:rPr>
            </w:pPr>
            <w:r>
              <w:rPr>
                <w:rFonts w:hint="eastAsia" w:ascii="宋体" w:hAnsi="宋体" w:eastAsia="宋体" w:cs="宋体"/>
                <w:sz w:val="24"/>
                <w:highlight w:val="none"/>
              </w:rPr>
              <w:t xml:space="preserve">（8）满足“工业机器人离线编程软件”功能要求：支持与软件内场景元素进行数据交互，获取或更新场景元素信息，如名称、位姿、关节角等数据；</w:t>
            </w:r>
            <w:r/>
          </w:p>
          <w:p>
            <w:pPr>
              <w:pStyle w:val="701"/>
              <w:jc w:val="left"/>
              <w:rPr>
                <w:rFonts w:hint="eastAsia" w:ascii="宋体" w:hAnsi="宋体" w:eastAsia="宋体" w:cs="宋体"/>
                <w:sz w:val="24"/>
                <w:highlight w:val="none"/>
              </w:rPr>
            </w:pPr>
            <w:r>
              <w:rPr>
                <w:rFonts w:hint="eastAsia" w:ascii="宋体" w:hAnsi="宋体" w:eastAsia="宋体" w:cs="宋体"/>
                <w:sz w:val="24"/>
                <w:highlight w:val="none"/>
              </w:rPr>
              <w:t xml:space="preserve">（9）满足“智能产线设计与虚拟调试软件（教育版）”功能要求：支持连接真实PLC设备，基于多品牌网关的数据交互技术，可以实现和多种品牌的PLC设备进行信号交互；</w:t>
            </w:r>
            <w:r/>
          </w:p>
          <w:p>
            <w:pPr>
              <w:pStyle w:val="701"/>
              <w:jc w:val="left"/>
              <w:rPr>
                <w:rFonts w:hint="eastAsia" w:ascii="宋体" w:hAnsi="宋体" w:eastAsia="宋体" w:cs="宋体"/>
                <w:sz w:val="24"/>
                <w:highlight w:val="none"/>
              </w:rPr>
            </w:pPr>
            <w:r>
              <w:rPr>
                <w:rFonts w:hint="eastAsia" w:ascii="宋体" w:hAnsi="宋体" w:eastAsia="宋体" w:cs="宋体"/>
                <w:sz w:val="24"/>
                <w:highlight w:val="none"/>
              </w:rPr>
              <w:t xml:space="preserve">（10）满足“智能产线设计与虚拟调试软件（教育版）”功能要求：支持PLC编程软件中变量表的批量导入以及数据网关变量表批量导出功能；</w:t>
            </w:r>
            <w:r/>
          </w:p>
          <w:p>
            <w:pPr>
              <w:pStyle w:val="701"/>
              <w:jc w:val="left"/>
              <w:rPr>
                <w:rFonts w:hint="eastAsia" w:ascii="宋体" w:hAnsi="宋体" w:eastAsia="宋体" w:cs="宋体"/>
                <w:sz w:val="24"/>
                <w:highlight w:val="none"/>
              </w:rPr>
            </w:pPr>
            <w:r>
              <w:rPr>
                <w:rFonts w:hint="eastAsia" w:ascii="宋体" w:hAnsi="宋体" w:eastAsia="宋体" w:cs="宋体"/>
                <w:sz w:val="24"/>
                <w:highlight w:val="none"/>
              </w:rPr>
              <w:t xml:space="preserve">（11）满足“智能产线设计与虚拟调试软件（教育版）”功能要求：支持虚拟调试双模式启动，提供普通启动与全屏启动，全屏模式可通过 快捷键快速退出，适配教学展示与专项调试；</w:t>
            </w:r>
            <w:r/>
          </w:p>
          <w:p>
            <w:pPr>
              <w:pStyle w:val="1026"/>
              <w:ind w:firstLine="0"/>
              <w:jc w:val="left"/>
              <w:rPr>
                <w:rFonts w:hint="eastAsia" w:ascii="宋体" w:hAnsi="宋体" w:cs="宋体"/>
                <w:color w:val="ff0000"/>
                <w:sz w:val="24"/>
                <w:szCs w:val="24"/>
                <w:highlight w:val="none"/>
              </w:rPr>
            </w:pPr>
            <w:r>
              <w:rPr>
                <w:rFonts w:hint="eastAsia" w:ascii="宋体" w:hAnsi="宋体" w:cs="宋体"/>
                <w:sz w:val="24"/>
                <w:szCs w:val="24"/>
                <w:highlight w:val="none"/>
              </w:rPr>
              <w:t xml:space="preserve">（12）满足“智能产线设计与虚拟调试软件（教育版）”功能要求：提供数据监控功能，可将机器人关节数据传输至MES系统，可查看机器人运动状态。</w:t>
            </w:r>
            <w:r/>
          </w:p>
        </w:tc>
        <w:tc>
          <w:tcPr>
            <w:tcBorders>
              <w:top w:val="single" w:color="auto" w:sz="4" w:space="0"/>
            </w:tcBorders>
            <w:tcW w:w="6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12</w:t>
            </w:r>
            <w:r/>
          </w:p>
        </w:tc>
      </w:tr>
      <w:tr>
        <w:trPr>
          <w:jc w:val="center"/>
          <w:trHeight w:val="514"/>
        </w:trPr>
        <w:tc>
          <w:tcPr>
            <w:tcW w:w="693"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w:t>
            </w:r>
            <w:r/>
          </w:p>
        </w:tc>
        <w:tc>
          <w:tcPr>
            <w:gridSpan w:val="3"/>
            <w:tcBorders>
              <w:top w:val="single" w:color="auto" w:sz="4" w:space="0"/>
            </w:tcBorders>
            <w:tcW w:w="9754"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b/>
                <w:bCs/>
                <w:color w:val="000000"/>
                <w:sz w:val="24"/>
                <w:highlight w:val="none"/>
              </w:rPr>
              <w:t xml:space="preserve">技术参数响应（32分）</w:t>
            </w:r>
            <w:r/>
          </w:p>
        </w:tc>
      </w:tr>
      <w:tr>
        <w:trPr>
          <w:jc w:val="center"/>
          <w:trHeight w:val="283"/>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auto" w:sz="4" w:space="0"/>
            </w:tcBorders>
            <w:tcW w:w="12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技术参数响应</w:t>
            </w:r>
            <w:r/>
          </w:p>
        </w:tc>
        <w:tc>
          <w:tcPr>
            <w:tcBorders>
              <w:top w:val="single" w:color="auto" w:sz="4" w:space="0"/>
            </w:tcBorders>
            <w:tcW w:w="7862"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投标供应商须提供所投产品“技术参数偏离表”，完全满足招标文件技术参数要求得基准分32分。</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（1）采购需求中标注“★”项参数和功能要求不满足或者负偏离作无效投标处理；</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（2）采购需求中未标注“★”项参数和功能要求不满足或者负偏离，有一项扣2分，最多扣10分，超过5项负偏离作无效投标处理；</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注：①标注“★”项参数须在投标文件中</w:t>
            </w:r>
            <w:r>
              <w:rPr>
                <w:rFonts w:hint="eastAsia" w:ascii="宋体" w:hAnsi="宋体" w:cs="宋体"/>
                <w:b/>
                <w:bCs/>
                <w:color w:val="000000"/>
                <w:sz w:val="24"/>
                <w:highlight w:val="none"/>
              </w:rPr>
              <w:t xml:space="preserve">提供相应证明材料</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并在投标偏离表中详细注明页码，否则视为负偏离作无效投标处理。</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②未标注“★”项参数须在投标偏离表中对采购要求作出实质性响应并填写，负偏离超过5项作无效投标处理。</w:t>
            </w:r>
            <w:r/>
          </w:p>
        </w:tc>
        <w:tc>
          <w:tcPr>
            <w:tcBorders>
              <w:top w:val="single" w:color="auto" w:sz="4" w:space="0"/>
            </w:tcBorders>
            <w:tcW w:w="6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32</w:t>
            </w:r>
            <w:r/>
          </w:p>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283"/>
        </w:trPr>
        <w:tc>
          <w:tcPr>
            <w:tcW w:w="693"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w:t>
            </w:r>
            <w:r/>
          </w:p>
        </w:tc>
        <w:tc>
          <w:tcPr>
            <w:gridSpan w:val="3"/>
            <w:tcBorders>
              <w:top w:val="single" w:color="auto" w:sz="4" w:space="0"/>
            </w:tcBorders>
            <w:tcW w:w="9754"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sz w:val="24"/>
                <w:highlight w:val="none"/>
              </w:rPr>
              <w:t xml:space="preserve">技术部分（20分）</w:t>
            </w:r>
            <w:r/>
          </w:p>
        </w:tc>
      </w:tr>
      <w:tr>
        <w:trPr>
          <w:jc w:val="center"/>
          <w:trHeight w:val="397"/>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2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项目实施方案</w:t>
            </w:r>
            <w:r/>
          </w:p>
        </w:tc>
        <w:tc>
          <w:tcPr>
            <w:tcW w:w="7862" w:type="dxa"/>
            <w:vAlign w:val="center"/>
            <w:textDirection w:val="lrTb"/>
            <w:noWrap w:val="false"/>
          </w:tcPr>
          <w:p>
            <w:pPr>
              <w:ind w:firstLine="480"/>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投标供应商针对本项目的特点和采购需求进行项目实施方案设计，内容主要包括以下四个方面：</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（1）项目组织与工期管控：包括但不限于</w:t>
            </w:r>
            <w:r>
              <w:rPr>
                <w:rFonts w:ascii="宋体" w:hAnsi="宋体" w:cs="宋体"/>
                <w:sz w:val="24"/>
                <w:highlight w:val="none"/>
                <w:lang w:bidi="ar"/>
              </w:rPr>
              <w:t xml:space="preserve">①</w:t>
            </w:r>
            <w:r>
              <w:rPr>
                <w:rFonts w:hint="eastAsia" w:ascii="宋体" w:hAnsi="宋体" w:cs="宋体"/>
                <w:sz w:val="24"/>
                <w:highlight w:val="none"/>
                <w:lang w:bidi="ar"/>
              </w:rPr>
              <w:t xml:space="preserve">项目实施团队架构，人员岗位职责；②项目进度计划，细化到货、安装、部署、调试、试运行、验收等关键节点；③施工风险预判、故障应急响应及工期保障预案；</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（2）硬件设备安装与现场保障：包括但不限于</w:t>
            </w:r>
            <w:r>
              <w:rPr>
                <w:rFonts w:ascii="宋体" w:hAnsi="宋体" w:cs="宋体"/>
                <w:sz w:val="24"/>
                <w:highlight w:val="none"/>
                <w:lang w:bidi="ar"/>
              </w:rPr>
              <w:t xml:space="preserve">①</w:t>
            </w:r>
            <w:r>
              <w:rPr>
                <w:rFonts w:hint="eastAsia" w:ascii="宋体" w:hAnsi="宋体" w:cs="宋体"/>
                <w:sz w:val="24"/>
                <w:highlight w:val="none"/>
                <w:lang w:bidi="ar"/>
              </w:rPr>
              <w:t xml:space="preserve">硬件设备进场核验、安装布设、线路规整全流程作业，落实施工安全防护、成品保护、现场保洁复原等标准化措施；②配套施工降噪、防尘、安全管控举措，建立设备运行保障机制，保障硬件设备长期稳定、安全运行。</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（3）软件部署与软硬件联调：包括但不限于</w:t>
            </w:r>
            <w:r>
              <w:rPr>
                <w:rFonts w:ascii="宋体" w:hAnsi="宋体" w:cs="宋体"/>
                <w:sz w:val="24"/>
                <w:highlight w:val="none"/>
                <w:lang w:bidi="ar"/>
              </w:rPr>
              <w:t xml:space="preserve">①</w:t>
            </w:r>
            <w:r>
              <w:rPr>
                <w:rFonts w:hint="eastAsia" w:ascii="宋体" w:hAnsi="宋体" w:cs="宋体"/>
                <w:sz w:val="24"/>
                <w:highlight w:val="none"/>
                <w:lang w:bidi="ar"/>
              </w:rPr>
              <w:t xml:space="preserve">涵盖系统环境搭建、软件安装授权、权限配置、数据初始化等完整部署工作；②制定硬件兼容性测试、软件适配调试、软硬件联动联调及故障排查优化方案；</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（4）项目竣工交付：包括但不限于提供完整的竣工交付方案，包括软件授权书、操作手册、部署文档、联调验收报告等全套资料，明确资产移交、台账对接及项目验收规范。</w:t>
            </w:r>
            <w:r/>
          </w:p>
          <w:p>
            <w:pPr>
              <w:ind w:firstLine="480"/>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针对上述4项内容，投标供应商结合本项目的特点和技术服务要求在投标响应文件中分别进行阐述，</w:t>
            </w:r>
            <w:r>
              <w:rPr>
                <w:rFonts w:hint="eastAsia" w:ascii="宋体" w:hAnsi="宋体" w:cs="宋体"/>
                <w:sz w:val="24"/>
                <w:highlight w:val="none"/>
                <w:lang w:val="en-US" w:eastAsia="zh-CN" w:bidi="ar"/>
              </w:rPr>
              <w:t xml:space="preserve">每项2分，满分8分，</w:t>
            </w:r>
            <w:r>
              <w:rPr>
                <w:rFonts w:hint="eastAsia" w:ascii="宋体" w:hAnsi="宋体" w:cs="宋体"/>
                <w:sz w:val="24"/>
                <w:highlight w:val="none"/>
                <w:lang w:bidi="ar"/>
              </w:rPr>
              <w:t xml:space="preserve">评标委员会根据阐述内容对每项分别进行打分</w:t>
            </w:r>
            <w:r>
              <w:rPr>
                <w:rFonts w:hint="eastAsia" w:ascii="宋体" w:hAnsi="宋体" w:cs="宋体"/>
                <w:sz w:val="24"/>
                <w:highlight w:val="none"/>
                <w:lang w:eastAsia="zh-CN" w:bidi="ar"/>
              </w:rPr>
              <w:t xml:space="preserve">：</w:t>
            </w:r>
            <w:r/>
          </w:p>
          <w:p>
            <w:pPr>
              <w:numPr>
                <w:ilvl w:val="0"/>
                <w:numId w:val="9"/>
              </w:num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内容详细完善、针对性强、可操作性强，得</w:t>
            </w:r>
            <w:r>
              <w:rPr>
                <w:rFonts w:hint="eastAsia" w:ascii="宋体" w:hAnsi="宋体" w:cs="宋体"/>
                <w:sz w:val="24"/>
                <w:highlight w:val="none"/>
                <w:lang w:val="en-US" w:eastAsia="zh-CN" w:bidi="ar"/>
              </w:rPr>
              <w:t xml:space="preserve">2</w:t>
            </w:r>
            <w:r>
              <w:rPr>
                <w:rFonts w:hint="eastAsia" w:ascii="宋体" w:hAnsi="宋体" w:cs="宋体"/>
                <w:sz w:val="24"/>
                <w:highlight w:val="none"/>
                <w:lang w:bidi="ar"/>
              </w:rPr>
              <w:t xml:space="preserve">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（2）内容详细完善，针对性、可操作性较强，得</w:t>
            </w:r>
            <w:r>
              <w:rPr>
                <w:rFonts w:hint="eastAsia" w:ascii="宋体" w:hAnsi="宋体" w:cs="宋体"/>
                <w:sz w:val="24"/>
                <w:highlight w:val="none"/>
                <w:lang w:val="en-US" w:eastAsia="zh-CN" w:bidi="ar"/>
              </w:rPr>
              <w:t xml:space="preserve">1.5</w:t>
            </w:r>
            <w:r>
              <w:rPr>
                <w:rFonts w:hint="eastAsia" w:ascii="宋体" w:hAnsi="宋体" w:cs="宋体"/>
                <w:sz w:val="24"/>
                <w:highlight w:val="none"/>
                <w:lang w:bidi="ar"/>
              </w:rPr>
              <w:t xml:space="preserve">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（3）内容基本完善，具有一定针对性、可操作性，得</w:t>
            </w:r>
            <w:r>
              <w:rPr>
                <w:rFonts w:hint="eastAsia" w:ascii="宋体" w:hAnsi="宋体" w:cs="宋体"/>
                <w:sz w:val="24"/>
                <w:highlight w:val="none"/>
                <w:lang w:val="en-US" w:eastAsia="zh-CN" w:bidi="ar"/>
              </w:rPr>
              <w:t xml:space="preserve">1</w:t>
            </w:r>
            <w:r>
              <w:rPr>
                <w:rFonts w:hint="eastAsia" w:ascii="宋体" w:hAnsi="宋体" w:cs="宋体"/>
                <w:sz w:val="24"/>
                <w:highlight w:val="none"/>
                <w:lang w:bidi="ar"/>
              </w:rPr>
              <w:t xml:space="preserve">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（4）内容简单、针对性差，可操作性差，得</w:t>
            </w:r>
            <w:r>
              <w:rPr>
                <w:rFonts w:hint="eastAsia" w:ascii="宋体" w:hAnsi="宋体" w:cs="宋体"/>
                <w:sz w:val="24"/>
                <w:highlight w:val="none"/>
                <w:lang w:val="en-US" w:eastAsia="zh-CN" w:bidi="ar"/>
              </w:rPr>
              <w:t xml:space="preserve">0.5</w:t>
            </w:r>
            <w:r>
              <w:rPr>
                <w:rFonts w:hint="eastAsia" w:ascii="宋体" w:hAnsi="宋体" w:cs="宋体"/>
                <w:sz w:val="24"/>
                <w:highlight w:val="none"/>
                <w:lang w:bidi="ar"/>
              </w:rPr>
              <w:t xml:space="preserve">分；</w:t>
            </w:r>
            <w:r/>
          </w:p>
          <w:p>
            <w:pPr>
              <w:jc w:val="left"/>
              <w:widowControl/>
              <w:rPr>
                <w:rFonts w:hint="eastAsia" w:ascii="宋体" w:hAnsi="宋体" w:cs="宋体"/>
                <w:color w:val="000000"/>
                <w:sz w:val="24"/>
                <w:highlight w:val="none"/>
              </w:rPr>
            </w:pPr>
            <w:r>
              <w:rPr>
                <w:rFonts w:hint="eastAsia" w:ascii="宋体" w:hAnsi="宋体" w:cs="宋体"/>
                <w:sz w:val="24"/>
                <w:highlight w:val="none"/>
                <w:lang w:bidi="ar"/>
              </w:rPr>
              <w:t xml:space="preserve">（5）内容偏差大、不满足项目需求或未进行内容阐述，得0分。</w:t>
            </w:r>
            <w:r/>
          </w:p>
        </w:tc>
        <w:tc>
          <w:tcPr>
            <w:tcW w:w="6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p>
        </w:tc>
      </w:tr>
      <w:tr>
        <w:trPr>
          <w:jc w:val="center"/>
          <w:trHeight w:val="397"/>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2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售后服务方案</w:t>
            </w:r>
            <w:r/>
          </w:p>
        </w:tc>
        <w:tc>
          <w:tcPr>
            <w:tcW w:w="7862" w:type="dxa"/>
            <w:vAlign w:val="center"/>
            <w:textDirection w:val="lrTb"/>
            <w:noWrap w:val="false"/>
          </w:tcPr>
          <w:p>
            <w:pPr>
              <w:ind w:firstLine="480"/>
              <w:jc w:val="left"/>
              <w:rPr>
                <w:rFonts w:hint="eastAsia" w:ascii="宋体" w:hAnsi="宋体" w:cs="宋体"/>
                <w:sz w:val="24"/>
                <w:highlight w:val="none"/>
                <w:lang w:bidi="ar"/>
              </w:rPr>
            </w:pPr>
            <w:r>
              <w:rPr>
                <w:rFonts w:hint="eastAsia" w:ascii="宋体" w:hAnsi="宋体" w:cs="宋体"/>
                <w:color w:val="000000"/>
                <w:sz w:val="24"/>
                <w:highlight w:val="none"/>
              </w:rPr>
              <w:t xml:space="preserve">投标人基于对本项目需求的理解制定详细的项目售后方案，包括但不限于故障响应、巡检运维、备件保障、系统升级、长效服务等软硬件全周期保障能力。</w:t>
            </w:r>
            <w:r>
              <w:rPr>
                <w:rFonts w:hint="eastAsia" w:ascii="宋体" w:hAnsi="宋体" w:cs="宋体"/>
                <w:sz w:val="24"/>
                <w:highlight w:val="none"/>
                <w:lang w:bidi="ar"/>
              </w:rPr>
              <w:t xml:space="preserve">针对上述内容，投标供应商结合本项目的特点和技术服务要求在投标响应文件中进行阐述，评标委员会根据阐述内容进行打分：</w:t>
            </w:r>
            <w:r/>
          </w:p>
          <w:p>
            <w:pPr>
              <w:numPr>
                <w:ilvl w:val="0"/>
                <w:numId w:val="10"/>
              </w:num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内容详细完善、针对性强、可操作性强，得6分；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（2）内容详细完善，针对性、可操作性较强，得4分；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（3）内容基本完善，具有一定针对性、可操作性，得2分；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（4）内容简单、针对性差，可操作性差，得1分；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（5）内容偏差大、不满足项目需求或未进行内容阐述，得0分。</w:t>
            </w:r>
            <w:r/>
          </w:p>
        </w:tc>
        <w:tc>
          <w:tcPr>
            <w:tcW w:w="6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r>
      <w:tr>
        <w:trPr>
          <w:jc w:val="center"/>
          <w:trHeight w:val="264"/>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2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培训方案</w:t>
            </w:r>
            <w:r/>
          </w:p>
        </w:tc>
        <w:tc>
          <w:tcPr>
            <w:tcW w:w="7862" w:type="dxa"/>
            <w:vAlign w:val="center"/>
            <w:textDirection w:val="lrTb"/>
            <w:noWrap w:val="false"/>
          </w:tcPr>
          <w:p>
            <w:pPr>
              <w:jc w:val="left"/>
              <w:rPr>
                <w:rFonts w:hint="eastAsia" w:ascii="宋体" w:hAnsi="宋体" w:cs="宋体"/>
                <w:sz w:val="24"/>
                <w:highlight w:val="none"/>
                <w:lang w:bidi="ar"/>
              </w:rPr>
            </w:pPr>
            <w:r>
              <w:rPr>
                <w:rFonts w:hint="eastAsia" w:ascii="宋体" w:hAnsi="宋体" w:cs="宋体"/>
                <w:color w:val="000000"/>
                <w:sz w:val="24"/>
                <w:highlight w:val="none"/>
              </w:rPr>
              <w:t xml:space="preserve">投标人基于对本项目需求的理解制定详细的项目培训方案，包括但不限于对使用人员、管理人员、运维人员制定分层培训，保障软硬件熟练操作、日常管理及基础运维。</w:t>
            </w:r>
            <w:r>
              <w:rPr>
                <w:rFonts w:hint="eastAsia" w:ascii="宋体" w:hAnsi="宋体" w:cs="宋体"/>
                <w:sz w:val="24"/>
                <w:highlight w:val="none"/>
                <w:lang w:bidi="ar"/>
              </w:rPr>
              <w:t xml:space="preserve">针对上述内容，投标供应商结合本项目的特点和技术服务要求在投标响应文件中进行阐述，评标委员会根据阐述内容进行打分：</w:t>
            </w:r>
            <w:r/>
          </w:p>
          <w:p>
            <w:pPr>
              <w:numPr>
                <w:ilvl w:val="0"/>
                <w:numId w:val="11"/>
              </w:num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内容详细完善、针对性强、可操作性强，得6分；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（2）内容详细完善，针对性、可操作性较强，得4分；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（3）内容基本完善，具有一定针对性、可操作性，得2分；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（4）内容简单、针对性差，可操作性差，得1分；</w:t>
            </w:r>
            <w:r/>
          </w:p>
          <w:p>
            <w:pPr>
              <w:jc w:val="left"/>
              <w:rPr>
                <w:rFonts w:hint="eastAsia" w:ascii="宋体" w:hAnsi="宋体" w:cs="宋体"/>
                <w:color w:val="000000"/>
                <w:sz w:val="24"/>
                <w:highlight w:val="none"/>
              </w:rPr>
            </w:pPr>
            <w:r>
              <w:rPr>
                <w:rFonts w:hint="eastAsia" w:ascii="宋体" w:hAnsi="宋体" w:cs="宋体"/>
                <w:sz w:val="24"/>
                <w:highlight w:val="none"/>
                <w:lang w:bidi="ar"/>
              </w:rPr>
              <w:t xml:space="preserve">（5）内容偏差大、不满足项目需求或未进行内容阐述，得0分。</w:t>
            </w:r>
            <w:r/>
          </w:p>
        </w:tc>
        <w:tc>
          <w:tcPr>
            <w:tcW w:w="6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r>
      <w:tr>
        <w:trPr>
          <w:jc w:val="center"/>
          <w:trHeight w:val="336"/>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91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合计</w:t>
            </w:r>
            <w:r/>
          </w:p>
        </w:tc>
        <w:tc>
          <w:tcPr>
            <w:tcW w:w="6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100</w:t>
            </w:r>
            <w:r/>
          </w:p>
        </w:tc>
      </w:tr>
    </w:tbl>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评委为5人以上的单数（含5人）时，计算分项得分时取平均值为投标单位的得分，各分项得分合计即为投标单位的总得分。</w:t>
      </w:r>
      <w:r>
        <w:rPr>
          <w:rFonts w:hint="eastAsia" w:ascii="宋体" w:hAnsi="宋体"/>
          <w:bCs/>
          <w:color w:val="000000" w:themeColor="text1"/>
          <w:sz w:val="24"/>
          <w:highlight w:val="none"/>
          <w14:textFill>
            <w14:solidFill>
              <w14:schemeClr w14:val="tx1"/>
            </w14:solidFill>
          </w14:textFill>
        </w:rPr>
        <w:t xml:space="preserve">投标文件无相应评分内容时，该项目为零分，</w:t>
      </w:r>
      <w:r>
        <w:rPr>
          <w:rFonts w:hint="eastAsia" w:ascii="宋体" w:hAnsi="宋体" w:cs="宋体"/>
          <w:bCs/>
          <w:color w:val="000000" w:themeColor="text1"/>
          <w:sz w:val="24"/>
          <w:highlight w:val="none"/>
          <w14:textFill>
            <w14:solidFill>
              <w14:schemeClr w14:val="tx1"/>
            </w14:solidFill>
          </w14:textFill>
        </w:rPr>
        <w:t xml:space="preserve">投标单位如对招标文件提出的合理要求不作出相应承诺或对招标单位提出不合理要求的不予得标。每项评分的具体内容和方法由评委集体讨论，评委独立评分。所有评委打分的平均值为各投标供应商最终得分。推荐前3名为第一、第二、第三中标候选单位。评分办法及评分细则的解释权归属采购人。未列入本评分细则的其他条件不作为评分内容。</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（九）确定中标供应商：</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w:t>
      </w:r>
      <w:r>
        <w:rPr>
          <w:rFonts w:hint="eastAsia" w:ascii="宋体" w:hAnsi="宋体" w:cs="宋体"/>
          <w:bCs/>
          <w:color w:val="000000" w:themeColor="text1"/>
          <w:sz w:val="24"/>
          <w:highlight w:val="none"/>
          <w14:textFill>
            <w14:solidFill>
              <w14:schemeClr w14:val="tx1"/>
            </w14:solidFill>
          </w14:textFill>
        </w:rPr>
        <w:t xml:space="preserve">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万达工程造价事务所有限公司自中标供应商确定之日起2个工作日内，在财政部门指定的政府采购信息发布媒体上发布中标结果公告。</w:t>
      </w:r>
      <w:r>
        <w:rPr>
          <w:rFonts w:ascii="宋体" w:hAnsi="宋体"/>
          <w:bCs/>
          <w:color w:val="000000" w:themeColor="text1"/>
          <w:sz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highlight w:val="none"/>
          <w14:textFill>
            <w14:solidFill>
              <w14:schemeClr w14:val="tx1"/>
            </w14:solidFill>
          </w14:textFill>
        </w:rPr>
        <w:t xml:space="preserve">须按《</w:t>
      </w:r>
      <w:r>
        <w:rPr>
          <w:rFonts w:ascii="宋体" w:hAnsi="宋体"/>
          <w:bCs/>
          <w:color w:val="000000" w:themeColor="text1"/>
          <w:sz w:val="24"/>
          <w:highlight w:val="none"/>
          <w14:textFill>
            <w14:solidFill>
              <w14:schemeClr w14:val="tx1"/>
            </w14:solidFill>
          </w14:textFill>
        </w:rPr>
        <w:t xml:space="preserve">政府采购质疑和投诉办法</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highlight w:val="none"/>
          <w14:textFill>
            <w14:solidFill>
              <w14:schemeClr w14:val="tx1"/>
            </w14:solidFill>
          </w14:textFill>
        </w:rPr>
        <w:t xml:space="preserve">）相关规定执行。</w:t>
      </w:r>
      <w:r>
        <w:rPr>
          <w:rFonts w:ascii="宋体" w:hAnsi="宋体"/>
          <w:bCs/>
          <w:color w:val="000000" w:themeColor="text1"/>
          <w:sz w:val="24"/>
          <w:highlight w:val="none"/>
          <w14:textFill>
            <w14:solidFill>
              <w14:schemeClr w14:val="tx1"/>
            </w14:solidFill>
          </w14:textFill>
        </w:rPr>
        <w:t xml:space="preserve">供应商</w:t>
      </w:r>
      <w:r>
        <w:rPr>
          <w:rFonts w:hint="eastAsia" w:ascii="宋体" w:hAnsi="宋体"/>
          <w:bCs/>
          <w:color w:val="000000" w:themeColor="text1"/>
          <w:sz w:val="24"/>
          <w:highlight w:val="none"/>
          <w14:textFill>
            <w14:solidFill>
              <w14:schemeClr w14:val="tx1"/>
            </w14:solidFill>
          </w14:textFill>
        </w:rPr>
        <w:t xml:space="preserve">须在</w:t>
      </w:r>
      <w:r>
        <w:rPr>
          <w:rFonts w:ascii="宋体" w:hAnsi="宋体"/>
          <w:bCs/>
          <w:color w:val="000000" w:themeColor="text1"/>
          <w:sz w:val="24"/>
          <w:highlight w:val="none"/>
          <w14:textFill>
            <w14:solidFill>
              <w14:schemeClr w14:val="tx1"/>
            </w14:solidFill>
          </w14:textFill>
        </w:rPr>
        <w:t xml:space="preserve">法定质疑期内一次性提出针对同一采购程序环节的质疑。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（十）废标的确认：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1.符合专业条件的投标供应商或者对采购文件作出实质性响应的投标供应商不足三家；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3.投标供应商的报价均超过采购预算，采购人不能支付的；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4.因重大变故，采购任务取消。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5.评标委员会认定招标文件存在歧义、重大缺陷导致评审工作无法进行；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6.因“苏采云”系统故障原因造成开标不成功的。</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（十一）投标保证金：</w:t>
      </w:r>
      <w:r/>
    </w:p>
    <w:p>
      <w:pPr>
        <w:ind w:firstLine="480"/>
        <w:spacing w:line="360" w:lineRule="auto"/>
        <w:tabs>
          <w:tab w:val="left" w:pos="525" w:leader="none"/>
          <w:tab w:val="left" w:pos="1155" w:leader="none"/>
          <w:tab w:val="left" w:pos="12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（十二）签订、履行合同：</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万达工程造价事务所有限公司见证后生效。</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2.江苏万达工程造价事务所有限公司监督合同的履行。中标方非因不可抗力未履行招、投标文件和合同规定的义务，一经查实，招标代理机构将根据具体情况提请政府采购管理部门作出相应处理。</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（十三）代理服务费：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1.本项目招标代理服务费以预算金额为计费基础，按差额定率累进法计算：</w:t>
      </w:r>
      <w:r>
        <w:rPr>
          <w:rFonts w:ascii="宋体" w:hAnsi="宋体"/>
          <w:color w:val="000000" w:themeColor="text1"/>
          <w:sz w:val="24"/>
          <w:highlight w:val="none"/>
          <w14:textFill>
            <w14:solidFill>
              <w14:schemeClr w14:val="tx1"/>
            </w14:solidFill>
          </w14:textFill>
        </w:rPr>
        <w:t xml:space="preserve">100万以下费率为1.</w:t>
      </w:r>
      <w:r>
        <w:rPr>
          <w:rFonts w:hint="eastAsia" w:ascii="宋体" w:hAnsi="宋体"/>
          <w:color w:val="000000" w:themeColor="text1"/>
          <w:sz w:val="24"/>
          <w:highlight w:val="none"/>
          <w14:textFill>
            <w14:solidFill>
              <w14:schemeClr w14:val="tx1"/>
            </w14:solidFill>
          </w14:textFill>
        </w:rPr>
        <w:t xml:space="preserve">05</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100</w:t>
      </w:r>
      <w:r>
        <w:rPr>
          <w:rFonts w:hint="eastAsia" w:ascii="宋体" w:hAnsi="宋体"/>
          <w:color w:val="000000" w:themeColor="text1"/>
          <w:sz w:val="24"/>
          <w:highlight w:val="none"/>
          <w14:textFill>
            <w14:solidFill>
              <w14:schemeClr w14:val="tx1"/>
            </w14:solidFill>
          </w14:textFill>
        </w:rPr>
        <w:t xml:space="preserve">万</w:t>
      </w:r>
      <w:r>
        <w:rPr>
          <w:rFonts w:ascii="宋体" w:hAnsi="宋体"/>
          <w:color w:val="000000" w:themeColor="text1"/>
          <w:sz w:val="24"/>
          <w:highlight w:val="none"/>
          <w14:textFill>
            <w14:solidFill>
              <w14:schemeClr w14:val="tx1"/>
            </w14:solidFill>
          </w14:textFill>
        </w:rPr>
        <w:t xml:space="preserve">－500万费率为</w:t>
      </w:r>
      <w:r>
        <w:rPr>
          <w:rFonts w:hint="eastAsia" w:ascii="宋体" w:hAnsi="宋体"/>
          <w:color w:val="000000" w:themeColor="text1"/>
          <w:sz w:val="24"/>
          <w:highlight w:val="none"/>
          <w14:textFill>
            <w14:solidFill>
              <w14:schemeClr w14:val="tx1"/>
            </w14:solidFill>
          </w14:textFill>
        </w:rPr>
        <w:t xml:space="preserve">0.77</w:t>
      </w:r>
      <w:r>
        <w:rPr>
          <w:rFonts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3.中标供应商如果未按规定缴纳采购代理服务费，采购代理机构将保留诉讼的权利。</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（十四）其他政策要求（包括但不限于下列具体政策要求）：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有关中小企业政策，如</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000000" w:themeColor="text1"/>
          <w:sz w:val="24"/>
          <w:highlight w:val="none"/>
          <w14:textFill>
            <w14:solidFill>
              <w14:schemeClr w14:val="tx1"/>
            </w14:solidFill>
          </w14:textFill>
        </w:rPr>
        <w:t xml:space="preserve">采购人可在合同中约定，</w:t>
      </w:r>
      <w:r>
        <w:rPr>
          <w:rFonts w:hint="eastAsia" w:ascii="宋体" w:hAnsi="宋体" w:cs="宋体"/>
          <w:color w:val="000000" w:themeColor="text1"/>
          <w:sz w:val="24"/>
          <w:highlight w:val="none"/>
          <w14:textFill>
            <w14:solidFill>
              <w14:schemeClr w14:val="tx1"/>
            </w14:solidFill>
          </w14:textFill>
        </w:rPr>
        <w:t xml:space="preserve">在</w:t>
      </w:r>
      <w:r>
        <w:rPr>
          <w:rFonts w:hint="eastAsia" w:ascii="宋体" w:hAnsi="宋体" w:cs="宋体"/>
          <w:bCs/>
          <w:color w:val="000000" w:themeColor="text1"/>
          <w:sz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255"/>
          <w:numId w:val="0"/>
        </w:num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255"/>
          <w:numId w:val="0"/>
        </w:num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rPr>
          <w:rFonts w:hint="eastAsia" w:ascii="宋体"/>
          <w:bCs/>
          <w:color w:val="000000" w:themeColor="text1"/>
          <w:sz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w:t>
      </w:r>
      <w:r>
        <w:rPr>
          <w:rFonts w:hint="eastAsia" w:ascii="宋体"/>
          <w:bCs/>
          <w:color w:val="000000" w:themeColor="text1"/>
          <w:sz w:val="24"/>
          <w:highlight w:val="none"/>
          <w14:textFill>
            <w14:solidFill>
              <w14:schemeClr w14:val="tx1"/>
            </w14:solidFill>
          </w14:textFill>
        </w:rPr>
        <w:t xml:space="preserve">评分标准</w:t>
      </w:r>
      <w:r>
        <w:rPr>
          <w:rFonts w:hint="eastAsia" w:ascii="宋体"/>
          <w:bCs/>
          <w:color w:val="000000" w:themeColor="text1"/>
          <w:sz w:val="24"/>
          <w:highlight w:val="none"/>
          <w:lang w:val="en"/>
          <w14:textFill>
            <w14:solidFill>
              <w14:schemeClr w14:val="tx1"/>
            </w14:solidFill>
          </w14:textFill>
        </w:rPr>
        <w:t xml:space="preserve">，如采购项目或者采购包中仅有服务的，则该采购项目或者采购包将不涉及本国产品的支持政策。</w:t>
      </w:r>
      <w:r>
        <w:rPr>
          <w:rFonts w:hint="eastAsia" w:ascii="宋体" w:hAnsi="宋体" w:cs="宋体"/>
          <w:b/>
          <w:color w:val="000000" w:themeColor="text1"/>
          <w:sz w:val="44"/>
          <w:szCs w:val="44"/>
          <w:highlight w:val="none"/>
          <w14:textFill>
            <w14:solidFill>
              <w14:schemeClr w14:val="tx1"/>
            </w14:solidFill>
          </w14:textFill>
        </w:rPr>
        <w:br w:type="page" w:clear="all"/>
      </w:r>
      <w:r/>
    </w:p>
    <w:p>
      <w:pPr>
        <w:jc w:val="center"/>
        <w:spacing w:before="120" w:after="120" w:line="360" w:lineRule="auto"/>
        <w:rPr>
          <w:rFonts w:cs="宋体"/>
          <w:b/>
          <w:bCs/>
          <w:color w:val="000000" w:themeColor="text1"/>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第三部分．采购需求</w:t>
      </w:r>
      <w:bookmarkStart w:id="2" w:name="五．合同条款"/>
      <w:r/>
      <w:bookmarkEnd w:id="2"/>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一、采购标的需实现的功能或者目标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次采购的机电设备控制实训台，融合PLC、机器人、机器视觉、运动控制等多领域技术，拟建一个集工业场景式教学、技术研发、社会服务于一体的智能控制综合平台，学生能够系统掌握机电设备智能控制关键技术，提升综合工程素养与实践创新能力。</w:t>
      </w:r>
      <w:r/>
    </w:p>
    <w:tbl>
      <w:tblPr>
        <w:tblStyle w:val="694"/>
        <w:tblW w:w="79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3402"/>
        <w:gridCol w:w="1701"/>
        <w:gridCol w:w="1843"/>
      </w:tblGrid>
      <w:tr>
        <w:trPr>
          <w:jc w:val="center"/>
          <w:trHeight w:val="454"/>
        </w:trPr>
        <w:tc>
          <w:tcPr>
            <w:tcBorders>
              <w:top w:val="single" w:color="000000" w:sz="4" w:space="0"/>
            </w:tcBorders>
            <w:tcW w:w="992" w:type="dxa"/>
            <w:vAlign w:val="center"/>
            <w:textDirection w:val="lrTb"/>
            <w:noWrap w:val="false"/>
          </w:tcPr>
          <w:p>
            <w:pPr>
              <w:jc w:val="center"/>
              <w:rPr>
                <w:highlight w:val="none"/>
              </w:rPr>
            </w:pPr>
            <w:r>
              <w:rPr>
                <w:rFonts w:hint="eastAsia"/>
                <w:highlight w:val="none"/>
              </w:rPr>
              <w:t xml:space="preserve">序号</w:t>
            </w:r>
            <w:r/>
          </w:p>
        </w:tc>
        <w:tc>
          <w:tcPr>
            <w:tcBorders>
              <w:top w:val="single" w:color="000000" w:sz="4" w:space="0"/>
            </w:tcBorders>
            <w:tcW w:w="3402" w:type="dxa"/>
            <w:vAlign w:val="center"/>
            <w:textDirection w:val="lrTb"/>
            <w:noWrap w:val="false"/>
          </w:tcPr>
          <w:p>
            <w:pPr>
              <w:jc w:val="center"/>
              <w:rPr>
                <w:rFonts w:hAnsi="Calibri"/>
                <w:highlight w:val="none"/>
              </w:rPr>
            </w:pPr>
            <w:r>
              <w:rPr>
                <w:rFonts w:hint="eastAsia"/>
                <w:highlight w:val="none"/>
              </w:rPr>
              <w:t xml:space="preserve">设备名称</w:t>
            </w:r>
            <w:r/>
          </w:p>
        </w:tc>
        <w:tc>
          <w:tcPr>
            <w:tcBorders>
              <w:top w:val="single" w:color="000000" w:sz="4" w:space="0"/>
            </w:tcBorders>
            <w:tcW w:w="1701" w:type="dxa"/>
            <w:vAlign w:val="center"/>
            <w:textDirection w:val="lrTb"/>
            <w:noWrap w:val="false"/>
          </w:tcPr>
          <w:p>
            <w:pPr>
              <w:jc w:val="center"/>
              <w:rPr>
                <w:rFonts w:hAnsi="Calibri"/>
                <w:highlight w:val="none"/>
              </w:rPr>
            </w:pPr>
            <w:r>
              <w:rPr>
                <w:rFonts w:hint="eastAsia"/>
                <w:highlight w:val="none"/>
              </w:rPr>
              <w:t xml:space="preserve">数量</w:t>
            </w:r>
            <w:r/>
          </w:p>
        </w:tc>
        <w:tc>
          <w:tcPr>
            <w:tcBorders>
              <w:top w:val="single" w:color="000000" w:sz="4" w:space="0"/>
            </w:tcBorders>
            <w:tcW w:w="1843" w:type="dxa"/>
            <w:vAlign w:val="center"/>
            <w:textDirection w:val="lrTb"/>
            <w:noWrap w:val="false"/>
          </w:tcPr>
          <w:p>
            <w:pPr>
              <w:jc w:val="center"/>
              <w:rPr>
                <w:rFonts w:hAnsi="Calibri"/>
                <w:highlight w:val="none"/>
              </w:rPr>
            </w:pPr>
            <w:r>
              <w:rPr>
                <w:rFonts w:hint="eastAsia"/>
                <w:highlight w:val="none"/>
              </w:rPr>
              <w:t xml:space="preserve">单位</w:t>
            </w:r>
            <w:r/>
          </w:p>
        </w:tc>
      </w:tr>
      <w:tr>
        <w:trPr>
          <w:jc w:val="center"/>
          <w:trHeight w:val="454"/>
        </w:trPr>
        <w:tc>
          <w:tcPr>
            <w:tcBorders>
              <w:bottom w:val="single" w:color="000000" w:sz="4" w:space="0"/>
            </w:tcBorders>
            <w:tcW w:w="992" w:type="dxa"/>
            <w:vAlign w:val="center"/>
            <w:textDirection w:val="lrTb"/>
            <w:noWrap w:val="false"/>
          </w:tcPr>
          <w:p>
            <w:pPr>
              <w:jc w:val="center"/>
              <w:rPr>
                <w:highlight w:val="none"/>
              </w:rPr>
            </w:pPr>
            <w:r>
              <w:rPr>
                <w:highlight w:val="none"/>
              </w:rPr>
              <w:t xml:space="preserve">1</w:t>
            </w:r>
            <w:r/>
          </w:p>
        </w:tc>
        <w:tc>
          <w:tcPr>
            <w:tcBorders>
              <w:bottom w:val="single" w:color="000000" w:sz="4" w:space="0"/>
            </w:tcBorders>
            <w:tcW w:w="3402" w:type="dxa"/>
            <w:vAlign w:val="center"/>
            <w:textDirection w:val="lrTb"/>
            <w:noWrap w:val="false"/>
          </w:tcPr>
          <w:p>
            <w:pPr>
              <w:jc w:val="left"/>
              <w:rPr>
                <w:highlight w:val="none"/>
              </w:rPr>
            </w:pPr>
            <w:r>
              <w:rPr>
                <w:rFonts w:hint="eastAsia"/>
                <w:bCs/>
                <w:spacing w:val="2"/>
                <w:szCs w:val="21"/>
                <w:highlight w:val="none"/>
              </w:rPr>
              <w:t xml:space="preserve">机电设备控制实训平台</w:t>
            </w:r>
            <w:r/>
          </w:p>
        </w:tc>
        <w:tc>
          <w:tcPr>
            <w:tcBorders>
              <w:bottom w:val="single" w:color="000000" w:sz="4" w:space="0"/>
            </w:tcBorders>
            <w:tcW w:w="1701" w:type="dxa"/>
            <w:vAlign w:val="center"/>
            <w:textDirection w:val="lrTb"/>
            <w:noWrap w:val="false"/>
          </w:tcPr>
          <w:p>
            <w:pPr>
              <w:jc w:val="center"/>
              <w:rPr>
                <w:rFonts w:hAnsi="Calibri"/>
                <w:highlight w:val="none"/>
              </w:rPr>
            </w:pPr>
            <w:r>
              <w:rPr>
                <w:rFonts w:hint="eastAsia"/>
                <w:highlight w:val="none"/>
              </w:rPr>
              <w:t xml:space="preserve">10</w:t>
            </w:r>
            <w:r/>
          </w:p>
        </w:tc>
        <w:tc>
          <w:tcPr>
            <w:tcBorders>
              <w:bottom w:val="single" w:color="000000" w:sz="4" w:space="0"/>
            </w:tcBorders>
            <w:tcW w:w="1843" w:type="dxa"/>
            <w:vAlign w:val="center"/>
            <w:textDirection w:val="lrTb"/>
            <w:noWrap w:val="false"/>
          </w:tcPr>
          <w:p>
            <w:pPr>
              <w:jc w:val="center"/>
              <w:rPr>
                <w:rFonts w:hAnsi="Calibri"/>
                <w:highlight w:val="none"/>
              </w:rPr>
            </w:pPr>
            <w:r>
              <w:rPr>
                <w:rFonts w:hint="eastAsia"/>
                <w:highlight w:val="none"/>
              </w:rPr>
              <w:t xml:space="preserve">套</w:t>
            </w:r>
            <w:r/>
          </w:p>
        </w:tc>
      </w:tr>
    </w:tbl>
    <w:p>
      <w:pPr>
        <w:spacing w:before="240" w:line="360" w:lineRule="auto"/>
        <w:rPr>
          <w:rFonts w:hint="eastAsia" w:ascii="宋体" w:hAnsi="宋体" w:cs="宋体"/>
          <w:b/>
          <w:bCs/>
          <w:sz w:val="24"/>
          <w:highlight w:val="none"/>
        </w:rPr>
      </w:pPr>
      <w:r>
        <w:rPr>
          <w:rFonts w:hint="eastAsia" w:ascii="宋体" w:hAnsi="宋体" w:cs="宋体"/>
          <w:b/>
          <w:bCs/>
          <w:sz w:val="24"/>
          <w:highlight w:val="none"/>
        </w:rPr>
        <w:t xml:space="preserve">二、采购标的需执行的标准规范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本项目采购标的的设计、制造、检验、安装、调试及验收等各环节，应遵循现行有效的国家、行业及地方相关标准和规范，主要包括但不限于以下方面：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（1）电气安全标准：符合GB/T 5226.1《机械电气安全 机械电气设备 第1部分：通用技术条件》、GB 19517《国家电气设备安全技术规范》等相关要求，具有漏电保护、过载保护，安全性符合国家标准。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（2）电工电子产品环境标准：符合GB/T 2423《电工电子产品环境试验》系列标准，工作环境温度-10℃～+40℃，相对湿度＜85%(25℃)，海拔＜4000m。</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（3）电磁兼容标准：符合GB/T 7251（低压成套开关设备和控制设备）等电磁兼容相关要求。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（4）工业通信协议标准：支持MODBUS、S7协议、PROFINET等工业通信标准。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（5）机械安全标准：符合GB 11291《工业机器人安全规范》、GB/T 15706《机械安全 设计通则》等相关要求。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（6）防护等级标准：符合IEC 60529 IP20（堆栈式无线实训模块）及IP54（协作机器人）防护等级要求。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（7）无线充电标准：支持Qi v2.0协议。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（8）软件及信息化标准：符合GB/T 25000《系统与软件工程 系统与软件质量要求和评价（SQuaRE）》系列标准要求。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以上标准未注明年代号的，以最新有效版本为准。</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三、项目技术要求</w:t>
      </w:r>
      <w:r/>
    </w:p>
    <w:p>
      <w:pPr>
        <w:ind w:firstLine="480"/>
        <w:spacing w:line="360" w:lineRule="auto"/>
        <w:rPr>
          <w:highlight w:val="none"/>
        </w:rPr>
      </w:pPr>
      <w:r>
        <w:rPr>
          <w:rFonts w:hint="eastAsia" w:ascii="宋体" w:hAnsi="宋体" w:cs="宋体"/>
          <w:sz w:val="24"/>
          <w:highlight w:val="none"/>
        </w:rPr>
        <w:t xml:space="preserve">设备应具备完善的安全保护功能，包括漏电保护、过载保护等，确保操作人员及设备安全，设备结构设计应充分考虑实用性、可靠性与安全性，各器件模块可自由布局安装，便于教学使用。</w:t>
      </w:r>
      <w:r/>
    </w:p>
    <w:tbl>
      <w:tblPr>
        <w:tblStyle w:val="725"/>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851"/>
        <w:gridCol w:w="6662"/>
        <w:gridCol w:w="850"/>
      </w:tblGrid>
      <w:tr>
        <w:trPr/>
        <w:tc>
          <w:tcPr>
            <w:tcW w:w="704"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序号</w:t>
            </w:r>
            <w:r/>
          </w:p>
        </w:tc>
        <w:tc>
          <w:tcPr>
            <w:tcW w:w="851"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设备名称</w:t>
            </w:r>
            <w:r/>
          </w:p>
        </w:tc>
        <w:tc>
          <w:tcPr>
            <w:tcW w:w="6662"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技术参数</w:t>
            </w:r>
            <w:r/>
          </w:p>
        </w:tc>
        <w:tc>
          <w:tcPr>
            <w:tcW w:w="850"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tc>
      </w:tr>
      <w:tr>
        <w:trPr/>
        <w:tc>
          <w:tcPr>
            <w:tcW w:w="704" w:type="dxa"/>
            <w:vAlign w:val="center"/>
            <w:textDirection w:val="lrTb"/>
            <w:noWrap w:val="false"/>
          </w:tcPr>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w:t>
            </w:r>
            <w:r/>
          </w:p>
        </w:tc>
        <w:tc>
          <w:tcPr>
            <w:tcW w:w="851" w:type="dxa"/>
            <w:vAlign w:val="center"/>
            <w:vMerge w:val="restart"/>
            <w:textDirection w:val="lrTb"/>
            <w:noWrap w:val="false"/>
          </w:tcPr>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机电设备控制实训平台</w:t>
            </w:r>
            <w:r/>
          </w:p>
        </w:tc>
        <w:tc>
          <w:tcPr>
            <w:tcW w:w="6662" w:type="dxa"/>
            <w:vAlign w:val="center"/>
            <w:textDirection w:val="lrTb"/>
            <w:noWrap w:val="false"/>
          </w:tcPr>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模块一、运动控制模块</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一、设备简述</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要求实验装置由实验台架、电源模块、直流电源及仪表模块、可编程控制器模块、实验模块、触摸屏模块、电机拖动控制实验组件、步进电机控制实验组件、工具等组成。实验装置充分考虑实用性、可靠性与安全性，采用框架式网孔板结构。各个器件模块可自由布局安装在网孔板上。实验装置上可直观地进行PLC的基本指令练习、PLC技术的应用模拟等实验内容，也可利用实体PLC与虚拟仿真软件之间进行实时通信，能够开展虚实一体、贴近工业实际生产应用的综合仿真实验项目。</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二、设备主要参数要求</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1、交流电源要求：三相四线～380V±10% 50Hz；</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2、工作环境要求：温度-10℃～+40℃，相对湿度＜85%(25℃)，海拔＜4000m； </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3、装置容量要求：＜1.5kVA；</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4、外形尺寸要求：≤1000mm×700mm×1900mm；</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5、安全保护要求：具有漏电保护、过载保护、安全性符合国家标准。</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三、设备组成及功能要求</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（一）实验台架要求</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要求实验台架</w:t>
            </w:r>
            <w:r>
              <w:rPr>
                <w:rFonts w:hint="eastAsia"/>
                <w:bCs/>
                <w:color w:val="000000" w:themeColor="text1"/>
                <w:spacing w:val="2"/>
                <w:szCs w:val="21"/>
                <w:highlight w:val="none"/>
                <w:lang w:val="zh-CN"/>
                <w14:textFill>
                  <w14:solidFill>
                    <w14:schemeClr w14:val="tx1"/>
                  </w14:solidFill>
                </w14:textFill>
              </w:rPr>
              <w:t xml:space="preserve">主体部分采用优质钢管和钢板做骨架，经过机械加工成型，外表面喷涂彩色环氧聚塑处理，</w:t>
            </w:r>
            <w:r>
              <w:rPr>
                <w:rFonts w:hint="eastAsia"/>
                <w:bCs/>
                <w:color w:val="000000" w:themeColor="text1"/>
                <w:spacing w:val="2"/>
                <w:szCs w:val="21"/>
                <w:highlight w:val="none"/>
                <w14:textFill>
                  <w14:solidFill>
                    <w14:schemeClr w14:val="tx1"/>
                  </w14:solidFill>
                </w14:textFill>
              </w:rPr>
              <w:t xml:space="preserve">要求配有4个带刹车万向轮，方便移动和固定，尺寸≤1000mm×700mm×1900mm。实验台架分上下两个部分组成，上部可以挂接电源模块、仪表模块、模拟挂箱；下部配有器件实操板，要求采用≥1.5mm钢板激光切割而成，网孔板要求采用约5mm长孔加工，用以安装可编程控制器、触摸屏、交流接触器、继电器、保险丝座、漏电保护器、线槽等，网孔板上各器件可通过特殊接线端子互相连接布线（支持安全实验导线插接和国标导线压线连接）。</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（二）电源模块要求</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要求提供漏电保护器、三相380V 交流电源，220V交流电源，直流DC24V电源输出，电源输出处设有过流保护。</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（三）直流电源及仪表模块要求</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提供一体化工业标准直流信号0-10V和4-20ma，集成4位数显表显示，精度0.01级，0.1mv的跳动变化，数字编码器粗微调双模式调节，具有高精度，低纹波，工业级长时间工作等特点。</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（四）可编程控制器模块</w:t>
            </w:r>
            <w:r/>
          </w:p>
          <w:p>
            <w:pPr>
              <w:pStyle w:val="695"/>
              <w:ind w:left="0" w:firstLine="428"/>
              <w:spacing w:after="0" w:line="360" w:lineRule="exact"/>
              <w:rPr>
                <w:bCs/>
                <w:color w:val="000000" w:themeColor="text1"/>
                <w:spacing w:val="2"/>
                <w:szCs w:val="21"/>
                <w:highlight w:val="none"/>
                <w14:textFill>
                  <w14:solidFill>
                    <w14:schemeClr w14:val="tx1"/>
                  </w14:solidFill>
                </w14:textFill>
              </w:rPr>
            </w:pPr>
            <w:r>
              <w:rPr>
                <w:rFonts w:hint="eastAsia" w:ascii="宋体" w:hAnsi="宋体"/>
                <w:bCs/>
                <w:color w:val="000000" w:themeColor="text1"/>
                <w:spacing w:val="2"/>
                <w:szCs w:val="21"/>
                <w:highlight w:val="none"/>
                <w14:textFill>
                  <w14:solidFill>
                    <w14:schemeClr w14:val="tx1"/>
                  </w14:solidFill>
                </w14:textFill>
              </w:rPr>
              <w:t xml:space="preserve">★</w:t>
            </w:r>
            <w:r>
              <w:rPr>
                <w:rFonts w:hint="eastAsia"/>
                <w:bCs/>
                <w:color w:val="000000" w:themeColor="text1"/>
                <w:spacing w:val="2"/>
                <w:szCs w:val="21"/>
                <w:highlight w:val="none"/>
                <w14:textFill>
                  <w14:solidFill>
                    <w14:schemeClr w14:val="tx1"/>
                  </w14:solidFill>
                </w14:textFill>
              </w:rPr>
              <w:t xml:space="preserve">供电电压DC20.4～28.8V，集成至少14路数字量输入,至少10路数字量晶体管输出，内置不低于250KB工作存储器/8MB负载存储器/至少20KB保持性存储器、6个高速计数器，不低于4轴高速脉冲输出，集成不少于2个以太网接口，支持MODBUS、S7协议通讯、PROFINET等通信，配有通信编程电缆，CPU内嵌入NFC标签，可利用近场通信技术访问系统。</w:t>
            </w:r>
            <w:r>
              <w:rPr>
                <w:b/>
                <w:color w:val="000000" w:themeColor="text1"/>
                <w:highlight w:val="none"/>
                <w14:textFill>
                  <w14:solidFill>
                    <w14:schemeClr w14:val="tx1"/>
                  </w14:solidFill>
                </w14:textFill>
              </w:rPr>
              <w:t xml:space="preserve">（</w:t>
            </w:r>
            <w:r>
              <w:rPr>
                <w:rFonts w:hint="eastAsia"/>
                <w:b/>
                <w:color w:val="000000" w:themeColor="text1"/>
                <w:highlight w:val="none"/>
                <w:lang w:val="en-US" w:eastAsia="zh-CN"/>
                <w14:textFill>
                  <w14:solidFill>
                    <w14:schemeClr w14:val="tx1"/>
                  </w14:solidFill>
                </w14:textFill>
              </w:rPr>
              <w:t xml:space="preserve">投标文件中须</w:t>
            </w:r>
            <w:r>
              <w:rPr>
                <w:b/>
                <w:color w:val="000000" w:themeColor="text1"/>
                <w:highlight w:val="none"/>
                <w14:textFill>
                  <w14:solidFill>
                    <w14:schemeClr w14:val="tx1"/>
                  </w14:solidFill>
                </w14:textFill>
              </w:rPr>
              <w:t xml:space="preserve">提供产品彩页截图或产品说明书</w:t>
            </w:r>
            <w:r>
              <w:rPr>
                <w:rFonts w:hint="eastAsia"/>
                <w:b/>
                <w:color w:val="000000" w:themeColor="text1"/>
                <w:highlight w:val="none"/>
                <w:lang w:val="en-US" w:eastAsia="zh-CN"/>
                <w14:textFill>
                  <w14:solidFill>
                    <w14:schemeClr w14:val="tx1"/>
                  </w14:solidFill>
                </w14:textFill>
              </w:rPr>
              <w:t xml:space="preserve">并加盖投标供应商公章</w:t>
            </w:r>
            <w:r>
              <w:rPr>
                <w:b/>
                <w:color w:val="000000" w:themeColor="text1"/>
                <w:highlight w:val="none"/>
                <w14:textFill>
                  <w14:solidFill>
                    <w14:schemeClr w14:val="tx1"/>
                  </w14:solidFill>
                </w14:textFill>
              </w:rPr>
              <w:t xml:space="preserve">）</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配套模拟量输入/输出信号板，2AI/2AO（±10V或0～20mA）。</w:t>
            </w:r>
            <w:r/>
          </w:p>
          <w:p>
            <w:pPr>
              <w:ind w:firstLine="428"/>
              <w:spacing w:line="360" w:lineRule="atLeast"/>
              <w:rPr>
                <w:rFonts w:hint="eastAsia"/>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配套编程和VR演示装置。</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（五）堆栈式无线实训模块</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采用创新的堆栈式设计理念，支持快速更换实训对象，配备人机交互安全防误操作接口，符合IEC 60529 IP20防护等级，具有无线能量传输系统，支持Qi v2.0协议扩展，最大输出功率15W（含磁吸式Pogo pin冗余触点），过流保护响应时间80ms（符合UL 60950-1标准），确保学生操作安全可靠，搭配磁吸式力学结构，兼具安全性与美观性。配有水塔水位、天塔之光、装配流水线、十字路口交通灯、自动送料装车、四节传送带等实验模块的使用和编程，实现PLC基础应用学习训练。。</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（六）触摸屏实验组件要求</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触摸屏要求供电电压24±20%VDC，主频≥800MHz,内存不低于256M；至少7英寸高亮度TFT液晶显示屏，分辨率≥800×480,四线电阻式；集成以太网接口、RS232、RS485、USB接口，能够使学员了解工业触摸屏的功能及使用方法、掌握与PLC之间的通信知识，并掌握复位、置位、交替等功能键、图形（曲线）显示、动态画面跟踪在触摸屏中的实现方法。要求可以和PLC组建PROFINET网络。</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（七）电机拖动控制实验组件要求</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要求配交流接触器不少于3只；时间继电器1只，热继电器1只，直流继电器3只，3个按钮、3只交流指示灯及按钮盒。所有接线端子均通过特殊接线端子进行连接，方便各种应用的接线（支持安全实验导线插接和国标导线压线连接）。可以完成电机拖动控制实训实操训练。</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配套三相异步电动机（380V/△、0.35A、90W、1400r/min），电机经过特殊工艺处理，保证实训安全，电机接线部分采用专业护套插座，材质采用螺杆螺母全铜（垫片钢），外壳为绝缘ABS，操作安全可靠，无触电风险;配套安全型护套公插对公插（可续插）实验导线，材质为多股纯铜丁晴超柔软线，耐压3KV，线径1平方,有效防止触电危险发生;电机底部配有4个减震底脚，有效的防止与桌面的摩擦和电机运行可能产生的振动问题。</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（八）步进电机控制实验组件要求</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要求采用小车运动装置，并且安装有传感器、滚珠丝杠、标尺等，通过传感器信号采集，对电机进行控制，实现各种定位及逻辑控制功能；</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步进系统输入电压要求DC20～36V，斩波频率大于35KHZ，电流要求可由开关设定，最大驱动电流要求1.68A/相,细分要求可选2、4、8、16、32、64，双极性恒流斩波方式，静止时电流自动减半。要求配套42型步进电机，步距角1.8，电压3.8V，电流0.95A，电阻4欧，电感3mH，引线数4，转动惯量34g.cm2。</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（九）工具要求</w:t>
            </w:r>
            <w:r/>
          </w:p>
          <w:p>
            <w:pPr>
              <w:ind w:firstLine="428"/>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配有嵌入式工具抽屉，内含有数字万用表、斜口钳、尖嘴钳、剥线钳、十字螺丝刀PH0、PH2各一把、一字螺丝刀（2.5mm和4mm各1把、一字验电笔、多用香蕉插头及线束。</w:t>
            </w:r>
            <w:r/>
          </w:p>
          <w:p>
            <w:pPr>
              <w:ind w:firstLine="428"/>
              <w:spacing w:line="360" w:lineRule="exact"/>
              <w:rPr>
                <w:rFonts w:hint="eastAsia" w:eastAsia="宋体"/>
                <w:bCs/>
                <w:color w:val="000000" w:themeColor="text1"/>
                <w:spacing w:val="2"/>
                <w:szCs w:val="21"/>
                <w:highlight w:val="none"/>
                <w:lang w:eastAsia="zh-CN"/>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配有</w:t>
            </w:r>
            <w:r>
              <w:rPr>
                <w:rFonts w:hint="eastAsia" w:ascii="Times New Roman" w:hAnsi="Times New Roman" w:eastAsia="宋体" w:cs="Times New Roman"/>
                <w:bCs/>
                <w:i w:val="0"/>
                <w:iCs w:val="0"/>
                <w:caps w:val="0"/>
                <w:color w:val="000000" w:themeColor="text1"/>
                <w:spacing w:val="2"/>
                <w:sz w:val="21"/>
                <w:szCs w:val="21"/>
                <w:highlight w:val="none"/>
                <w:shd w:val="clear" w:color="auto"/>
                <w14:textFill>
                  <w14:solidFill>
                    <w14:schemeClr w14:val="tx1"/>
                  </w14:solidFill>
                </w14:textFill>
              </w:rPr>
              <w:t xml:space="preserve">静音型空压机</w:t>
            </w:r>
            <w:r>
              <w:rPr>
                <w:rFonts w:hint="eastAsia"/>
                <w:bCs/>
                <w:color w:val="000000" w:themeColor="text1"/>
                <w:spacing w:val="2"/>
                <w:szCs w:val="21"/>
                <w:highlight w:val="none"/>
                <w14:textFill>
                  <w14:solidFill>
                    <w14:schemeClr w14:val="tx1"/>
                  </w14:solidFill>
                </w14:textFill>
              </w:rPr>
              <w:t xml:space="preserve">一台</w:t>
            </w:r>
            <w:r>
              <w:rPr>
                <w:rFonts w:hint="eastAsia"/>
                <w:bCs/>
                <w:color w:val="000000" w:themeColor="text1"/>
                <w:spacing w:val="2"/>
                <w:szCs w:val="21"/>
                <w:highlight w:val="none"/>
                <w:lang w:eastAsia="zh-CN"/>
                <w14:textFill>
                  <w14:solidFill>
                    <w14:schemeClr w14:val="tx1"/>
                  </w14:solidFill>
                </w14:textFill>
              </w:rPr>
              <w:t xml:space="preserve">，</w:t>
            </w:r>
            <w:r>
              <w:rPr>
                <w:rFonts w:hint="eastAsia"/>
                <w:bCs/>
                <w:color w:val="000000" w:themeColor="text1"/>
                <w:spacing w:val="2"/>
                <w:szCs w:val="21"/>
                <w:highlight w:val="none"/>
                <w:lang w:val="en-US" w:eastAsia="zh-CN"/>
                <w14:textFill>
                  <w14:solidFill>
                    <w14:schemeClr w14:val="tx1"/>
                  </w14:solidFill>
                </w14:textFill>
              </w:rPr>
              <w:t xml:space="preserve">为</w:t>
            </w:r>
            <w:r>
              <w:rPr>
                <w:rFonts w:hint="eastAsia"/>
                <w:bCs/>
                <w:color w:val="000000" w:themeColor="text1"/>
                <w:spacing w:val="2"/>
                <w:szCs w:val="21"/>
                <w:highlight w:val="none"/>
                <w14:textFill>
                  <w14:solidFill>
                    <w14:schemeClr w14:val="tx1"/>
                  </w14:solidFill>
                </w14:textFill>
              </w:rPr>
              <w:t xml:space="preserve">整个实训室设备提供气源</w:t>
            </w:r>
            <w:r>
              <w:rPr>
                <w:rFonts w:hint="eastAsia"/>
                <w:bCs/>
                <w:color w:val="000000" w:themeColor="text1"/>
                <w:spacing w:val="2"/>
                <w:szCs w:val="21"/>
                <w:highlight w:val="none"/>
                <w:lang w:eastAsia="zh-CN"/>
                <w14:textFill>
                  <w14:solidFill>
                    <w14:schemeClr w14:val="tx1"/>
                  </w14:solidFill>
                </w14:textFill>
              </w:rPr>
              <w:t xml:space="preserve">；</w:t>
            </w:r>
            <w:r>
              <w:rPr>
                <w:rFonts w:hint="eastAsia"/>
                <w:bCs/>
                <w:color w:val="000000" w:themeColor="text1"/>
                <w:spacing w:val="2"/>
                <w:szCs w:val="21"/>
                <w:highlight w:val="none"/>
                <w:lang w:val="en-US" w:eastAsia="zh-CN"/>
                <w14:textFill>
                  <w14:solidFill>
                    <w14:schemeClr w14:val="tx1"/>
                  </w14:solidFill>
                </w14:textFill>
              </w:rPr>
              <w:t xml:space="preserve">参数要求：</w:t>
            </w:r>
            <w:r>
              <w:rPr>
                <w:rFonts w:hint="eastAsia" w:ascii="Times New Roman" w:hAnsi="Times New Roman" w:eastAsia="宋体" w:cs="Times New Roman"/>
                <w:bCs/>
                <w:i w:val="0"/>
                <w:iCs w:val="0"/>
                <w:caps w:val="0"/>
                <w:color w:val="000000" w:themeColor="text1"/>
                <w:spacing w:val="2"/>
                <w:sz w:val="21"/>
                <w:szCs w:val="21"/>
                <w:highlight w:val="none"/>
                <w:shd w:val="clear" w:color="auto"/>
                <w14:textFill>
                  <w14:solidFill>
                    <w14:schemeClr w14:val="tx1"/>
                  </w14:solidFill>
                </w14:textFill>
              </w:rPr>
              <w:t xml:space="preserve">额定排气压力≥1.0MPa，出口配调压阀实现0～1.0MPa可调，1米处噪音≤60dB(A)，储气罐≥20L，配油水分离器和安全阀</w:t>
            </w:r>
            <w:r>
              <w:rPr>
                <w:rFonts w:hint="eastAsia" w:cs="Times New Roman"/>
                <w:bCs/>
                <w:i w:val="0"/>
                <w:iCs w:val="0"/>
                <w:caps w:val="0"/>
                <w:color w:val="000000" w:themeColor="text1"/>
                <w:spacing w:val="2"/>
                <w:sz w:val="21"/>
                <w:szCs w:val="21"/>
                <w:highlight w:val="none"/>
                <w:shd w:val="clear" w:color="auto"/>
                <w:lang w:eastAsia="zh-CN"/>
                <w14:textFill>
                  <w14:solidFill>
                    <w14:schemeClr w14:val="tx1"/>
                  </w14:solidFill>
                </w14:textFill>
              </w:rPr>
              <w:t xml:space="preserve">。</w:t>
            </w:r>
            <w:r/>
          </w:p>
          <w:p>
            <w:pPr>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四、配套教学软件</w:t>
            </w:r>
            <w:r/>
          </w:p>
          <w:p>
            <w:pPr>
              <w:spacing w:line="360" w:lineRule="exact"/>
              <w:tabs>
                <w:tab w:val="left" w:pos="1080" w:leader="none"/>
              </w:tabs>
              <w:rPr>
                <w:rFonts w:hint="eastAsia"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（一）可编程控制器AR实时仿真软件*2套</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bookmarkStart w:id="3" w:name="_Hlk22151182"/>
            <w:r/>
            <w:bookmarkStart w:id="4" w:name="_Hlk22151207"/>
            <w:r>
              <w:rPr>
                <w:rFonts w:hint="eastAsia" w:ascii="宋体" w:hAnsi="宋体"/>
                <w:bCs/>
                <w:color w:val="000000" w:themeColor="text1"/>
                <w:szCs w:val="21"/>
                <w:highlight w:val="none"/>
                <w14:textFill>
                  <w14:solidFill>
                    <w14:schemeClr w14:val="tx1"/>
                  </w14:solidFill>
                </w14:textFill>
              </w:rPr>
              <w:t xml:space="preserve">要求软件基于A</w:t>
            </w:r>
            <w:r>
              <w:rPr>
                <w:rFonts w:ascii="宋体" w:hAnsi="宋体"/>
                <w:bCs/>
                <w:color w:val="000000" w:themeColor="text1"/>
                <w:szCs w:val="21"/>
                <w:highlight w:val="none"/>
                <w14:textFill>
                  <w14:solidFill>
                    <w14:schemeClr w14:val="tx1"/>
                  </w14:solidFill>
                </w14:textFill>
              </w:rPr>
              <w:t xml:space="preserve">I深度开发</w:t>
            </w:r>
            <w:r>
              <w:rPr>
                <w:rFonts w:hint="eastAsia" w:ascii="宋体" w:hAnsi="宋体"/>
                <w:bCs/>
                <w:color w:val="000000" w:themeColor="text1"/>
                <w:szCs w:val="21"/>
                <w:highlight w:val="none"/>
                <w14:textFill>
                  <w14:solidFill>
                    <w14:schemeClr w14:val="tx1"/>
                  </w14:solidFill>
                </w14:textFill>
              </w:rPr>
              <w:t xml:space="preserve">，运行环境支持</w:t>
            </w:r>
            <w:r>
              <w:rPr>
                <w:rFonts w:ascii="宋体" w:hAnsi="宋体"/>
                <w:bCs/>
                <w:color w:val="000000" w:themeColor="text1"/>
                <w:szCs w:val="21"/>
                <w:highlight w:val="none"/>
                <w14:textFill>
                  <w14:solidFill>
                    <w14:schemeClr w14:val="tx1"/>
                  </w14:solidFill>
                </w14:textFill>
              </w:rPr>
              <w:t xml:space="preserve">android5.0</w:t>
            </w:r>
            <w:r>
              <w:rPr>
                <w:rFonts w:hint="eastAsia" w:ascii="宋体" w:hAnsi="宋体"/>
                <w:bCs/>
                <w:color w:val="000000" w:themeColor="text1"/>
                <w:szCs w:val="21"/>
                <w:highlight w:val="none"/>
                <w14:textFill>
                  <w14:solidFill>
                    <w14:schemeClr w14:val="tx1"/>
                  </w14:solidFill>
                </w14:textFill>
              </w:rPr>
              <w:t xml:space="preserve">以上版本；</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要求能够通过扫描二维码、图片作为</w:t>
            </w:r>
            <w:r>
              <w:rPr>
                <w:rFonts w:ascii="宋体" w:hAnsi="宋体"/>
                <w:bCs/>
                <w:color w:val="000000" w:themeColor="text1"/>
                <w:szCs w:val="21"/>
                <w:highlight w:val="none"/>
                <w14:textFill>
                  <w14:solidFill>
                    <w14:schemeClr w14:val="tx1"/>
                  </w14:solidFill>
                </w14:textFill>
              </w:rPr>
              <w:t xml:space="preserve">AR</w:t>
            </w:r>
            <w:r>
              <w:rPr>
                <w:rFonts w:hint="eastAsia" w:ascii="宋体" w:hAnsi="宋体"/>
                <w:bCs/>
                <w:color w:val="000000" w:themeColor="text1"/>
                <w:szCs w:val="21"/>
                <w:highlight w:val="none"/>
                <w14:textFill>
                  <w14:solidFill>
                    <w14:schemeClr w14:val="tx1"/>
                  </w14:solidFill>
                </w14:textFill>
              </w:rPr>
              <w:t xml:space="preserve">入口；通过双指基于两点中心的缩放控制，实现场景模型的放大、缩小、旋转、移动；</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提供包含电梯控制模块、扶梯模块、水泵排水模块、刀库捷径模块等不少于12个PLC实训模块。</w:t>
            </w:r>
            <w:r>
              <w:rPr>
                <w:rFonts w:ascii="宋体" w:hAnsi="宋体"/>
                <w:bCs/>
                <w:color w:val="000000" w:themeColor="text1"/>
                <w:szCs w:val="21"/>
                <w:highlight w:val="none"/>
                <w14:textFill>
                  <w14:solidFill>
                    <w14:schemeClr w14:val="tx1"/>
                  </w14:solidFill>
                </w14:textFill>
              </w:rPr>
              <w:t xml:space="preserve">内置</w:t>
            </w:r>
            <w:r>
              <w:rPr>
                <w:rFonts w:hint="eastAsia" w:ascii="宋体" w:hAnsi="宋体"/>
                <w:bCs/>
                <w:color w:val="000000" w:themeColor="text1"/>
                <w:szCs w:val="21"/>
                <w:highlight w:val="none"/>
                <w14:textFill>
                  <w14:solidFill>
                    <w14:schemeClr w14:val="tx1"/>
                  </w14:solidFill>
                </w14:textFill>
              </w:rPr>
              <w:t xml:space="preserve">A</w:t>
            </w:r>
            <w:r>
              <w:rPr>
                <w:rFonts w:ascii="宋体" w:hAnsi="宋体"/>
                <w:bCs/>
                <w:color w:val="000000" w:themeColor="text1"/>
                <w:szCs w:val="21"/>
                <w:highlight w:val="none"/>
                <w14:textFill>
                  <w14:solidFill>
                    <w14:schemeClr w14:val="tx1"/>
                  </w14:solidFill>
                </w14:textFill>
              </w:rPr>
              <w:t xml:space="preserve">I智能语音助手</w:t>
            </w: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点击模型相应位置</w:t>
            </w: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自动语音讲解其功能</w:t>
            </w:r>
            <w:r>
              <w:rPr>
                <w:rFonts w:hint="eastAsia" w:ascii="宋体" w:hAnsi="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b/>
                <w:bCs w:val="0"/>
                <w:color w:val="000000" w:themeColor="text1"/>
                <w:szCs w:val="21"/>
                <w:highlight w:val="none"/>
                <w14:textFill>
                  <w14:solidFill>
                    <w14:schemeClr w14:val="tx1"/>
                  </w14:solidFill>
                </w14:textFill>
              </w:rPr>
            </w:pPr>
            <w:r>
              <w:rPr>
                <w:rFonts w:ascii="宋体" w:hAnsi="宋体"/>
                <w:b/>
                <w:bCs w:val="0"/>
                <w:color w:val="000000" w:themeColor="text1"/>
                <w:szCs w:val="21"/>
                <w:highlight w:val="none"/>
                <w14:textFill>
                  <w14:solidFill>
                    <w14:schemeClr w14:val="tx1"/>
                  </w14:solidFill>
                </w14:textFill>
              </w:rPr>
              <w:t xml:space="preserve">通用功能要求</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1、模块介绍要求：360度自由展示，含硬件组成和主要功能解说。硬件组成每个模块均不一样，点击模块功能区域，自动识别手势并讲解；</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2、实训目的要求：提供实训目的，通过实训目的的解读，有目标的进行学习和练习；</w:t>
            </w:r>
            <w:r/>
          </w:p>
          <w:p>
            <w:pPr>
              <w:ind w:firstLine="428"/>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Cs/>
                <w:color w:val="000000" w:themeColor="text1"/>
                <w:spacing w:val="2"/>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3、实训原理要求；提供动作流程图，通过流程图的熟悉，有目的的编写控制程序；</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ascii="宋体" w:hAnsi="宋体"/>
                <w:b/>
                <w:color w:val="000000" w:themeColor="text1"/>
                <w:spacing w:val="2"/>
                <w:szCs w:val="21"/>
                <w:highlight w:val="none"/>
                <w14:textFill>
                  <w14:solidFill>
                    <w14:schemeClr w14:val="tx1"/>
                  </w14:solidFill>
                </w14:textFill>
              </w:rPr>
              <w:t xml:space="preserve">）</w:t>
            </w:r>
            <w:r/>
          </w:p>
          <w:p>
            <w:pPr>
              <w:ind w:firstLine="428"/>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Cs/>
                <w:color w:val="000000" w:themeColor="text1"/>
                <w:spacing w:val="2"/>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4、实训流程要求：提供I</w:t>
            </w:r>
            <w:r>
              <w:rPr>
                <w:rFonts w:ascii="宋体" w:hAnsi="宋体"/>
                <w:bCs/>
                <w:color w:val="000000" w:themeColor="text1"/>
                <w:szCs w:val="21"/>
                <w:highlight w:val="none"/>
                <w14:textFill>
                  <w14:solidFill>
                    <w14:schemeClr w14:val="tx1"/>
                  </w14:solidFill>
                </w14:textFill>
              </w:rPr>
              <w:t xml:space="preserve">/O</w:t>
            </w:r>
            <w:r>
              <w:rPr>
                <w:rFonts w:hint="eastAsia" w:ascii="宋体" w:hAnsi="宋体"/>
                <w:bCs/>
                <w:color w:val="000000" w:themeColor="text1"/>
                <w:szCs w:val="21"/>
                <w:highlight w:val="none"/>
                <w14:textFill>
                  <w14:solidFill>
                    <w14:schemeClr w14:val="tx1"/>
                  </w14:solidFill>
                </w14:textFill>
              </w:rPr>
              <w:t xml:space="preserve">接线表，自动生成P</w:t>
            </w:r>
            <w:r>
              <w:rPr>
                <w:rFonts w:ascii="宋体" w:hAnsi="宋体"/>
                <w:bCs/>
                <w:color w:val="000000" w:themeColor="text1"/>
                <w:szCs w:val="21"/>
                <w:highlight w:val="none"/>
                <w14:textFill>
                  <w14:solidFill>
                    <w14:schemeClr w14:val="tx1"/>
                  </w14:solidFill>
                </w14:textFill>
              </w:rPr>
              <w:t xml:space="preserve">LC</w:t>
            </w:r>
            <w:r>
              <w:rPr>
                <w:rFonts w:hint="eastAsia" w:ascii="宋体" w:hAnsi="宋体"/>
                <w:bCs/>
                <w:color w:val="000000" w:themeColor="text1"/>
                <w:szCs w:val="21"/>
                <w:highlight w:val="none"/>
                <w14:textFill>
                  <w14:solidFill>
                    <w14:schemeClr w14:val="tx1"/>
                  </w14:solidFill>
                </w14:textFill>
              </w:rPr>
              <w:t xml:space="preserve">主机模型，依次点击实训对象和主机模型接线端子，完成I</w:t>
            </w:r>
            <w:r>
              <w:rPr>
                <w:rFonts w:ascii="宋体" w:hAnsi="宋体"/>
                <w:bCs/>
                <w:color w:val="000000" w:themeColor="text1"/>
                <w:szCs w:val="21"/>
                <w:highlight w:val="none"/>
                <w14:textFill>
                  <w14:solidFill>
                    <w14:schemeClr w14:val="tx1"/>
                  </w14:solidFill>
                </w14:textFill>
              </w:rPr>
              <w:t xml:space="preserve">/O</w:t>
            </w:r>
            <w:r>
              <w:rPr>
                <w:rFonts w:hint="eastAsia" w:ascii="宋体" w:hAnsi="宋体"/>
                <w:bCs/>
                <w:color w:val="000000" w:themeColor="text1"/>
                <w:szCs w:val="21"/>
                <w:highlight w:val="none"/>
                <w14:textFill>
                  <w14:solidFill>
                    <w14:schemeClr w14:val="tx1"/>
                  </w14:solidFill>
                </w14:textFill>
              </w:rPr>
              <w:t xml:space="preserve">接线，接线错误会有提示；线缆仿真实际导线；</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ascii="宋体" w:hAnsi="宋体"/>
                <w:b/>
                <w:color w:val="000000" w:themeColor="text1"/>
                <w:spacing w:val="2"/>
                <w:szCs w:val="21"/>
                <w:highlight w:val="none"/>
                <w14:textFill>
                  <w14:solidFill>
                    <w14:schemeClr w14:val="tx1"/>
                  </w14:solidFill>
                </w14:textFill>
              </w:rPr>
              <w:t xml:space="preserve">）</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5、模型离线仿真要求：模型采用L</w:t>
            </w:r>
            <w:r>
              <w:rPr>
                <w:rFonts w:ascii="宋体" w:hAnsi="宋体"/>
                <w:bCs/>
                <w:color w:val="000000" w:themeColor="text1"/>
                <w:szCs w:val="21"/>
                <w:highlight w:val="none"/>
                <w14:textFill>
                  <w14:solidFill>
                    <w14:schemeClr w14:val="tx1"/>
                  </w14:solidFill>
                </w14:textFill>
              </w:rPr>
              <w:t xml:space="preserve">ED</w:t>
            </w:r>
            <w:r>
              <w:rPr>
                <w:rFonts w:hint="eastAsia" w:ascii="宋体" w:hAnsi="宋体"/>
                <w:bCs/>
                <w:color w:val="000000" w:themeColor="text1"/>
                <w:szCs w:val="21"/>
                <w:highlight w:val="none"/>
                <w14:textFill>
                  <w14:solidFill>
                    <w14:schemeClr w14:val="tx1"/>
                  </w14:solidFill>
                </w14:textFill>
              </w:rPr>
              <w:t xml:space="preserve">指示灯、按钮开关、接线端子、喷绘图形的形式进行展现，点击离线仿真，拨动按钮开关，通过L</w:t>
            </w:r>
            <w:r>
              <w:rPr>
                <w:rFonts w:ascii="宋体" w:hAnsi="宋体"/>
                <w:bCs/>
                <w:color w:val="000000" w:themeColor="text1"/>
                <w:szCs w:val="21"/>
                <w:highlight w:val="none"/>
                <w14:textFill>
                  <w14:solidFill>
                    <w14:schemeClr w14:val="tx1"/>
                  </w14:solidFill>
                </w14:textFill>
              </w:rPr>
              <w:t xml:space="preserve">ED</w:t>
            </w:r>
            <w:r>
              <w:rPr>
                <w:rFonts w:hint="eastAsia" w:ascii="宋体" w:hAnsi="宋体"/>
                <w:bCs/>
                <w:color w:val="000000" w:themeColor="text1"/>
                <w:szCs w:val="21"/>
                <w:highlight w:val="none"/>
                <w14:textFill>
                  <w14:solidFill>
                    <w14:schemeClr w14:val="tx1"/>
                  </w14:solidFill>
                </w14:textFill>
              </w:rPr>
              <w:t xml:space="preserve">指示灯的闪亮模拟相应的动作流程；</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6、模型在线仿真要求：点击在线仿真，在网络区输入P</w:t>
            </w:r>
            <w:r>
              <w:rPr>
                <w:rFonts w:ascii="宋体" w:hAnsi="宋体"/>
                <w:bCs/>
                <w:color w:val="000000" w:themeColor="text1"/>
                <w:szCs w:val="21"/>
                <w:highlight w:val="none"/>
                <w14:textFill>
                  <w14:solidFill>
                    <w14:schemeClr w14:val="tx1"/>
                  </w14:solidFill>
                </w14:textFill>
              </w:rPr>
              <w:t xml:space="preserve">LC</w:t>
            </w:r>
            <w:r>
              <w:rPr>
                <w:rFonts w:hint="eastAsia" w:ascii="宋体" w:hAnsi="宋体"/>
                <w:bCs/>
                <w:color w:val="000000" w:themeColor="text1"/>
                <w:szCs w:val="21"/>
                <w:highlight w:val="none"/>
                <w14:textFill>
                  <w14:solidFill>
                    <w14:schemeClr w14:val="tx1"/>
                  </w14:solidFill>
                </w14:textFill>
              </w:rPr>
              <w:t xml:space="preserve">的I</w:t>
            </w:r>
            <w:r>
              <w:rPr>
                <w:rFonts w:ascii="宋体" w:hAnsi="宋体"/>
                <w:bCs/>
                <w:color w:val="000000" w:themeColor="text1"/>
                <w:szCs w:val="21"/>
                <w:highlight w:val="none"/>
                <w14:textFill>
                  <w14:solidFill>
                    <w14:schemeClr w14:val="tx1"/>
                  </w14:solidFill>
                </w14:textFill>
              </w:rPr>
              <w:t xml:space="preserve">P</w:t>
            </w:r>
            <w:r>
              <w:rPr>
                <w:rFonts w:hint="eastAsia" w:ascii="宋体" w:hAnsi="宋体"/>
                <w:bCs/>
                <w:color w:val="000000" w:themeColor="text1"/>
                <w:szCs w:val="21"/>
                <w:highlight w:val="none"/>
                <w14:textFill>
                  <w14:solidFill>
                    <w14:schemeClr w14:val="tx1"/>
                  </w14:solidFill>
                </w14:textFill>
              </w:rPr>
              <w:t xml:space="preserve">地址和端口号，连接成功后，网络图标变蓝，通过P</w:t>
            </w:r>
            <w:r>
              <w:rPr>
                <w:rFonts w:ascii="宋体" w:hAnsi="宋体"/>
                <w:bCs/>
                <w:color w:val="000000" w:themeColor="text1"/>
                <w:szCs w:val="21"/>
                <w:highlight w:val="none"/>
                <w14:textFill>
                  <w14:solidFill>
                    <w14:schemeClr w14:val="tx1"/>
                  </w14:solidFill>
                </w14:textFill>
              </w:rPr>
              <w:t xml:space="preserve">LC</w:t>
            </w:r>
            <w:r>
              <w:rPr>
                <w:rFonts w:hint="eastAsia" w:ascii="宋体" w:hAnsi="宋体"/>
                <w:bCs/>
                <w:color w:val="000000" w:themeColor="text1"/>
                <w:szCs w:val="21"/>
                <w:highlight w:val="none"/>
                <w14:textFill>
                  <w14:solidFill>
                    <w14:schemeClr w14:val="tx1"/>
                  </w14:solidFill>
                </w14:textFill>
              </w:rPr>
              <w:t xml:space="preserve">在线编程控制模型中的L</w:t>
            </w:r>
            <w:r>
              <w:rPr>
                <w:rFonts w:ascii="宋体" w:hAnsi="宋体"/>
                <w:bCs/>
                <w:color w:val="000000" w:themeColor="text1"/>
                <w:szCs w:val="21"/>
                <w:highlight w:val="none"/>
                <w14:textFill>
                  <w14:solidFill>
                    <w14:schemeClr w14:val="tx1"/>
                  </w14:solidFill>
                </w14:textFill>
              </w:rPr>
              <w:t xml:space="preserve">ED</w:t>
            </w:r>
            <w:r>
              <w:rPr>
                <w:rFonts w:hint="eastAsia" w:ascii="宋体" w:hAnsi="宋体"/>
                <w:bCs/>
                <w:color w:val="000000" w:themeColor="text1"/>
                <w:szCs w:val="21"/>
                <w:highlight w:val="none"/>
                <w14:textFill>
                  <w14:solidFill>
                    <w14:schemeClr w14:val="tx1"/>
                  </w14:solidFill>
                </w14:textFill>
              </w:rPr>
              <w:t xml:space="preserve">指示灯，对应实训原理的流程实时展示运行情况；实现P</w:t>
            </w:r>
            <w:r>
              <w:rPr>
                <w:rFonts w:ascii="宋体" w:hAnsi="宋体"/>
                <w:bCs/>
                <w:color w:val="000000" w:themeColor="text1"/>
                <w:szCs w:val="21"/>
                <w:highlight w:val="none"/>
                <w14:textFill>
                  <w14:solidFill>
                    <w14:schemeClr w14:val="tx1"/>
                  </w14:solidFill>
                </w14:textFill>
              </w:rPr>
              <w:t xml:space="preserve">LC</w:t>
            </w:r>
            <w:r>
              <w:rPr>
                <w:rFonts w:hint="eastAsia" w:ascii="宋体" w:hAnsi="宋体"/>
                <w:bCs/>
                <w:color w:val="000000" w:themeColor="text1"/>
                <w:szCs w:val="21"/>
                <w:highlight w:val="none"/>
                <w14:textFill>
                  <w14:solidFill>
                    <w14:schemeClr w14:val="tx1"/>
                  </w14:solidFill>
                </w14:textFill>
              </w:rPr>
              <w:t xml:space="preserve">编程的虚拟控制训练；</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7、离线实景仿真要求：模型采用三维立体空间形式，通过实景式情景化的场景展现，真实地反映工业/生活中的应用场景；</w:t>
            </w:r>
            <w:r/>
          </w:p>
          <w:p>
            <w:pPr>
              <w:ind w:firstLine="428"/>
              <w:spacing w:line="400" w:lineRule="exact"/>
              <w:rPr>
                <w:rFonts w:hint="eastAsia" w:ascii="宋体" w:hAnsi="宋体"/>
                <w:bCs/>
                <w:color w:val="000000" w:themeColor="text1"/>
                <w:spacing w:val="2"/>
                <w:szCs w:val="21"/>
                <w:highlight w:val="none"/>
                <w14:textFill>
                  <w14:solidFill>
                    <w14:schemeClr w14:val="tx1"/>
                  </w14:solidFill>
                </w14:textFill>
              </w:rPr>
            </w:pPr>
            <w:r>
              <w:rPr>
                <w:rFonts w:hint="eastAsia" w:ascii="宋体" w:hAnsi="宋体"/>
                <w:bCs/>
                <w:color w:val="000000" w:themeColor="text1"/>
                <w:spacing w:val="2"/>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8、在线实景仿真要求：实景模式下点击在线仿真，在网络区输入P</w:t>
            </w:r>
            <w:r>
              <w:rPr>
                <w:rFonts w:ascii="宋体" w:hAnsi="宋体"/>
                <w:bCs/>
                <w:color w:val="000000" w:themeColor="text1"/>
                <w:szCs w:val="21"/>
                <w:highlight w:val="none"/>
                <w14:textFill>
                  <w14:solidFill>
                    <w14:schemeClr w14:val="tx1"/>
                  </w14:solidFill>
                </w14:textFill>
              </w:rPr>
              <w:t xml:space="preserve">LC</w:t>
            </w:r>
            <w:r>
              <w:rPr>
                <w:rFonts w:hint="eastAsia" w:ascii="宋体" w:hAnsi="宋体"/>
                <w:bCs/>
                <w:color w:val="000000" w:themeColor="text1"/>
                <w:szCs w:val="21"/>
                <w:highlight w:val="none"/>
                <w14:textFill>
                  <w14:solidFill>
                    <w14:schemeClr w14:val="tx1"/>
                  </w14:solidFill>
                </w14:textFill>
              </w:rPr>
              <w:t xml:space="preserve">的I</w:t>
            </w:r>
            <w:r>
              <w:rPr>
                <w:rFonts w:ascii="宋体" w:hAnsi="宋体"/>
                <w:bCs/>
                <w:color w:val="000000" w:themeColor="text1"/>
                <w:szCs w:val="21"/>
                <w:highlight w:val="none"/>
                <w14:textFill>
                  <w14:solidFill>
                    <w14:schemeClr w14:val="tx1"/>
                  </w14:solidFill>
                </w14:textFill>
              </w:rPr>
              <w:t xml:space="preserve">P</w:t>
            </w:r>
            <w:r>
              <w:rPr>
                <w:rFonts w:hint="eastAsia" w:ascii="宋体" w:hAnsi="宋体"/>
                <w:bCs/>
                <w:color w:val="000000" w:themeColor="text1"/>
                <w:szCs w:val="21"/>
                <w:highlight w:val="none"/>
                <w14:textFill>
                  <w14:solidFill>
                    <w14:schemeClr w14:val="tx1"/>
                  </w14:solidFill>
                </w14:textFill>
              </w:rPr>
              <w:t xml:space="preserve">地址和端口号，连接成功后，网络图标变蓝，通过P</w:t>
            </w:r>
            <w:r>
              <w:rPr>
                <w:rFonts w:ascii="宋体" w:hAnsi="宋体"/>
                <w:bCs/>
                <w:color w:val="000000" w:themeColor="text1"/>
                <w:szCs w:val="21"/>
                <w:highlight w:val="none"/>
                <w14:textFill>
                  <w14:solidFill>
                    <w14:schemeClr w14:val="tx1"/>
                  </w14:solidFill>
                </w14:textFill>
              </w:rPr>
              <w:t xml:space="preserve">LC</w:t>
            </w:r>
            <w:r>
              <w:rPr>
                <w:rFonts w:hint="eastAsia" w:ascii="宋体" w:hAnsi="宋体"/>
                <w:bCs/>
                <w:color w:val="000000" w:themeColor="text1"/>
                <w:szCs w:val="21"/>
                <w:highlight w:val="none"/>
                <w14:textFill>
                  <w14:solidFill>
                    <w14:schemeClr w14:val="tx1"/>
                  </w14:solidFill>
                </w14:textFill>
              </w:rPr>
              <w:t xml:space="preserve">在线编程控制实景中的自动化场景按流程运行，实现P</w:t>
            </w:r>
            <w:r>
              <w:rPr>
                <w:rFonts w:ascii="宋体" w:hAnsi="宋体"/>
                <w:bCs/>
                <w:color w:val="000000" w:themeColor="text1"/>
                <w:szCs w:val="21"/>
                <w:highlight w:val="none"/>
                <w14:textFill>
                  <w14:solidFill>
                    <w14:schemeClr w14:val="tx1"/>
                  </w14:solidFill>
                </w14:textFill>
              </w:rPr>
              <w:t xml:space="preserve">LC</w:t>
            </w:r>
            <w:r>
              <w:rPr>
                <w:rFonts w:hint="eastAsia" w:ascii="宋体" w:hAnsi="宋体"/>
                <w:bCs/>
                <w:color w:val="000000" w:themeColor="text1"/>
                <w:szCs w:val="21"/>
                <w:highlight w:val="none"/>
                <w14:textFill>
                  <w14:solidFill>
                    <w14:schemeClr w14:val="tx1"/>
                  </w14:solidFill>
                </w14:textFill>
              </w:rPr>
              <w:t xml:space="preserve">编程的虚拟场景化控制训练。</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ascii="宋体" w:hAnsi="宋体"/>
                <w:b/>
                <w:color w:val="000000" w:themeColor="text1"/>
                <w:spacing w:val="2"/>
                <w:szCs w:val="21"/>
                <w:highlight w:val="none"/>
                <w14:textFill>
                  <w14:solidFill>
                    <w14:schemeClr w14:val="tx1"/>
                  </w14:solidFill>
                </w14:textFill>
              </w:rPr>
              <w:t xml:space="preserve">）</w:t>
            </w:r>
            <w:bookmarkEnd w:id="3"/>
            <w:r/>
            <w:r/>
          </w:p>
          <w:p>
            <w:pPr>
              <w:spacing w:line="400" w:lineRule="exact"/>
              <w:tabs>
                <w:tab w:val="left" w:pos="1080" w:leader="none"/>
              </w:tabs>
              <w:rPr>
                <w:rFonts w:hint="eastAsia"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（二）数字孪生仿真平台*2套</w:t>
            </w:r>
            <w:r/>
          </w:p>
          <w:p>
            <w:pPr>
              <w:ind w:firstLine="420"/>
              <w:spacing w:line="400" w:lineRule="exact"/>
              <w:rPr>
                <w:rFonts w:hint="eastAsia" w:ascii="宋体" w:hAnsi="宋体" w:eastAsia="宋体" w:cs="宋体"/>
                <w:b/>
                <w:bCs/>
                <w:color w:val="000000" w:themeColor="text1"/>
                <w:sz w:val="22"/>
                <w:szCs w:val="22"/>
                <w:highlight w:val="none"/>
                <w:lang w:eastAsia="zh-CN"/>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要求支持不少于</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2"/>
                <w:szCs w:val="22"/>
                <w:highlight w:val="none"/>
                <w14:textFill>
                  <w14:solidFill>
                    <w14:schemeClr w14:val="tx1"/>
                  </w14:solidFill>
                </w14:textFill>
              </w:rPr>
              <w:t xml:space="preserve">种主流工业 PLC 品牌通信控制</w:t>
            </w:r>
            <w:r>
              <w:rPr>
                <w:rFonts w:hint="eastAsia" w:ascii="宋体" w:hAnsi="宋体" w:eastAsia="宋体" w:cs="宋体"/>
                <w:b/>
                <w:bCs/>
                <w:color w:val="000000" w:themeColor="text1"/>
                <w:sz w:val="22"/>
                <w:szCs w:val="22"/>
                <w:highlight w:val="none"/>
                <w:lang w:eastAsia="zh-CN"/>
                <w14:textFill>
                  <w14:solidFill>
                    <w14:schemeClr w14:val="tx1"/>
                  </w14:solidFill>
                </w14:textFill>
              </w:rPr>
              <w:t xml:space="preserve">。</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要求提供不少于10个基础训练实训项目（模型采用LED指示灯、按钮开关、接线端子、喷绘图形的形式进行展现），涵盖了装配流水线模拟、十字路口交通灯模拟、天塔之光模拟、水塔水位模拟、步进电机模拟、电动机星三角启动模拟、三层电梯模拟、自动配料装车模拟、四节传送带模拟、刀库捷径选择模拟、数码显示模拟、自动扶梯模拟、水泵排水模拟；</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要求提供不少于20个场景训练实训项目（模型采用三维立体空间形式，通过实景式情景化的场景展现，真实的反映工业/生活中的应用场景），涵盖了工业机器人协调控制、气动冲压机控制、自动上料机控制、自动封装控制、工业流水线控制、小区水塔供水控制、智能配料控制、楼宇电梯控制、电机星三角启动控制、数码显示控制、水泵控制、机械手搬运控制、物料分拣控制、数控冲压机控制、立体仓库控制、十字路口交通灯控制、天塔控制、多段输送带控制、步进电机控制、多功能刀架控制、自动扶梯控制等实训仿真画面。</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 w:val="0"/>
                <w:bCs/>
                <w:i w:val="0"/>
                <w:iCs w:val="0"/>
                <w:caps w:val="0"/>
                <w:color w:val="000000" w:themeColor="text1"/>
                <w:spacing w:val="0"/>
                <w:sz w:val="21"/>
                <w:szCs w:val="21"/>
                <w:highlight w:val="none"/>
                <w:shd w:val="clear" w:color="auto"/>
                <w:lang w:val="en-US" w:eastAsia="zh-CN"/>
                <w14:textFill>
                  <w14:solidFill>
                    <w14:schemeClr w14:val="tx1"/>
                  </w14:solidFill>
                </w14:textFill>
              </w:rPr>
              <w:t xml:space="preserve">要求集成不少于18节主流PLC品牌学习课程，涵盖基础型号及进阶型号（</w:t>
            </w:r>
            <w:r>
              <w:rPr>
                <w:rFonts w:hint="eastAsia" w:ascii="宋体" w:hAnsi="宋体" w:cs="宋体"/>
                <w:b w:val="0"/>
                <w:bCs/>
                <w:i w:val="0"/>
                <w:iCs w:val="0"/>
                <w:caps w:val="0"/>
                <w:color w:val="000000" w:themeColor="text1"/>
                <w:spacing w:val="0"/>
                <w:sz w:val="21"/>
                <w:szCs w:val="21"/>
                <w:highlight w:val="none"/>
                <w:shd w:val="clear" w:color="auto"/>
                <w:lang w:val="en-US" w:eastAsia="zh-CN"/>
                <w14:textFill>
                  <w14:solidFill>
                    <w14:schemeClr w14:val="tx1"/>
                  </w14:solidFill>
                </w14:textFill>
              </w:rPr>
              <w:t xml:space="preserve">或</w:t>
            </w:r>
            <w:r>
              <w:rPr>
                <w:rFonts w:hint="eastAsia" w:ascii="宋体" w:hAnsi="宋体" w:eastAsia="宋体" w:cs="宋体"/>
                <w:b w:val="0"/>
                <w:bCs/>
                <w:i w:val="0"/>
                <w:iCs w:val="0"/>
                <w:caps w:val="0"/>
                <w:color w:val="000000" w:themeColor="text1"/>
                <w:spacing w:val="0"/>
                <w:sz w:val="21"/>
                <w:szCs w:val="21"/>
                <w:highlight w:val="none"/>
                <w:shd w:val="clear" w:color="auto"/>
                <w:lang w:val="en-US" w:eastAsia="zh-CN"/>
                <w14:textFill>
                  <w14:solidFill>
                    <w14:schemeClr w14:val="tx1"/>
                  </w14:solidFill>
                </w14:textFill>
              </w:rPr>
              <w:t xml:space="preserve">相当于西门子200smart</w:t>
            </w:r>
            <w:r>
              <w:rPr>
                <w:rFonts w:hint="eastAsia" w:ascii="宋体" w:hAnsi="宋体" w:cs="宋体"/>
                <w:b w:val="0"/>
                <w:bCs/>
                <w:i w:val="0"/>
                <w:iCs w:val="0"/>
                <w:caps w:val="0"/>
                <w:color w:val="000000" w:themeColor="text1"/>
                <w:spacing w:val="0"/>
                <w:sz w:val="21"/>
                <w:szCs w:val="21"/>
                <w:highlight w:val="none"/>
                <w:shd w:val="clear" w:color="auto"/>
                <w:lang w:val="en-US" w:eastAsia="zh-CN"/>
                <w14:textFill>
                  <w14:solidFill>
                    <w14:schemeClr w14:val="tx1"/>
                  </w14:solidFill>
                </w14:textFill>
              </w:rPr>
              <w:t xml:space="preserve">、</w:t>
            </w:r>
            <w:r>
              <w:rPr>
                <w:rFonts w:hint="eastAsia" w:ascii="宋体" w:hAnsi="宋体" w:eastAsia="宋体" w:cs="宋体"/>
                <w:b w:val="0"/>
                <w:bCs/>
                <w:i w:val="0"/>
                <w:iCs w:val="0"/>
                <w:caps w:val="0"/>
                <w:color w:val="000000" w:themeColor="text1"/>
                <w:spacing w:val="0"/>
                <w:sz w:val="21"/>
                <w:szCs w:val="21"/>
                <w:highlight w:val="none"/>
                <w:shd w:val="clear" w:color="auto"/>
                <w:lang w:val="en-US" w:eastAsia="zh-CN"/>
                <w14:textFill>
                  <w14:solidFill>
                    <w14:schemeClr w14:val="tx1"/>
                  </w14:solidFill>
                </w14:textFill>
              </w:rPr>
              <w:t xml:space="preserve">1200型号）的教学内容。</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要求包含实验模块介绍、实训目的、实训原理、实训流程、设备组成、区域介绍、实训项目、控制要求、端口说明、模拟仿真、在线仿真、网络连接等功能菜单。</w:t>
            </w:r>
            <w:r/>
          </w:p>
          <w:p>
            <w:pPr>
              <w:ind w:firstLine="420"/>
              <w:spacing w:line="400" w:lineRule="exact"/>
              <w:rPr>
                <w:rFonts w:hint="eastAsia" w:ascii="宋体" w:hAnsi="宋体"/>
                <w:b/>
                <w:color w:val="000000" w:themeColor="text1"/>
                <w:spacing w:val="2"/>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要求具有离线仿真功能：不用连接PLC，相关模型按固定的流程模拟运行，可以根据任务要求或者模拟运行流程，自行编写PLC程序，实现PLC编程的在线仿真控制；</w:t>
            </w:r>
            <w:r/>
          </w:p>
          <w:p>
            <w:pPr>
              <w:ind w:firstLine="420"/>
              <w:spacing w:line="400" w:lineRule="exact"/>
              <w:rPr>
                <w:rFonts w:hint="eastAsia" w:ascii="宋体" w:hAnsi="宋体"/>
                <w:b/>
                <w:color w:val="000000" w:themeColor="text1"/>
                <w:spacing w:val="2"/>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在线仿真要求：在网络区输入PLC的IP地址和端口号，连接成功后，显示“已连接”，通过PLC在线编程控制自动化模型动作，实现PLC编程的虚拟控制训练。</w:t>
            </w:r>
            <w:bookmarkEnd w:id="4"/>
            <w:r/>
            <w:r/>
          </w:p>
          <w:p>
            <w:pPr>
              <w:spacing w:line="400" w:lineRule="exact"/>
              <w:tabs>
                <w:tab w:val="left" w:pos="1080" w:leader="none"/>
              </w:tabs>
              <w:rPr>
                <w:rFonts w:hint="eastAsia"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（三）可编程控制器虚拟仿真软件*2套</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软件要求采用</w:t>
            </w:r>
            <w:r>
              <w:rPr>
                <w:rFonts w:hint="eastAsia" w:ascii="宋体" w:hAnsi="宋体" w:eastAsia="宋体" w:cs="宋体"/>
                <w:bCs/>
                <w:i w:val="0"/>
                <w:iCs w:val="0"/>
                <w:caps w:val="0"/>
                <w:color w:val="000000" w:themeColor="text1"/>
                <w:spacing w:val="0"/>
                <w:sz w:val="21"/>
                <w:szCs w:val="21"/>
                <w:highlight w:val="none"/>
                <w:shd w:val="clear" w:color="auto"/>
                <w14:textFill>
                  <w14:solidFill>
                    <w14:schemeClr w14:val="tx1"/>
                  </w14:solidFill>
                </w14:textFill>
              </w:rPr>
              <w:t xml:space="preserve">C++、Java、Python、Go等</w:t>
            </w:r>
            <w:r>
              <w:rPr>
                <w:rFonts w:hint="eastAsia" w:ascii="宋体" w:hAnsi="宋体" w:cs="宋体"/>
                <w:bCs/>
                <w:color w:val="000000" w:themeColor="text1"/>
                <w:szCs w:val="21"/>
                <w:highlight w:val="none"/>
                <w14:textFill>
                  <w14:solidFill>
                    <w14:schemeClr w14:val="tx1"/>
                  </w14:solidFill>
                </w14:textFill>
              </w:rPr>
              <w:t xml:space="preserve">语言开发，基于AI深度开发，运行环境支持Windows7以上版本；</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供不少于23个功能实训画面，涵盖了基本指令练习、装配流水线控制、十字路口交通灯控制、天塔之光控制、水塔水位控制、数码管控制、电动机星三角启动控制、四节输送线控制、自控轧钢机控制、机械手控制、液体混合装置控制、邮箱自动分拣控制、物料分拣控制、电动机正反控制、电镀生产线控制、自动售货机控制、小车运料控制、自动送料装车控制、抢答器、自动洗衣机控制、自动成型机控制、自动冲压机、柔性生产线控制等实训仿真画面。</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软件包含四个区域</w:t>
            </w:r>
            <w:r/>
          </w:p>
          <w:p>
            <w:pPr>
              <w:ind w:firstLine="420"/>
              <w:spacing w:line="400" w:lineRule="exact"/>
              <w:rPr>
                <w:rFonts w:hint="eastAsia" w:ascii="宋体" w:hAnsi="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1、网络连接区：在网络区输入PLC的IP地址，连接成功后，显示“正常采集”，通过PLC在线编程控制软件区域对象动作，实现PLC编程的虚拟控制训练；</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2、功能显示及按钮：提供自网络连接和断开显示，返回首界面按钮、退出按钮；</w:t>
            </w:r>
            <w:r/>
          </w:p>
          <w:p>
            <w:pPr>
              <w:ind w:firstLine="420"/>
              <w:spacing w:line="400" w:lineRule="exact"/>
              <w:rPr>
                <w:rFonts w:hint="eastAsia" w:ascii="宋体" w:hAnsi="宋体"/>
                <w:b/>
                <w:color w:val="000000" w:themeColor="text1"/>
                <w:spacing w:val="2"/>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3、端口信息区：提供多种对象用到的PLC端口信息，用状态0和1表示；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4、操作对象区：提供多个功能实现画面，实现PLC的编程训练。</w:t>
            </w:r>
            <w:r/>
          </w:p>
          <w:p>
            <w:pPr>
              <w:spacing w:line="360" w:lineRule="atLeast"/>
              <w:rPr>
                <w:rFonts w:hint="eastAsia" w:ascii="宋体" w:hAnsi="宋体"/>
                <w:bCs/>
                <w:color w:val="000000" w:themeColor="text1"/>
                <w:spacing w:val="2"/>
                <w:szCs w:val="21"/>
                <w:highlight w:val="none"/>
                <w14:textFill>
                  <w14:solidFill>
                    <w14:schemeClr w14:val="tx1"/>
                  </w14:solidFill>
                </w14:textFill>
              </w:rPr>
            </w:pPr>
            <w:r>
              <w:rPr>
                <w:rFonts w:hint="eastAsia" w:ascii="宋体" w:hAnsi="宋体"/>
                <w:bCs/>
                <w:color w:val="000000" w:themeColor="text1"/>
                <w:spacing w:val="2"/>
                <w:szCs w:val="21"/>
                <w:highlight w:val="none"/>
                <w14:textFill>
                  <w14:solidFill>
                    <w14:schemeClr w14:val="tx1"/>
                  </w14:solidFill>
                </w14:textFill>
              </w:rPr>
              <w:t xml:space="preserve">五、实训项目</w:t>
            </w:r>
            <w:r/>
          </w:p>
          <w:p>
            <w:pPr>
              <w:spacing w:line="360" w:lineRule="atLeast"/>
              <w:rPr>
                <w:rFonts w:hint="eastAsia" w:ascii="宋体" w:hAnsi="宋体"/>
                <w:bCs/>
                <w:color w:val="000000" w:themeColor="text1"/>
                <w:spacing w:val="2"/>
                <w:szCs w:val="21"/>
                <w:highlight w:val="none"/>
                <w14:textFill>
                  <w14:solidFill>
                    <w14:schemeClr w14:val="tx1"/>
                  </w14:solidFill>
                </w14:textFill>
              </w:rPr>
            </w:pPr>
            <w:r>
              <w:rPr>
                <w:rFonts w:hint="eastAsia" w:ascii="宋体" w:hAnsi="宋体"/>
                <w:bCs/>
                <w:color w:val="000000" w:themeColor="text1"/>
                <w:spacing w:val="2"/>
                <w:szCs w:val="21"/>
                <w:highlight w:val="none"/>
                <w14:textFill>
                  <w14:solidFill>
                    <w14:schemeClr w14:val="tx1"/>
                  </w14:solidFill>
                </w14:textFill>
              </w:rPr>
              <w:t xml:space="preserve">（一）电机拖动控制实验</w:t>
            </w:r>
            <w:r/>
          </w:p>
          <w:p>
            <w:pPr>
              <w:spacing w:line="360" w:lineRule="atLeast"/>
              <w:rPr>
                <w:rFonts w:hint="eastAsia" w:ascii="宋体" w:hAnsi="宋体"/>
                <w:bCs/>
                <w:color w:val="000000" w:themeColor="text1"/>
                <w:spacing w:val="2"/>
                <w:szCs w:val="21"/>
                <w:highlight w:val="none"/>
                <w14:textFill>
                  <w14:solidFill>
                    <w14:schemeClr w14:val="tx1"/>
                  </w14:solidFill>
                </w14:textFill>
              </w:rPr>
            </w:pPr>
            <w:r>
              <w:rPr>
                <w:rFonts w:hint="eastAsia" w:ascii="宋体" w:hAnsi="宋体"/>
                <w:bCs/>
                <w:color w:val="000000" w:themeColor="text1"/>
                <w:spacing w:val="2"/>
                <w:szCs w:val="21"/>
                <w:highlight w:val="none"/>
                <w14:textFill>
                  <w14:solidFill>
                    <w14:schemeClr w14:val="tx1"/>
                  </w14:solidFill>
                </w14:textFill>
              </w:rPr>
              <w:t xml:space="preserve">1、三相异步电动机直接启动控制；</w:t>
            </w:r>
            <w:r/>
          </w:p>
          <w:p>
            <w:pPr>
              <w:spacing w:line="360" w:lineRule="atLeast"/>
              <w:rPr>
                <w:rFonts w:hint="eastAsia" w:ascii="宋体" w:hAnsi="宋体"/>
                <w:bCs/>
                <w:color w:val="000000" w:themeColor="text1"/>
                <w:spacing w:val="2"/>
                <w:szCs w:val="21"/>
                <w:highlight w:val="none"/>
                <w14:textFill>
                  <w14:solidFill>
                    <w14:schemeClr w14:val="tx1"/>
                  </w14:solidFill>
                </w14:textFill>
              </w:rPr>
            </w:pPr>
            <w:r>
              <w:rPr>
                <w:rFonts w:hint="eastAsia" w:ascii="宋体" w:hAnsi="宋体"/>
                <w:bCs/>
                <w:color w:val="000000" w:themeColor="text1"/>
                <w:spacing w:val="2"/>
                <w:szCs w:val="21"/>
                <w:highlight w:val="none"/>
                <w14:textFill>
                  <w14:solidFill>
                    <w14:schemeClr w14:val="tx1"/>
                  </w14:solidFill>
                </w14:textFill>
              </w:rPr>
              <w:t xml:space="preserve">2、三相异步电动机接触器点动控制线路；</w:t>
            </w:r>
            <w:r/>
          </w:p>
          <w:p>
            <w:pPr>
              <w:spacing w:line="360" w:lineRule="atLeast"/>
              <w:rPr>
                <w:bCs/>
                <w:color w:val="000000" w:themeColor="text1"/>
                <w:spacing w:val="2"/>
                <w:szCs w:val="21"/>
                <w:highlight w:val="none"/>
                <w14:textFill>
                  <w14:solidFill>
                    <w14:schemeClr w14:val="tx1"/>
                  </w14:solidFill>
                </w14:textFill>
              </w:rPr>
            </w:pPr>
            <w:r>
              <w:rPr>
                <w:rFonts w:hint="eastAsia" w:ascii="宋体" w:hAnsi="宋体"/>
                <w:bCs/>
                <w:color w:val="000000" w:themeColor="text1"/>
                <w:spacing w:val="2"/>
                <w:szCs w:val="21"/>
                <w:highlight w:val="none"/>
                <w14:textFill>
                  <w14:solidFill>
                    <w14:schemeClr w14:val="tx1"/>
                  </w14:solidFill>
                </w14:textFill>
              </w:rPr>
              <w:t xml:space="preserve">3、三相异步电动机接触器自锁控制线路；</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4、Y-△启动自动控制线路；</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5、接触器联锁的正反转控制线路；</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6、按钮联锁的三相异步电动机接触器正反转控制线路；</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（二）PLC基础控制实验</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1、PLC认知实验（软硬件结构、系统组成）</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2、PLC接线实验</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3、PLC编程软件功能应用实验</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4、PLC指令实验</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5、PLC通讯控制实验</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6、装配流水线控制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7、十字路口交通灯控制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8、自动送料装车控制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9、四节传送带控制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10、天塔之光控制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11、水塔水位控制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（三）进阶PLC编程实训（虚拟仿真）</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1、数码管控制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2、电动机星三角启动控制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3、四节输送线控制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4、自控轧钢机控制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5、机械手控制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6、液体混合装置控制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7、邮箱自动分拣控制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8、物料分拣控制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9、电动机正反控制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10、电镀生产线控制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11、自动售货机控制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12、小车运料控制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13、自动送料装车控制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14、抢答器控制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15、自动洗衣机控制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16、自动成型机控制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17、自动冲压机</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18、柔性生产线控制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19、扶梯控制控制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20、水泵排水控制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21、刀库捷径控制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22、自动配料控制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23、电梯控制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24、工业机器人协调控制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25、气动冲压机控制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26、自动上料机控制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27、自动封装控制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28、工业流水线控制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29、小区水塔供水控制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30、智能配料控制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31、楼宇电梯控制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32、水泵控制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33、数控冲压机控制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34、立体仓库控制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35、多功能刀架控制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（四）触摸屏组态及应用</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1、触摸屏认知与选型</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2、触摸屏网络配置与组态</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3、触摸屏组态工程制作</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（五）步进电机控制实训 </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1、步进电机接线实训</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2、步进电机参数设置实训</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3、步进电机点动控制实训</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4、步进电机脉冲定位控制实训</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（六）PLC、触摸屏、变频器综合控制实训</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1、触摸屏与 PLC控制方式的基本指令编程练习</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2、触摸屏与 PLC控制方式的数码显示控制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3、触摸屏与 PLC 控制电动机点动与自锁项目；</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4、触摸屏与 PLC 控制电动机正反转项目；</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5、触摸屏与 PLC 控制电动机星三角启动项目；</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6、触摸屏与 PLC 控制电动机反接制动项目</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7、触摸屏与 PLC 控制的变频调速项目</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8、PLC之间PROFINET网络通信</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9、PLC与变频器之间的PROFINET通讯实训</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10、基于PLC的变频器外部端子的电机正反转控制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11、基于PLC数字量方式多段速控制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12、基于PLC模拟量方式变频开环调速控制</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13、基于PLC PROFINET通信方式的变频开环调速</w:t>
            </w:r>
            <w:r/>
          </w:p>
        </w:tc>
        <w:tc>
          <w:tcPr>
            <w:tcW w:w="850" w:type="dxa"/>
            <w:vAlign w:val="center"/>
            <w:textDirection w:val="lrTb"/>
            <w:noWrap w:val="false"/>
          </w:tcPr>
          <w:p>
            <w:pPr>
              <w:spacing w:line="360" w:lineRule="atLeast"/>
              <w:rPr>
                <w:bCs/>
                <w:color w:val="000000" w:themeColor="text1"/>
                <w:spacing w:val="2"/>
                <w:szCs w:val="21"/>
                <w:highlight w:val="none"/>
                <w14:textFill>
                  <w14:solidFill>
                    <w14:schemeClr w14:val="tx1"/>
                  </w14:solidFill>
                </w14:textFill>
              </w:rPr>
            </w:pPr>
            <w:r>
              <w:rPr>
                <w:bCs/>
                <w:color w:val="000000" w:themeColor="text1"/>
                <w:spacing w:val="2"/>
                <w:szCs w:val="21"/>
                <w:highlight w:val="none"/>
                <w14:textFill>
                  <w14:solidFill>
                    <w14:schemeClr w14:val="tx1"/>
                  </w14:solidFill>
                </w14:textFill>
              </w:rPr>
            </w:r>
            <w:r/>
          </w:p>
        </w:tc>
      </w:tr>
      <w:tr>
        <w:trPr/>
        <w:tc>
          <w:tcPr>
            <w:tcW w:w="704" w:type="dxa"/>
            <w:vAlign w:val="center"/>
            <w:textDirection w:val="lrTb"/>
            <w:noWrap w:val="false"/>
          </w:tcPr>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w:t>
            </w:r>
            <w:r/>
          </w:p>
        </w:tc>
        <w:tc>
          <w:tcPr>
            <w:tcW w:w="851" w:type="dxa"/>
            <w:vAlign w:val="center"/>
            <w:vMerge w:val="continue"/>
            <w:textDirection w:val="lrTb"/>
            <w:noWrap w:val="false"/>
          </w:tcPr>
          <w:p>
            <w:pPr>
              <w:spacing w:line="360" w:lineRule="atLeast"/>
              <w:rPr>
                <w:bCs/>
                <w:color w:val="000000" w:themeColor="text1"/>
                <w:spacing w:val="2"/>
                <w:szCs w:val="21"/>
                <w:highlight w:val="none"/>
                <w14:textFill>
                  <w14:solidFill>
                    <w14:schemeClr w14:val="tx1"/>
                  </w14:solidFill>
                </w14:textFill>
              </w:rPr>
            </w:pPr>
            <w:r>
              <w:rPr>
                <w:bCs/>
                <w:color w:val="000000" w:themeColor="text1"/>
                <w:spacing w:val="2"/>
                <w:szCs w:val="21"/>
                <w:highlight w:val="none"/>
                <w14:textFill>
                  <w14:solidFill>
                    <w14:schemeClr w14:val="tx1"/>
                  </w14:solidFill>
                </w14:textFill>
              </w:rPr>
            </w:r>
            <w:r/>
          </w:p>
        </w:tc>
        <w:tc>
          <w:tcPr>
            <w:tcW w:w="6662" w:type="dxa"/>
            <w:vAlign w:val="center"/>
            <w:textDirection w:val="lrTb"/>
            <w:noWrap w:val="false"/>
          </w:tcPr>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模块二、执行机构模块</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一、设备简述</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执行机构模块包含：设备台架、转盘机构、输送模块、仓储模块、协作机器人、视觉检测系统、工业交换机、PLC等。</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二、设备主要参数要求</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1、交流电源要求：三相四线～380V±10% 50Hz；</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2、工作环境要求：温度-10℃～+40℃，相对湿度＜85%(25℃)，海拔＜4000m； </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3、装置容量要求：＜1.5kVA；</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4、外形尺寸要求：≤820mm×1500mm×850mm；</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5、安全保护要求：具有漏电保护、过载保护、安全性符合国家标准。</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三、设备组成及功能要求</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（一）实验台架要求</w:t>
            </w:r>
            <w:r/>
          </w:p>
          <w:p>
            <w:pPr>
              <w:ind w:firstLine="428"/>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桌体要求采用工业铝合金型材一次成型，阳极氧化工艺处理，截面尺寸不低于72mm*72mm，开有标准滑槽，可以根据需求安装不同的配件，铝型材凹槽采用橙色衬条装饰，挡板采用≥1.2mm冷轧钢板制作，表面橘红色喷塑工艺处理，桌体的平衡可由脚下铝压铸件上的脚轮进行调节，脚轮带刹车功能便于固定。</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（二）运动执行单元要求</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1.变频器及电机</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变频器针对三相交流电机，用于实现精确而又经济的转速/转矩控制，模块式变频器系统，分为控制单元、功率单元和操作面板。</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变频器控制单元可以控制和监控功率模块和与它相连的电机，现场总线为PROFINET，输入输出包括6DI、2AI、3DO、2AO。</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变频器操作面板配备两行屏及菜单导航功能，使标准型驱动的调试简化。其可同时显示参数、参数值及参数过滤，从而使驱动的基本调试更为简便。</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4)</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电机输出功率120W，频率50Hz时电流0.73A、额定转速1300r/min、启动转矩2600mN·m、额定转矩930mN·m，频率60Hz时电流0.62A、额定转速1600r/min、启动转矩2080mN·m、额定转矩740mN·m，配套减速箱减速比1:10。</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2.伺服驱动器和电机</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伺服驱动器带 PROFINET， 输入电压：200-240 V 单相/三相交流 ，电机：0.2 kW， 防护方式：IP20 尺寸 A， 45x170x170（宽x高x深）。</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电机额定转速3000rpm，最大转速5000rpm，内置1个增量式编码器。</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3.步进驱动器和电机</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步进驱动器为全数字驱控一体型步进驱动系列产品，最高输入电压48V，最大输出峰值电流为5.6A。</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电机步距角1.8°，位置精度±0.9°</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4.转盘模块</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转盘模块由步进电机驱动，同步带传动进行旋转运动。</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站台台面有六个工位，可放置各种材质和颜色的物料。</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六个工位分别为：进料位，出料位，以及3个检测位和1个装配位。</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5.输送模块</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两组直线模组实现横向和竖直方向的运动；</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w:t>
            </w:r>
            <w:r>
              <w:rPr>
                <w:rFonts w:hint="eastAsia"/>
                <w:bCs/>
                <w:color w:val="000000" w:themeColor="text1"/>
                <w:spacing w:val="2"/>
                <w:szCs w:val="21"/>
                <w:highlight w:val="none"/>
                <w14:textFill>
                  <w14:solidFill>
                    <w14:schemeClr w14:val="tx1"/>
                  </w14:solidFill>
                </w14:textFill>
              </w:rPr>
              <w:tab/>
            </w:r>
            <w:r>
              <w:rPr>
                <w:rFonts w:hint="eastAsia"/>
                <w:bCs/>
                <w:color w:val="000000" w:themeColor="text1"/>
                <w:spacing w:val="2"/>
                <w:szCs w:val="21"/>
                <w:highlight w:val="none"/>
                <w14:textFill>
                  <w14:solidFill>
                    <w14:schemeClr w14:val="tx1"/>
                  </w14:solidFill>
                </w14:textFill>
              </w:rPr>
              <w:t xml:space="preserve">竖直方向的模组装有滑台气缸和夹爪气缸进行夹取物料。</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6.工业交换机</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 业务接口为16*10/10Base-TX（RJ45 接头）。</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 交换容量32G,包发转率23.8Mpps，MAC地址表：8K。</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 输入电压 DC12-58V。</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7.视觉检测系统</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1）相机：≥300 万 全局曝光，-20℃至60℃，彩色，fps,1/1.8”，36.8fps, CMOS 千兆以太网工业相机；</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2）镜头：12mm，F2.8，2/3"，≥800万分辨率，C接口镜头，F2.8 ~ F16，最近摄距0.1 m，畸变≤0.28%，重量</w:t>
            </w:r>
            <w:r>
              <w:rPr>
                <w:rFonts w:hint="eastAsia" w:ascii="Times New Roman" w:hAnsi="Times New Roman" w:eastAsia="宋体" w:cs="Times New Roman"/>
                <w:b w:val="0"/>
                <w:bCs/>
                <w:i w:val="0"/>
                <w:iCs w:val="0"/>
                <w:caps w:val="0"/>
                <w:color w:val="000000" w:themeColor="text1"/>
                <w:spacing w:val="2"/>
                <w:sz w:val="21"/>
                <w:szCs w:val="21"/>
                <w:highlight w:val="none"/>
                <w:shd w:val="clear" w:color="auto"/>
                <w:lang w:val="en-US" w:eastAsia="zh-CN"/>
                <w14:textFill>
                  <w14:solidFill>
                    <w14:schemeClr w14:val="tx1"/>
                  </w14:solidFill>
                </w14:textFill>
              </w:rPr>
              <w:t xml:space="preserve">＜80g</w:t>
            </w:r>
            <w:r>
              <w:rPr>
                <w:rFonts w:hint="eastAsia"/>
                <w:bCs/>
                <w:color w:val="000000" w:themeColor="text1"/>
                <w:spacing w:val="2"/>
                <w:szCs w:val="21"/>
                <w:highlight w:val="none"/>
                <w14:textFill>
                  <w14:solidFill>
                    <w14:schemeClr w14:val="tx1"/>
                  </w14:solidFill>
                </w14:textFill>
              </w:rPr>
              <w:t xml:space="preserve">；</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3）软件：与硬件配套的视觉检测软件，具有永久授权账号或加密狗。</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8.存储单元</w:t>
            </w:r>
            <w:r/>
          </w:p>
          <w:p>
            <w:pPr>
              <w:spacing w:line="360" w:lineRule="exact"/>
              <w:rPr>
                <w:color w:val="000000" w:themeColor="text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仓储单元为铝合金型材，设有2层8个仓位，分为产品合格区和不合格区。</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（三）协作机器人</w:t>
            </w:r>
            <w:r>
              <w:rPr>
                <w:rFonts w:hint="eastAsia" w:ascii="宋体" w:hAnsi="宋体" w:cs="宋体"/>
                <w:b/>
                <w:color w:val="000000" w:themeColor="text1"/>
                <w:szCs w:val="21"/>
                <w:highlight w:val="none"/>
                <w14:textFill>
                  <w14:solidFill>
                    <w14:schemeClr w14:val="tx1"/>
                  </w14:solidFill>
                </w14:textFill>
              </w:rPr>
              <w:t xml:space="preserve">*1</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重量：≤18kg</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有效负载：≧4kg</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工作范围：≧575mm</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工作范围：轴1/2/4/5/6：±360° 轴3：±160°</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最大速度：轴1/2/3: 150 % 轴4/5/6: 180 %</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工具端最大速度：2m/s</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重复定位精度：±0.03mm</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自由度：6</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防护等级：IP54</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工作温度：0-50℃</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工作湿度： 70% RH</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法兰接口：ISO 9409-1-50-4-M6</w:t>
            </w:r>
            <w:r/>
          </w:p>
          <w:p>
            <w:pPr>
              <w:spacing w:line="360" w:lineRule="atLeas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          ISO 9409-1-50-6-M6</w:t>
            </w:r>
            <w:r/>
          </w:p>
          <w:p>
            <w:pPr>
              <w:spacing w:line="360" w:lineRule="exact"/>
              <w:rPr>
                <w:bCs/>
                <w:color w:val="000000" w:themeColor="text1"/>
                <w:spacing w:val="2"/>
                <w:szCs w:val="21"/>
                <w:highlight w:val="none"/>
                <w14:textFill>
                  <w14:solidFill>
                    <w14:schemeClr w14:val="tx1"/>
                  </w14:solidFill>
                </w14:textFill>
              </w:rPr>
            </w:pPr>
            <w:r>
              <w:rPr>
                <w:rFonts w:hint="eastAsia"/>
                <w:bCs/>
                <w:color w:val="000000" w:themeColor="text1"/>
                <w:spacing w:val="2"/>
                <w:szCs w:val="21"/>
                <w:highlight w:val="none"/>
                <w14:textFill>
                  <w14:solidFill>
                    <w14:schemeClr w14:val="tx1"/>
                  </w14:solidFill>
                </w14:textFill>
              </w:rPr>
              <w:t xml:space="preserve">法兰通讯：2 DI, 2DO, 24VDC, RS485。</w:t>
            </w:r>
            <w:r/>
          </w:p>
          <w:p>
            <w:pPr>
              <w:pStyle w:val="695"/>
              <w:ind w:firstLine="0"/>
              <w:spacing w:after="0" w:line="360" w:lineRule="exact"/>
              <w:rPr>
                <w:rFonts w:ascii="宋体" w:cs="宋体"/>
                <w:bCs/>
                <w:color w:val="000000" w:themeColor="text1"/>
                <w:spacing w:val="2"/>
                <w:szCs w:val="21"/>
                <w:highlight w:val="none"/>
                <w14:textFill>
                  <w14:solidFill>
                    <w14:schemeClr w14:val="tx1"/>
                  </w14:solidFill>
                </w14:textFill>
              </w:rPr>
            </w:pPr>
            <w:r>
              <w:rPr>
                <w:rFonts w:hint="eastAsia" w:ascii="宋体" w:cs="宋体"/>
                <w:bCs/>
                <w:color w:val="000000" w:themeColor="text1"/>
                <w:spacing w:val="2"/>
                <w:szCs w:val="21"/>
                <w:highlight w:val="none"/>
                <w14:textFill>
                  <w14:solidFill>
                    <w14:schemeClr w14:val="tx1"/>
                  </w14:solidFill>
                </w14:textFill>
              </w:rPr>
              <w:t xml:space="preserve">四、配套教学软件</w:t>
            </w:r>
            <w:r/>
          </w:p>
          <w:p>
            <w:pPr>
              <w:spacing w:line="360" w:lineRule="exact"/>
              <w:rPr>
                <w:rFonts w:hint="eastAsia" w:ascii="宋体" w:hAnsi="宋体" w:cs="宋体"/>
                <w:b/>
                <w:color w:val="000000" w:themeColor="text1"/>
                <w:spacing w:val="2"/>
                <w:szCs w:val="21"/>
                <w:highlight w:val="none"/>
                <w14:textFill>
                  <w14:solidFill>
                    <w14:schemeClr w14:val="tx1"/>
                  </w14:solidFill>
                </w14:textFill>
              </w:rPr>
            </w:pPr>
            <w:r>
              <w:rPr>
                <w:rFonts w:hint="eastAsia" w:ascii="宋体" w:hAnsi="宋体" w:cs="宋体"/>
                <w:b/>
                <w:color w:val="000000" w:themeColor="text1"/>
                <w:spacing w:val="2"/>
                <w:szCs w:val="21"/>
                <w:highlight w:val="none"/>
                <w14:textFill>
                  <w14:solidFill>
                    <w14:schemeClr w14:val="tx1"/>
                  </w14:solidFill>
                </w14:textFill>
              </w:rPr>
              <w:t xml:space="preserve">（一）工业机器人离线编程软件</w:t>
            </w:r>
            <w:r>
              <w:rPr>
                <w:rFonts w:hint="eastAsia" w:ascii="宋体" w:hAnsi="宋体" w:cs="宋体"/>
                <w:b/>
                <w:color w:val="000000" w:themeColor="text1"/>
                <w:szCs w:val="21"/>
                <w:highlight w:val="none"/>
                <w14:textFill>
                  <w14:solidFill>
                    <w14:schemeClr w14:val="tx1"/>
                  </w14:solidFill>
                </w14:textFill>
              </w:rPr>
              <w:t xml:space="preserve">*2套</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正版软件，中文界面，可提供持续的中文技术支持服务，可使用软件所有功能模块，界面无“试用版”字样； </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支持≥100个品牌、支持≥1000个型号的工业机器人进行场景搭建、轨迹规划、运动仿真和程序代码生成等操作；</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具有云端设备模型资源，支持云端实时更新数据资源，支持下载使用；</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具备模型数据接口，至少支持STP、STL、OBJ三种三维模型格式的导入，搭建和实际环境1：1的虚拟环境；</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支持对工业机器人本体、导轨及变位机设备自定义，支持多轴机器人的定义、轨迹生成及仿真，至少支持4轴、8轴、10轴；</w:t>
            </w:r>
            <w:r/>
          </w:p>
          <w:p>
            <w:pPr>
              <w:numPr>
                <w:ilvl w:val="0"/>
                <w:numId w:val="12"/>
              </w:numPr>
              <w:ind w:firstLine="0"/>
              <w:spacing w:line="360" w:lineRule="exact"/>
              <w:rPr>
                <w:rFonts w:hint="eastAsia" w:ascii="宋体" w:hAnsi="宋体" w:cs="宋体"/>
                <w:b/>
                <w:color w:val="000000" w:themeColor="text1"/>
                <w:spacing w:val="2"/>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pacing w:val="2"/>
                <w:szCs w:val="21"/>
                <w:highlight w:val="none"/>
                <w14:textFill>
                  <w14:solidFill>
                    <w14:schemeClr w14:val="tx1"/>
                  </w14:solidFill>
                </w14:textFill>
              </w:rPr>
              <w:t xml:space="preserve">提供机器人后置模板自定义，通过拖拽的方式定义模板格式，支持程序代码的实时预显；根据品牌选择相应的后置模板；</w:t>
            </w:r>
            <w:r>
              <w:rPr>
                <w:rFonts w:hint="eastAsia" w:ascii="宋体" w:hAnsi="宋体" w:cs="宋体"/>
                <w:b/>
                <w:color w:val="000000" w:themeColor="text1"/>
                <w:spacing w:val="2"/>
                <w:szCs w:val="21"/>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ascii="宋体" w:hAnsi="宋体" w:cs="宋体"/>
                <w:b/>
                <w:color w:val="000000" w:themeColor="text1"/>
                <w:spacing w:val="2"/>
                <w:szCs w:val="21"/>
                <w:highlight w:val="none"/>
                <w14:textFill>
                  <w14:solidFill>
                    <w14:schemeClr w14:val="tx1"/>
                  </w14:solidFill>
                </w14:textFill>
              </w:rPr>
              <w:t xml:space="preserve">）</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至少提供两种模型校准方式，可利用3D点云数据，使设计环境和真机环境内机器人、工具、被加工零部件之间的空间位置关系保持一致，实现高精度校准。</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软件内置便捷可靠的坐标关系转换功能，支持基于多类型基准坐标进行转换，通过可视化操作完成坐标平移、旋转及姿态调整，确保转换过程的准确性与稳定性，满足多模型协同编程需求。</w:t>
            </w:r>
            <w:r/>
          </w:p>
          <w:p>
            <w:pPr>
              <w:numPr>
                <w:ilvl w:val="0"/>
                <w:numId w:val="12"/>
              </w:numPr>
              <w:ind w:firstLine="0"/>
              <w:spacing w:line="360" w:lineRule="exact"/>
              <w:rPr>
                <w:rFonts w:hint="eastAsia" w:ascii="宋体" w:hAnsi="宋体" w:cs="宋体"/>
                <w:b/>
                <w:color w:val="000000" w:themeColor="text1"/>
                <w:spacing w:val="2"/>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pacing w:val="2"/>
                <w:szCs w:val="21"/>
                <w:highlight w:val="none"/>
                <w14:textFill>
                  <w14:solidFill>
                    <w14:schemeClr w14:val="tx1"/>
                  </w14:solidFill>
                </w14:textFill>
              </w:rPr>
              <w:t xml:space="preserve">支持对三维模型中的曲面网格部分进行裁剪，可通过设置的裁剪范围，对区域内或外的部分进行裁剪；</w:t>
            </w:r>
            <w:r>
              <w:rPr>
                <w:rFonts w:hint="eastAsia" w:ascii="宋体" w:hAnsi="宋体" w:cs="宋体"/>
                <w:b/>
                <w:color w:val="000000" w:themeColor="text1"/>
                <w:spacing w:val="2"/>
                <w:szCs w:val="21"/>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ascii="宋体" w:hAnsi="宋体" w:cs="宋体"/>
                <w:b/>
                <w:color w:val="000000" w:themeColor="text1"/>
                <w:spacing w:val="2"/>
                <w:szCs w:val="21"/>
                <w:highlight w:val="none"/>
                <w14:textFill>
                  <w14:solidFill>
                    <w14:schemeClr w14:val="tx1"/>
                  </w14:solidFill>
                </w14:textFill>
              </w:rPr>
              <w:t xml:space="preserve">）</w:t>
            </w:r>
            <w:r/>
          </w:p>
          <w:p>
            <w:pPr>
              <w:numPr>
                <w:ilvl w:val="0"/>
                <w:numId w:val="12"/>
              </w:numPr>
              <w:ind w:firstLine="0"/>
              <w:spacing w:line="360" w:lineRule="exact"/>
              <w:rPr>
                <w:rFonts w:hint="eastAsia" w:ascii="宋体" w:hAnsi="宋体" w:cs="宋体"/>
                <w:b/>
                <w:color w:val="000000" w:themeColor="text1"/>
                <w:spacing w:val="2"/>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pacing w:val="2"/>
                <w:szCs w:val="21"/>
                <w:highlight w:val="none"/>
                <w14:textFill>
                  <w14:solidFill>
                    <w14:schemeClr w14:val="tx1"/>
                  </w14:solidFill>
                </w14:textFill>
              </w:rPr>
              <w:t xml:space="preserve">支持三维模型中的曲面网格部分进行平滑处理，对网格出现棱形的交接处进行平滑过渡；</w:t>
            </w:r>
            <w:r>
              <w:rPr>
                <w:rFonts w:hint="eastAsia" w:ascii="宋体" w:hAnsi="宋体" w:cs="宋体"/>
                <w:b/>
                <w:color w:val="000000" w:themeColor="text1"/>
                <w:spacing w:val="2"/>
                <w:szCs w:val="21"/>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ascii="宋体" w:hAnsi="宋体" w:cs="宋体"/>
                <w:b/>
                <w:color w:val="000000" w:themeColor="text1"/>
                <w:spacing w:val="2"/>
                <w:szCs w:val="21"/>
                <w:highlight w:val="none"/>
                <w14:textFill>
                  <w14:solidFill>
                    <w14:schemeClr w14:val="tx1"/>
                  </w14:solidFill>
                </w14:textFill>
              </w:rPr>
              <w:t xml:space="preserve">）</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轨迹生成基于CAD数据、可通过模型点、线、面等模型特征快速生成设备运动轨迹，简化轨迹生成过程，提高轨迹生成精度和效率；</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支持轨迹编辑功能，以图形化方式通过拖动参数曲线，来编辑一条轨迹中指定个数的点，实现整条轨迹光滑过渡的效果；</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支持多类型轨迹文件直接导入，兼容APT、CNC、CLS等多种文件格式的轨迹数据，导入时自动解析文件中的坐标点、运动指令，同步映射生成机器人运行轨迹；</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支持创建外部轴链接功能，可将机器人与导轨/变位机构建为多轴联动系统，支持外部轴参与轨迹联动求解运算，提升多轴协同运动的精度和流畅性；</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具备轨迹优化功能，以图形化方式展示机器人工作最优区域，可通过调整曲线使机器人处于工作最优区内，解决不可达、轴超限和奇异点等问题；</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仿真可直观查看机器人轨迹运动状态，模拟实际工作情况，同时支持仿真结果回溯查看，通过时间轴拖动操作可随时回溯至任一仿真节点，查看详细数据和状态，快速定位并解决问题；</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支持指定碰撞检测对象，仿真过程中开启碰撞检测后实时检测设备间的干涉情况，发生干涉时，仿真停止、高亮显示碰撞部分并输出碰撞警告信息提醒；</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支持开放的拓展指令功能，用户可根据机器人指令自行配置工艺参数模板，再通过给轨迹点添加相关的参数内容，实现工艺指令参数化控制；</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具备后置代码编辑器。后置代码编辑器可以显示代码的行号，数字、注释和指令等关键字以不同颜色显示；函数在编辑过程中有参数提示；函数和注释可折叠隐藏。</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提供机器人运动节拍分析功能，可在性能分析界面查看机器人平均速度、总距离、总轨迹点数、总时间、节拍以及单条轨迹的长度、时间、平均速度、轨迹点数等信息；</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★支持将仿真结果输出为3D仿真动画并上传云端自动生成二维码和链接，手机扫描二维码可缩放、平移仿真界面查看仿真流程，浏览器打开链接可以直接播放仿真流程，并可自由缩放和切换观看视角；</w:t>
            </w:r>
            <w:r>
              <w:rPr>
                <w:rFonts w:hint="eastAsia" w:ascii="宋体" w:hAnsi="宋体" w:cs="宋体"/>
                <w:b/>
                <w:color w:val="000000" w:themeColor="text1"/>
                <w:spacing w:val="2"/>
                <w:szCs w:val="21"/>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ascii="宋体" w:hAnsi="宋体" w:cs="宋体"/>
                <w:b/>
                <w:color w:val="000000" w:themeColor="text1"/>
                <w:spacing w:val="2"/>
                <w:szCs w:val="21"/>
                <w:highlight w:val="none"/>
                <w14:textFill>
                  <w14:solidFill>
                    <w14:schemeClr w14:val="tx1"/>
                  </w14:solidFill>
                </w14:textFill>
              </w:rPr>
              <w:t xml:space="preserve">）</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软件具备输出视频功能，可将绘图区的仿真效果通过参数控制，输出为MP4、avi、mkv等格式的视频文件并保存在本地磁盘；</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支持视向动画，通过对仿真流程不同时间节点添加视图，可实现在仿真过程中自定切换设置的不同视角查看仿真流程；</w:t>
            </w:r>
            <w:r/>
          </w:p>
          <w:p>
            <w:pPr>
              <w:numPr>
                <w:ilvl w:val="0"/>
                <w:numId w:val="12"/>
              </w:numPr>
              <w:ind w:firstLine="0"/>
              <w:spacing w:line="360" w:lineRule="exact"/>
              <w:rPr>
                <w:rFonts w:hint="eastAsia" w:ascii="宋体" w:hAnsi="宋体" w:cs="宋体"/>
                <w:b/>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软件内置码垛工艺包，支持三花垛、五花垛等多类型标准垛型快速配置，可通过参数化输入货物尺寸、垛层数量、堆叠间隙等关键信息，自动生成无碰撞、速度平滑的机器人码垛轨迹。</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支持C/C++、Python等语言开发，软件可实现通过调用编写的Python脚本导入零件模型，生成机器人轨迹；</w:t>
            </w:r>
            <w:r/>
          </w:p>
          <w:p>
            <w:pPr>
              <w:numPr>
                <w:ilvl w:val="0"/>
                <w:numId w:val="12"/>
              </w:numPr>
              <w:ind w:firstLine="0"/>
              <w:spacing w:line="360" w:lineRule="exact"/>
              <w:rPr>
                <w:rFonts w:hint="eastAsia" w:ascii="宋体" w:hAnsi="宋体" w:cs="宋体"/>
                <w:b/>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支持中科方德、统信等国产操作系统；</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利用云服务平台，实时把控前端软件考试活动进度；考试结果通过云端智能算法自动进行打分评判；考试全程远程、自动化运行；</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软件集成多类型、多行业在线工作站；</w:t>
            </w:r>
            <w:r>
              <w:rPr>
                <w:rFonts w:hint="eastAsia" w:ascii="宋体" w:hAnsi="宋体" w:eastAsia="宋体" w:cs="宋体"/>
                <w:b w:val="0"/>
                <w:bCs/>
                <w:i w:val="0"/>
                <w:iCs w:val="0"/>
                <w:caps w:val="0"/>
                <w:color w:val="000000" w:themeColor="text1"/>
                <w:spacing w:val="2"/>
                <w:sz w:val="21"/>
                <w:szCs w:val="21"/>
                <w:highlight w:val="none"/>
                <w:shd w:val="clear" w:color="auto"/>
                <w:lang w:val="en-US" w:eastAsia="zh-CN"/>
                <w14:textFill>
                  <w14:solidFill>
                    <w14:schemeClr w14:val="tx1"/>
                  </w14:solidFill>
                </w14:textFill>
              </w:rPr>
              <w:t xml:space="preserve">提供不少于5套智能制造或机器人相关竞赛模拟工作站或实训案例，方便在线模拟训练。</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支持与软件内场景元素进行数据交互，获取或更新场景元素信息，如名称、位姿、关节角等数据；</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支持触发软件中的仿真模块，包含整体场景仿真、轨迹组仿真、单轨迹仿真等；</w:t>
            </w:r>
            <w:r/>
          </w:p>
          <w:p>
            <w:pPr>
              <w:numPr>
                <w:ilvl w:val="0"/>
                <w:numId w:val="12"/>
              </w:numPr>
              <w:ind w:firstLine="0"/>
              <w:spacing w:line="360" w:lineRule="exact"/>
              <w:rPr>
                <w:rFonts w:hint="eastAsia" w:ascii="宋体" w:hAnsi="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14:textFill>
                  <w14:solidFill>
                    <w14:schemeClr w14:val="tx1"/>
                  </w14:solidFill>
                </w14:textFill>
              </w:rPr>
              <w:t xml:space="preserve">支持与软件进行命令交互，触发软件轨迹生成、编译、后置等命令操作；</w:t>
            </w:r>
            <w:r/>
          </w:p>
          <w:p>
            <w:pPr>
              <w:spacing w:line="360" w:lineRule="exact"/>
              <w:rPr>
                <w:rFonts w:hint="eastAsia" w:ascii="宋体" w:hAnsi="宋体" w:cs="宋体"/>
                <w:b/>
                <w:color w:val="000000" w:themeColor="text1"/>
                <w:spacing w:val="2"/>
                <w:szCs w:val="21"/>
                <w:highlight w:val="none"/>
                <w14:textFill>
                  <w14:solidFill>
                    <w14:schemeClr w14:val="tx1"/>
                  </w14:solidFill>
                </w14:textFill>
              </w:rPr>
            </w:pPr>
            <w:r>
              <w:rPr>
                <w:rFonts w:hint="eastAsia" w:ascii="宋体" w:hAnsi="宋体" w:cs="宋体"/>
                <w:b/>
                <w:color w:val="000000" w:themeColor="text1"/>
                <w:spacing w:val="2"/>
                <w:szCs w:val="21"/>
                <w:highlight w:val="none"/>
                <w14:textFill>
                  <w14:solidFill>
                    <w14:schemeClr w14:val="tx1"/>
                  </w14:solidFill>
                </w14:textFill>
              </w:rPr>
              <w:t xml:space="preserve">（二）智能产线设计与虚拟调试软件（教育版）</w:t>
            </w:r>
            <w:r>
              <w:rPr>
                <w:rFonts w:hint="eastAsia" w:ascii="宋体" w:hAnsi="宋体" w:cs="宋体"/>
                <w:b/>
                <w:color w:val="000000" w:themeColor="text1"/>
                <w:szCs w:val="21"/>
                <w:highlight w:val="none"/>
                <w14:textFill>
                  <w14:solidFill>
                    <w14:schemeClr w14:val="tx1"/>
                  </w14:solidFill>
                </w14:textFill>
              </w:rPr>
              <w:t xml:space="preserve">*2套</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正版软件，中文界面，可提供持续的中文技术支持服务，可使用软件所有功能模块，界面无“试用版”字样；</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支持≥100个品牌、≥1000个型号的工业机器人根据生产工艺要求，与其他自动化设备进行仿真验证，生成机器人程序；</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提供≥200种智能制造工作单元和设备资源，支持智能产线中各种主流设备仿真与虚拟调试，包括PLC、机器人、传感器、变位机、导轨等，规划与设计车间布局；</w:t>
            </w:r>
            <w:r/>
          </w:p>
          <w:p>
            <w:pPr>
              <w:pStyle w:val="1222"/>
              <w:numPr>
                <w:ilvl w:val="0"/>
                <w:numId w:val="13"/>
              </w:numPr>
              <w:spacing w:line="360" w:lineRule="exact"/>
              <w:rPr>
                <w:rFonts w:hint="eastAsia"/>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★提供应用案例库与模板库，案例可直接运行仿真，模板支持自主调试练习，适配教学实训；</w:t>
            </w:r>
            <w:r>
              <w:rPr>
                <w:rFonts w:hint="eastAsia"/>
                <w:b/>
                <w:color w:val="000000" w:themeColor="text1"/>
                <w:spacing w:val="2"/>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b/>
                <w:color w:val="000000" w:themeColor="text1"/>
                <w:spacing w:val="2"/>
                <w:highlight w:val="none"/>
                <w14:textFill>
                  <w14:solidFill>
                    <w14:schemeClr w14:val="tx1"/>
                  </w14:solidFill>
                </w14:textFill>
              </w:rPr>
              <w:t xml:space="preserve">）</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具备模型数据接口，至少支持STP、STL、OBJ三种三维模型格式的导入，搭建和实际环境1：1的虚拟环境；</w:t>
            </w:r>
            <w:r/>
          </w:p>
          <w:p>
            <w:pPr>
              <w:pStyle w:val="1222"/>
              <w:numPr>
                <w:ilvl w:val="0"/>
                <w:numId w:val="13"/>
              </w:numPr>
              <w:spacing w:line="360" w:lineRule="exact"/>
              <w:rPr>
                <w:rFonts w:hint="eastAsia"/>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支持模型文件</w:t>
            </w:r>
            <w:r>
              <w:rPr>
                <w:rFonts w:hint="eastAsia"/>
                <w:color w:val="000000" w:themeColor="text1"/>
                <w:highlight w:val="none"/>
                <w14:textFill>
                  <w14:solidFill>
                    <w14:schemeClr w14:val="tx1"/>
                  </w14:solidFill>
                </w14:textFill>
              </w:rPr>
              <w:t xml:space="preserve">轻量化处理，可根据需求选择</w:t>
            </w:r>
            <w:r>
              <w:rPr>
                <w:color w:val="000000" w:themeColor="text1"/>
                <w:highlight w:val="none"/>
                <w14:textFill>
                  <w14:solidFill>
                    <w14:schemeClr w14:val="tx1"/>
                  </w14:solidFill>
                </w14:textFill>
              </w:rPr>
              <w:t xml:space="preserve">普通轻量化和深度轻量化</w:t>
            </w:r>
            <w:r>
              <w:rPr>
                <w:rFonts w:hint="eastAsia"/>
                <w:color w:val="000000" w:themeColor="text1"/>
                <w:highlight w:val="none"/>
                <w14:textFill>
                  <w14:solidFill>
                    <w14:schemeClr w14:val="tx1"/>
                  </w14:solidFill>
                </w14:textFill>
              </w:rPr>
              <w:t xml:space="preserve">两种不同方式</w:t>
            </w:r>
            <w:r>
              <w:rPr>
                <w:color w:val="000000" w:themeColor="text1"/>
                <w:highlight w:val="none"/>
                <w14:textFill>
                  <w14:solidFill>
                    <w14:schemeClr w14:val="tx1"/>
                  </w14:solidFill>
                </w14:textFill>
              </w:rPr>
              <w:t xml:space="preserve">；</w:t>
            </w:r>
            <w:r>
              <w:rPr>
                <w:rFonts w:hint="eastAsia"/>
                <w:b/>
                <w:color w:val="000000" w:themeColor="text1"/>
                <w:spacing w:val="2"/>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b/>
                <w:color w:val="000000" w:themeColor="text1"/>
                <w:spacing w:val="2"/>
                <w:highlight w:val="none"/>
                <w14:textFill>
                  <w14:solidFill>
                    <w14:schemeClr w14:val="tx1"/>
                  </w14:solidFill>
                </w14:textFill>
              </w:rPr>
              <w:t xml:space="preserve">）</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支持场景设备的自由定义，用户可通过设计的三维模型以及技术参数自由定义机器人、工具、零件等设备。</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支持智能设备传感器以及零件生成器的定义，零件生成器可以按时间/信号双模式触发，可循环生成零件，模拟真实产线供料；</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支持场景距离/半径/直径测量，可新建、预览、保存用户坐标系，实现多坐标系切换管控；</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支持python自定义设备运动规则，通过运行python脚本实现对零件、机床等设备在虚拟调试场景中的运动模拟；</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轨迹生成基于CAD数据、可通过模型点、线、面等模型特征快速生成设备运动轨迹，简化轨迹生成过程，大大提高轨迹生成精度和效率；</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具备干涉检测功能，支持设置需要检测是否发生碰撞的设备模</w:t>
            </w:r>
            <w:r>
              <w:rPr>
                <w:rFonts w:hint="eastAsia"/>
                <w:color w:val="000000" w:themeColor="text1"/>
                <w:highlight w:val="none"/>
                <w14:textFill>
                  <w14:solidFill>
                    <w14:schemeClr w14:val="tx1"/>
                  </w14:solidFill>
                </w14:textFill>
              </w:rPr>
              <w:t xml:space="preserve">支持指定</w:t>
            </w:r>
            <w:r>
              <w:rPr>
                <w:color w:val="000000" w:themeColor="text1"/>
                <w:highlight w:val="none"/>
                <w14:textFill>
                  <w14:solidFill>
                    <w14:schemeClr w14:val="tx1"/>
                  </w14:solidFill>
                </w14:textFill>
              </w:rPr>
              <w:t xml:space="preserve">碰撞</w:t>
            </w:r>
            <w:r>
              <w:rPr>
                <w:rFonts w:hint="eastAsia"/>
                <w:color w:val="000000" w:themeColor="text1"/>
                <w:highlight w:val="none"/>
                <w14:textFill>
                  <w14:solidFill>
                    <w14:schemeClr w14:val="tx1"/>
                  </w14:solidFill>
                </w14:textFill>
              </w:rPr>
              <w:t xml:space="preserve">检</w:t>
            </w:r>
            <w:r>
              <w:rPr>
                <w:color w:val="000000" w:themeColor="text1"/>
                <w:highlight w:val="none"/>
                <w14:textFill>
                  <w14:solidFill>
                    <w14:schemeClr w14:val="tx1"/>
                  </w14:solidFill>
                </w14:textFill>
              </w:rPr>
              <w:t xml:space="preserve">测的</w:t>
            </w:r>
            <w:r>
              <w:rPr>
                <w:rFonts w:hint="eastAsia"/>
                <w:color w:val="000000" w:themeColor="text1"/>
                <w:highlight w:val="none"/>
                <w14:textFill>
                  <w14:solidFill>
                    <w14:schemeClr w14:val="tx1"/>
                  </w14:solidFill>
                </w14:textFill>
              </w:rPr>
              <w:t xml:space="preserve">检测对象</w:t>
            </w:r>
            <w:r>
              <w:rPr>
                <w:color w:val="000000" w:themeColor="text1"/>
                <w:highlight w:val="none"/>
                <w14:textFill>
                  <w14:solidFill>
                    <w14:schemeClr w14:val="tx1"/>
                  </w14:solidFill>
                </w14:textFill>
              </w:rPr>
              <w:t xml:space="preserve">，仿真过程中</w:t>
            </w:r>
            <w:r>
              <w:rPr>
                <w:rFonts w:hint="eastAsia"/>
                <w:color w:val="000000" w:themeColor="text1"/>
                <w:highlight w:val="none"/>
                <w14:textFill>
                  <w14:solidFill>
                    <w14:schemeClr w14:val="tx1"/>
                  </w14:solidFill>
                </w14:textFill>
              </w:rPr>
              <w:t xml:space="preserve">开启碰撞检测后</w:t>
            </w:r>
            <w:r>
              <w:rPr>
                <w:color w:val="000000" w:themeColor="text1"/>
                <w:highlight w:val="none"/>
                <w14:textFill>
                  <w14:solidFill>
                    <w14:schemeClr w14:val="tx1"/>
                  </w14:solidFill>
                </w14:textFill>
              </w:rPr>
              <w:t xml:space="preserve">实时检测</w:t>
            </w:r>
            <w:r>
              <w:rPr>
                <w:rFonts w:hint="eastAsia"/>
                <w:color w:val="000000" w:themeColor="text1"/>
                <w:highlight w:val="none"/>
                <w14:textFill>
                  <w14:solidFill>
                    <w14:schemeClr w14:val="tx1"/>
                  </w14:solidFill>
                </w14:textFill>
              </w:rPr>
              <w:t xml:space="preserve">设备间的干涉情况，</w:t>
            </w:r>
            <w:r>
              <w:rPr>
                <w:color w:val="000000" w:themeColor="text1"/>
                <w:highlight w:val="none"/>
                <w14:textFill>
                  <w14:solidFill>
                    <w14:schemeClr w14:val="tx1"/>
                  </w14:solidFill>
                </w14:textFill>
              </w:rPr>
              <w:t xml:space="preserve">发生干涉时</w:t>
            </w:r>
            <w:r>
              <w:rPr>
                <w:rFonts w:hint="eastAsia"/>
                <w:color w:val="000000" w:themeColor="text1"/>
                <w:highlight w:val="none"/>
                <w14:textFill>
                  <w14:solidFill>
                    <w14:schemeClr w14:val="tx1"/>
                  </w14:solidFill>
                </w14:textFill>
              </w:rPr>
              <w:t xml:space="preserve">，仿真停止、</w:t>
            </w:r>
            <w:r>
              <w:rPr>
                <w:color w:val="000000" w:themeColor="text1"/>
                <w:highlight w:val="none"/>
                <w14:textFill>
                  <w14:solidFill>
                    <w14:schemeClr w14:val="tx1"/>
                  </w14:solidFill>
                </w14:textFill>
              </w:rPr>
              <w:t xml:space="preserve">高亮显示碰撞部分</w:t>
            </w:r>
            <w:r>
              <w:rPr>
                <w:rFonts w:hint="eastAsia"/>
                <w:color w:val="000000" w:themeColor="text1"/>
                <w:highlight w:val="none"/>
                <w14:textFill>
                  <w14:solidFill>
                    <w14:schemeClr w14:val="tx1"/>
                  </w14:solidFill>
                </w14:textFill>
              </w:rPr>
              <w:t xml:space="preserve">并</w:t>
            </w:r>
            <w:r>
              <w:rPr>
                <w:color w:val="000000" w:themeColor="text1"/>
                <w:highlight w:val="none"/>
                <w14:textFill>
                  <w14:solidFill>
                    <w14:schemeClr w14:val="tx1"/>
                  </w14:solidFill>
                </w14:textFill>
              </w:rPr>
              <w:t xml:space="preserve">输出碰撞警告信息提醒</w:t>
            </w:r>
            <w:r>
              <w:rPr>
                <w:rFonts w:hint="eastAsia"/>
                <w:color w:val="000000" w:themeColor="text1"/>
                <w:highlight w:val="none"/>
                <w14:textFill>
                  <w14:solidFill>
                    <w14:schemeClr w14:val="tx1"/>
                  </w14:solidFill>
                </w14:textFill>
              </w:rPr>
              <w:t xml:space="preserve">；</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仿真与调试支持VR沉浸式体验。在VR环境中进行漫游，还可查看整条产线的仿真流程；</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支持视向动画功能，允许用户自行设置仿真中的各阶段视角，更加直观的展示出仿真中的运动细节；</w:t>
            </w:r>
            <w:r/>
          </w:p>
          <w:p>
            <w:pPr>
              <w:pStyle w:val="1222"/>
              <w:numPr>
                <w:ilvl w:val="0"/>
                <w:numId w:val="13"/>
              </w:numPr>
              <w:spacing w:line="360" w:lineRule="exact"/>
              <w:rPr>
                <w:rFonts w:hint="eastAsia"/>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w:t>
            </w:r>
            <w:r>
              <w:rPr>
                <w:color w:val="000000" w:themeColor="text1"/>
                <w:highlight w:val="none"/>
                <w14:textFill>
                  <w14:solidFill>
                    <w14:schemeClr w14:val="tx1"/>
                  </w14:solidFill>
                </w14:textFill>
              </w:rPr>
              <w:t xml:space="preserve">快照</w:t>
            </w:r>
            <w:r>
              <w:rPr>
                <w:rFonts w:hint="eastAsia"/>
                <w:color w:val="000000" w:themeColor="text1"/>
                <w:highlight w:val="none"/>
                <w14:textFill>
                  <w14:solidFill>
                    <w14:schemeClr w14:val="tx1"/>
                  </w14:solidFill>
                </w14:textFill>
              </w:rPr>
              <w:t xml:space="preserve">功能，将</w:t>
            </w:r>
            <w:r>
              <w:rPr>
                <w:color w:val="000000" w:themeColor="text1"/>
                <w:highlight w:val="none"/>
                <w14:textFill>
                  <w14:solidFill>
                    <w14:schemeClr w14:val="tx1"/>
                  </w14:solidFill>
                </w14:textFill>
              </w:rPr>
              <w:t xml:space="preserve">模型场景特定时刻系统中各个组件的状态信息记录</w:t>
            </w:r>
            <w:r>
              <w:rPr>
                <w:rFonts w:hint="eastAsia"/>
                <w:color w:val="000000" w:themeColor="text1"/>
                <w:highlight w:val="none"/>
                <w14:textFill>
                  <w14:solidFill>
                    <w14:schemeClr w14:val="tx1"/>
                  </w14:solidFill>
                </w14:textFill>
              </w:rPr>
              <w:t xml:space="preserve">下来</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包括但不限于</w:t>
            </w:r>
            <w:r>
              <w:rPr>
                <w:color w:val="000000" w:themeColor="text1"/>
                <w:highlight w:val="none"/>
                <w14:textFill>
                  <w14:solidFill>
                    <w14:schemeClr w14:val="tx1"/>
                  </w14:solidFill>
                </w14:textFill>
              </w:rPr>
              <w:t xml:space="preserve">零件的位置</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气缸的状态以及机器人姿态等信息；</w:t>
            </w:r>
            <w:r>
              <w:rPr>
                <w:rFonts w:hint="eastAsia"/>
                <w:b/>
                <w:color w:val="000000" w:themeColor="text1"/>
                <w:spacing w:val="2"/>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b/>
                <w:color w:val="000000" w:themeColor="text1"/>
                <w:spacing w:val="2"/>
                <w:highlight w:val="none"/>
                <w14:textFill>
                  <w14:solidFill>
                    <w14:schemeClr w14:val="tx1"/>
                  </w14:solidFill>
                </w14:textFill>
              </w:rPr>
              <w:t xml:space="preserve">）</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w:t>
            </w:r>
            <w:r>
              <w:rPr>
                <w:color w:val="000000" w:themeColor="text1"/>
                <w:highlight w:val="none"/>
                <w14:textFill>
                  <w14:solidFill>
                    <w14:schemeClr w14:val="tx1"/>
                  </w14:solidFill>
                </w14:textFill>
              </w:rPr>
              <w:t xml:space="preserve">将仿真结果输出为MP4、avi等格式的本地视频文件，方便用户快速展示仿真作品；</w:t>
            </w:r>
            <w:r/>
          </w:p>
          <w:p>
            <w:pPr>
              <w:pStyle w:val="1222"/>
              <w:numPr>
                <w:ilvl w:val="0"/>
                <w:numId w:val="13"/>
              </w:numPr>
              <w:spacing w:line="360" w:lineRule="exact"/>
              <w:rPr>
                <w:rFonts w:hint="eastAsia"/>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通过仿真机器人可执行代码，模拟机器人在软件环境中的运动状态，并支持循环指令（如For）控制机器人重复运动；</w:t>
            </w:r>
            <w:r/>
          </w:p>
          <w:p>
            <w:pPr>
              <w:pStyle w:val="1222"/>
              <w:numPr>
                <w:ilvl w:val="0"/>
                <w:numId w:val="13"/>
              </w:numPr>
              <w:rPr>
                <w:rFonts w:hint="eastAsia"/>
                <w:strike/>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支持连接真实PLC设备，基于多品牌网关的数据交互技术，可以实现和多种品牌的PLC设备进行信号交互</w:t>
            </w:r>
            <w:r>
              <w:rPr>
                <w:rFonts w:hint="eastAsia"/>
                <w:strike w:val="0"/>
                <w:color w:val="000000" w:themeColor="text1"/>
                <w:sz w:val="18"/>
                <w:szCs w:val="18"/>
                <w:highlight w:val="none"/>
                <w:lang w:eastAsia="zh-CN"/>
                <w14:textFill>
                  <w14:solidFill>
                    <w14:schemeClr w14:val="tx1"/>
                  </w14:solidFill>
                </w14:textFill>
              </w:rPr>
              <w:t xml:space="preserve">；</w:t>
            </w:r>
            <w:r/>
          </w:p>
          <w:p>
            <w:pPr>
              <w:pStyle w:val="1222"/>
              <w:numPr>
                <w:ilvl w:val="0"/>
                <w:numId w:val="13"/>
              </w:numPr>
              <w:spacing w:line="360" w:lineRule="exact"/>
              <w:rPr>
                <w:rFonts w:hint="eastAsia"/>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支持PLC编程软件中变量表的批量导入以及数据网关变量表批量导出功能；</w:t>
            </w:r>
            <w:r/>
          </w:p>
          <w:p>
            <w:pPr>
              <w:pStyle w:val="1222"/>
              <w:numPr>
                <w:ilvl w:val="0"/>
                <w:numId w:val="13"/>
              </w:numPr>
              <w:spacing w:line="360" w:lineRule="exact"/>
              <w:rPr>
                <w:rFonts w:hint="eastAsia"/>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★支持在</w:t>
            </w:r>
            <w:r>
              <w:rPr>
                <w:color w:val="000000" w:themeColor="text1"/>
                <w:highlight w:val="none"/>
                <w14:textFill>
                  <w14:solidFill>
                    <w14:schemeClr w14:val="tx1"/>
                  </w14:solidFill>
                </w14:textFill>
              </w:rPr>
              <w:t xml:space="preserve">软件中</w:t>
            </w:r>
            <w:r>
              <w:rPr>
                <w:rFonts w:hint="eastAsia"/>
                <w:color w:val="000000" w:themeColor="text1"/>
                <w:highlight w:val="none"/>
                <w14:textFill>
                  <w14:solidFill>
                    <w14:schemeClr w14:val="tx1"/>
                  </w14:solidFill>
                </w14:textFill>
              </w:rPr>
              <w:t xml:space="preserve">可将</w:t>
            </w:r>
            <w:r>
              <w:rPr>
                <w:color w:val="000000" w:themeColor="text1"/>
                <w:highlight w:val="none"/>
                <w14:textFill>
                  <w14:solidFill>
                    <w14:schemeClr w14:val="tx1"/>
                  </w14:solidFill>
                </w14:textFill>
              </w:rPr>
              <w:t xml:space="preserve">虚拟机器人和实际机器人同步仿真，软件</w:t>
            </w:r>
            <w:r>
              <w:rPr>
                <w:rFonts w:hint="eastAsia"/>
                <w:color w:val="000000" w:themeColor="text1"/>
                <w:highlight w:val="none"/>
                <w14:textFill>
                  <w14:solidFill>
                    <w14:schemeClr w14:val="tx1"/>
                  </w14:solidFill>
                </w14:textFill>
              </w:rPr>
              <w:t xml:space="preserve">支持与</w:t>
            </w:r>
            <w:r>
              <w:rPr>
                <w:color w:val="000000" w:themeColor="text1"/>
                <w:highlight w:val="none"/>
                <w14:textFill>
                  <w14:solidFill>
                    <w14:schemeClr w14:val="tx1"/>
                  </w14:solidFill>
                </w14:textFill>
              </w:rPr>
              <w:t xml:space="preserve">实际机器人控制器连接实时读取实际机器人关节姿态，并在软件中模拟机器人运动姿态；</w:t>
            </w:r>
            <w:r>
              <w:rPr>
                <w:rFonts w:hint="eastAsia"/>
                <w:b/>
                <w:color w:val="000000" w:themeColor="text1"/>
                <w:spacing w:val="2"/>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b/>
                <w:color w:val="000000" w:themeColor="text1"/>
                <w:spacing w:val="2"/>
                <w:highlight w:val="none"/>
                <w14:textFill>
                  <w14:solidFill>
                    <w14:schemeClr w14:val="tx1"/>
                  </w14:solidFill>
                </w14:textFill>
              </w:rPr>
              <w:t xml:space="preserve">）</w:t>
            </w:r>
            <w:r/>
          </w:p>
          <w:p>
            <w:pPr>
              <w:pStyle w:val="1222"/>
              <w:numPr>
                <w:ilvl w:val="0"/>
                <w:numId w:val="13"/>
              </w:numPr>
              <w:spacing w:line="360" w:lineRule="exact"/>
              <w:rPr>
                <w:rFonts w:hint="eastAsia"/>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★支持AGV小车联动功能，实时获取AGV小车的空间坐标，进而实现场景中的AGV运动同步；</w:t>
            </w:r>
            <w:r>
              <w:rPr>
                <w:rFonts w:hint="eastAsia"/>
                <w:b/>
                <w:color w:val="000000" w:themeColor="text1"/>
                <w:spacing w:val="2"/>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b/>
                <w:color w:val="000000" w:themeColor="text1"/>
                <w:spacing w:val="2"/>
                <w:highlight w:val="none"/>
                <w14:textFill>
                  <w14:solidFill>
                    <w14:schemeClr w14:val="tx1"/>
                  </w14:solidFill>
                </w14:textFill>
              </w:rPr>
              <w:t xml:space="preserve">）</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支持智能制造数字孪生功能，利用基于事件且由信号驱动的仿真技术实现生产系统的虚拟调试，虚拟调试可用在完全虚拟环节中进行，也可是实物控制设备和虚拟工作设备互联实现半实物调试。</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支持虚拟调试双模式启动，提供普通启动与全屏启动，全屏模式可通过快捷键快速退出，适配教学展示与专项调试；</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支持信号调试面板的显示，实时观测相关信号的状态，IO信号状态变化通过颜色标定，直观可视化信号变化；；</w:t>
            </w:r>
            <w:r/>
          </w:p>
          <w:p>
            <w:pPr>
              <w:pStyle w:val="1222"/>
              <w:numPr>
                <w:ilvl w:val="0"/>
                <w:numId w:val="13"/>
              </w:numPr>
              <w:spacing w:line="360" w:lineRule="exact"/>
              <w:rPr>
                <w:rFonts w:hint="eastAsia"/>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★支持Web监控功能，将仿真画面输出，在同一局域网下可在Web端进行查看，也可嵌入Mes等界面进行展示；</w:t>
            </w:r>
            <w:r>
              <w:rPr>
                <w:rFonts w:hint="eastAsia"/>
                <w:b/>
                <w:color w:val="000000" w:themeColor="text1"/>
                <w:spacing w:val="2"/>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b/>
                <w:color w:val="000000" w:themeColor="text1"/>
                <w:spacing w:val="2"/>
                <w:highlight w:val="none"/>
                <w14:textFill>
                  <w14:solidFill>
                    <w14:schemeClr w14:val="tx1"/>
                  </w14:solidFill>
                </w14:textFill>
              </w:rPr>
              <w:t xml:space="preserve">）</w:t>
            </w:r>
            <w:r/>
          </w:p>
          <w:p>
            <w:pPr>
              <w:pStyle w:val="1222"/>
              <w:numPr>
                <w:ilvl w:val="0"/>
                <w:numId w:val="13"/>
              </w:numPr>
              <w:spacing w:line="360" w:lineRule="exact"/>
              <w:rPr>
                <w:rFonts w:hint="eastAsia"/>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提供数据监控功能，可将机器人关节数据传输至MES系统，方便直观查看机器人运动状态；</w:t>
            </w:r>
            <w:r/>
          </w:p>
          <w:p>
            <w:pPr>
              <w:pStyle w:val="1222"/>
              <w:numPr>
                <w:ilvl w:val="0"/>
                <w:numId w:val="13"/>
              </w:numPr>
              <w:spacing w:line="360" w:lineRule="exact"/>
              <w:rPr>
                <w:rFonts w:hint="eastAsia"/>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★支持虚拟PLC的调试，用户可通过自行编写Python和SCL虚拟PLC程序，实现软件中的设备和虚拟PLC之间的信号调试；</w:t>
            </w:r>
            <w:r>
              <w:rPr>
                <w:rFonts w:hint="eastAsia"/>
                <w:b/>
                <w:color w:val="000000" w:themeColor="text1"/>
                <w:spacing w:val="2"/>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b/>
                <w:color w:val="000000" w:themeColor="text1"/>
                <w:spacing w:val="2"/>
                <w:highlight w:val="none"/>
                <w14:textFill>
                  <w14:solidFill>
                    <w14:schemeClr w14:val="tx1"/>
                  </w14:solidFill>
                </w14:textFill>
              </w:rPr>
              <w:t xml:space="preserve">）</w:t>
            </w:r>
            <w:r/>
          </w:p>
          <w:p>
            <w:pPr>
              <w:pStyle w:val="1222"/>
              <w:numPr>
                <w:ilvl w:val="0"/>
                <w:numId w:val="13"/>
              </w:numP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★支持中科方德、统信等国产操作系统；（投标文件中需提供呈现以上功能要求完整功能截图）</w:t>
            </w:r>
            <w:r/>
          </w:p>
          <w:p>
            <w:pPr>
              <w:pStyle w:val="1222"/>
              <w:numPr>
                <w:ilvl w:val="0"/>
                <w:numId w:val="13"/>
              </w:numPr>
              <w:spacing w:line="360" w:lineRule="exact"/>
              <w:rPr>
                <w:bCs/>
                <w:color w:val="000000" w:themeColor="text1"/>
                <w:spacing w:val="2"/>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★利用云服务平台，实时把控前端软件考试活动进度；考试结果通过云端智能算法自动进行打分评判；考试全程远程、自动化运行；</w:t>
            </w:r>
            <w:r>
              <w:rPr>
                <w:rFonts w:hint="eastAsia"/>
                <w:b/>
                <w:color w:val="000000" w:themeColor="text1"/>
                <w:spacing w:val="2"/>
                <w:highlight w:val="none"/>
                <w14:textFill>
                  <w14:solidFill>
                    <w14:schemeClr w14:val="tx1"/>
                  </w14:solidFill>
                </w14:textFill>
              </w:rPr>
              <w:t xml:space="preserve">（</w:t>
            </w:r>
            <w:r>
              <w:rPr>
                <w:rFonts w:hint="eastAsia" w:ascii="宋体" w:hAnsi="宋体"/>
                <w:b/>
                <w:color w:val="000000" w:themeColor="text1"/>
                <w:spacing w:val="2"/>
                <w:szCs w:val="21"/>
                <w:highlight w:val="none"/>
                <w14:textFill>
                  <w14:solidFill>
                    <w14:schemeClr w14:val="tx1"/>
                  </w14:solidFill>
                </w14:textFill>
              </w:rPr>
              <w:t xml:space="preserve">投标文件中</w:t>
            </w:r>
            <w:r>
              <w:rPr>
                <w:rFonts w:hint="eastAsia" w:ascii="宋体" w:hAnsi="宋体"/>
                <w:b/>
                <w:color w:val="000000" w:themeColor="text1"/>
                <w:spacing w:val="2"/>
                <w:szCs w:val="21"/>
                <w:highlight w:val="none"/>
                <w:lang w:val="en-US" w:eastAsia="zh-CN"/>
                <w14:textFill>
                  <w14:solidFill>
                    <w14:schemeClr w14:val="tx1"/>
                  </w14:solidFill>
                </w14:textFill>
              </w:rPr>
              <w:t xml:space="preserve">须</w:t>
            </w:r>
            <w:r>
              <w:rPr>
                <w:rFonts w:hint="eastAsia" w:ascii="宋体" w:hAnsi="宋体"/>
                <w:b/>
                <w:color w:val="000000" w:themeColor="text1"/>
                <w:spacing w:val="2"/>
                <w:szCs w:val="21"/>
                <w:highlight w:val="none"/>
                <w14:textFill>
                  <w14:solidFill>
                    <w14:schemeClr w14:val="tx1"/>
                  </w14:solidFill>
                </w14:textFill>
              </w:rPr>
              <w:t xml:space="preserve">提供呈现以上功能要求完整功能截图</w:t>
            </w:r>
            <w:r>
              <w:rPr>
                <w:rFonts w:hint="eastAsia" w:ascii="宋体" w:hAnsi="宋体"/>
                <w:b/>
                <w:color w:val="000000" w:themeColor="text1"/>
                <w:spacing w:val="2"/>
                <w:szCs w:val="21"/>
                <w:highlight w:val="none"/>
                <w:lang w:val="en-US" w:eastAsia="zh-CN"/>
                <w14:textFill>
                  <w14:solidFill>
                    <w14:schemeClr w14:val="tx1"/>
                  </w14:solidFill>
                </w14:textFill>
              </w:rPr>
              <w:t xml:space="preserve">并加盖投标供应商公章</w:t>
            </w:r>
            <w:r>
              <w:rPr>
                <w:rFonts w:hint="eastAsia"/>
                <w:b/>
                <w:color w:val="000000" w:themeColor="text1"/>
                <w:spacing w:val="2"/>
                <w:highlight w:val="none"/>
                <w14:textFill>
                  <w14:solidFill>
                    <w14:schemeClr w14:val="tx1"/>
                  </w14:solidFill>
                </w14:textFill>
              </w:rPr>
              <w:t xml:space="preserve">）</w:t>
            </w:r>
            <w:r/>
          </w:p>
          <w:p>
            <w:pPr>
              <w:pStyle w:val="1222"/>
              <w:numPr>
                <w:ilvl w:val="0"/>
                <w:numId w:val="13"/>
              </w:numPr>
              <w:spacing w:line="360" w:lineRule="exact"/>
              <w:rPr>
                <w:bCs/>
                <w:color w:val="000000" w:themeColor="text1"/>
                <w:spacing w:val="2"/>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提供多种智能制造和智能装配产线的时序仿真、虚拟调试的学习案例，帮助用户快速掌握软件功能的使用。</w:t>
            </w:r>
            <w:r/>
          </w:p>
        </w:tc>
        <w:tc>
          <w:tcPr>
            <w:tcW w:w="850" w:type="dxa"/>
            <w:vAlign w:val="center"/>
            <w:textDirection w:val="lrTb"/>
            <w:noWrap w:val="false"/>
          </w:tcPr>
          <w:p>
            <w:pPr>
              <w:spacing w:line="360" w:lineRule="atLeast"/>
              <w:rPr>
                <w:bCs/>
                <w:color w:val="000000" w:themeColor="text1"/>
                <w:spacing w:val="2"/>
                <w:szCs w:val="21"/>
                <w:highlight w:val="none"/>
                <w14:textFill>
                  <w14:solidFill>
                    <w14:schemeClr w14:val="tx1"/>
                  </w14:solidFill>
                </w14:textFill>
              </w:rPr>
            </w:pPr>
            <w:r>
              <w:rPr>
                <w:bCs/>
                <w:color w:val="000000" w:themeColor="text1"/>
                <w:spacing w:val="2"/>
                <w:szCs w:val="21"/>
                <w:highlight w:val="none"/>
                <w14:textFill>
                  <w14:solidFill>
                    <w14:schemeClr w14:val="tx1"/>
                  </w14:solidFill>
                </w14:textFill>
              </w:rPr>
            </w:r>
            <w:r/>
          </w:p>
        </w:tc>
      </w:tr>
    </w:tbl>
    <w:p>
      <w:pPr>
        <w:pStyle w:val="1223"/>
        <w:ind w:firstLine="480"/>
        <w:rPr>
          <w:highlight w:val="none"/>
        </w:rPr>
      </w:pPr>
      <w:r>
        <w:rPr>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四、采购标的的数量、采购项目交付或者实施的时间和地点</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本项目采购标的为</w:t>
      </w:r>
      <w:r>
        <w:rPr>
          <w:rFonts w:hint="eastAsia" w:ascii="宋体" w:hAnsi="宋体" w:cs="宋体"/>
          <w:sz w:val="24"/>
          <w:highlight w:val="none"/>
        </w:rPr>
        <w:t xml:space="preserve">机电设备控制实训台共10套。</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本项目合同履行地点为无锡职业技术大学，具体地点以合同书约定为准。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签订后，全部货物运至采购方指定位置，所有货物全部安装调试结束，提交所需单据，并经采购方组织验收合格后10日内付至合同总价的90%；使用满1年（时间以验收合格之日起计算）设备正常运行且无质量问题后的30天内一次性无息付清。</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五、采购标的需满足的服务标准、期限、效率等要求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本项目投标总报价包括该项目采购内容涉及的所有产品及其配件、包装、运杂及售后服务等从项目中标起到项目正式交付以及质保期内所发生的一切费用。</w:t>
      </w:r>
      <w:r/>
    </w:p>
    <w:p>
      <w:pPr>
        <w:pStyle w:val="1224"/>
        <w:numPr>
          <w:ilvl w:val="0"/>
          <w:numId w:val="14"/>
        </w:numPr>
        <w:ind w:left="0"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投标人必须在满足招标文件要求的基础上进行报价，如有技术偏离请于投标偏离表中说明。</w:t>
      </w:r>
      <w:r/>
    </w:p>
    <w:p>
      <w:pPr>
        <w:pStyle w:val="1224"/>
        <w:numPr>
          <w:ilvl w:val="0"/>
          <w:numId w:val="14"/>
        </w:numPr>
        <w:ind w:left="0"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供货及完工期限：合同签订生效后30日内完成供货安装调试。</w:t>
      </w:r>
      <w:r/>
    </w:p>
    <w:p>
      <w:pPr>
        <w:pStyle w:val="1225"/>
        <w:numPr>
          <w:ilvl w:val="0"/>
          <w:numId w:val="15"/>
        </w:numPr>
        <w:ind w:left="0" w:firstLine="480"/>
        <w:spacing w:line="360" w:lineRule="auto"/>
        <w:rPr>
          <w:rFonts w:hint="eastAsia" w:ascii="宋体" w:hAnsi="宋体" w:cs="宋体"/>
          <w:bCs/>
          <w:strike/>
          <w:sz w:val="24"/>
          <w:highlight w:val="none"/>
        </w:rPr>
      </w:pPr>
      <w:r>
        <w:rPr>
          <w:rFonts w:hint="eastAsia" w:ascii="宋体" w:hAnsi="宋体" w:cs="宋体"/>
          <w:bCs/>
          <w:sz w:val="24"/>
          <w:highlight w:val="none"/>
        </w:rPr>
        <w:t xml:space="preserve">质保要求：自验收合格日起一年，质保期内设备在正常使用条件下发生故障，卖方负责免费维修和更换损坏的零部件,人为原因的损坏及耗材不在保修范围内。如设备由于违章操作造成故障，卖方需收取维修及所换部件的成本费。质保期后双方另行签订维修保养协议。质保期内质量出现问题，中标单位应包退、包换、包修，费用由中标单位负责。</w:t>
      </w:r>
      <w:r>
        <w:rPr>
          <w:rFonts w:hint="eastAsia" w:ascii="宋体" w:hAnsi="宋体" w:cs="宋体"/>
          <w:bCs/>
          <w:color w:val="auto"/>
          <w:sz w:val="24"/>
          <w:highlight w:val="none"/>
        </w:rPr>
        <w:t xml:space="preserve">设备平台技术要求中所包含的软件均须正版授权。</w:t>
      </w:r>
      <w:r/>
    </w:p>
    <w:p>
      <w:pPr>
        <w:pStyle w:val="1224"/>
        <w:numPr>
          <w:ilvl w:val="0"/>
          <w:numId w:val="15"/>
        </w:numPr>
        <w:ind w:left="0" w:firstLine="476"/>
        <w:spacing w:line="360" w:lineRule="auto"/>
        <w:widowControl/>
        <w:rPr>
          <w:rFonts w:hint="eastAsia" w:ascii="宋体" w:hAnsi="宋体" w:cs="宋体"/>
          <w:bCs/>
          <w:color w:val="000000"/>
          <w:sz w:val="24"/>
          <w:highlight w:val="none"/>
        </w:rPr>
      </w:pPr>
      <w:r>
        <w:rPr>
          <w:rFonts w:hint="eastAsia" w:ascii="宋体" w:hAnsi="宋体" w:cs="宋体"/>
          <w:color w:val="000000"/>
          <w:spacing w:val="-1"/>
          <w:sz w:val="24"/>
          <w:highlight w:val="none"/>
        </w:rPr>
        <w:t xml:space="preserve">安装及调试：货到后供应方负责搬运、安装、调试。</w:t>
      </w:r>
      <w:r/>
    </w:p>
    <w:p>
      <w:pPr>
        <w:pStyle w:val="1224"/>
        <w:numPr>
          <w:ilvl w:val="0"/>
          <w:numId w:val="15"/>
        </w:numPr>
        <w:ind w:left="0"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质量要求：一次性验收通过，100%合格。质量违约金：合同价款的5%</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六、采购标的的验收标准</w:t>
      </w:r>
      <w:r/>
    </w:p>
    <w:p>
      <w:pPr>
        <w:pStyle w:val="1223"/>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国家有关规定、甲方采购文件的要求、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七、采购标的的其他技术、服务等要求</w:t>
      </w:r>
      <w:r/>
    </w:p>
    <w:p>
      <w:pPr>
        <w:pStyle w:val="1224"/>
        <w:numPr>
          <w:ilvl w:val="0"/>
          <w:numId w:val="16"/>
        </w:numPr>
        <w:ind w:left="0" w:firstLine="480"/>
        <w:spacing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售后服务响应要求：质保期内，卖方在接到最终用户对设备故障的报修电话后，立即通过电话向最终用户提供排除故障的方案。若电话不能解决，则在48小时内派工程师前往现场排除故障。</w:t>
      </w:r>
      <w:r/>
    </w:p>
    <w:p>
      <w:pPr>
        <w:pStyle w:val="1224"/>
        <w:numPr>
          <w:ilvl w:val="0"/>
          <w:numId w:val="16"/>
        </w:numPr>
        <w:ind w:left="0" w:firstLine="480"/>
        <w:spacing w:line="360" w:lineRule="auto"/>
        <w:widowControl/>
        <w:rPr>
          <w:rFonts w:hint="eastAsia" w:ascii="宋体" w:hAnsi="宋体" w:cs="宋体"/>
          <w:sz w:val="24"/>
          <w:highlight w:val="none"/>
        </w:rPr>
      </w:pPr>
      <w:r>
        <w:rPr>
          <w:rFonts w:hint="eastAsia" w:ascii="宋体" w:hAnsi="宋体" w:cs="宋体"/>
          <w:bCs/>
          <w:color w:val="000000"/>
          <w:sz w:val="24"/>
          <w:highlight w:val="none"/>
        </w:rPr>
        <w:t xml:space="preserve">本次招标设一个分包，不可拆分细项。</w:t>
      </w:r>
      <w:r/>
    </w:p>
    <w:p>
      <w:pPr>
        <w:pStyle w:val="1224"/>
        <w:numPr>
          <w:ilvl w:val="255"/>
          <w:numId w:val="0"/>
        </w:numPr>
        <w:ind w:firstLine="480"/>
        <w:spacing w:line="360" w:lineRule="auto"/>
        <w:widowControl/>
        <w:rPr>
          <w:rFonts w:hint="eastAsia" w:ascii="宋体" w:hAnsi="宋体" w:cs="宋体"/>
          <w:b/>
          <w:color w:val="000000"/>
          <w:sz w:val="24"/>
          <w:highlight w:val="none"/>
        </w:rPr>
      </w:pPr>
      <w:r>
        <w:rPr>
          <w:rFonts w:hint="eastAsia" w:ascii="宋体" w:hAnsi="宋体" w:cs="宋体"/>
          <w:bCs/>
          <w:color w:val="000000"/>
          <w:sz w:val="24"/>
          <w:highlight w:val="none"/>
        </w:rPr>
        <w:t xml:space="preserve">3.投标供应商针对本项目需进行相关培：乙方负责为学校提供为期5天/次，一年两次的免费培训，为期两年。</w:t>
      </w:r>
      <w:r/>
    </w:p>
    <w:p>
      <w:pPr>
        <w:pStyle w:val="1224"/>
        <w:numPr>
          <w:ilvl w:val="255"/>
          <w:numId w:val="0"/>
        </w:numPr>
        <w:ind w:firstLine="480"/>
        <w:spacing w:line="360" w:lineRule="auto"/>
        <w:widowControl/>
        <w:rPr>
          <w:rFonts w:hint="eastAsia" w:ascii="宋体" w:hAnsi="宋体" w:cs="宋体"/>
          <w:b/>
          <w:color w:val="000000"/>
          <w:sz w:val="24"/>
          <w:highlight w:val="none"/>
        </w:rPr>
      </w:pPr>
      <w:r>
        <w:rPr>
          <w:rFonts w:hint="eastAsia" w:ascii="宋体" w:hAnsi="宋体" w:cs="宋体"/>
          <w:sz w:val="24"/>
          <w:highlight w:val="none"/>
        </w:rPr>
        <w:t xml:space="preserve">4.投标人须承诺在中标后签订合同前，采购人有权要求投标人提供中标的产品送国家认可第三方测试机构按照招标文件的性能参数指标进行测试，测试费用由中标人支付。不能提供或不能通过技术测试或测试结果与投标文件不符的视为虚假承诺，并报政府采购监督管理部门进行处理，导致整批货物被拒收和索赔，由此引发的所有损失由中标人负责。</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numPr>
          <w:ilvl w:val="0"/>
          <w:numId w:val="17"/>
        </w:num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合同书</w:t>
      </w:r>
      <w:r/>
    </w:p>
    <w:p>
      <w:pPr>
        <w:pStyle w:val="707"/>
        <w:jc w:val="center"/>
        <w:spacing w:before="120" w:after="120"/>
        <w:rPr>
          <w:rFonts w:hint="eastAsia" w:hAnsi="宋体"/>
          <w:b/>
          <w:color w:val="000000" w:themeColor="text1"/>
          <w:sz w:val="44"/>
          <w:szCs w:val="44"/>
          <w:highlight w:val="none"/>
          <w14:textFill>
            <w14:solidFill>
              <w14:schemeClr w14:val="tx1"/>
            </w14:solidFill>
          </w14:textFill>
        </w:rPr>
      </w:pPr>
      <w:r>
        <w:rPr>
          <w:rFonts w:hint="eastAsia" w:hAnsi="宋体"/>
          <w:b/>
          <w:color w:val="000000" w:themeColor="text1"/>
          <w:sz w:val="44"/>
          <w:szCs w:val="44"/>
          <w:highlight w:val="none"/>
          <w14:textFill>
            <w14:solidFill>
              <w14:schemeClr w14:val="tx1"/>
            </w14:solidFill>
          </w14:textFill>
        </w:rPr>
        <w:t xml:space="preserve">无锡职业技术大学货物</w:t>
      </w:r>
      <w:r>
        <w:rPr>
          <w:rFonts w:hAnsi="宋体"/>
          <w:b/>
          <w:color w:val="000000" w:themeColor="text1"/>
          <w:sz w:val="44"/>
          <w:szCs w:val="44"/>
          <w:highlight w:val="none"/>
          <w14:textFill>
            <w14:solidFill>
              <w14:schemeClr w14:val="tx1"/>
            </w14:solidFill>
          </w14:textFill>
        </w:rPr>
        <w:t xml:space="preserve">采购</w:t>
      </w:r>
      <w:r>
        <w:rPr>
          <w:rFonts w:hint="eastAsia" w:hAnsi="宋体"/>
          <w:b/>
          <w:color w:val="000000" w:themeColor="text1"/>
          <w:sz w:val="44"/>
          <w:szCs w:val="44"/>
          <w:highlight w:val="none"/>
          <w14:textFill>
            <w14:solidFill>
              <w14:schemeClr w14:val="tx1"/>
            </w14:solidFill>
          </w14:textFill>
        </w:rPr>
        <w:t xml:space="preserve">合同</w:t>
      </w:r>
      <w:r/>
    </w:p>
    <w:tbl>
      <w:tblPr>
        <w:tblStyle w:val="694"/>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pStyle w:val="707"/>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甲方（买方）：</w:t>
            </w:r>
            <w:r>
              <w:rPr>
                <w:rFonts w:hint="eastAsia" w:hAnsi="宋体"/>
                <w:color w:val="000000" w:themeColor="text1"/>
                <w:sz w:val="24"/>
                <w:szCs w:val="24"/>
                <w:highlight w:val="none"/>
                <w:u w:val="single"/>
                <w14:textFill>
                  <w14:solidFill>
                    <w14:schemeClr w14:val="tx1"/>
                  </w14:solidFill>
                </w14:textFill>
              </w:rPr>
              <w:t xml:space="preserve">无锡职业技术大学</w:t>
            </w:r>
            <w:r/>
          </w:p>
        </w:tc>
        <w:tc>
          <w:tcPr>
            <w:tcW w:w="4536" w:type="dxa"/>
            <w:textDirection w:val="lrTb"/>
            <w:noWrap w:val="false"/>
          </w:tcPr>
          <w:p>
            <w:pPr>
              <w:pStyle w:val="707"/>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合同编号：</w:t>
            </w:r>
            <w:r/>
          </w:p>
        </w:tc>
      </w:tr>
      <w:tr>
        <w:trPr/>
        <w:tc>
          <w:tcPr>
            <w:tcW w:w="5240" w:type="dxa"/>
            <w:textDirection w:val="lrTb"/>
            <w:noWrap w:val="false"/>
          </w:tcPr>
          <w:p>
            <w:pPr>
              <w:pStyle w:val="707"/>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乙方（卖方）：</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 </w:t>
            </w:r>
            <w:r/>
          </w:p>
        </w:tc>
        <w:tc>
          <w:tcPr>
            <w:tcW w:w="4536" w:type="dxa"/>
            <w:textDirection w:val="lrTb"/>
            <w:noWrap w:val="false"/>
          </w:tcPr>
          <w:p>
            <w:pPr>
              <w:pStyle w:val="707"/>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合同签约地：</w:t>
            </w:r>
            <w:r>
              <w:rPr>
                <w:rFonts w:hint="eastAsia" w:hAnsi="宋体"/>
                <w:color w:val="000000" w:themeColor="text1"/>
                <w:sz w:val="24"/>
                <w:szCs w:val="24"/>
                <w:highlight w:val="none"/>
                <w:u w:val="single"/>
                <w14:textFill>
                  <w14:solidFill>
                    <w14:schemeClr w14:val="tx1"/>
                  </w14:solidFill>
                </w14:textFill>
              </w:rPr>
              <w:t xml:space="preserve">无锡</w:t>
            </w:r>
            <w:r/>
          </w:p>
        </w:tc>
      </w:tr>
    </w:tbl>
    <w:p>
      <w:pPr>
        <w:pStyle w:val="707"/>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w:t>
      </w:r>
      <w:r>
        <w:rPr>
          <w:rFonts w:hint="eastAsia"/>
          <w:color w:val="000000" w:themeColor="text1"/>
          <w:sz w:val="24"/>
          <w:highlight w:val="none"/>
          <w14:textFill>
            <w14:solidFill>
              <w14:schemeClr w14:val="tx1"/>
            </w14:solidFill>
          </w14:textFill>
        </w:rPr>
        <w:t xml:space="preserve">《中华人民共和国政府采购法》、</w:t>
      </w:r>
      <w:r>
        <w:rPr>
          <w:color w:val="000000" w:themeColor="text1"/>
          <w:sz w:val="24"/>
          <w:highlight w:val="none"/>
          <w14:textFill>
            <w14:solidFill>
              <w14:schemeClr w14:val="tx1"/>
            </w14:solidFill>
          </w14:textFill>
        </w:rPr>
        <w:t xml:space="preserve">《中华人民共和国</w:t>
      </w:r>
      <w:r>
        <w:rPr>
          <w:rFonts w:hint="eastAsia"/>
          <w:color w:val="000000" w:themeColor="text1"/>
          <w:sz w:val="24"/>
          <w:highlight w:val="none"/>
          <w14:textFill>
            <w14:solidFill>
              <w14:schemeClr w14:val="tx1"/>
            </w14:solidFill>
          </w14:textFill>
        </w:rPr>
        <w:t xml:space="preserve">民法典</w:t>
      </w:r>
      <w:r>
        <w:rPr>
          <w:color w:val="000000" w:themeColor="text1"/>
          <w:sz w:val="24"/>
          <w:highlight w:val="none"/>
          <w14:textFill>
            <w14:solidFill>
              <w14:schemeClr w14:val="tx1"/>
            </w14:solidFill>
          </w14:textFill>
        </w:rPr>
        <w:t xml:space="preserve">》等法律、法规的规定，</w:t>
      </w:r>
      <w:bookmarkStart w:id="5" w:name="_Hlk68891350"/>
      <w:r>
        <w:rPr>
          <w:rFonts w:hint="eastAsia"/>
          <w:color w:val="000000" w:themeColor="text1"/>
          <w:sz w:val="24"/>
          <w:highlight w:val="none"/>
          <w14:textFill>
            <w14:solidFill>
              <w14:schemeClr w14:val="tx1"/>
            </w14:solidFill>
          </w14:textFill>
        </w:rPr>
        <w:t xml:space="preserve">甲、乙双方</w:t>
      </w:r>
      <w:r>
        <w:rPr>
          <w:color w:val="000000" w:themeColor="text1"/>
          <w:sz w:val="24"/>
          <w:highlight w:val="none"/>
          <w14:textFill>
            <w14:solidFill>
              <w14:schemeClr w14:val="tx1"/>
            </w14:solidFill>
          </w14:textFill>
        </w:rPr>
        <w:t xml:space="preserve">依据</w:t>
      </w:r>
      <w:bookmarkStart w:id="6" w:name="_Hlk50199808"/>
      <w:r/>
      <w:bookmarkEnd w:id="6"/>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名称）</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编号）</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采购结果</w:t>
      </w:r>
      <w:bookmarkEnd w:id="5"/>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本着诚实守信</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友好协商的原则</w:t>
      </w:r>
      <w:r>
        <w:rPr>
          <w:rFonts w:hint="eastAsia"/>
          <w:color w:val="000000" w:themeColor="text1"/>
          <w:sz w:val="24"/>
          <w:highlight w:val="none"/>
          <w14:textFill>
            <w14:solidFill>
              <w14:schemeClr w14:val="tx1"/>
            </w14:solidFill>
          </w14:textFill>
        </w:rPr>
        <w:t xml:space="preserve">签署本合同。</w:t>
      </w:r>
      <w:r/>
    </w:p>
    <w:p>
      <w:pPr>
        <w:numPr>
          <w:ilvl w:val="0"/>
          <w:numId w:val="18"/>
        </w:numP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货物清单及合同价款</w:t>
      </w:r>
      <w:r/>
    </w:p>
    <w:tbl>
      <w:tblPr>
        <w:tblStyle w:val="694"/>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198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名称</w:t>
            </w:r>
            <w:r/>
          </w:p>
        </w:tc>
        <w:tc>
          <w:tcPr>
            <w:tcW w:w="1276"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品牌</w:t>
            </w:r>
            <w:r/>
          </w:p>
        </w:tc>
        <w:tc>
          <w:tcPr>
            <w:tcW w:w="1984"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规格型号</w:t>
            </w:r>
            <w:r/>
          </w:p>
        </w:tc>
        <w:tc>
          <w:tcPr>
            <w:tcW w:w="992"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数量</w:t>
            </w:r>
            <w:r/>
          </w:p>
        </w:tc>
        <w:tc>
          <w:tcPr>
            <w:tcBorders>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93"/>
        </w:trPr>
        <w:tc>
          <w:tcPr>
            <w:gridSpan w:val="7"/>
            <w:tcW w:w="9749" w:type="dxa"/>
            <w:vAlign w:val="center"/>
            <w:textDirection w:val="lrTb"/>
            <w:noWrap w:val="false"/>
          </w:tcPr>
          <w:p>
            <w:pPr>
              <w:ind w:firstLine="24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合计</w:t>
            </w:r>
            <w:r>
              <w:rPr>
                <w:rFonts w:hint="eastAsia"/>
                <w:color w:val="000000" w:themeColor="text1"/>
                <w:sz w:val="24"/>
                <w:highlight w:val="none"/>
                <w14:textFill>
                  <w14:solidFill>
                    <w14:schemeClr w14:val="tx1"/>
                  </w14:solidFill>
                </w14:textFill>
              </w:rPr>
              <w:t xml:space="preserve">总</w:t>
            </w:r>
            <w:r>
              <w:rPr>
                <w:color w:val="000000" w:themeColor="text1"/>
                <w:sz w:val="24"/>
                <w:highlight w:val="none"/>
                <w14:textFill>
                  <w14:solidFill>
                    <w14:schemeClr w14:val="tx1"/>
                  </w14:solidFill>
                </w14:textFill>
              </w:rPr>
              <w:t xml:space="preserve">金额</w:t>
            </w:r>
            <w:r>
              <w:rPr>
                <w:rFonts w:hint="eastAsia"/>
                <w:color w:val="000000" w:themeColor="text1"/>
                <w:sz w:val="24"/>
                <w:highlight w:val="none"/>
                <w14:textFill>
                  <w14:solidFill>
                    <w14:schemeClr w14:val="tx1"/>
                  </w14:solidFill>
                </w14:textFill>
              </w:rPr>
              <w:t xml:space="preserve">：大写人民币（大写）</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rPr>
                <w:color w:val="000000" w:themeColor="text1"/>
                <w:sz w:val="24"/>
                <w:highlight w:val="none"/>
                <w14:textFill>
                  <w14:solidFill>
                    <w14:schemeClr w14:val="tx1"/>
                  </w14:solidFill>
                </w14:textFill>
              </w:rPr>
              <w:t xml:space="preserve">整</w:t>
            </w:r>
            <w:r/>
          </w:p>
          <w:p>
            <w:pPr>
              <w:ind w:firstLine="2880"/>
              <w:spacing w:line="360" w:lineRule="auto"/>
              <w:rPr>
                <w:rFonts w:hint="eastAsia" w:ascii="等线" w:hAnsi="等线" w:eastAsia="等线"/>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w:t>
            </w:r>
            <w:r>
              <w:rPr>
                <w:color w:val="000000" w:themeColor="text1"/>
                <w:sz w:val="24"/>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tc>
      </w:tr>
    </w:tbl>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（单价合同：合同有效期内单价固定不变，</w:t>
      </w:r>
      <w:r>
        <w:rPr>
          <w:rFonts w:hint="eastAsia"/>
          <w:color w:val="000000" w:themeColor="text1"/>
          <w:sz w:val="24"/>
          <w:highlight w:val="none"/>
          <w:u w:val="single"/>
          <w14:textFill>
            <w14:solidFill>
              <w14:schemeClr w14:val="tx1"/>
            </w14:solidFill>
          </w14:textFill>
        </w:rPr>
        <w:t xml:space="preserve">每期货物总价款为现场实际所用货物合价，即每期货物总价=单价*货物数量（货物数量以甲方确认的数量为准）</w:t>
      </w:r>
      <w:r>
        <w:rPr>
          <w:rFonts w:hint="eastAsia"/>
          <w:color w:val="000000" w:themeColor="text1"/>
          <w:sz w:val="24"/>
          <w:highlight w:val="none"/>
          <w14:textFill>
            <w14:solidFill>
              <w14:schemeClr w14:val="tx1"/>
            </w14:solidFill>
          </w14:textFill>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第二条  权利保证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第三条  质量保证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3、设备的质保期为甲乙双方验收确认合格后</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个月。质保期内仪器设备本身所发生的问题（人为因素除外），由乙方提供完全无偿的维修服务。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第四条  包装要求</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2、每一包装单元内应附详细的装箱单、质量合格凭证以及其他必需的相关材料。</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第五条  交货</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1、乙方应在本合同生效后</w:t>
      </w:r>
      <w:r>
        <w:rPr>
          <w:color w:val="000000" w:themeColor="text1"/>
          <w:sz w:val="24"/>
          <w:highlight w:val="none"/>
          <w:u w:val="single"/>
          <w14:textFill>
            <w14:solidFill>
              <w14:schemeClr w14:val="tx1"/>
            </w14:solidFill>
          </w14:textFill>
        </w:rPr>
        <w:t xml:space="preserve"> </w:t>
      </w:r>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天内向甲方交付货物。</w:t>
      </w:r>
      <w:r/>
    </w:p>
    <w:p>
      <w:pPr>
        <w:ind w:firstLine="7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交货地点（甲方指定）：</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7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甲方收货联系人：</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货物的到货验收包括：型号、规格、数量、外观质量、及货物包装</w:t>
      </w:r>
      <w:r>
        <w:rPr>
          <w:rFonts w:hint="eastAsia"/>
          <w:color w:val="000000" w:themeColor="text1"/>
          <w:sz w:val="24"/>
          <w:highlight w:val="none"/>
          <w14:textFill>
            <w14:solidFill>
              <w14:schemeClr w14:val="tx1"/>
            </w14:solidFill>
          </w14:textFill>
        </w:rPr>
        <w:t xml:space="preserve">是否完好。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第六条 安装调试、培训和验收</w:t>
      </w:r>
      <w:r/>
    </w:p>
    <w:p>
      <w:pPr>
        <w:ind w:firstLine="480"/>
        <w:spacing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1、全部货物抵达现场后乙方应及时派人安装调试，并对甲方人员进行相关培训。</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2、甲方应当在乙方安装调试完成后组织验收，特殊情况，甲乙双方协商解决。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3、货物和系统调试验收标准：根据国家有关规定、甲方采购文件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第七条  伴随服务／售后服务</w:t>
      </w:r>
      <w:r/>
    </w:p>
    <w:p>
      <w:pPr>
        <w:ind w:firstLine="480"/>
        <w:spacing w:line="360" w:lineRule="auto"/>
        <w:tabs>
          <w:tab w:val="left" w:pos="16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乙方应按</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文件及乙方在询标、评标过程中做出的书面说明或承诺提供及时、快速、优质的</w:t>
      </w:r>
      <w:r>
        <w:rPr>
          <w:rFonts w:hint="eastAsia"/>
          <w:color w:val="000000" w:themeColor="text1"/>
          <w:sz w:val="24"/>
          <w:highlight w:val="none"/>
          <w14:textFill>
            <w14:solidFill>
              <w14:schemeClr w14:val="tx1"/>
            </w14:solidFill>
          </w14:textFill>
        </w:rPr>
        <w:t xml:space="preserve">伴随服务／售后服务</w:t>
      </w:r>
      <w:r>
        <w:rPr>
          <w:color w:val="000000" w:themeColor="text1"/>
          <w:sz w:val="24"/>
          <w:highlight w:val="none"/>
          <w14:textFill>
            <w14:solidFill>
              <w14:schemeClr w14:val="tx1"/>
            </w14:solidFill>
          </w14:textFill>
        </w:rPr>
        <w:t xml:space="preserve">。</w:t>
      </w:r>
      <w:r/>
    </w:p>
    <w:p>
      <w:pPr>
        <w:ind w:firstLine="480"/>
        <w:spacing w:line="360" w:lineRule="auto"/>
        <w:tabs>
          <w:tab w:val="left" w:pos="1620" w:leader="none"/>
        </w:tabs>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其他售后服务内容：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p>
      <w:pPr>
        <w:numPr>
          <w:ilvl w:val="0"/>
          <w:numId w:val="19"/>
        </w:num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  货款支付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签订后，全部货物运至采购方指定位置，所有货物全部安装调试结束，提交所需单据，并经采购方组织验收合格后10日内付至合同总价的90%；使用满1年（时间以验收合格之日起计算）设备正常运行且无质量问题后的30天内一次性无息付清。</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第九条　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1、如乙方不能交付货物，应向甲方支付合同总价</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%的违约金。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2、乙方逾期交付货物的，每逾期1天，乙方向甲方偿付逾期交货部分货款总额的</w:t>
      </w:r>
      <w:r>
        <w:rPr>
          <w:color w:val="000000" w:themeColor="text1"/>
          <w:sz w:val="24"/>
          <w:highlight w:val="none"/>
          <w14:textFill>
            <w14:solidFill>
              <w14:schemeClr w14:val="tx1"/>
            </w14:solidFill>
          </w14:textFill>
        </w:rPr>
        <w:t xml:space="preserve">日万分之四</w:t>
      </w:r>
      <w:r>
        <w:rPr>
          <w:rFonts w:hint="eastAsia"/>
          <w:color w:val="000000" w:themeColor="text1"/>
          <w:sz w:val="24"/>
          <w:highlight w:val="none"/>
          <w14:textFill>
            <w14:solidFill>
              <w14:schemeClr w14:val="tx1"/>
            </w14:solidFill>
          </w14:textFill>
        </w:rPr>
        <w:t xml:space="preserve">的滞纳金。如乙方逾期交货达10天，甲方有权解除合同，解除合同的通知自到达乙方时生效。</w:t>
      </w:r>
      <w:r>
        <w:rPr>
          <w:color w:val="000000" w:themeColor="text1"/>
          <w:sz w:val="24"/>
          <w:highlight w:val="none"/>
          <w14:textFill>
            <w14:solidFill>
              <w14:schemeClr w14:val="tx1"/>
            </w14:solidFill>
          </w14:textFill>
        </w:rPr>
        <w:t xml:space="preserve">且甲方不承担任何责任</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如甲方解除合同的</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乙方应向甲方支付合同总价款</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3、乙方所交付的货物品牌、规格型号、数量不符合合同</w:t>
      </w:r>
      <w:r>
        <w:rPr>
          <w:color w:val="000000" w:themeColor="text1"/>
          <w:sz w:val="24"/>
          <w:highlight w:val="none"/>
          <w14:textFill>
            <w14:solidFill>
              <w14:schemeClr w14:val="tx1"/>
            </w14:solidFill>
          </w14:textFill>
        </w:rPr>
        <w:t xml:space="preserve">约定</w:t>
      </w:r>
      <w:r>
        <w:rPr>
          <w:rFonts w:hint="eastAsia"/>
          <w:color w:val="000000" w:themeColor="text1"/>
          <w:sz w:val="24"/>
          <w:highlight w:val="none"/>
          <w14:textFill>
            <w14:solidFill>
              <w14:schemeClr w14:val="tx1"/>
            </w14:solidFill>
          </w14:textFill>
        </w:rPr>
        <w:t xml:space="preserve">的，甲方有权拒收。甲方拒收的，乙方应向甲方支付货款总额5%的违约金。</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如乙方交付的货物质量不符合约定的</w:t>
      </w:r>
      <w:r>
        <w:rPr>
          <w:rFonts w:hint="eastAsia"/>
          <w:color w:val="000000" w:themeColor="text1"/>
          <w:sz w:val="24"/>
          <w:highlight w:val="none"/>
          <w14:textFill>
            <w14:solidFill>
              <w14:schemeClr w14:val="tx1"/>
            </w14:solidFill>
          </w14:textFill>
        </w:rPr>
        <w:t xml:space="preserve">，甲方有权拒收或要求</w:t>
      </w:r>
      <w:r>
        <w:rPr>
          <w:color w:val="000000" w:themeColor="text1"/>
          <w:sz w:val="24"/>
          <w:highlight w:val="none"/>
          <w14:textFill>
            <w14:solidFill>
              <w14:schemeClr w14:val="tx1"/>
            </w14:solidFill>
          </w14:textFill>
        </w:rPr>
        <w:t xml:space="preserve">乙方立即整改至验收合格的标准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同时乙方应向甲方支付货款总额</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的违约金</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5、乙方未按本合同的规定提供伴随服务/售后服务的，应按合同总价款的1%向甲方承担违约责任。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第十条  不可抗力</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w:t>
      </w:r>
      <w:r>
        <w:rPr>
          <w:rFonts w:hint="eastAsia"/>
          <w:color w:val="000000" w:themeColor="text1"/>
          <w:sz w:val="24"/>
          <w:highlight w:val="none"/>
          <w14:textFill>
            <w14:solidFill>
              <w14:schemeClr w14:val="tx1"/>
            </w14:solidFill>
          </w14:textFill>
        </w:rPr>
        <w:t xml:space="preserve">、因不可抗力致使完全不能履行合同的，本协议终止，双方无须承担任何责任，但本协议另有规定的除外。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w:t>
      </w:r>
      <w:r>
        <w:rPr>
          <w:rFonts w:hint="eastAsia"/>
          <w:color w:val="000000" w:themeColor="text1"/>
          <w:sz w:val="24"/>
          <w:highlight w:val="none"/>
          <w14:textFill>
            <w14:solidFill>
              <w14:schemeClr w14:val="tx1"/>
            </w14:solidFill>
          </w14:textFill>
        </w:rPr>
        <w:t xml:space="preserve">、因发生不可抗力致使部分不能履行本合同的（包括导致延期履行），根据不可抗力的影响，免除相应的责任，但本合同另有规定的除外。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4</w:t>
      </w:r>
      <w:r>
        <w:rPr>
          <w:rFonts w:hint="eastAsia"/>
          <w:color w:val="000000" w:themeColor="text1"/>
          <w:sz w:val="24"/>
          <w:highlight w:val="none"/>
          <w14:textFill>
            <w14:solidFill>
              <w14:schemeClr w14:val="tx1"/>
            </w14:solidFill>
          </w14:textFill>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、因合同一方延迟履行合同后发生不可抗力的，不能免除延迟履行方的相应责任。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第十一条 合同组成</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第十二条　合同的变更和终止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本合同一经签订，甲乙双方不得擅自变更、中止或终止合同。</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第十三条　合同的转让</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未经甲方书面同意，乙方不得擅自部分或全部转让其应履行的合同义务。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第十四条  争议的解决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第十五条   合同生效及其他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1、本合同自合同双方签字、盖章之日起生效。</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2、本合同一式</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6 </w:t>
      </w:r>
      <w:r>
        <w:rPr>
          <w:rFonts w:hint="eastAsia"/>
          <w:color w:val="000000" w:themeColor="text1"/>
          <w:sz w:val="24"/>
          <w:highlight w:val="none"/>
          <w14:textFill>
            <w14:solidFill>
              <w14:schemeClr w14:val="tx1"/>
            </w14:solidFill>
          </w14:textFill>
        </w:rPr>
        <w:t xml:space="preserve">份，甲方执</w:t>
      </w:r>
      <w:r>
        <w:rPr>
          <w:color w:val="000000" w:themeColor="text1"/>
          <w:sz w:val="24"/>
          <w:highlight w:val="none"/>
          <w:u w:val="single"/>
          <w14:textFill>
            <w14:solidFill>
              <w14:schemeClr w14:val="tx1"/>
            </w14:solidFill>
          </w14:textFill>
        </w:rPr>
        <w:t xml:space="preserve"> 4</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份，乙方执</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 xml:space="preserve">份，具有同等法律效力。</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3、双方需补充的其他事项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spacing w:line="360" w:lineRule="auto"/>
        <w:rPr>
          <w:color w:val="000000" w:themeColor="text1"/>
          <w:sz w:val="24"/>
          <w:highlight w:val="none"/>
          <w14:textFill>
            <w14:solidFill>
              <w14:schemeClr w14:val="tx1"/>
            </w14:solidFill>
          </w14:textFill>
        </w:rPr>
      </w:pPr>
      <w:r/>
      <w:bookmarkStart w:id="7" w:name="_Hlk68891964"/>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甲方（盖章）：                   乙方（盖章）：    </w:t>
      </w:r>
      <w:r/>
    </w:p>
    <w:p>
      <w:pPr>
        <w:ind w:firstLine="5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单位地址：                       单位地址： </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授权代表：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授权代表：</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经办人：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经办人：</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                           电话：                          </w:t>
      </w:r>
      <w:r/>
    </w:p>
    <w:p>
      <w:pPr>
        <w:ind w:firstLine="480"/>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          日期：   年     月    日  </w:t>
      </w:r>
      <w:bookmarkEnd w:id="7"/>
      <w:r>
        <w:rPr>
          <w:rFonts w:hint="eastAsia" w:ascii="宋体" w:hAnsi="宋体" w:cs="宋体"/>
          <w:b/>
          <w:color w:val="000000" w:themeColor="text1"/>
          <w:sz w:val="44"/>
          <w:szCs w:val="44"/>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第五部分．附件（投标文件格式）</w:t>
      </w:r>
      <w:r/>
    </w:p>
    <w:p>
      <w:pP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t xml:space="preserve">                </w:t>
      </w:r>
      <w:r>
        <w:rPr>
          <w:rFonts w:hint="eastAsia" w:ascii="宋体" w:hAnsi="宋体" w:cs="宋体"/>
          <w:b/>
          <w:color w:val="000000" w:themeColor="text1"/>
          <w:sz w:val="48"/>
          <w:szCs w:val="20"/>
          <w:highlight w:val="none"/>
          <w14:textFill>
            <w14:solidFill>
              <w14:schemeClr w14:val="tx1"/>
            </w14:solidFill>
          </w14:textFill>
        </w:rPr>
        <w:t xml:space="preserve">公开招标</w:t>
      </w:r>
      <w:r/>
    </w:p>
    <w:p>
      <w:pPr>
        <w:jc w:val="center"/>
        <w:spacing w:line="360" w:lineRule="auto"/>
        <w:rPr>
          <w:rFonts w:hint="eastAsia" w:ascii="宋体" w:hAnsi="宋体" w:cs="宋体"/>
          <w:b/>
          <w:color w:val="000000" w:themeColor="text1"/>
          <w:sz w:val="72"/>
          <w:szCs w:val="20"/>
          <w:highlight w:val="none"/>
          <w14:textFill>
            <w14:solidFill>
              <w14:schemeClr w14:val="tx1"/>
            </w14:solidFill>
          </w14:textFill>
        </w:rPr>
      </w:pPr>
      <w:r>
        <w:rPr>
          <w:rFonts w:hint="eastAsia" w:ascii="宋体" w:hAnsi="宋体" w:cs="宋体"/>
          <w:b/>
          <w:color w:val="000000" w:themeColor="text1"/>
          <w:sz w:val="72"/>
          <w:szCs w:val="20"/>
          <w:highlight w:val="none"/>
          <w14:textFill>
            <w14:solidFill>
              <w14:schemeClr w14:val="tx1"/>
            </w14:solidFill>
          </w14:textFill>
        </w:rPr>
        <w:t xml:space="preserve">投标文件</w:t>
      </w:r>
      <w:r/>
    </w:p>
    <w:p>
      <w:pP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spacing w:line="360" w:lineRule="auto"/>
        <w:rPr>
          <w:rFonts w:hint="eastAsia" w:ascii="宋体" w:hAnsi="宋体" w:cs="宋体"/>
          <w:b/>
          <w:color w:val="000000" w:themeColor="text1"/>
          <w:sz w:val="28"/>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采购编号：</w:t>
      </w:r>
      <w:r>
        <w:rPr>
          <w:rFonts w:hint="eastAsia" w:ascii="宋体" w:hAnsi="宋体" w:cs="宋体"/>
          <w:b/>
          <w:color w:val="000000" w:themeColor="text1"/>
          <w:sz w:val="28"/>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项目</w:t>
      </w:r>
      <w:r>
        <w:rPr>
          <w:rFonts w:hint="eastAsia" w:ascii="宋体" w:hAnsi="宋体" w:cs="宋体"/>
          <w:b/>
          <w:color w:val="000000" w:themeColor="text1"/>
          <w:sz w:val="30"/>
          <w:szCs w:val="20"/>
          <w:highlight w:val="none"/>
          <w14:textFill>
            <w14:solidFill>
              <w14:schemeClr w14:val="tx1"/>
            </w14:solidFill>
          </w14:textFill>
        </w:rPr>
        <w:t xml:space="preserve">名称：</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投标供应商：</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（盖公章）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法定代表人或</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其委托代理人：</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（签字或盖章）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日  期：</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年</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月</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日</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outlineLvl w:val="0"/>
      </w:pPr>
      <w:r>
        <w:rPr>
          <w:rFonts w:hint="eastAsia" w:ascii="宋体" w:hAnsi="宋体" w:cs="宋体"/>
          <w:b/>
          <w:color w:val="000000" w:themeColor="text1"/>
          <w:sz w:val="30"/>
          <w:szCs w:val="30"/>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（一）投标函（格式）</w:t>
      </w:r>
      <w:r/>
    </w:p>
    <w:p>
      <w:pPr>
        <w:jc w:val="center"/>
        <w:spacing w:before="4" w:line="360" w:lineRule="auto"/>
        <w:widowControl/>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投标函</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致：江苏万达工程造价事务所有限公司</w:t>
      </w:r>
      <w:r/>
    </w:p>
    <w:p>
      <w:pPr>
        <w:ind w:firstLine="480"/>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一、根据已收到的采购编号为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（采购项目名称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的公开招标文件，遵照国家法律、法规和规章的有关规定，我方经过踏勘现场和对招标文件等所有文件的研究后，我方愿按招标文件中的要求、技术规范、采购清单的条件承包本采购项目的完工。</w:t>
      </w:r>
      <w:r/>
    </w:p>
    <w:p>
      <w:pPr>
        <w:ind w:firstLine="480"/>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二、我方愿意提供江苏万达工程造价事务所有限公司在招标文件中要求的文件、资料。</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我方同意按招标文件中的规定，本投标文件投标的有效期限为投标截止日期之日起90天</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四、如果我方的投标文件被接受，我方将履行招标文件中规定的每一项要求，按期、按质、按量履行合同义务。</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五、我方认为你们有权决定中标供应商。</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我方愿意遵守《中华人民共和国政府采购法》，并按《中华人民共和国民法典》和合同条款履行自己的全部责任。在合同履行过程中，双方如有争议，由江苏万达工程造价事务所有限公司协调解决。如协商不能解决，双方可向无锡仲裁委员会按其仲裁规则申请仲裁，</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七、我方认可并保证遵守招标文件的所有规定，放弃对招标文件提出质疑的权利。</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w:t>
      </w:r>
      <w:r>
        <w:rPr>
          <w:rFonts w:hint="eastAsia" w:ascii="宋体" w:hAnsi="宋体" w:cs="宋体"/>
          <w:color w:val="000000" w:themeColor="text1"/>
          <w:sz w:val="24"/>
          <w:highlight w:val="none"/>
          <w14:textFill>
            <w14:solidFill>
              <w14:schemeClr w14:val="tx1"/>
            </w14:solidFill>
          </w14:textFill>
        </w:rPr>
        <w:t xml:space="preserve">：（签字或盖章）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传真：</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邮编：</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开户名称：</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开户账号：</w:t>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（二）关于资格的声明函(格式)</w:t>
      </w:r>
      <w:r/>
    </w:p>
    <w:p>
      <w:pPr>
        <w:rPr>
          <w:rFonts w:hint="eastAsia" w:ascii="宋体" w:hAnsi="宋体" w:cs="宋体"/>
          <w:bCs/>
          <w:color w:val="000000" w:themeColor="text1"/>
          <w:sz w:val="36"/>
          <w:highlight w:val="none"/>
          <w14:textFill>
            <w14:solidFill>
              <w14:schemeClr w14:val="tx1"/>
            </w14:solidFill>
          </w14:textFill>
        </w:rPr>
      </w:pPr>
      <w:r>
        <w:rPr>
          <w:rFonts w:hint="eastAsia" w:ascii="宋体" w:hAnsi="宋体" w:cs="宋体"/>
          <w:bCs/>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关于资格的声明函</w:t>
      </w:r>
      <w:r/>
    </w:p>
    <w:p>
      <w:pPr>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江苏万达工程造价事务所有限公司：</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我公司(单位)愿针对本次项目</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进行投标。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我公司符合《中华人民共和国政府采购法》第二十二条的规定，在此郑重承诺具备以下条件：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若有违背，我公司(单位)愿意承担由此而产生的一切后果。</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法定代表人或其授权代表(签字或盖章)：</w:t>
      </w:r>
      <w:r/>
    </w:p>
    <w:p>
      <w:pPr>
        <w:rPr>
          <w:rFonts w:hint="eastAsia" w:ascii="宋体" w:hAnsi="宋体" w:cs="宋体"/>
          <w:bCs/>
          <w:color w:val="000000" w:themeColor="text1"/>
          <w:sz w:val="32"/>
          <w:szCs w:val="32"/>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法定代表人授权委托书(格式)：</w:t>
      </w:r>
      <w:r/>
    </w:p>
    <w:p>
      <w:pPr>
        <w:jc w:val="center"/>
        <w:rPr>
          <w:rFonts w:hint="eastAsia"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法定代表人授权委托书</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政府采购编号：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日期：</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致：                              </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系中华人民共和国合法企业，特授权</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代表我公司(单位)全权办理针对本项目的投标、参与开标、评标、签约等具体工作，并签署全部有关的文件、协议及合同。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我公司(单位)对被授权人的签名负全部责任。</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被授权人情况：</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         性别：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身份证件号码：                电话：</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被授权人(签字或盖章)：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法定代表人(签字或盖章)：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rPr>
          <w:rFonts w:hint="eastAsia" w:ascii="宋体" w:hAnsi="宋体" w:cs="宋体"/>
          <w:color w:val="000000" w:themeColor="text1"/>
          <w:szCs w:val="21"/>
          <w:highlight w:val="none"/>
          <w14:textFill>
            <w14:solidFill>
              <w14:schemeClr w14:val="tx1"/>
            </w14:solidFill>
          </w14:textFill>
        </w:rPr>
        <w:t xml:space="preserve">1、若投标供应商为事业单位或其他组织或分支机构(仅限招标文件注明允许分支机构投标的情形),则法定代表人处的签字人可为单位负责人。2、当被授权人为法定代表人(或上述情况的单位负责人)时，被授权人相关内容填报为法定代表人(或上述情况的单位负责人)信息，“被授权人签字或盖章”处可不用再重复签字或盖章。如被授权人为法定代表人(或以下说明所述的单位负责人)时，则提供法定代表人(或以下说明所述的单位负责人)有效身份证。</w:t>
      </w:r>
      <w:r>
        <w:rPr>
          <w:rFonts w:hint="eastAsia" w:ascii="宋体" w:hAnsi="宋体" w:cs="宋体"/>
          <w:color w:val="000000" w:themeColor="text1"/>
          <w:szCs w:val="21"/>
          <w:highlight w:val="none"/>
          <w14:textFill>
            <w14:solidFill>
              <w14:schemeClr w14:val="tx1"/>
            </w14:solidFill>
          </w14:textFill>
        </w:rPr>
        <w:br w:type="page" w:clear="all"/>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投标供应商法定代表人身份证复印件：</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vert="horz" anchor="t" anchorCtr="0" upright="1"/>
                    </wps:wsp>
                  </a:graphicData>
                </a:graphic>
              </wp:inline>
            </w:drawing>
          </mc:Choice>
          <mc:Fallback>
            <w:pict>
              <v:shape id="shape 1" o:spid="_x0000_s1" o:spt="202" type="#_x0000_t202" style="width:221.0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vert="horz" anchor="t" anchorCtr="0" upright="1"/>
                    </wps:wsp>
                  </a:graphicData>
                </a:graphic>
              </wp:inline>
            </w:drawing>
          </mc:Choice>
          <mc:Fallback>
            <w:pict>
              <v:shape id="shape 2" o:spid="_x0000_s2" o:spt="202" type="#_x0000_t202" style="width:221.1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法定代表人授权代表身份证复印件：（</w:t>
      </w:r>
      <w:r>
        <w:rPr>
          <w:rFonts w:hint="eastAsia" w:ascii="宋体" w:hAnsi="宋体" w:cs="宋体"/>
          <w:b/>
          <w:bCs/>
          <w:color w:val="000000" w:themeColor="text1"/>
          <w:sz w:val="24"/>
          <w:highlight w:val="none"/>
          <w14:textFill>
            <w14:solidFill>
              <w14:schemeClr w14:val="tx1"/>
            </w14:solidFill>
          </w14:textFill>
        </w:rPr>
        <w:t xml:space="preserve">法定代表人亲自参与投标的除外）</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4"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3" o:spid="_x0000_s3" o:spt="202" type="#_x0000_t202" style="width:221.0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5"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4" o:spid="_x0000_s4" o:spt="202" type="#_x0000_t202" style="width:221.1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p>
    <w:p>
      <w:pPr>
        <w:jc w:val="cente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（四）承诺书(格式)</w:t>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承诺书</w:t>
      </w:r>
      <w:r/>
    </w:p>
    <w:p>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spacing w:line="48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（投标供应商名称）在此承诺：</w:t>
      </w:r>
      <w:r/>
    </w:p>
    <w:p>
      <w:pPr>
        <w:pStyle w:val="722"/>
        <w:ind w:firstLine="480"/>
        <w:jc w:val="both"/>
        <w:spacing w:before="0" w:beforeAutospacing="0" w:after="0" w:afterAutospacing="0"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我公司自愿参加贵单位（公司）</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法定代表人或其授权代表签字或盖章：</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（五）开标一览表（格式）</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开标一览表</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投标供应商（公章）：                                 政府采购编号：</w:t>
      </w:r>
      <w:r/>
    </w:p>
    <w:tbl>
      <w:tblPr>
        <w:tblStyle w:val="69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jc w:val="center"/>
          <w:trHeight w:val="1134"/>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1" w:hanging="241"/>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tc>
      </w:tr>
      <w:tr>
        <w:trPr>
          <w:cantSplit/>
          <w:jc w:val="center"/>
          <w:trHeight w:val="1134"/>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投标报价（人民币）</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           元</w:t>
            </w:r>
            <w:r/>
          </w:p>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人民币(小写)：           元</w:t>
            </w:r>
            <w:r/>
          </w:p>
        </w:tc>
      </w:tr>
      <w:tr>
        <w:trPr>
          <w:cantSplit/>
          <w:jc w:val="center"/>
          <w:trHeight w:val="1134"/>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交货期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134"/>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质量标准</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134"/>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cantSplit/>
          <w:jc w:val="center"/>
          <w:trHeight w:val="1134"/>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tabs>
                <w:tab w:val="left" w:pos="2255" w:leader="none"/>
              </w:tabs>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bl>
    <w:p>
      <w:pPr>
        <w:spacing w:before="24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法定代表人或授权委托人（签字或盖章）：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日期：   年   月   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填写说明：</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一览表中的内容应与</w:t>
      </w:r>
      <w:r>
        <w:rPr>
          <w:rFonts w:hint="eastAsia" w:ascii="宋体" w:hAnsi="宋体"/>
          <w:color w:val="000000" w:themeColor="text1"/>
          <w:highlight w:val="none"/>
          <w14:textFill>
            <w14:solidFill>
              <w14:schemeClr w14:val="tx1"/>
            </w14:solidFill>
          </w14:textFill>
        </w:rPr>
        <w:t xml:space="preserve">投标</w:t>
      </w:r>
      <w:r>
        <w:rPr>
          <w:rFonts w:ascii="宋体" w:hAnsi="宋体"/>
          <w:color w:val="000000" w:themeColor="text1"/>
          <w:highlight w:val="none"/>
          <w14:textFill>
            <w14:solidFill>
              <w14:schemeClr w14:val="tx1"/>
            </w14:solidFill>
          </w14:textFill>
        </w:rPr>
        <w:t xml:space="preserve">函内容一致，否则评标时一律按</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一览表中内容为准，</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一览表中必须盖章或签字</w:t>
      </w:r>
      <w:r>
        <w:rPr>
          <w:rFonts w:hint="eastAsia" w:ascii="宋体" w:hAnsi="宋体"/>
          <w:color w:val="000000" w:themeColor="text1"/>
          <w:highlight w:val="none"/>
          <w14:textFill>
            <w14:solidFill>
              <w14:schemeClr w14:val="tx1"/>
            </w14:solidFill>
          </w14:textFill>
        </w:rPr>
        <w:t xml:space="preserve">。</w:t>
      </w:r>
      <w:r/>
    </w:p>
    <w:p>
      <w:pPr>
        <w:ind w:firstLine="612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t xml:space="preserve">（六）</w:t>
      </w:r>
      <w:r>
        <w:rPr>
          <w:rFonts w:hint="eastAsia" w:ascii="宋体" w:hAnsi="宋体" w:cs="宋体"/>
          <w:color w:val="000000" w:themeColor="text1"/>
          <w:sz w:val="24"/>
          <w:highlight w:val="none"/>
          <w:lang w:eastAsia="zh-CN"/>
          <w14:textFill>
            <w14:solidFill>
              <w14:schemeClr w14:val="tx1"/>
            </w14:solidFill>
          </w14:textFill>
        </w:rPr>
        <w:t xml:space="preserve">分项报价表</w:t>
      </w:r>
      <w:r>
        <w:rPr>
          <w:rFonts w:hint="eastAsia" w:ascii="宋体" w:hAnsi="宋体" w:cs="宋体"/>
          <w:color w:val="000000" w:themeColor="text1"/>
          <w:sz w:val="24"/>
          <w:highlight w:val="none"/>
          <w14:textFill>
            <w14:solidFill>
              <w14:schemeClr w14:val="tx1"/>
            </w14:solidFill>
          </w14:textFill>
        </w:rPr>
        <w:t xml:space="preserve">（格</w:t>
      </w:r>
      <w:r>
        <w:rPr>
          <w:rFonts w:hint="eastAsia" w:ascii="宋体" w:hAnsi="宋体" w:cs="宋体"/>
          <w:bCs/>
          <w:color w:val="000000" w:themeColor="text1"/>
          <w:sz w:val="24"/>
          <w:highlight w:val="none"/>
          <w14:textFill>
            <w14:solidFill>
              <w14:schemeClr w14:val="tx1"/>
            </w14:solidFill>
          </w14:textFill>
        </w:rPr>
        <w:t xml:space="preserve">式）：</w:t>
      </w:r>
      <w:r/>
    </w:p>
    <w:p>
      <w:pPr>
        <w:jc w:val="center"/>
        <w:spacing w:line="400" w:lineRule="exact"/>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t xml:space="preserve">分项报价表</w:t>
      </w:r>
      <w:r/>
    </w:p>
    <w:p>
      <w:pPr>
        <w:ind w:firstLine="240"/>
        <w:spacing w:line="360" w:lineRule="auto"/>
        <w:rPr>
          <w:rFonts w:ascii="黑体" w:eastAsia="黑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 xml:space="preserve">投标供应商名称（盖章）                                 采购项目编号：</w:t>
      </w:r>
      <w:r/>
    </w:p>
    <w:tbl>
      <w:tblPr>
        <w:tblStyle w:val="694"/>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90"/>
        <w:gridCol w:w="880"/>
        <w:gridCol w:w="1084"/>
        <w:gridCol w:w="2018"/>
        <w:gridCol w:w="927"/>
        <w:gridCol w:w="1323"/>
        <w:gridCol w:w="1050"/>
        <w:gridCol w:w="900"/>
        <w:gridCol w:w="1203"/>
      </w:tblGrid>
      <w:tr>
        <w:trPr>
          <w:cantSplit/>
          <w:jc w:val="center"/>
          <w:trHeight w:val="680"/>
        </w:trPr>
        <w:tc>
          <w:tcPr>
            <w:tcMar>
              <w:left w:w="15" w:type="dxa"/>
              <w:top w:w="15" w:type="dxa"/>
              <w:right w:w="15" w:type="dxa"/>
              <w:bottom w:w="0" w:type="dxa"/>
            </w:tcMar>
            <w:tcW w:w="590" w:type="dxa"/>
            <w:vAlign w:val="center"/>
            <w:textDirection w:val="lrTb"/>
            <w:noWrap/>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序号</w:t>
            </w:r>
            <w:r/>
          </w:p>
        </w:tc>
        <w:tc>
          <w:tcPr>
            <w:tcMar>
              <w:left w:w="15" w:type="dxa"/>
              <w:top w:w="15" w:type="dxa"/>
              <w:right w:w="15" w:type="dxa"/>
              <w:bottom w:w="0" w:type="dxa"/>
            </w:tcMar>
            <w:tcW w:w="880" w:type="dxa"/>
            <w:vAlign w:val="center"/>
            <w:textDirection w:val="lrTb"/>
            <w:noWrap/>
          </w:tcPr>
          <w:p>
            <w:pPr>
              <w:jc w:val="center"/>
              <w:spacing w:before="5"/>
              <w:rPr>
                <w:rFonts w:hint="eastAsia" w:ascii="宋体" w:hAnsi="宋体" w:eastAsia="宋体" w:cs="宋体"/>
                <w:color w:val="0000ff"/>
                <w:sz w:val="21"/>
                <w:szCs w:val="21"/>
                <w:u w:val="none"/>
              </w:rPr>
            </w:pPr>
            <w:r>
              <w:rPr>
                <w:rFonts w:hint="eastAsia" w:ascii="宋体" w:hAnsi="宋体" w:eastAsia="宋体" w:cs="宋体"/>
                <w:color w:val="0000ff"/>
                <w:sz w:val="21"/>
                <w:szCs w:val="21"/>
              </w:rPr>
              <w:t xml:space="preserve">名称</w:t>
            </w:r>
            <w:r/>
          </w:p>
        </w:tc>
        <w:tc>
          <w:tcPr>
            <w:tcMar>
              <w:left w:w="15" w:type="dxa"/>
              <w:top w:w="15" w:type="dxa"/>
              <w:right w:w="15" w:type="dxa"/>
              <w:bottom w:w="0" w:type="dxa"/>
            </w:tcMar>
            <w:tcW w:w="1084" w:type="dxa"/>
            <w:vAlign w:val="center"/>
            <w:textDirection w:val="lrTb"/>
            <w:noWrap/>
          </w:tcPr>
          <w:p>
            <w:pPr>
              <w:jc w:val="center"/>
              <w:spacing w:before="5"/>
              <w:rPr>
                <w:rFonts w:hint="eastAsia" w:ascii="宋体" w:hAnsi="宋体" w:eastAsia="宋体" w:cs="宋体"/>
                <w:color w:val="0000ff"/>
                <w:sz w:val="21"/>
                <w:szCs w:val="21"/>
                <w:u w:val="none"/>
              </w:rPr>
            </w:pPr>
            <w:r>
              <w:rPr>
                <w:rFonts w:hint="eastAsia" w:ascii="宋体" w:hAnsi="宋体" w:eastAsia="宋体" w:cs="宋体"/>
                <w:color w:val="0000ff"/>
                <w:sz w:val="21"/>
                <w:szCs w:val="21"/>
                <w:u w:val="none"/>
              </w:rPr>
              <w:t xml:space="preserve">品牌型号</w:t>
            </w:r>
            <w:r/>
          </w:p>
        </w:tc>
        <w:tc>
          <w:tcPr>
            <w:tcMar>
              <w:left w:w="15" w:type="dxa"/>
              <w:top w:w="15" w:type="dxa"/>
              <w:right w:w="15" w:type="dxa"/>
              <w:bottom w:w="0" w:type="dxa"/>
            </w:tcMar>
            <w:tcW w:w="2018" w:type="dxa"/>
            <w:vAlign w:val="center"/>
            <w:textDirection w:val="lrTb"/>
            <w:noWrap/>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u w:val="none"/>
              </w:rPr>
              <w:t xml:space="preserve">性能指标</w:t>
            </w:r>
            <w:r/>
          </w:p>
        </w:tc>
        <w:tc>
          <w:tcPr>
            <w:tcMar>
              <w:left w:w="15" w:type="dxa"/>
              <w:top w:w="15" w:type="dxa"/>
              <w:right w:w="15" w:type="dxa"/>
              <w:bottom w:w="0" w:type="dxa"/>
            </w:tcMar>
            <w:tcW w:w="927" w:type="dxa"/>
            <w:vAlign w:val="center"/>
            <w:textDirection w:val="lrTb"/>
            <w:noWrap w:val="false"/>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数量</w:t>
            </w:r>
            <w:r/>
          </w:p>
        </w:tc>
        <w:tc>
          <w:tcPr>
            <w:tcW w:w="1323" w:type="dxa"/>
            <w:vAlign w:val="center"/>
            <w:textDirection w:val="lrTb"/>
            <w:noWrap w:val="false"/>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产地</w:t>
            </w:r>
            <w:r/>
          </w:p>
        </w:tc>
        <w:tc>
          <w:tcPr>
            <w:tcMar>
              <w:left w:w="15" w:type="dxa"/>
              <w:top w:w="15" w:type="dxa"/>
              <w:right w:w="15" w:type="dxa"/>
              <w:bottom w:w="0" w:type="dxa"/>
            </w:tcMar>
            <w:tcW w:w="1050" w:type="dxa"/>
            <w:vAlign w:val="center"/>
            <w:textDirection w:val="lrTb"/>
            <w:noWrap/>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质保期</w:t>
            </w:r>
            <w:r/>
          </w:p>
        </w:tc>
        <w:tc>
          <w:tcPr>
            <w:tcW w:w="900" w:type="dxa"/>
            <w:vAlign w:val="center"/>
            <w:textDirection w:val="lrTb"/>
            <w:noWrap w:val="false"/>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单报价</w:t>
            </w:r>
            <w:r/>
          </w:p>
        </w:tc>
        <w:tc>
          <w:tcPr>
            <w:tcW w:w="1203" w:type="dxa"/>
            <w:vAlign w:val="center"/>
            <w:textDirection w:val="lrTb"/>
            <w:noWrap w:val="false"/>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分项总报价</w:t>
            </w:r>
            <w:r/>
          </w:p>
        </w:tc>
      </w:tr>
      <w:tr>
        <w:trPr>
          <w:cantSplit/>
          <w:jc w:val="center"/>
          <w:trHeight w:val="680"/>
        </w:trPr>
        <w:tc>
          <w:tcPr>
            <w:tcMar>
              <w:left w:w="15" w:type="dxa"/>
              <w:top w:w="15" w:type="dxa"/>
              <w:right w:w="15" w:type="dxa"/>
              <w:bottom w:w="0" w:type="dxa"/>
            </w:tcMar>
            <w:tcW w:w="590" w:type="dxa"/>
            <w:vAlign w:val="center"/>
            <w:textDirection w:val="lrTb"/>
            <w:noWrap/>
          </w:tcPr>
          <w:p>
            <w:pPr>
              <w:pStyle w:val="713"/>
              <w:jc w:val="center"/>
              <w:spacing w:before="5"/>
              <w:tabs>
                <w:tab w:val="clear" w:pos="7143" w:leader="none"/>
                <w:tab w:val="clear" w:pos="14287" w:leader="none"/>
              </w:tabs>
              <w:rPr>
                <w:rFonts w:hint="eastAsia" w:ascii="宋体" w:hAnsi="宋体" w:eastAsia="宋体" w:cs="宋体"/>
                <w:color w:val="0000ff"/>
                <w:sz w:val="21"/>
                <w:szCs w:val="21"/>
                <w:lang w:val="en-US" w:eastAsia="zh-CN"/>
              </w:rPr>
              <w:pBdr>
                <w:bottom w:val="none" w:color="auto" w:sz="0" w:space="0"/>
              </w:pBdr>
            </w:pPr>
            <w:r>
              <w:rPr>
                <w:rFonts w:hint="eastAsia" w:ascii="宋体" w:hAnsi="宋体" w:eastAsia="宋体" w:cs="宋体"/>
                <w:color w:val="0000ff"/>
                <w:sz w:val="21"/>
                <w:szCs w:val="21"/>
                <w:lang w:val="en-US" w:eastAsia="zh-CN"/>
              </w:rPr>
              <w:t xml:space="preserve">1</w:t>
            </w:r>
            <w:r/>
          </w:p>
        </w:tc>
        <w:tc>
          <w:tcPr>
            <w:tcMar>
              <w:left w:w="15" w:type="dxa"/>
              <w:top w:w="15" w:type="dxa"/>
              <w:right w:w="15" w:type="dxa"/>
              <w:bottom w:w="0" w:type="dxa"/>
            </w:tcMar>
            <w:tcW w:w="880" w:type="dxa"/>
            <w:vAlign w:val="center"/>
            <w:textDirection w:val="lrTb"/>
            <w:noWrap/>
          </w:tcPr>
          <w:p>
            <w:pPr>
              <w:pStyle w:val="713"/>
              <w:tabs>
                <w:tab w:val="clear" w:pos="7143" w:leader="none"/>
                <w:tab w:val="clear" w:pos="14287" w:leader="none"/>
              </w:tabs>
              <w:rPr>
                <w:rFonts w:hint="eastAsia" w:ascii="宋体" w:hAnsi="宋体" w:eastAsia="宋体" w:cs="宋体"/>
                <w:bCs/>
                <w:color w:val="0000ff"/>
                <w:sz w:val="21"/>
                <w:szCs w:val="21"/>
                <w:lang w:val="en-US" w:eastAsia="zh-CN"/>
              </w:rPr>
              <w:pBdr>
                <w:bottom w:val="none" w:color="auto" w:sz="0" w:space="0"/>
              </w:pBdr>
            </w:pPr>
            <w:r>
              <w:rPr>
                <w:rFonts w:hint="eastAsia" w:ascii="宋体" w:hAnsi="宋体" w:eastAsia="宋体" w:cs="宋体"/>
                <w:bCs/>
                <w:color w:val="0000ff"/>
                <w:sz w:val="21"/>
                <w:szCs w:val="21"/>
                <w:lang w:val="en-US" w:eastAsia="zh-CN"/>
              </w:rPr>
            </w:r>
            <w:r/>
          </w:p>
        </w:tc>
        <w:tc>
          <w:tcPr>
            <w:tcMar>
              <w:left w:w="15" w:type="dxa"/>
              <w:top w:w="15" w:type="dxa"/>
              <w:right w:w="15" w:type="dxa"/>
              <w:bottom w:w="0" w:type="dxa"/>
            </w:tcMar>
            <w:tcW w:w="1084" w:type="dxa"/>
            <w:vAlign w:val="center"/>
            <w:textDirection w:val="lrTb"/>
            <w:noWrap w:val="false"/>
          </w:tcPr>
          <w:p>
            <w:pPr>
              <w:pStyle w:val="713"/>
              <w:tabs>
                <w:tab w:val="clear" w:pos="7143" w:leader="none"/>
                <w:tab w:val="clear" w:pos="14287" w:leader="none"/>
              </w:tabs>
              <w:rPr>
                <w:rFonts w:hint="eastAsia" w:ascii="宋体" w:hAnsi="宋体" w:eastAsia="宋体" w:cs="宋体"/>
                <w:bCs/>
                <w:color w:val="0000ff"/>
                <w:sz w:val="21"/>
                <w:szCs w:val="21"/>
                <w:lang w:val="en-US" w:eastAsia="zh-CN"/>
              </w:rPr>
              <w:pBdr>
                <w:bottom w:val="none" w:color="auto" w:sz="0" w:space="0"/>
              </w:pBdr>
            </w:pPr>
            <w:r>
              <w:rPr>
                <w:rFonts w:hint="eastAsia" w:ascii="宋体" w:hAnsi="宋体" w:eastAsia="宋体" w:cs="宋体"/>
                <w:bCs/>
                <w:color w:val="0000ff"/>
                <w:sz w:val="21"/>
                <w:szCs w:val="21"/>
                <w:lang w:val="en-US" w:eastAsia="zh-CN"/>
              </w:rPr>
            </w:r>
            <w:r/>
          </w:p>
        </w:tc>
        <w:tc>
          <w:tcPr>
            <w:tcMar>
              <w:left w:w="15" w:type="dxa"/>
              <w:top w:w="15" w:type="dxa"/>
              <w:right w:w="15" w:type="dxa"/>
              <w:bottom w:w="0" w:type="dxa"/>
            </w:tcMar>
            <w:tcW w:w="2018" w:type="dxa"/>
            <w:vAlign w:val="top"/>
            <w:textDirection w:val="lrTb"/>
            <w:noWrap w:val="false"/>
          </w:tcPr>
          <w:p>
            <w:pPr>
              <w:jc w:val="center"/>
              <w:rPr>
                <w:rFonts w:hint="eastAsia" w:ascii="宋体" w:hAnsi="宋体" w:eastAsia="宋体" w:cs="宋体"/>
                <w:bCs/>
                <w:color w:val="0000ff"/>
                <w:sz w:val="21"/>
                <w:szCs w:val="21"/>
              </w:rPr>
            </w:pPr>
            <w:r>
              <w:rPr>
                <w:rFonts w:hint="eastAsia" w:ascii="宋体" w:hAnsi="宋体" w:eastAsia="宋体" w:cs="宋体"/>
                <w:bCs/>
                <w:color w:val="0000ff"/>
                <w:sz w:val="21"/>
                <w:szCs w:val="21"/>
              </w:rPr>
            </w:r>
            <w:r/>
          </w:p>
        </w:tc>
        <w:tc>
          <w:tcPr>
            <w:tcMar>
              <w:left w:w="15" w:type="dxa"/>
              <w:top w:w="15" w:type="dxa"/>
              <w:right w:w="15" w:type="dxa"/>
              <w:bottom w:w="0" w:type="dxa"/>
            </w:tcMar>
            <w:tcW w:w="927"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　</w:t>
            </w:r>
            <w:r/>
          </w:p>
        </w:tc>
        <w:tc>
          <w:tcPr>
            <w:tcW w:w="132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　</w:t>
            </w:r>
            <w:r/>
          </w:p>
        </w:tc>
        <w:tc>
          <w:tcPr>
            <w:tcW w:w="900"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W w:w="120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r>
      <w:tr>
        <w:trPr>
          <w:cantSplit/>
          <w:jc w:val="center"/>
          <w:trHeight w:val="680"/>
        </w:trPr>
        <w:tc>
          <w:tcPr>
            <w:tcMar>
              <w:left w:w="15" w:type="dxa"/>
              <w:top w:w="15" w:type="dxa"/>
              <w:right w:w="15" w:type="dxa"/>
              <w:bottom w:w="0" w:type="dxa"/>
            </w:tcMar>
            <w:tcW w:w="590" w:type="dxa"/>
            <w:vAlign w:val="center"/>
            <w:textDirection w:val="lrTb"/>
            <w:noWrap/>
          </w:tcPr>
          <w:p>
            <w:pPr>
              <w:jc w:val="cente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2</w:t>
            </w:r>
            <w:r/>
          </w:p>
        </w:tc>
        <w:tc>
          <w:tcPr>
            <w:tcMar>
              <w:left w:w="15" w:type="dxa"/>
              <w:top w:w="15" w:type="dxa"/>
              <w:right w:w="15" w:type="dxa"/>
              <w:bottom w:w="0" w:type="dxa"/>
            </w:tcMar>
            <w:tcW w:w="880" w:type="dxa"/>
            <w:vAlign w:val="center"/>
            <w:textDirection w:val="lrTb"/>
            <w:noWrap/>
          </w:tcPr>
          <w:p>
            <w:pPr>
              <w:jc w:val="center"/>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Mar>
              <w:left w:w="15" w:type="dxa"/>
              <w:top w:w="15" w:type="dxa"/>
              <w:right w:w="15" w:type="dxa"/>
              <w:bottom w:w="0" w:type="dxa"/>
            </w:tcMar>
            <w:tcW w:w="1084" w:type="dxa"/>
            <w:vAlign w:val="center"/>
            <w:textDirection w:val="lrTb"/>
            <w:noWrap w:val="false"/>
          </w:tcPr>
          <w:p>
            <w:pPr>
              <w:pStyle w:val="713"/>
              <w:tabs>
                <w:tab w:val="clear" w:pos="7143" w:leader="none"/>
                <w:tab w:val="clear" w:pos="14287" w:leader="none"/>
              </w:tabs>
              <w:rPr>
                <w:rFonts w:hint="eastAsia" w:ascii="宋体" w:hAnsi="宋体" w:eastAsia="宋体" w:cs="宋体"/>
                <w:bCs/>
                <w:color w:val="0000ff"/>
                <w:sz w:val="21"/>
                <w:szCs w:val="21"/>
                <w:lang w:val="en-US" w:eastAsia="zh-CN"/>
              </w:rPr>
              <w:pBdr>
                <w:bottom w:val="none" w:color="auto" w:sz="0" w:space="0"/>
              </w:pBdr>
            </w:pPr>
            <w:r>
              <w:rPr>
                <w:rFonts w:hint="eastAsia" w:ascii="宋体" w:hAnsi="宋体" w:eastAsia="宋体" w:cs="宋体"/>
                <w:bCs/>
                <w:color w:val="0000ff"/>
                <w:sz w:val="21"/>
                <w:szCs w:val="21"/>
                <w:lang w:val="en-US" w:eastAsia="zh-CN"/>
              </w:rPr>
            </w:r>
            <w:r/>
          </w:p>
        </w:tc>
        <w:tc>
          <w:tcPr>
            <w:tcMar>
              <w:left w:w="15" w:type="dxa"/>
              <w:top w:w="15" w:type="dxa"/>
              <w:right w:w="15" w:type="dxa"/>
              <w:bottom w:w="0" w:type="dxa"/>
            </w:tcMar>
            <w:tcW w:w="2018" w:type="dxa"/>
            <w:vAlign w:val="center"/>
            <w:textDirection w:val="lrTb"/>
            <w:noWrap w:val="false"/>
          </w:tcPr>
          <w:p>
            <w:pPr>
              <w:jc w:val="center"/>
              <w:rPr>
                <w:rFonts w:hint="eastAsia" w:ascii="宋体" w:hAnsi="宋体" w:eastAsia="宋体" w:cs="宋体"/>
                <w:bCs/>
                <w:color w:val="0000ff"/>
                <w:sz w:val="21"/>
                <w:szCs w:val="21"/>
              </w:rPr>
            </w:pPr>
            <w:r>
              <w:rPr>
                <w:rFonts w:hint="eastAsia" w:ascii="宋体" w:hAnsi="宋体" w:eastAsia="宋体" w:cs="宋体"/>
                <w:bCs/>
                <w:color w:val="0000ff"/>
                <w:sz w:val="21"/>
                <w:szCs w:val="21"/>
              </w:rPr>
            </w:r>
            <w:r/>
          </w:p>
        </w:tc>
        <w:tc>
          <w:tcPr>
            <w:tcMar>
              <w:left w:w="15" w:type="dxa"/>
              <w:top w:w="15" w:type="dxa"/>
              <w:right w:w="15" w:type="dxa"/>
              <w:bottom w:w="0" w:type="dxa"/>
            </w:tcMar>
            <w:tcW w:w="927"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　</w:t>
            </w:r>
            <w:r/>
          </w:p>
        </w:tc>
        <w:tc>
          <w:tcPr>
            <w:tcW w:w="132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　</w:t>
            </w:r>
            <w:r/>
          </w:p>
        </w:tc>
        <w:tc>
          <w:tcPr>
            <w:tcW w:w="900"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W w:w="120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r>
      <w:tr>
        <w:trPr>
          <w:cantSplit/>
          <w:jc w:val="center"/>
          <w:trHeight w:val="680"/>
        </w:trPr>
        <w:tc>
          <w:tcPr>
            <w:tcMar>
              <w:left w:w="15" w:type="dxa"/>
              <w:top w:w="15" w:type="dxa"/>
              <w:right w:w="15" w:type="dxa"/>
              <w:bottom w:w="0" w:type="dxa"/>
            </w:tcMar>
            <w:tcW w:w="590" w:type="dxa"/>
            <w:vAlign w:val="center"/>
            <w:textDirection w:val="lrTb"/>
            <w:noWrap/>
          </w:tcPr>
          <w:p>
            <w:pPr>
              <w:jc w:val="center"/>
              <w:rPr>
                <w:rFonts w:hint="default" w:ascii="宋体" w:hAnsi="宋体" w:eastAsia="宋体" w:cs="宋体"/>
                <w:color w:val="0000ff"/>
                <w:sz w:val="21"/>
                <w:szCs w:val="21"/>
                <w:lang w:val="en-US" w:eastAsia="zh-CN"/>
              </w:rPr>
            </w:pPr>
            <w:r>
              <w:rPr>
                <w:rFonts w:hint="eastAsia" w:ascii="宋体" w:hAnsi="宋体" w:eastAsia="宋体" w:cs="宋体"/>
                <w:color w:val="0000ff"/>
                <w:sz w:val="21"/>
                <w:szCs w:val="21"/>
              </w:rPr>
              <w:t xml:space="preserve">……</w:t>
            </w:r>
            <w:r/>
          </w:p>
        </w:tc>
        <w:tc>
          <w:tcPr>
            <w:tcMar>
              <w:left w:w="15" w:type="dxa"/>
              <w:top w:w="15" w:type="dxa"/>
              <w:right w:w="15" w:type="dxa"/>
              <w:bottom w:w="0" w:type="dxa"/>
            </w:tcMar>
            <w:tcW w:w="880" w:type="dxa"/>
            <w:vAlign w:val="center"/>
            <w:textDirection w:val="lrTb"/>
            <w:noWrap/>
          </w:tcPr>
          <w:p>
            <w:pPr>
              <w:jc w:val="center"/>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Mar>
              <w:left w:w="15" w:type="dxa"/>
              <w:top w:w="15" w:type="dxa"/>
              <w:right w:w="15" w:type="dxa"/>
              <w:bottom w:w="0" w:type="dxa"/>
            </w:tcMar>
            <w:tcW w:w="1084" w:type="dxa"/>
            <w:vAlign w:val="center"/>
            <w:textDirection w:val="lrTb"/>
            <w:noWrap w:val="false"/>
          </w:tcPr>
          <w:p>
            <w:pPr>
              <w:pStyle w:val="713"/>
              <w:tabs>
                <w:tab w:val="clear" w:pos="7143" w:leader="none"/>
                <w:tab w:val="clear" w:pos="14287" w:leader="none"/>
              </w:tabs>
              <w:rPr>
                <w:rFonts w:hint="eastAsia" w:ascii="宋体" w:hAnsi="宋体" w:eastAsia="宋体" w:cs="宋体"/>
                <w:bCs/>
                <w:color w:val="0000ff"/>
                <w:sz w:val="21"/>
                <w:szCs w:val="21"/>
                <w:lang w:val="en-US" w:eastAsia="zh-CN"/>
              </w:rPr>
              <w:pBdr>
                <w:bottom w:val="none" w:color="auto" w:sz="0" w:space="0"/>
              </w:pBdr>
            </w:pPr>
            <w:r>
              <w:rPr>
                <w:rFonts w:hint="eastAsia" w:ascii="宋体" w:hAnsi="宋体" w:eastAsia="宋体" w:cs="宋体"/>
                <w:bCs/>
                <w:color w:val="0000ff"/>
                <w:sz w:val="21"/>
                <w:szCs w:val="21"/>
                <w:lang w:val="en-US" w:eastAsia="zh-CN"/>
              </w:rPr>
            </w:r>
            <w:r/>
          </w:p>
        </w:tc>
        <w:tc>
          <w:tcPr>
            <w:tcMar>
              <w:left w:w="15" w:type="dxa"/>
              <w:top w:w="15" w:type="dxa"/>
              <w:right w:w="15" w:type="dxa"/>
              <w:bottom w:w="0" w:type="dxa"/>
            </w:tcMar>
            <w:tcW w:w="2018" w:type="dxa"/>
            <w:vAlign w:val="center"/>
            <w:textDirection w:val="lrTb"/>
            <w:noWrap w:val="false"/>
          </w:tcPr>
          <w:p>
            <w:pPr>
              <w:jc w:val="center"/>
              <w:rPr>
                <w:rFonts w:hint="eastAsia" w:ascii="宋体" w:hAnsi="宋体" w:eastAsia="宋体" w:cs="宋体"/>
                <w:bCs/>
                <w:color w:val="0000ff"/>
                <w:sz w:val="21"/>
                <w:szCs w:val="21"/>
              </w:rPr>
            </w:pPr>
            <w:r>
              <w:rPr>
                <w:rFonts w:hint="eastAsia" w:ascii="宋体" w:hAnsi="宋体" w:eastAsia="宋体" w:cs="宋体"/>
                <w:bCs/>
                <w:color w:val="0000ff"/>
                <w:sz w:val="21"/>
                <w:szCs w:val="21"/>
              </w:rPr>
            </w:r>
            <w:r/>
          </w:p>
        </w:tc>
        <w:tc>
          <w:tcPr>
            <w:tcMar>
              <w:left w:w="15" w:type="dxa"/>
              <w:top w:w="15" w:type="dxa"/>
              <w:right w:w="15" w:type="dxa"/>
              <w:bottom w:w="0" w:type="dxa"/>
            </w:tcMar>
            <w:tcW w:w="927"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W w:w="132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W w:w="900"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W w:w="120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r>
      <w:tr>
        <w:trPr>
          <w:cantSplit/>
          <w:jc w:val="center"/>
          <w:trHeight w:val="680"/>
        </w:trPr>
        <w:tc>
          <w:tcPr>
            <w:tcMar>
              <w:left w:w="15" w:type="dxa"/>
              <w:top w:w="15" w:type="dxa"/>
              <w:right w:w="15" w:type="dxa"/>
              <w:bottom w:w="0" w:type="dxa"/>
            </w:tcMar>
            <w:tcW w:w="590" w:type="dxa"/>
            <w:vAlign w:val="center"/>
            <w:textDirection w:val="lrTb"/>
            <w:noWrap/>
          </w:tcPr>
          <w:p>
            <w:pPr>
              <w:jc w:val="cente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w:t>
            </w:r>
            <w:r/>
          </w:p>
        </w:tc>
        <w:tc>
          <w:tcPr>
            <w:gridSpan w:val="7"/>
            <w:tcMar>
              <w:left w:w="15" w:type="dxa"/>
              <w:top w:w="15" w:type="dxa"/>
              <w:right w:w="15" w:type="dxa"/>
              <w:bottom w:w="0" w:type="dxa"/>
            </w:tcMar>
            <w:tcW w:w="8182" w:type="dxa"/>
            <w:vAlign w:val="center"/>
            <w:textDirection w:val="lrTb"/>
            <w:noWrap/>
          </w:tcPr>
          <w:p>
            <w:pPr>
              <w:jc w:val="center"/>
              <w:rPr>
                <w:rFonts w:hint="eastAsia" w:ascii="宋体" w:hAnsi="宋体" w:eastAsia="宋体" w:cs="宋体"/>
                <w:b/>
                <w:bCs/>
                <w:color w:val="0000ff"/>
                <w:sz w:val="21"/>
                <w:szCs w:val="21"/>
                <w:lang w:val="en-US" w:eastAsia="zh-CN"/>
              </w:rPr>
            </w:pPr>
            <w:r>
              <w:rPr>
                <w:rFonts w:hint="eastAsia" w:ascii="宋体" w:hAnsi="宋体" w:cs="宋体"/>
                <w:b/>
                <w:bCs/>
                <w:color w:val="0000ff"/>
                <w:sz w:val="21"/>
                <w:szCs w:val="21"/>
                <w:lang w:val="en-US" w:eastAsia="zh-CN"/>
              </w:rPr>
              <w:t xml:space="preserve">总计</w:t>
            </w:r>
            <w:r/>
          </w:p>
        </w:tc>
        <w:tc>
          <w:tcPr>
            <w:tcW w:w="120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r>
    </w:tbl>
    <w:p>
      <w:pPr>
        <w:spacing w:before="5" w:line="560" w:lineRule="atLeas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法定代表人或法定代表人授权代表签字或盖章：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供应商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供应商属于监狱企业的证明文件复印件；或提供投标供应商《残疾人福利性单位声明函》。如未按要求填写和提供有效证明或相关内容表述不清的，不得享受价格扣除。投标供应商对所报相关数据的真实性负责，无锡市公共资源交易中心新吴分中心有权将相关内容进行公示；</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）投标供应商应当根据</w:t>
      </w:r>
      <w:r>
        <w:rPr>
          <w:rFonts w:hint="eastAsia" w:ascii="宋体" w:hAnsi="宋体"/>
          <w:bCs/>
          <w:color w:val="000000" w:themeColor="text1"/>
          <w:szCs w:val="21"/>
          <w:highlight w:val="none"/>
          <w14:textFill>
            <w14:solidFill>
              <w14:schemeClr w14:val="tx1"/>
            </w14:solidFill>
          </w14:textFill>
        </w:rPr>
        <w:t xml:space="preserve">“项目技术要求和有关说明”</w:t>
      </w:r>
      <w:r>
        <w:rPr>
          <w:rFonts w:hint="eastAsia" w:ascii="宋体" w:hAnsi="宋体"/>
          <w:bCs/>
          <w:color w:val="000000" w:themeColor="text1"/>
          <w:highlight w:val="none"/>
          <w14:textFill>
            <w14:solidFill>
              <w14:schemeClr w14:val="tx1"/>
            </w14:solidFill>
          </w14:textFill>
        </w:rPr>
        <w:t xml:space="preserve">的内容在上表中详细填写；</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（4）当采购项目或者采</w:t>
      </w:r>
      <w:r>
        <w:rPr>
          <w:rFonts w:hint="eastAsia" w:ascii="宋体" w:hAnsi="宋体"/>
          <w:bCs/>
          <w:color w:val="000000" w:themeColor="text1"/>
          <w:highlight w:val="none"/>
          <w14:textFill>
            <w14:solidFill>
              <w14:schemeClr w14:val="tx1"/>
            </w14:solidFill>
          </w14:textFill>
        </w:rPr>
        <w:t xml:space="preserve">购包的采购标的中含有多种产品，投标供应商除按本文件要求提供《关于符合本国产品标准的声明函》外，还应在本表中进行承诺，投标供应商为该采购项目或者采购包提供的符合本国产品标准的产品成本之和占该投标供应商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供应商可不用填报。（相关具体要求可详见第五章第二部分“对本国产品的支持政策”）</w:t>
      </w:r>
      <w:r/>
    </w:p>
    <w:p>
      <w:pPr>
        <w:ind w:firstLine="315"/>
        <w:spacing w:line="400" w:lineRule="exact"/>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bCs/>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 xml:space="preserve">货物成本之和</w:t>
      </w:r>
      <w:r>
        <w:rPr>
          <w:rFonts w:hint="eastAsia" w:ascii="宋体" w:hAnsi="宋体"/>
          <w:bCs/>
          <w:color w:val="000000" w:themeColor="text1"/>
          <w:highlight w:val="none"/>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 xml:space="preserve">全部货物、服务产品的成本之和</w:t>
      </w:r>
      <w:r>
        <w:rPr>
          <w:rFonts w:hint="eastAsia" w:ascii="宋体" w:hAnsi="宋体"/>
          <w:bCs/>
          <w:color w:val="000000" w:themeColor="text1"/>
          <w:highlight w:val="none"/>
          <w:u w:val="singl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br w:type="page" w:clear="all"/>
      </w:r>
      <w:r/>
    </w:p>
    <w:p>
      <w:pPr>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（七）声明函（格式）：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中小企业声明函（货物）</w:t>
      </w:r>
      <w:r/>
    </w:p>
    <w:p>
      <w:pPr>
        <w:rPr>
          <w:rFonts w:ascii="Calibri"/>
          <w:color w:val="000000" w:themeColor="text1"/>
          <w:highlight w:val="none"/>
          <w14:textFill>
            <w14:solidFill>
              <w14:schemeClr w14:val="tx1"/>
            </w14:solidFill>
          </w14:textFill>
        </w:rPr>
      </w:pPr>
      <w:r>
        <w:rPr>
          <w:rFonts w:ascii="Calibri"/>
          <w:color w:val="000000" w:themeColor="text1"/>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bCs/>
          <w:color w:val="000000" w:themeColor="text1"/>
          <w:sz w:val="24"/>
          <w:highlight w:val="none"/>
          <w:u w:val="singl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 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  期：</w:t>
      </w:r>
      <w:r/>
    </w:p>
    <w:p>
      <w:pPr>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供应商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供应商未按上述要求逐一进行填报的将被视为无效投标文件；非专门面向中小企业的项目投标供应商未按上述要求逐一进行填报的将不进行中、小、微型企业认定。</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center"/>
        <w:spacing w:line="360" w:lineRule="auto"/>
        <w:rPr>
          <w:rFonts w:ascii="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1.（产品名称1）</w:t>
      </w:r>
      <w:r>
        <w:rPr>
          <w:rFonts w:hint="eastAsia" w:ascii="宋体" w:hAnsi="宋体"/>
          <w:bCs/>
          <w:color w:val="000000" w:themeColor="text1"/>
          <w:sz w:val="24"/>
          <w:highlight w:val="none"/>
          <w:vertAlign w:val="superscript"/>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，生产厂为（厂名）</w:t>
      </w:r>
      <w:r>
        <w:rPr>
          <w:rFonts w:hint="eastAsia" w:ascii="宋体" w:hAnsi="宋体"/>
          <w:bCs/>
          <w:color w:val="000000" w:themeColor="text1"/>
          <w:sz w:val="24"/>
          <w:highlight w:val="none"/>
          <w:vertAlign w:val="superscript"/>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，厂址为（生产厂址）。（</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6.划删除线的地方无需填写。</w:t>
      </w:r>
      <w:r/>
    </w:p>
    <w:p>
      <w:pPr>
        <w:pStyle w:val="6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5" w:hanging="425"/>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24"/>
          <w:highlight w:val="none"/>
          <w14:textFill>
            <w14:solidFill>
              <w14:schemeClr w14:val="tx1"/>
            </w14:solidFill>
          </w14:textFill>
        </w:rPr>
        <w:t xml:space="preserve">（八）残疾人福利性单位声明函（格式）</w:t>
      </w:r>
      <w:r/>
    </w:p>
    <w:p>
      <w:pPr>
        <w:pStyle w:val="722"/>
        <w:ind w:firstLine="0"/>
        <w:jc w:val="center"/>
        <w:spacing w:before="0" w:beforeAutospacing="0" w:after="0" w:afterAutospacing="0" w:line="480" w:lineRule="atLeast"/>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r>
      <w:r/>
    </w:p>
    <w:p>
      <w:pPr>
        <w:pStyle w:val="722"/>
        <w:ind w:firstLine="0"/>
        <w:jc w:val="center"/>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残疾人福利性单位声明函</w:t>
      </w:r>
      <w:r/>
    </w:p>
    <w:p>
      <w:pPr>
        <w:pStyle w:val="722"/>
        <w:ind w:firstLine="48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单位的</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22"/>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本单位对上述声明的真实性负责。如有虚假，将依法承担相应责任。</w:t>
      </w:r>
      <w:r/>
    </w:p>
    <w:p>
      <w:pPr>
        <w:pStyle w:val="722"/>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2"/>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2"/>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pStyle w:val="722"/>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ind w:firstLine="422"/>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rPr>
          <w:rFonts w:ascii="黑体" w:eastAsia="黑体" w:cs="宋体"/>
          <w:b/>
          <w:color w:val="000000" w:themeColor="text1"/>
          <w:sz w:val="32"/>
          <w:szCs w:val="3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九）项目人员配备表（格式）</w:t>
      </w:r>
      <w:r/>
    </w:p>
    <w:p>
      <w:pPr>
        <w:jc w:val="center"/>
        <w:spacing w:line="360" w:lineRule="auto"/>
        <w:rPr>
          <w:rFonts w:ascii="黑体" w:eastAsia="黑体" w:cs="宋体"/>
          <w:b/>
          <w:color w:val="000000" w:themeColor="text1"/>
          <w:sz w:val="32"/>
          <w:szCs w:val="32"/>
          <w:highlight w:val="none"/>
          <w14:textFill>
            <w14:solidFill>
              <w14:schemeClr w14:val="tx1"/>
            </w14:solidFill>
          </w14:textFill>
        </w:rPr>
      </w:pPr>
      <w:r>
        <w:rPr>
          <w:rFonts w:ascii="黑体" w:eastAsia="黑体" w:cs="宋体"/>
          <w:b/>
          <w:color w:val="000000" w:themeColor="text1"/>
          <w:sz w:val="32"/>
          <w:szCs w:val="32"/>
          <w:highlight w:val="none"/>
          <w14:textFill>
            <w14:solidFill>
              <w14:schemeClr w14:val="tx1"/>
            </w14:solidFill>
          </w14:textFill>
        </w:rPr>
      </w:r>
      <w:r/>
    </w:p>
    <w:p>
      <w:pPr>
        <w:ind w:firstLine="244"/>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项目人员配备表</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4"/>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923"/>
        <w:gridCol w:w="1533"/>
        <w:gridCol w:w="1533"/>
        <w:gridCol w:w="1351"/>
        <w:gridCol w:w="1715"/>
        <w:gridCol w:w="1021"/>
      </w:tblGrid>
      <w:tr>
        <w:trPr>
          <w:jc w:val="center"/>
          <w:trHeight w:val="974"/>
        </w:trPr>
        <w:tc>
          <w:tcPr>
            <w:tcW w:w="94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序</w:t>
            </w:r>
            <w:r>
              <w:rPr>
                <w:rFonts w:hint="eastAsia" w:ascii="宋体" w:hAnsi="宋体"/>
                <w:b/>
                <w:bCs/>
                <w:color w:val="000000" w:themeColor="text1"/>
                <w:szCs w:val="21"/>
                <w:highlight w:val="none"/>
                <w14:textFill>
                  <w14:solidFill>
                    <w14:schemeClr w14:val="tx1"/>
                  </w14:solidFill>
                </w14:textFill>
              </w:rPr>
              <w:t xml:space="preserve"> 号</w:t>
            </w:r>
            <w:r/>
          </w:p>
        </w:tc>
        <w:tc>
          <w:tcPr>
            <w:tcW w:w="92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 名</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证书类型</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社保缴纳时间</w:t>
            </w:r>
            <w:r/>
          </w:p>
        </w:tc>
        <w:tc>
          <w:tcPr>
            <w:tcW w:w="135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联系方式</w:t>
            </w:r>
            <w:r/>
          </w:p>
        </w:tc>
        <w:tc>
          <w:tcPr>
            <w:tcW w:w="1715"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劳动合同期限</w:t>
            </w:r>
            <w:r/>
          </w:p>
        </w:tc>
        <w:tc>
          <w:tcPr>
            <w:tcW w:w="1021" w:type="dxa"/>
            <w:vAlign w:val="center"/>
            <w:textDirection w:val="lrTb"/>
            <w:noWrap w:val="false"/>
          </w:tcPr>
          <w:p>
            <w:pPr>
              <w:jc w:val="center"/>
              <w:spacing w:after="120"/>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 注</w:t>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60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ind w:left="420" w:hanging="420"/>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注：按招标文件要求附人员相关证书，表格不够可自行延长。</w:t>
      </w:r>
      <w:r/>
    </w:p>
    <w:p>
      <w:pPr>
        <w:jc w:val="center"/>
        <w:spacing w:line="40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投标供应商公章：</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授权代表签字:  </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rFonts w:hint="eastAsia"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（十）投标供应商类似业绩一览表（格式）</w:t>
      </w:r>
      <w:r/>
    </w:p>
    <w:p>
      <w:pPr>
        <w:ind w:firstLine="3373"/>
        <w:jc w:val="left"/>
        <w:spacing w:before="11"/>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投标供应商类似业绩一览表</w:t>
      </w:r>
      <w:r/>
    </w:p>
    <w:tbl>
      <w:tblPr>
        <w:tblStyle w:val="694"/>
        <w:tblW w:w="5051"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8"/>
        <w:gridCol w:w="1753"/>
        <w:gridCol w:w="1416"/>
        <w:gridCol w:w="1785"/>
        <w:gridCol w:w="2148"/>
        <w:gridCol w:w="1044"/>
      </w:tblGrid>
      <w:tr>
        <w:trPr>
          <w:trHeight w:val="935"/>
        </w:trPr>
        <w:tc>
          <w:tcPr>
            <w:tcW w:w="550" w:type="pct"/>
            <w:vAlign w:val="center"/>
            <w:textDirection w:val="lrTb"/>
            <w:noWrap w:val="false"/>
          </w:tcPr>
          <w:p>
            <w:pPr>
              <w:ind w:left="287" w:right="16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序号</w:t>
            </w:r>
            <w:r/>
          </w:p>
        </w:tc>
        <w:tc>
          <w:tcPr>
            <w:tcW w:w="957"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项目名称</w:t>
            </w:r>
            <w:r/>
          </w:p>
        </w:tc>
        <w:tc>
          <w:tcPr>
            <w:tcW w:w="773" w:type="pct"/>
            <w:vAlign w:val="center"/>
            <w:textDirection w:val="lrTb"/>
            <w:noWrap w:val="false"/>
          </w:tcPr>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合同签订时间</w:t>
            </w:r>
            <w:r/>
          </w:p>
        </w:tc>
        <w:tc>
          <w:tcPr>
            <w:tcW w:w="975" w:type="pct"/>
            <w:vAlign w:val="center"/>
            <w:textDirection w:val="lrTb"/>
            <w:noWrap w:val="false"/>
          </w:tcPr>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合同金额</w:t>
            </w:r>
            <w:r/>
          </w:p>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（人民币）</w:t>
            </w:r>
            <w:r/>
          </w:p>
        </w:tc>
        <w:tc>
          <w:tcPr>
            <w:tcW w:w="1173"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项目业主</w:t>
            </w:r>
            <w:r/>
          </w:p>
        </w:tc>
        <w:tc>
          <w:tcPr>
            <w:tcW w:w="570"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备注</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1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2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3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4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5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bl>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注：1、表格可自行延长。</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 标 人：</w:t>
      </w:r>
      <w:r>
        <w:rPr>
          <w:rFonts w:hint="eastAsia" w:ascii="宋体" w:hAnsi="宋体" w:cs="宋体"/>
          <w:color w:val="000000" w:themeColor="text1"/>
          <w:sz w:val="24"/>
          <w:highlight w:val="none"/>
          <w:u w:val="single"/>
          <w14:textFill>
            <w14:solidFill>
              <w14:schemeClr w14:val="tx1"/>
            </w14:solidFill>
          </w14:textFill>
        </w:rPr>
        <w:t xml:space="preserve">                              （盖章）</w:t>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法定代表人或其授权代理人：</w:t>
      </w:r>
      <w:r>
        <w:rPr>
          <w:rFonts w:hint="eastAsia" w:ascii="宋体" w:hAnsi="宋体" w:cs="宋体"/>
          <w:color w:val="000000" w:themeColor="text1"/>
          <w:sz w:val="24"/>
          <w:highlight w:val="none"/>
          <w:u w:val="single"/>
          <w14:textFill>
            <w14:solidFill>
              <w14:schemeClr w14:val="tx1"/>
            </w14:solidFill>
          </w14:textFill>
        </w:rPr>
        <w:t xml:space="preserve">          （签字或盖章</w:t>
      </w:r>
      <w:r>
        <w:rPr>
          <w:rFonts w:hint="eastAsia" w:ascii="宋体" w:hAnsi="宋体" w:cs="宋体"/>
          <w:color w:val="000000" w:themeColor="text1"/>
          <w:spacing w:val="-20"/>
          <w:sz w:val="24"/>
          <w:highlight w:val="none"/>
          <w:u w:val="single"/>
          <w14:textFill>
            <w14:solidFill>
              <w14:schemeClr w14:val="tx1"/>
            </w14:solidFill>
          </w14:textFill>
        </w:rPr>
        <w:t xml:space="preserve">）</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pStyle w:val="7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jc w:val="center"/>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r>
      <w:r/>
    </w:p>
    <w:p>
      <w:pPr>
        <w:jc w:val="left"/>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（十一）技术偏离表（格式）</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244"/>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技术偏离表</w:t>
      </w:r>
      <w:r/>
    </w:p>
    <w:p>
      <w:pPr>
        <w:ind w:firstLine="241"/>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241"/>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投标供应商名称（盖章）                           采购项目编号：</w:t>
      </w:r>
      <w:r/>
    </w:p>
    <w:tbl>
      <w:tblPr>
        <w:tblStyle w:val="694"/>
        <w:tblW w:w="9423" w:type="dxa"/>
        <w:jc w:val="center"/>
        <w:tblLayout w:type="fixed"/>
        <w:tblCellMar>
          <w:left w:w="0" w:type="dxa"/>
          <w:top w:w="0" w:type="dxa"/>
          <w:right w:w="0" w:type="dxa"/>
          <w:bottom w:w="0" w:type="dxa"/>
        </w:tblCellMar>
        <w:tblLook w:val="04A0" w:firstRow="1" w:lastRow="0" w:firstColumn="1" w:lastColumn="0" w:noHBand="0" w:noVBand="1"/>
      </w:tblPr>
      <w:tblGrid>
        <w:gridCol w:w="1905"/>
        <w:gridCol w:w="2281"/>
        <w:gridCol w:w="2528"/>
        <w:gridCol w:w="2709"/>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bl>
    <w:p>
      <w:pPr>
        <w:pStyle w:val="712"/>
        <w:tabs>
          <w:tab w:val="center" w:pos="4153" w:leader="none"/>
          <w:tab w:val="clear" w:pos="7143" w:leader="none"/>
          <w:tab w:val="right" w:pos="8306" w:leader="none"/>
          <w:tab w:val="clear" w:pos="14287"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法定代表人或授权代表签字：</w:t>
      </w:r>
      <w:r/>
    </w:p>
    <w:p>
      <w:pPr>
        <w:pStyle w:val="6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keepLines/>
        <w:keepNext/>
        <w:tabs>
          <w:tab w:val="left" w:pos="180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注：（1）本表不得删除，</w:t>
      </w:r>
      <w:r>
        <w:rPr>
          <w:rFonts w:hint="eastAsia" w:ascii="宋体" w:hAnsi="宋体"/>
          <w:b/>
          <w:color w:val="000000" w:themeColor="text1"/>
          <w:sz w:val="24"/>
          <w:highlight w:val="none"/>
          <w14:textFill>
            <w14:solidFill>
              <w14:schemeClr w14:val="tx1"/>
            </w14:solidFill>
          </w14:textFill>
        </w:rPr>
        <w:t xml:space="preserve">投标供应商应当根据“采购需求”逐项填列；</w:t>
      </w:r>
      <w:r/>
    </w:p>
    <w:p>
      <w:pP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（2）如无任何技术偏离，请于本表“偏离说明”中注明“无偏离”；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 w:val="0"/>
          <w:bCs w:val="0"/>
          <w:color w:val="000000" w:themeColor="text1"/>
          <w:sz w:val="24"/>
          <w:highlight w:val="none"/>
          <w14:textFill>
            <w14:solidFill>
              <w14:schemeClr w14:val="tx1"/>
            </w14:solidFill>
          </w14:textFill>
        </w:rPr>
        <w:t xml:space="preserve">（3）如有技术偏离项，请于本表中列明正偏离或者负偏离并说明偏离内容，本表可自行延长，其余无偏离内容不须赘述。</w:t>
      </w:r>
      <w:r/>
    </w:p>
    <w:p>
      <w:pP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 （4）负偏离项须逐项列明偏离内容，未全部列明负偏离项视为未实质性响应，按无效标处理。</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01"/>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（十二）投标供应商简介和经营情况说明（格式）</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投标供应商情况表</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（内容写不完的栏目可相应扩展）</w:t>
      </w:r>
      <w:r/>
    </w:p>
    <w:tbl>
      <w:tblPr>
        <w:tblStyle w:val="69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84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中级职称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高级职称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132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办公面积</w:t>
            </w:r>
            <w:r/>
          </w:p>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自有面积    平方米</w:t>
            </w:r>
            <w:r/>
          </w:p>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14:textFill>
                  <w14:solidFill>
                    <w14:schemeClr w14:val="tx1"/>
                  </w14:solidFill>
                </w14:textFill>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bl>
    <w:p>
      <w:pPr>
        <w:pStyle w:val="698"/>
        <w:ind w:left="2940"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698"/>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法定代表人或其授权代表签字：</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（十三）评分标准中对应的其它所需证明材料（如有自行添加）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（十四）要求采购人提供的配合（如有自拟并自行添加）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（十五）其它（供应商认为有必要提供的声明和文件，如有自拟并自行添加）</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480" w:lineRule="auto"/>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方正仿宋_GBK">
    <w:panose1 w:val="020B0503020202020204"/>
  </w:font>
  <w:font w:name="Arial Unicode MS">
    <w:panose1 w:val="020B0604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微软雅黑">
    <w:panose1 w:val="020B0503020204020204"/>
  </w:font>
  <w:font w:name="Calibri">
    <w:panose1 w:val="020F0502020204030204"/>
  </w:font>
  <w:font w:name="inherit">
    <w:panose1 w:val="020B0503020202020204"/>
  </w:font>
  <w:font w:name="Arial">
    <w:panose1 w:val="020B0604020202020204"/>
  </w:font>
  <w:font w:name="隶书">
    <w:panose1 w:val="02010509060101010101"/>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color w:val="000000" w:themeColor="text1"/>
        <w14:textFill>
          <w14:solidFill>
            <w14:schemeClr w14:val="tx1"/>
          </w14:solidFill>
        </w14:textFill>
      </w:rPr>
      <w:pBdr>
        <w:bottom w:val="none" w:color="000000" w:sz="0" w:space="1"/>
      </w:pBdr>
    </w:pPr>
    <w:r>
      <w:rPr>
        <w:color w:val="000000" w:themeColor="text1"/>
        <w14:textFill>
          <w14:solidFill>
            <w14:schemeClr w14:val="tx1"/>
          </w14:solidFill>
        </w14:textFill>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2">
    <w:multiLevelType w:val="hybridMultilevel"/>
    <w:lvl w:ilvl="0">
      <w:start w:val="1"/>
      <w:numFmt w:val="decimal"/>
      <w:isLgl w:val="false"/>
      <w:suff w:val="tab"/>
      <w:lvlText w:val="%1."/>
      <w:lvlJc w:val="left"/>
      <w:pPr>
        <w:ind w:left="420" w:hanging="420"/>
        <w:tabs>
          <w:tab w:val="left" w:pos="0" w:leader="none"/>
        </w:tabs>
      </w:pPr>
      <w:rPr>
        <w:rFonts w:ascii="Times New Roman" w:hAnsi="Times New Roman" w:eastAsia="宋体" w:cs="Times New Roman"/>
        <w:b/>
        <w:i w:val="0"/>
        <w:sz w:val="44"/>
        <w:szCs w:val="44"/>
      </w:rPr>
    </w:lvl>
    <w:lvl w:ilvl="1">
      <w:start w:val="1"/>
      <w:numFmt w:val="decimal"/>
      <w:isLgl w:val="false"/>
      <w:suff w:val="space"/>
      <w:lvlText w:val="%1.%2"/>
      <w:lvlJc w:val="left"/>
      <w:pPr>
        <w:ind w:left="0" w:firstLine="0"/>
      </w:pPr>
      <w:rPr>
        <w:rFonts w:ascii="Times New Roman" w:hAnsi="Times New Roman" w:eastAsia="宋体" w:cs="Times New Roman"/>
      </w:rPr>
    </w:lvl>
    <w:lvl w:ilvl="2">
      <w:start w:val="1"/>
      <w:numFmt w:val="decimal"/>
      <w:isLgl w:val="false"/>
      <w:suff w:val="space"/>
      <w:lvlText w:val="%1.%2.%3"/>
      <w:lvlJc w:val="left"/>
      <w:pPr>
        <w:ind w:left="1440" w:hanging="1440"/>
      </w:pPr>
      <w:rPr>
        <w:rFonts w:ascii="Times New Roman" w:hAnsi="Times New Roman" w:eastAsia="宋体" w:cs="Times New Roman"/>
      </w:rPr>
    </w:lvl>
    <w:lvl w:ilvl="3">
      <w:start w:val="1"/>
      <w:numFmt w:val="decimal"/>
      <w:isLgl w:val="false"/>
      <w:suff w:val="tab"/>
      <w:lvlText w:val="%1.%2.%3.%4"/>
      <w:lvlJc w:val="left"/>
      <w:pPr>
        <w:ind w:left="864" w:hanging="864"/>
        <w:tabs>
          <w:tab w:val="left" w:pos="0" w:leader="none"/>
        </w:tabs>
      </w:pPr>
      <w:rPr>
        <w:rFonts w:hint="eastAsia"/>
      </w:rPr>
    </w:lvl>
    <w:lvl w:ilvl="4">
      <w:start w:val="1"/>
      <w:numFmt w:val="decimal"/>
      <w:isLgl w:val="false"/>
      <w:suff w:val="tab"/>
      <w:lvlText w:val="%1.%2.%3.%4.%5"/>
      <w:lvlJc w:val="left"/>
      <w:pPr>
        <w:ind w:left="1008" w:hanging="1008"/>
        <w:tabs>
          <w:tab w:val="left" w:pos="0" w:leader="none"/>
        </w:tabs>
      </w:pPr>
      <w:rPr>
        <w:rFonts w:hint="eastAsia"/>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3">
    <w:multiLevelType w:val="hybridMultilevel"/>
    <w:lvl w:ilvl="0">
      <w:start w:val="1"/>
      <w:numFmt w:val="lowerLetter"/>
      <w:pStyle w:val="1192"/>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18"/>
      <w:isLgl w:val="false"/>
      <w:suff w:val="tab"/>
      <w:lvlText w:val="第%1部分"/>
      <w:lvlJc w:val="left"/>
      <w:pPr>
        <w:ind w:left="425" w:hanging="425"/>
        <w:tabs>
          <w:tab w:val="left" w:pos="1800" w:leader="none"/>
        </w:tabs>
      </w:pPr>
      <w:rPr>
        <w:rFonts w:hint="eastAsia"/>
      </w:rPr>
    </w:lvl>
    <w:lvl w:ilvl="1">
      <w:start w:val="1"/>
      <w:numFmt w:val="decimal"/>
      <w:pStyle w:val="919"/>
      <w:isLgl w:val="false"/>
      <w:suff w:val="tab"/>
      <w:lvlText w:val="%1.%2"/>
      <w:lvlJc w:val="left"/>
      <w:pPr>
        <w:ind w:left="567" w:hanging="567"/>
        <w:tabs>
          <w:tab w:val="left" w:pos="567" w:leader="none"/>
        </w:tabs>
      </w:pPr>
      <w:rPr>
        <w:rFonts w:hint="eastAsia"/>
      </w:rPr>
    </w:lvl>
    <w:lvl w:ilvl="2">
      <w:start w:val="1"/>
      <w:numFmt w:val="decimal"/>
      <w:pStyle w:val="1024"/>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21"/>
      <w:isLgl w:val="false"/>
      <w:suff w:val="tab"/>
      <w:lvlText w:val="%1.%2.%3.%4.%5"/>
      <w:lvlJc w:val="left"/>
      <w:pPr>
        <w:ind w:left="992" w:hanging="992"/>
        <w:tabs>
          <w:tab w:val="left" w:pos="1080" w:leader="none"/>
        </w:tabs>
      </w:pPr>
      <w:rPr>
        <w:rFonts w:hint="eastAsia"/>
      </w:rPr>
    </w:lvl>
    <w:lvl w:ilvl="5">
      <w:start w:val="1"/>
      <w:numFmt w:val="decimal"/>
      <w:pStyle w:val="922"/>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4"/>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rPr>
        <w:rFonts w:hint="default" w:ascii="Times New Roman" w:hAnsi="Times New Roman" w:cs="Times New Roman"/>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8">
    <w:multiLevelType w:val="hybridMultilevel"/>
    <w:lvl w:ilvl="0">
      <w:start w:val="1"/>
      <w:numFmt w:val="decimal"/>
      <w:isLgl w:val="false"/>
      <w:suff w:val="tab"/>
      <w:lvlText w:val="%1."/>
      <w:lvlJc w:val="left"/>
      <w:pPr>
        <w:ind w:left="420" w:hanging="420"/>
      </w:pPr>
      <w:rPr>
        <w:rFonts w:hint="default" w:ascii="Times New Roman" w:hAnsi="Times New Roman" w:cs="Times New Roman"/>
        <w:strike w:val="0"/>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9">
    <w:multiLevelType w:val="hybridMultilevel"/>
    <w:lvl w:ilvl="0">
      <w:start w:val="1"/>
      <w:numFmt w:val="bullet"/>
      <w:pStyle w:val="708"/>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decimal"/>
      <w:isLgl w:val="false"/>
      <w:suff w:val="tab"/>
      <w:lvlText w:val="（%2）"/>
      <w:lvlJc w:val="left"/>
      <w:pPr>
        <w:ind w:left="1125" w:hanging="420"/>
        <w:tabs>
          <w:tab w:val="left" w:pos="1129" w:leader="none"/>
        </w:tabs>
      </w:pPr>
      <w:rPr>
        <w:rFonts w:hint="eastAsia"/>
        <w:lang w:val="en-US"/>
      </w:rPr>
    </w:lvl>
    <w:lvl w:ilvl="2">
      <w:start w:val="1"/>
      <w:numFmt w:val="japaneseCounting"/>
      <w:isLgl w:val="false"/>
      <w:suff w:val="tab"/>
      <w:lvlText w:val="%3、"/>
      <w:lvlJc w:val="left"/>
      <w:pPr>
        <w:ind w:left="1350" w:hanging="510"/>
      </w:pPr>
      <w:rPr>
        <w:rFonts w:hint="default" w:eastAsia="黑体" w:cs="Arial"/>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0"/>
      <w:numFmt w:val="decimal"/>
      <w:pStyle w:val="1162"/>
      <w:isLgl w:val="false"/>
      <w:suff w:val="tab"/>
      <w:lvlText w:val=""/>
      <w:lvlJc w:val="left"/>
      <w:pPr>
        <w:tabs>
          <w:tab w:val="left" w:pos="360" w:leader="none"/>
        </w:tabs>
      </w:pPr>
    </w:lvl>
    <w:lvl w:ilvl="1">
      <w:start w:val="1"/>
      <w:numFmt w:val="bullet"/>
      <w:pStyle w:val="120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5"/>
  </w:num>
  <w:num w:numId="4">
    <w:abstractNumId w:val="3"/>
  </w:num>
  <w:num w:numId="5">
    <w:abstractNumId w:val="2"/>
    <w:lvlOverride w:ilvl="0">
      <w:lvl w:ilvl="0">
        <w:start w:val="1"/>
        <w:numFmt w:val="decimal"/>
        <w:pStyle w:val="1215"/>
        <w:isLgl w:val="false"/>
        <w:suff w:val="tab"/>
        <w:lvlText w:val="%1."/>
        <w:lvlJc w:val="left"/>
        <w:pPr>
          <w:ind w:left="5806" w:hanging="420"/>
          <w:tabs>
            <w:tab w:val="left" w:pos="0" w:leader="none"/>
          </w:tabs>
        </w:pPr>
        <w:rPr>
          <w:rFonts w:ascii="Times New Roman" w:hAnsi="Times New Roman" w:eastAsia="宋体" w:cs="Times New Roman"/>
          <w:b/>
          <w:i w:val="0"/>
          <w:sz w:val="44"/>
          <w:szCs w:val="44"/>
        </w:rPr>
      </w:lvl>
    </w:lvlOverride>
  </w:num>
  <w:num w:numId="6">
    <w:abstractNumId w:val="11"/>
  </w:num>
  <w:num w:numId="7">
    <w:abstractNumId w:val="17"/>
  </w:num>
  <w:num w:numId="8">
    <w:abstractNumId w:val="10"/>
  </w:num>
  <w:num w:numId="9">
    <w:abstractNumId w:val="0"/>
  </w:num>
  <w:num w:numId="10">
    <w:abstractNumId w:val="12"/>
  </w:num>
  <w:num w:numId="11">
    <w:abstractNumId w:val="16"/>
  </w:num>
  <w:num w:numId="12">
    <w:abstractNumId w:val="4"/>
  </w:num>
  <w:num w:numId="13">
    <w:abstractNumId w:val="14"/>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7"/>
  </w:num>
  <w:num w:numId="17">
    <w:abstractNumId w:val="6"/>
  </w:num>
  <w:num w:numId="18">
    <w:abstractNumId w:val="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next w:val="6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4">
    <w:name w:val="Heading 1"/>
    <w:basedOn w:val="683"/>
    <w:next w:val="683"/>
    <w:link w:val="790"/>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91"/>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92"/>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93"/>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94"/>
    <w:uiPriority w:val="9"/>
    <w:unhideWhenUsed/>
    <w:qFormat/>
    <w:pPr>
      <w:keepLines/>
      <w:keepNext/>
      <w:spacing w:before="320" w:after="200"/>
      <w:outlineLvl w:val="4"/>
    </w:pPr>
    <w:rPr>
      <w:rFonts w:ascii="Arial" w:hAnsi="Arial" w:eastAsia="Arial" w:cs="Arial"/>
      <w:b/>
      <w:bCs/>
      <w:sz w:val="24"/>
    </w:rPr>
  </w:style>
  <w:style w:type="paragraph" w:styleId="689">
    <w:name w:val="Heading 6"/>
    <w:basedOn w:val="683"/>
    <w:next w:val="683"/>
    <w:link w:val="795"/>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97"/>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98"/>
    <w:uiPriority w:val="9"/>
    <w:unhideWhenUsed/>
    <w:qFormat/>
    <w:pPr>
      <w:keepLines/>
      <w:keepNext/>
      <w:spacing w:before="320" w:after="200"/>
      <w:outlineLvl w:val="8"/>
    </w:pPr>
    <w:rPr>
      <w:rFonts w:ascii="Arial" w:hAnsi="Arial" w:eastAsia="Arial" w:cs="Arial"/>
      <w:i/>
      <w:iCs/>
      <w:szCs w:val="21"/>
    </w:rPr>
  </w:style>
  <w:style w:type="character" w:styleId="693" w:default="1">
    <w:name w:val="Default Paragraph Font"/>
    <w:uiPriority w:val="1"/>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Body Text First Indent 2"/>
    <w:basedOn w:val="696"/>
    <w:next w:val="683"/>
    <w:uiPriority w:val="0"/>
    <w:qFormat/>
    <w:pPr>
      <w:ind w:firstLine="420"/>
    </w:pPr>
  </w:style>
  <w:style w:type="paragraph" w:styleId="696">
    <w:name w:val="Body Text Indent"/>
    <w:basedOn w:val="683"/>
    <w:uiPriority w:val="0"/>
    <w:qFormat/>
    <w:pPr>
      <w:ind w:left="420"/>
      <w:spacing w:after="120"/>
    </w:pPr>
  </w:style>
  <w:style w:type="paragraph" w:styleId="697">
    <w:name w:val="toc 7"/>
    <w:basedOn w:val="683"/>
    <w:next w:val="683"/>
    <w:uiPriority w:val="39"/>
    <w:unhideWhenUsed/>
    <w:qFormat/>
    <w:pPr>
      <w:ind w:left="1701"/>
      <w:spacing w:after="57"/>
    </w:pPr>
  </w:style>
  <w:style w:type="paragraph" w:styleId="698">
    <w:name w:val="Normal Indent"/>
    <w:basedOn w:val="683"/>
    <w:uiPriority w:val="0"/>
    <w:qFormat/>
    <w:pPr>
      <w:ind w:firstLine="420"/>
    </w:pPr>
    <w:rPr>
      <w:rFonts w:ascii="Calibri" w:hAnsi="Calibri"/>
    </w:rPr>
  </w:style>
  <w:style w:type="paragraph" w:styleId="699">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3"/>
    <w:link w:val="1227"/>
    <w:uiPriority w:val="99"/>
    <w:unhideWhenUsed/>
    <w:qFormat/>
    <w:pPr>
      <w:jc w:val="left"/>
    </w:pPr>
  </w:style>
  <w:style w:type="paragraph" w:styleId="701">
    <w:name w:val="Body Text"/>
    <w:basedOn w:val="683"/>
    <w:uiPriority w:val="0"/>
    <w:qFormat/>
    <w:rPr>
      <w:rFonts w:ascii="华文中宋" w:hAnsi="Calibri" w:eastAsia="华文中宋"/>
      <w:bCs/>
      <w:sz w:val="28"/>
    </w:rPr>
  </w:style>
  <w:style w:type="paragraph" w:styleId="702">
    <w:name w:val="List 2"/>
    <w:basedOn w:val="683"/>
    <w:uiPriority w:val="0"/>
    <w:qFormat/>
    <w:pPr>
      <w:ind w:left="840" w:hanging="420"/>
    </w:pPr>
    <w:rPr>
      <w:rFonts w:hAnsi="新宋体"/>
      <w:color w:val="000000"/>
      <w:spacing w:val="-8"/>
      <w:szCs w:val="20"/>
    </w:rPr>
  </w:style>
  <w:style w:type="paragraph" w:styleId="703">
    <w:name w:val="Block Text"/>
    <w:basedOn w:val="683"/>
    <w:uiPriority w:val="0"/>
    <w:qFormat/>
    <w:pPr>
      <w:ind w:left="420" w:right="33"/>
      <w:jc w:val="left"/>
    </w:pPr>
    <w:rPr>
      <w:sz w:val="24"/>
      <w:szCs w:val="20"/>
    </w:rPr>
  </w:style>
  <w:style w:type="paragraph" w:styleId="704">
    <w:name w:val="index 4"/>
    <w:basedOn w:val="683"/>
    <w:next w:val="683"/>
    <w:uiPriority w:val="0"/>
    <w:qFormat/>
    <w:pPr>
      <w:ind w:left="600"/>
    </w:pPr>
  </w:style>
  <w:style w:type="paragraph" w:styleId="705">
    <w:name w:val="toc 5"/>
    <w:basedOn w:val="683"/>
    <w:next w:val="683"/>
    <w:uiPriority w:val="39"/>
    <w:unhideWhenUsed/>
    <w:qFormat/>
    <w:pPr>
      <w:ind w:left="1134"/>
      <w:spacing w:after="57"/>
    </w:pPr>
  </w:style>
  <w:style w:type="paragraph" w:styleId="706">
    <w:name w:val="toc 3"/>
    <w:basedOn w:val="683"/>
    <w:next w:val="683"/>
    <w:uiPriority w:val="39"/>
    <w:unhideWhenUsed/>
    <w:qFormat/>
    <w:pPr>
      <w:ind w:left="567"/>
      <w:spacing w:after="57"/>
    </w:pPr>
  </w:style>
  <w:style w:type="paragraph" w:styleId="707">
    <w:name w:val="Plain Text"/>
    <w:basedOn w:val="683"/>
    <w:uiPriority w:val="0"/>
    <w:qFormat/>
    <w:rPr>
      <w:rFonts w:ascii="宋体" w:hAnsi="Courier New"/>
      <w:sz w:val="20"/>
      <w:szCs w:val="21"/>
    </w:rPr>
  </w:style>
  <w:style w:type="paragraph" w:styleId="708">
    <w:name w:val="List Bullet 5"/>
    <w:basedOn w:val="683"/>
    <w:uiPriority w:val="99"/>
    <w:semiHidden/>
    <w:unhideWhenUsed/>
    <w:qFormat/>
    <w:pPr>
      <w:numPr>
        <w:ilvl w:val="0"/>
        <w:numId w:val="1"/>
      </w:numPr>
    </w:pPr>
  </w:style>
  <w:style w:type="paragraph" w:styleId="709">
    <w:name w:val="toc 8"/>
    <w:basedOn w:val="683"/>
    <w:next w:val="683"/>
    <w:uiPriority w:val="39"/>
    <w:unhideWhenUsed/>
    <w:qFormat/>
    <w:pPr>
      <w:ind w:left="1984"/>
      <w:spacing w:after="57"/>
    </w:pPr>
  </w:style>
  <w:style w:type="paragraph" w:styleId="710">
    <w:name w:val="Date"/>
    <w:basedOn w:val="683"/>
    <w:next w:val="683"/>
    <w:uiPriority w:val="0"/>
    <w:qFormat/>
    <w:pPr>
      <w:ind w:left="100"/>
    </w:pPr>
    <w:rPr>
      <w:rFonts w:ascii="隶书" w:eastAsia="隶书"/>
      <w:b/>
      <w:sz w:val="28"/>
    </w:rPr>
  </w:style>
  <w:style w:type="paragraph" w:styleId="711">
    <w:name w:val="endnote text"/>
    <w:basedOn w:val="683"/>
    <w:link w:val="916"/>
    <w:uiPriority w:val="99"/>
    <w:semiHidden/>
    <w:unhideWhenUsed/>
    <w:qFormat/>
    <w:rPr>
      <w:sz w:val="20"/>
    </w:rPr>
  </w:style>
  <w:style w:type="paragraph" w:styleId="712">
    <w:name w:val="Footer"/>
    <w:basedOn w:val="683"/>
    <w:link w:val="808"/>
    <w:uiPriority w:val="99"/>
    <w:unhideWhenUsed/>
    <w:qFormat/>
    <w:pPr>
      <w:tabs>
        <w:tab w:val="center" w:pos="7143" w:leader="none"/>
        <w:tab w:val="right" w:pos="14287" w:leader="none"/>
      </w:tabs>
    </w:pPr>
  </w:style>
  <w:style w:type="paragraph" w:styleId="713">
    <w:name w:val="Header"/>
    <w:basedOn w:val="683"/>
    <w:link w:val="806"/>
    <w:uiPriority w:val="99"/>
    <w:unhideWhenUsed/>
    <w:qFormat/>
    <w:pPr>
      <w:tabs>
        <w:tab w:val="center" w:pos="7143" w:leader="none"/>
        <w:tab w:val="right" w:pos="14287" w:leader="none"/>
      </w:tabs>
    </w:pPr>
  </w:style>
  <w:style w:type="paragraph" w:styleId="714">
    <w:name w:val="toc 1"/>
    <w:basedOn w:val="683"/>
    <w:next w:val="683"/>
    <w:uiPriority w:val="39"/>
    <w:unhideWhenUsed/>
    <w:qFormat/>
    <w:pPr>
      <w:spacing w:after="57"/>
    </w:pPr>
  </w:style>
  <w:style w:type="paragraph" w:styleId="715">
    <w:name w:val="toc 4"/>
    <w:basedOn w:val="683"/>
    <w:next w:val="683"/>
    <w:uiPriority w:val="39"/>
    <w:unhideWhenUsed/>
    <w:qFormat/>
    <w:pPr>
      <w:ind w:left="850"/>
      <w:spacing w:after="57"/>
    </w:pPr>
  </w:style>
  <w:style w:type="paragraph" w:styleId="716">
    <w:name w:val="Subtitle"/>
    <w:basedOn w:val="683"/>
    <w:next w:val="683"/>
    <w:link w:val="801"/>
    <w:uiPriority w:val="11"/>
    <w:qFormat/>
    <w:pPr>
      <w:spacing w:before="200" w:after="200"/>
    </w:pPr>
    <w:rPr>
      <w:sz w:val="24"/>
    </w:rPr>
  </w:style>
  <w:style w:type="paragraph" w:styleId="717">
    <w:name w:val="footnote text"/>
    <w:basedOn w:val="683"/>
    <w:link w:val="915"/>
    <w:uiPriority w:val="99"/>
    <w:semiHidden/>
    <w:unhideWhenUsed/>
    <w:qFormat/>
    <w:pPr>
      <w:spacing w:after="40"/>
    </w:pPr>
    <w:rPr>
      <w:sz w:val="18"/>
    </w:rPr>
  </w:style>
  <w:style w:type="paragraph" w:styleId="718">
    <w:name w:val="toc 6"/>
    <w:basedOn w:val="683"/>
    <w:next w:val="683"/>
    <w:uiPriority w:val="39"/>
    <w:unhideWhenUsed/>
    <w:qFormat/>
    <w:pPr>
      <w:ind w:left="1417"/>
      <w:spacing w:after="57"/>
    </w:pPr>
  </w:style>
  <w:style w:type="paragraph" w:styleId="719">
    <w:name w:val="table of figures"/>
    <w:basedOn w:val="683"/>
    <w:next w:val="683"/>
    <w:uiPriority w:val="99"/>
    <w:unhideWhenUsed/>
    <w:qFormat/>
  </w:style>
  <w:style w:type="paragraph" w:styleId="720">
    <w:name w:val="toc 2"/>
    <w:basedOn w:val="683"/>
    <w:next w:val="683"/>
    <w:uiPriority w:val="39"/>
    <w:unhideWhenUsed/>
    <w:qFormat/>
    <w:pPr>
      <w:ind w:left="283"/>
      <w:spacing w:after="57"/>
    </w:pPr>
  </w:style>
  <w:style w:type="paragraph" w:styleId="721">
    <w:name w:val="toc 9"/>
    <w:basedOn w:val="683"/>
    <w:next w:val="683"/>
    <w:uiPriority w:val="39"/>
    <w:unhideWhenUsed/>
    <w:qFormat/>
    <w:pPr>
      <w:ind w:left="2268"/>
      <w:spacing w:after="57"/>
    </w:pPr>
  </w:style>
  <w:style w:type="paragraph" w:styleId="722">
    <w:name w:val="Normal (Web)"/>
    <w:basedOn w:val="683"/>
    <w:uiPriority w:val="0"/>
    <w:qFormat/>
    <w:pPr>
      <w:ind w:firstLine="420"/>
      <w:jc w:val="left"/>
      <w:spacing w:before="100" w:beforeAutospacing="1" w:after="100" w:afterAutospacing="1" w:line="288" w:lineRule="auto"/>
      <w:widowControl/>
    </w:pPr>
    <w:rPr>
      <w:rFonts w:ascii="宋体" w:hAnsi="宋体"/>
      <w:sz w:val="24"/>
    </w:rPr>
  </w:style>
  <w:style w:type="paragraph" w:styleId="723">
    <w:name w:val="Title"/>
    <w:basedOn w:val="683"/>
    <w:next w:val="683"/>
    <w:link w:val="800"/>
    <w:uiPriority w:val="10"/>
    <w:qFormat/>
    <w:pPr>
      <w:contextualSpacing/>
      <w:spacing w:before="300" w:after="200"/>
    </w:pPr>
    <w:rPr>
      <w:sz w:val="48"/>
      <w:szCs w:val="48"/>
    </w:rPr>
  </w:style>
  <w:style w:type="paragraph" w:styleId="724">
    <w:name w:val="annotation subject"/>
    <w:basedOn w:val="700"/>
    <w:next w:val="700"/>
    <w:link w:val="1228"/>
    <w:uiPriority w:val="99"/>
    <w:semiHidden/>
    <w:unhideWhenUsed/>
    <w:qFormat/>
    <w:rPr>
      <w:b/>
      <w:bCs/>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693"/>
    <w:uiPriority w:val="99"/>
    <w:semiHidden/>
    <w:unhideWhenUsed/>
    <w:qFormat/>
    <w:rPr>
      <w:sz w:val="21"/>
      <w:szCs w:val="21"/>
    </w:rPr>
  </w:style>
  <w:style w:type="character" w:styleId="729">
    <w:name w:val="footnote reference"/>
    <w:uiPriority w:val="99"/>
    <w:unhideWhenUsed/>
    <w:qFormat/>
    <w:rPr>
      <w:vertAlign w:val="superscript"/>
    </w:rPr>
  </w:style>
  <w:style w:type="table" w:styleId="730" w:customStyle="1">
    <w:name w:val="Plain Table 1"/>
    <w:basedOn w:val="69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basedOn w:val="69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basedOn w:val="69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basedOn w:val="69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basedOn w:val="69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basedOn w:val="69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2"/>
    <w:basedOn w:val="69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3"/>
    <w:basedOn w:val="69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basedOn w:val="69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5 Dark"/>
    <w:basedOn w:val="6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6 Colorful"/>
    <w:basedOn w:val="694"/>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7 Colorful"/>
    <w:basedOn w:val="69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2" w:customStyle="1">
    <w:name w:val="List Table 1 Light"/>
    <w:basedOn w:val="694"/>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customStyle="1">
    <w:name w:val="List Table 2"/>
    <w:basedOn w:val="69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List Table 3"/>
    <w:basedOn w:val="69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8"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9" w:customStyle="1">
    <w:name w:val="TOC Heading"/>
    <w:uiPriority w:val="39"/>
    <w:unhideWhenUsed/>
    <w:qFormat/>
    <w:rPr>
      <w:rFonts w:hint="default" w:ascii="Times New Roman" w:hAnsi="Times New Roman" w:eastAsia="宋体" w:cs="Times New Roman"/>
    </w:rPr>
  </w:style>
  <w:style w:type="character" w:styleId="750" w:customStyle="1">
    <w:name w:val="Heading 1 Char"/>
    <w:basedOn w:val="693"/>
    <w:uiPriority w:val="9"/>
    <w:qFormat/>
    <w:rPr>
      <w:rFonts w:ascii="Arial" w:hAnsi="Arial" w:eastAsia="Arial" w:cs="Arial"/>
      <w:sz w:val="40"/>
      <w:szCs w:val="40"/>
    </w:rPr>
  </w:style>
  <w:style w:type="character" w:styleId="751" w:customStyle="1">
    <w:name w:val="Heading 2 Char"/>
    <w:basedOn w:val="693"/>
    <w:uiPriority w:val="9"/>
    <w:qFormat/>
    <w:rPr>
      <w:rFonts w:ascii="Arial" w:hAnsi="Arial" w:eastAsia="Arial" w:cs="Arial"/>
      <w:sz w:val="34"/>
    </w:rPr>
  </w:style>
  <w:style w:type="character" w:styleId="752" w:customStyle="1">
    <w:name w:val="Heading 3 Char"/>
    <w:basedOn w:val="693"/>
    <w:uiPriority w:val="9"/>
    <w:qFormat/>
    <w:rPr>
      <w:rFonts w:ascii="Arial" w:hAnsi="Arial" w:eastAsia="Arial" w:cs="Arial"/>
      <w:sz w:val="30"/>
      <w:szCs w:val="30"/>
    </w:rPr>
  </w:style>
  <w:style w:type="character" w:styleId="753" w:customStyle="1">
    <w:name w:val="Heading 4 Char"/>
    <w:basedOn w:val="693"/>
    <w:uiPriority w:val="9"/>
    <w:qFormat/>
    <w:rPr>
      <w:rFonts w:ascii="Arial" w:hAnsi="Arial" w:eastAsia="Arial" w:cs="Arial"/>
      <w:b/>
      <w:bCs/>
      <w:sz w:val="26"/>
      <w:szCs w:val="26"/>
    </w:rPr>
  </w:style>
  <w:style w:type="character" w:styleId="754" w:customStyle="1">
    <w:name w:val="Heading 5 Char"/>
    <w:basedOn w:val="693"/>
    <w:uiPriority w:val="9"/>
    <w:qFormat/>
    <w:rPr>
      <w:rFonts w:ascii="Arial" w:hAnsi="Arial" w:eastAsia="Arial" w:cs="Arial"/>
      <w:b/>
      <w:bCs/>
      <w:sz w:val="24"/>
      <w:szCs w:val="24"/>
    </w:rPr>
  </w:style>
  <w:style w:type="character" w:styleId="755" w:customStyle="1">
    <w:name w:val="Heading 6 Char"/>
    <w:basedOn w:val="693"/>
    <w:uiPriority w:val="9"/>
    <w:qFormat/>
    <w:rPr>
      <w:rFonts w:ascii="Arial" w:hAnsi="Arial" w:eastAsia="Arial" w:cs="Arial"/>
      <w:b/>
      <w:bCs/>
      <w:sz w:val="22"/>
      <w:szCs w:val="22"/>
    </w:rPr>
  </w:style>
  <w:style w:type="character" w:styleId="756" w:customStyle="1">
    <w:name w:val="Heading 7 Char"/>
    <w:basedOn w:val="693"/>
    <w:uiPriority w:val="9"/>
    <w:qFormat/>
    <w:rPr>
      <w:rFonts w:ascii="Arial" w:hAnsi="Arial" w:eastAsia="Arial" w:cs="Arial"/>
      <w:b/>
      <w:bCs/>
      <w:i/>
      <w:iCs/>
      <w:sz w:val="22"/>
      <w:szCs w:val="22"/>
    </w:rPr>
  </w:style>
  <w:style w:type="character" w:styleId="757" w:customStyle="1">
    <w:name w:val="Heading 8 Char"/>
    <w:basedOn w:val="693"/>
    <w:uiPriority w:val="9"/>
    <w:qFormat/>
    <w:rPr>
      <w:rFonts w:ascii="Arial" w:hAnsi="Arial" w:eastAsia="Arial" w:cs="Arial"/>
      <w:i/>
      <w:iCs/>
      <w:sz w:val="22"/>
      <w:szCs w:val="22"/>
    </w:rPr>
  </w:style>
  <w:style w:type="character" w:styleId="758" w:customStyle="1">
    <w:name w:val="Heading 9 Char"/>
    <w:basedOn w:val="693"/>
    <w:uiPriority w:val="9"/>
    <w:qFormat/>
    <w:rPr>
      <w:rFonts w:ascii="Arial" w:hAnsi="Arial" w:eastAsia="Arial" w:cs="Arial"/>
      <w:i/>
      <w:iCs/>
      <w:sz w:val="21"/>
      <w:szCs w:val="21"/>
    </w:rPr>
  </w:style>
  <w:style w:type="character" w:styleId="759" w:customStyle="1">
    <w:name w:val="Title Char"/>
    <w:basedOn w:val="693"/>
    <w:uiPriority w:val="10"/>
    <w:qFormat/>
    <w:rPr>
      <w:sz w:val="48"/>
      <w:szCs w:val="48"/>
    </w:rPr>
  </w:style>
  <w:style w:type="character" w:styleId="760" w:customStyle="1">
    <w:name w:val="Subtitle Char"/>
    <w:basedOn w:val="693"/>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Header Char"/>
    <w:basedOn w:val="693"/>
    <w:uiPriority w:val="99"/>
    <w:qFormat/>
  </w:style>
  <w:style w:type="character" w:styleId="764" w:customStyle="1">
    <w:name w:val="Caption Char"/>
    <w:uiPriority w:val="99"/>
    <w:qFormat/>
  </w:style>
  <w:style w:type="table" w:styleId="765" w:customStyle="1">
    <w:name w:val="无格式表格 11"/>
    <w:basedOn w:val="6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21"/>
    <w:basedOn w:val="6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31"/>
    <w:basedOn w:val="69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无格式表格 41"/>
    <w:basedOn w:val="69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无格式表格 51"/>
    <w:basedOn w:val="69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网格表 1 浅色1"/>
    <w:basedOn w:val="6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网格表 2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网格表 3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网格表 41"/>
    <w:basedOn w:val="6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网格表 5 深色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网格表 6 彩色1"/>
    <w:basedOn w:val="6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网格表 7 彩色1"/>
    <w:basedOn w:val="6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清单表 1 浅色1"/>
    <w:basedOn w:val="69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清单表 21"/>
    <w:basedOn w:val="6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清单表 3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清单表 4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清单表 5 深色1"/>
    <w:basedOn w:val="6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清单表 6 彩色1"/>
    <w:basedOn w:val="69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清单表 7 彩色1"/>
    <w:basedOn w:val="69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TOC 标题1"/>
    <w:uiPriority w:val="39"/>
    <w:unhideWhenUsed/>
    <w:qFormat/>
    <w:rPr>
      <w:rFonts w:hint="default" w:ascii="Times New Roman" w:hAnsi="Times New Roman" w:eastAsia="宋体" w:cs="Times New Roman"/>
      <w:lang w:val="en-US" w:eastAsia="zh-CN" w:bidi="ar-SA"/>
    </w:rPr>
  </w:style>
  <w:style w:type="paragraph" w:styleId="787" w:customStyle="1">
    <w:name w:val="章节题目"/>
    <w:basedOn w:val="788"/>
    <w:next w:val="683"/>
    <w:uiPriority w:val="0"/>
    <w:qFormat/>
    <w:pPr>
      <w:ind w:right="2160"/>
      <w:spacing w:before="720" w:after="400" w:line="540" w:lineRule="atLeast"/>
    </w:pPr>
    <w:rPr>
      <w:rFonts w:ascii="Times New Roman" w:hAnsi="Times New Roman"/>
      <w:spacing w:val="-40"/>
      <w:sz w:val="60"/>
    </w:rPr>
  </w:style>
  <w:style w:type="paragraph" w:styleId="788" w:customStyle="1">
    <w:name w:val="基准标题"/>
    <w:basedOn w:val="683"/>
    <w:next w:val="701"/>
    <w:uiPriority w:val="0"/>
    <w:qFormat/>
    <w:pPr>
      <w:keepLines/>
      <w:keepNext/>
      <w:spacing w:before="140" w:line="220" w:lineRule="atLeast"/>
    </w:pPr>
    <w:rPr>
      <w:rFonts w:ascii="Arial" w:hAnsi="Arial"/>
      <w:spacing w:val="-4"/>
    </w:rPr>
  </w:style>
  <w:style w:type="paragraph" w:styleId="789" w:customStyle="1">
    <w:name w:val="TOC Heading1"/>
    <w:next w:val="683"/>
    <w:uiPriority w:val="0"/>
    <w:qFormat/>
    <w:rPr>
      <w:rFonts w:hint="default" w:ascii="Times New Roman" w:hAnsi="Times New Roman" w:eastAsia="宋体" w:cs="Times New Roman"/>
      <w:sz w:val="32"/>
      <w:lang w:val="en-US" w:eastAsia="zh-CN" w:bidi="ar-SA"/>
    </w:rPr>
  </w:style>
  <w:style w:type="character" w:styleId="790" w:customStyle="1">
    <w:name w:val="标题 1 字符1"/>
    <w:link w:val="684"/>
    <w:uiPriority w:val="9"/>
    <w:qFormat/>
    <w:rPr>
      <w:rFonts w:ascii="Arial" w:hAnsi="Arial" w:eastAsia="Arial" w:cs="Arial"/>
      <w:sz w:val="40"/>
      <w:szCs w:val="40"/>
    </w:rPr>
  </w:style>
  <w:style w:type="character" w:styleId="791" w:customStyle="1">
    <w:name w:val="标题 2 字符1"/>
    <w:link w:val="685"/>
    <w:uiPriority w:val="9"/>
    <w:qFormat/>
    <w:rPr>
      <w:rFonts w:ascii="Arial" w:hAnsi="Arial" w:eastAsia="Arial" w:cs="Arial"/>
      <w:sz w:val="34"/>
    </w:rPr>
  </w:style>
  <w:style w:type="character" w:styleId="792" w:customStyle="1">
    <w:name w:val="标题 3 字符1"/>
    <w:link w:val="686"/>
    <w:uiPriority w:val="9"/>
    <w:qFormat/>
    <w:rPr>
      <w:rFonts w:ascii="Arial" w:hAnsi="Arial" w:eastAsia="Arial" w:cs="Arial"/>
      <w:sz w:val="30"/>
      <w:szCs w:val="30"/>
    </w:rPr>
  </w:style>
  <w:style w:type="character" w:styleId="793" w:customStyle="1">
    <w:name w:val="标题 4 字符1"/>
    <w:link w:val="687"/>
    <w:uiPriority w:val="9"/>
    <w:qFormat/>
    <w:rPr>
      <w:rFonts w:ascii="Arial" w:hAnsi="Arial" w:eastAsia="Arial" w:cs="Arial"/>
      <w:b/>
      <w:bCs/>
      <w:sz w:val="26"/>
      <w:szCs w:val="26"/>
    </w:rPr>
  </w:style>
  <w:style w:type="character" w:styleId="794" w:customStyle="1">
    <w:name w:val="标题 5 字符1"/>
    <w:link w:val="688"/>
    <w:uiPriority w:val="9"/>
    <w:qFormat/>
    <w:rPr>
      <w:rFonts w:ascii="Arial" w:hAnsi="Arial" w:eastAsia="Arial" w:cs="Arial"/>
      <w:b/>
      <w:bCs/>
      <w:sz w:val="24"/>
      <w:szCs w:val="24"/>
    </w:rPr>
  </w:style>
  <w:style w:type="character" w:styleId="795" w:customStyle="1">
    <w:name w:val="标题 6 字符1"/>
    <w:link w:val="689"/>
    <w:uiPriority w:val="9"/>
    <w:qFormat/>
    <w:rPr>
      <w:rFonts w:ascii="Arial" w:hAnsi="Arial" w:eastAsia="Arial" w:cs="Arial"/>
      <w:b/>
      <w:bCs/>
      <w:sz w:val="22"/>
      <w:szCs w:val="22"/>
    </w:rPr>
  </w:style>
  <w:style w:type="character" w:styleId="796" w:customStyle="1">
    <w:name w:val="标题 7 字符1"/>
    <w:link w:val="690"/>
    <w:uiPriority w:val="9"/>
    <w:qFormat/>
    <w:rPr>
      <w:rFonts w:ascii="Arial" w:hAnsi="Arial" w:eastAsia="Arial" w:cs="Arial"/>
      <w:b/>
      <w:bCs/>
      <w:i/>
      <w:iCs/>
      <w:sz w:val="22"/>
      <w:szCs w:val="22"/>
    </w:rPr>
  </w:style>
  <w:style w:type="character" w:styleId="797" w:customStyle="1">
    <w:name w:val="标题 8 字符1"/>
    <w:link w:val="691"/>
    <w:uiPriority w:val="9"/>
    <w:qFormat/>
    <w:rPr>
      <w:rFonts w:ascii="Arial" w:hAnsi="Arial" w:eastAsia="Arial" w:cs="Arial"/>
      <w:i/>
      <w:iCs/>
      <w:sz w:val="22"/>
      <w:szCs w:val="22"/>
    </w:rPr>
  </w:style>
  <w:style w:type="character" w:styleId="798" w:customStyle="1">
    <w:name w:val="标题 9 字符1"/>
    <w:link w:val="692"/>
    <w:uiPriority w:val="9"/>
    <w:qFormat/>
    <w:rPr>
      <w:rFonts w:ascii="Arial" w:hAnsi="Arial" w:eastAsia="Arial" w:cs="Arial"/>
      <w:i/>
      <w:iCs/>
      <w:sz w:val="21"/>
      <w:szCs w:val="21"/>
    </w:r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字符1"/>
    <w:link w:val="723"/>
    <w:uiPriority w:val="10"/>
    <w:qFormat/>
    <w:rPr>
      <w:sz w:val="48"/>
      <w:szCs w:val="48"/>
    </w:rPr>
  </w:style>
  <w:style w:type="character" w:styleId="801" w:customStyle="1">
    <w:name w:val="副标题 字符1"/>
    <w:link w:val="716"/>
    <w:uiPriority w:val="11"/>
    <w:qFormat/>
    <w:rPr>
      <w:sz w:val="24"/>
      <w:szCs w:val="24"/>
    </w:rPr>
  </w:style>
  <w:style w:type="paragraph" w:styleId="802">
    <w:name w:val="Quote"/>
    <w:basedOn w:val="683"/>
    <w:next w:val="683"/>
    <w:link w:val="803"/>
    <w:uiPriority w:val="29"/>
    <w:qFormat/>
    <w:pPr>
      <w:ind w:left="720" w:right="720"/>
    </w:pPr>
    <w:rPr>
      <w:i/>
    </w:rPr>
  </w:style>
  <w:style w:type="character" w:styleId="803" w:customStyle="1">
    <w:name w:val="引用 字符1"/>
    <w:link w:val="802"/>
    <w:uiPriority w:val="29"/>
    <w:qFormat/>
    <w:rPr>
      <w:i/>
    </w:rPr>
  </w:style>
  <w:style w:type="paragraph" w:styleId="804">
    <w:name w:val="Intense Quote"/>
    <w:basedOn w:val="683"/>
    <w:next w:val="683"/>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1"/>
    <w:link w:val="804"/>
    <w:uiPriority w:val="30"/>
    <w:qFormat/>
    <w:rPr>
      <w:i/>
    </w:rPr>
  </w:style>
  <w:style w:type="character" w:styleId="806" w:customStyle="1">
    <w:name w:val="页眉 字符1"/>
    <w:link w:val="713"/>
    <w:uiPriority w:val="99"/>
    <w:qFormat/>
  </w:style>
  <w:style w:type="character" w:styleId="807" w:customStyle="1">
    <w:name w:val="Footer Char"/>
    <w:uiPriority w:val="99"/>
    <w:qFormat/>
  </w:style>
  <w:style w:type="character" w:styleId="808" w:customStyle="1">
    <w:name w:val="页脚 字符1"/>
    <w:link w:val="712"/>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字符1"/>
    <w:link w:val="717"/>
    <w:uiPriority w:val="99"/>
    <w:qFormat/>
    <w:rPr>
      <w:sz w:val="18"/>
    </w:rPr>
  </w:style>
  <w:style w:type="character" w:styleId="916" w:customStyle="1">
    <w:name w:val="尾注文本 字符"/>
    <w:link w:val="711"/>
    <w:uiPriority w:val="99"/>
    <w:qFormat/>
    <w:rPr>
      <w:sz w:val="20"/>
    </w:rPr>
  </w:style>
  <w:style w:type="paragraph" w:styleId="917" w:customStyle="1">
    <w:name w:val="TOC 标题111"/>
    <w:uiPriority w:val="39"/>
    <w:unhideWhenUsed/>
    <w:qFormat/>
    <w:rPr>
      <w:rFonts w:hint="default" w:ascii="Times New Roman" w:hAnsi="Times New Roman" w:eastAsia="宋体" w:cs="Times New Roman"/>
      <w:lang w:val="en-US" w:eastAsia="zh-CN" w:bidi="ar-SA"/>
    </w:rPr>
  </w:style>
  <w:style w:type="paragraph" w:styleId="918" w:customStyle="1">
    <w:name w:val="标题 11"/>
    <w:basedOn w:val="683"/>
    <w:next w:val="683"/>
    <w:link w:val="929"/>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19" w:customStyle="1">
    <w:name w:val="标题 21"/>
    <w:basedOn w:val="683"/>
    <w:next w:val="683"/>
    <w:link w:val="930"/>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920" w:customStyle="1">
    <w:name w:val="标题 31"/>
    <w:basedOn w:val="683"/>
    <w:next w:val="683"/>
    <w:link w:val="931"/>
    <w:uiPriority w:val="0"/>
    <w:qFormat/>
    <w:pPr>
      <w:keepLines/>
      <w:keepNext/>
      <w:spacing w:before="260" w:after="260" w:line="416" w:lineRule="auto"/>
      <w:outlineLvl w:val="2"/>
    </w:pPr>
    <w:rPr>
      <w:rFonts w:ascii="黑体" w:eastAsia="黑体"/>
      <w:b/>
      <w:bCs/>
      <w:sz w:val="32"/>
      <w:szCs w:val="32"/>
    </w:rPr>
  </w:style>
  <w:style w:type="paragraph" w:styleId="921" w:customStyle="1">
    <w:name w:val="标题 41"/>
    <w:basedOn w:val="683"/>
    <w:next w:val="683"/>
    <w:link w:val="932"/>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922" w:customStyle="1">
    <w:name w:val="标题 51"/>
    <w:basedOn w:val="683"/>
    <w:next w:val="683"/>
    <w:link w:val="933"/>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923" w:customStyle="1">
    <w:name w:val="标题 61"/>
    <w:basedOn w:val="683"/>
    <w:next w:val="683"/>
    <w:link w:val="93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24" w:customStyle="1">
    <w:name w:val="标题 71"/>
    <w:basedOn w:val="683"/>
    <w:next w:val="683"/>
    <w:link w:val="935"/>
    <w:uiPriority w:val="0"/>
    <w:qFormat/>
    <w:pPr>
      <w:ind w:left="1296" w:hanging="1296"/>
      <w:keepLines/>
      <w:keepNext/>
      <w:spacing w:before="240" w:after="64" w:line="320" w:lineRule="atLeast"/>
      <w:tabs>
        <w:tab w:val="left" w:pos="1296" w:leader="none"/>
      </w:tabs>
      <w:outlineLvl w:val="6"/>
    </w:pPr>
    <w:rPr>
      <w:b/>
      <w:sz w:val="24"/>
    </w:rPr>
  </w:style>
  <w:style w:type="paragraph" w:styleId="925" w:customStyle="1">
    <w:name w:val="标题 81"/>
    <w:basedOn w:val="683"/>
    <w:next w:val="683"/>
    <w:link w:val="93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26" w:customStyle="1">
    <w:name w:val="标题 91"/>
    <w:basedOn w:val="683"/>
    <w:next w:val="683"/>
    <w:link w:val="937"/>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27" w:customStyle="1">
    <w:name w:val="默认段落字体1"/>
    <w:uiPriority w:val="1"/>
    <w:unhideWhenUsed/>
    <w:qFormat/>
  </w:style>
  <w:style w:type="table" w:styleId="928" w:customStyle="1">
    <w:name w:val="普通表格1"/>
    <w:uiPriority w:val="0"/>
    <w:semiHidden/>
    <w:qFormat/>
    <w:tblPr>
      <w:tblCellMar>
        <w:left w:w="0" w:type="dxa"/>
        <w:top w:w="0" w:type="dxa"/>
        <w:right w:w="0" w:type="dxa"/>
        <w:bottom w:w="0" w:type="dxa"/>
      </w:tblCellMar>
    </w:tblPr>
  </w:style>
  <w:style w:type="character" w:styleId="929" w:customStyle="1">
    <w:name w:val="标题 1 字符"/>
    <w:link w:val="918"/>
    <w:uiPriority w:val="0"/>
    <w:qFormat/>
    <w:rPr>
      <w:rFonts w:ascii="黑体" w:eastAsia="黑体"/>
      <w:b/>
      <w:bCs/>
      <w:sz w:val="44"/>
      <w:szCs w:val="44"/>
    </w:rPr>
  </w:style>
  <w:style w:type="character" w:styleId="930" w:customStyle="1">
    <w:name w:val="标题 2 字符"/>
    <w:link w:val="919"/>
    <w:uiPriority w:val="0"/>
    <w:qFormat/>
    <w:rPr>
      <w:rFonts w:ascii="Arial" w:hAnsi="Arial" w:eastAsia="黑体"/>
      <w:b/>
      <w:bCs/>
      <w:sz w:val="32"/>
      <w:szCs w:val="32"/>
    </w:rPr>
  </w:style>
  <w:style w:type="character" w:styleId="931" w:customStyle="1">
    <w:name w:val="标题 3 字符"/>
    <w:link w:val="920"/>
    <w:uiPriority w:val="0"/>
    <w:qFormat/>
    <w:rPr>
      <w:rFonts w:ascii="黑体" w:eastAsia="黑体"/>
      <w:b/>
      <w:bCs/>
      <w:sz w:val="32"/>
      <w:szCs w:val="32"/>
    </w:rPr>
  </w:style>
  <w:style w:type="character" w:styleId="932" w:customStyle="1">
    <w:name w:val="标题 4 字符"/>
    <w:link w:val="921"/>
    <w:uiPriority w:val="0"/>
    <w:qFormat/>
    <w:rPr>
      <w:rFonts w:ascii="Arial" w:hAnsi="Arial" w:eastAsia="黑体"/>
      <w:b/>
      <w:bCs/>
      <w:sz w:val="28"/>
      <w:szCs w:val="28"/>
    </w:rPr>
  </w:style>
  <w:style w:type="character" w:styleId="933" w:customStyle="1">
    <w:name w:val="标题 5 字符"/>
    <w:link w:val="922"/>
    <w:uiPriority w:val="0"/>
    <w:qFormat/>
    <w:rPr>
      <w:rFonts w:ascii="黑体" w:eastAsia="黑体"/>
      <w:b/>
      <w:bCs/>
      <w:sz w:val="28"/>
      <w:szCs w:val="28"/>
    </w:rPr>
  </w:style>
  <w:style w:type="character" w:styleId="934" w:customStyle="1">
    <w:name w:val="标题 6 字符"/>
    <w:link w:val="923"/>
    <w:uiPriority w:val="0"/>
    <w:qFormat/>
    <w:rPr>
      <w:rFonts w:ascii="Arial" w:hAnsi="Arial" w:eastAsia="黑体"/>
      <w:b/>
      <w:sz w:val="24"/>
      <w:szCs w:val="24"/>
    </w:rPr>
  </w:style>
  <w:style w:type="character" w:styleId="935" w:customStyle="1">
    <w:name w:val="标题 7 字符"/>
    <w:link w:val="924"/>
    <w:uiPriority w:val="0"/>
    <w:qFormat/>
    <w:rPr>
      <w:b/>
      <w:sz w:val="24"/>
      <w:szCs w:val="24"/>
    </w:rPr>
  </w:style>
  <w:style w:type="character" w:styleId="936" w:customStyle="1">
    <w:name w:val="标题 8 字符"/>
    <w:link w:val="925"/>
    <w:uiPriority w:val="0"/>
    <w:qFormat/>
    <w:rPr>
      <w:rFonts w:ascii="Arial" w:hAnsi="Arial" w:eastAsia="黑体"/>
      <w:sz w:val="24"/>
      <w:szCs w:val="24"/>
    </w:rPr>
  </w:style>
  <w:style w:type="character" w:styleId="937" w:customStyle="1">
    <w:name w:val="标题 9 字符"/>
    <w:link w:val="926"/>
    <w:uiPriority w:val="0"/>
    <w:qFormat/>
    <w:rPr>
      <w:rFonts w:ascii="Arial" w:hAnsi="Arial" w:eastAsia="黑体"/>
      <w:sz w:val="21"/>
      <w:szCs w:val="24"/>
    </w:rPr>
  </w:style>
  <w:style w:type="paragraph" w:styleId="938" w:customStyle="1">
    <w:name w:val="目录 71"/>
    <w:basedOn w:val="683"/>
    <w:next w:val="683"/>
    <w:uiPriority w:val="39"/>
    <w:qFormat/>
    <w:pPr>
      <w:ind w:left="1260" w:firstLine="420"/>
      <w:jc w:val="left"/>
      <w:spacing w:line="288" w:lineRule="auto"/>
    </w:pPr>
    <w:rPr>
      <w:sz w:val="18"/>
      <w:szCs w:val="18"/>
    </w:rPr>
  </w:style>
  <w:style w:type="paragraph" w:styleId="939" w:customStyle="1">
    <w:name w:val="索引 81"/>
    <w:basedOn w:val="683"/>
    <w:next w:val="683"/>
    <w:uiPriority w:val="0"/>
    <w:qFormat/>
    <w:pPr>
      <w:ind w:left="1400"/>
    </w:pPr>
    <w:rPr>
      <w:szCs w:val="20"/>
    </w:rPr>
  </w:style>
  <w:style w:type="paragraph" w:styleId="940" w:customStyle="1">
    <w:name w:val="正文缩进1"/>
    <w:basedOn w:val="683"/>
    <w:link w:val="941"/>
    <w:uiPriority w:val="0"/>
    <w:qFormat/>
    <w:pPr>
      <w:ind w:firstLine="420"/>
      <w:jc w:val="left"/>
      <w:widowControl/>
    </w:pPr>
    <w:rPr>
      <w:sz w:val="20"/>
      <w:szCs w:val="20"/>
    </w:rPr>
  </w:style>
  <w:style w:type="character" w:styleId="941" w:customStyle="1">
    <w:name w:val="正文缩进 字符"/>
    <w:link w:val="940"/>
    <w:uiPriority w:val="0"/>
    <w:qFormat/>
  </w:style>
  <w:style w:type="paragraph" w:styleId="942" w:customStyle="1">
    <w:name w:val="题注1"/>
    <w:basedOn w:val="683"/>
    <w:next w:val="683"/>
    <w:uiPriority w:val="0"/>
    <w:qFormat/>
    <w:rPr>
      <w:rFonts w:ascii="Arial" w:hAnsi="Arial" w:eastAsia="黑体" w:cs="Arial"/>
      <w:sz w:val="20"/>
      <w:szCs w:val="20"/>
    </w:rPr>
  </w:style>
  <w:style w:type="paragraph" w:styleId="943" w:customStyle="1">
    <w:name w:val="索引 51"/>
    <w:basedOn w:val="683"/>
    <w:next w:val="683"/>
    <w:uiPriority w:val="0"/>
    <w:qFormat/>
    <w:pPr>
      <w:ind w:left="800"/>
    </w:pPr>
    <w:rPr>
      <w:szCs w:val="20"/>
    </w:rPr>
  </w:style>
  <w:style w:type="paragraph" w:styleId="944" w:customStyle="1">
    <w:name w:val="文档结构图1"/>
    <w:basedOn w:val="683"/>
    <w:link w:val="945"/>
    <w:uiPriority w:val="0"/>
    <w:qFormat/>
    <w:pPr>
      <w:shd w:val="clear" w:color="auto" w:fill="000080"/>
    </w:pPr>
  </w:style>
  <w:style w:type="character" w:styleId="945" w:customStyle="1">
    <w:name w:val="文档结构图 字符"/>
    <w:link w:val="944"/>
    <w:uiPriority w:val="0"/>
    <w:qFormat/>
    <w:rPr>
      <w:sz w:val="21"/>
      <w:szCs w:val="24"/>
      <w:shd w:val="clear" w:color="auto" w:fill="000080"/>
    </w:rPr>
  </w:style>
  <w:style w:type="paragraph" w:styleId="946" w:customStyle="1">
    <w:name w:val="批注文字1"/>
    <w:basedOn w:val="683"/>
    <w:link w:val="947"/>
    <w:uiPriority w:val="0"/>
    <w:qFormat/>
    <w:pPr>
      <w:jc w:val="left"/>
    </w:pPr>
  </w:style>
  <w:style w:type="character" w:styleId="947" w:customStyle="1">
    <w:name w:val="批注文字 字符"/>
    <w:link w:val="946"/>
    <w:uiPriority w:val="0"/>
    <w:qFormat/>
    <w:rPr>
      <w:sz w:val="21"/>
      <w:szCs w:val="24"/>
    </w:rPr>
  </w:style>
  <w:style w:type="paragraph" w:styleId="948" w:customStyle="1">
    <w:name w:val="索引 61"/>
    <w:basedOn w:val="683"/>
    <w:next w:val="683"/>
    <w:uiPriority w:val="0"/>
    <w:qFormat/>
    <w:pPr>
      <w:ind w:left="1000"/>
    </w:pPr>
    <w:rPr>
      <w:szCs w:val="20"/>
    </w:rPr>
  </w:style>
  <w:style w:type="paragraph" w:styleId="949" w:customStyle="1">
    <w:name w:val="称呼1"/>
    <w:basedOn w:val="683"/>
    <w:next w:val="683"/>
    <w:link w:val="950"/>
    <w:uiPriority w:val="0"/>
    <w:qFormat/>
    <w:pPr>
      <w:ind w:firstLine="420"/>
      <w:spacing w:after="20" w:line="288" w:lineRule="auto"/>
    </w:pPr>
    <w:rPr>
      <w:sz w:val="28"/>
    </w:rPr>
  </w:style>
  <w:style w:type="character" w:styleId="950" w:customStyle="1">
    <w:name w:val="称呼 字符"/>
    <w:link w:val="949"/>
    <w:uiPriority w:val="0"/>
    <w:qFormat/>
    <w:rPr>
      <w:sz w:val="28"/>
      <w:szCs w:val="24"/>
    </w:rPr>
  </w:style>
  <w:style w:type="paragraph" w:styleId="951" w:customStyle="1">
    <w:name w:val="正文文本 31"/>
    <w:basedOn w:val="683"/>
    <w:link w:val="952"/>
    <w:uiPriority w:val="0"/>
    <w:qFormat/>
    <w:pPr>
      <w:jc w:val="center"/>
      <w:spacing w:after="20" w:line="288" w:lineRule="auto"/>
    </w:pPr>
    <w:rPr>
      <w:b/>
      <w:bCs/>
      <w:sz w:val="24"/>
    </w:rPr>
  </w:style>
  <w:style w:type="character" w:styleId="952" w:customStyle="1">
    <w:name w:val="正文文本 3 字符"/>
    <w:link w:val="951"/>
    <w:uiPriority w:val="0"/>
    <w:qFormat/>
    <w:rPr>
      <w:b/>
      <w:bCs/>
      <w:sz w:val="24"/>
      <w:szCs w:val="24"/>
    </w:rPr>
  </w:style>
  <w:style w:type="paragraph" w:styleId="953" w:customStyle="1">
    <w:name w:val="结束语1"/>
    <w:basedOn w:val="683"/>
    <w:link w:val="954"/>
    <w:uiPriority w:val="0"/>
    <w:qFormat/>
    <w:pPr>
      <w:ind w:left="100" w:firstLine="420"/>
      <w:spacing w:after="20" w:line="288" w:lineRule="auto"/>
    </w:pPr>
    <w:rPr>
      <w:sz w:val="28"/>
    </w:rPr>
  </w:style>
  <w:style w:type="character" w:styleId="954" w:customStyle="1">
    <w:name w:val="结束语 字符"/>
    <w:link w:val="953"/>
    <w:uiPriority w:val="0"/>
    <w:qFormat/>
    <w:rPr>
      <w:sz w:val="28"/>
      <w:szCs w:val="24"/>
    </w:rPr>
  </w:style>
  <w:style w:type="paragraph" w:styleId="955" w:customStyle="1">
    <w:name w:val="列表项目符号 31"/>
    <w:basedOn w:val="683"/>
    <w:uiPriority w:val="0"/>
    <w:qFormat/>
    <w:pPr>
      <w:ind w:left="1620" w:hanging="420"/>
      <w:tabs>
        <w:tab w:val="left" w:pos="1620" w:leader="none"/>
      </w:tabs>
    </w:pPr>
  </w:style>
  <w:style w:type="paragraph" w:styleId="956" w:customStyle="1">
    <w:name w:val="正文文本111"/>
    <w:basedOn w:val="683"/>
    <w:next w:val="683"/>
    <w:link w:val="957"/>
    <w:uiPriority w:val="0"/>
    <w:qFormat/>
    <w:rPr>
      <w:rFonts w:ascii="仿宋_GB2312" w:eastAsia="仿宋_GB2312"/>
      <w:sz w:val="28"/>
      <w:szCs w:val="20"/>
    </w:rPr>
  </w:style>
  <w:style w:type="character" w:styleId="957" w:customStyle="1">
    <w:name w:val="正文文本 字符"/>
    <w:link w:val="956"/>
    <w:uiPriority w:val="0"/>
    <w:qFormat/>
    <w:rPr>
      <w:rFonts w:ascii="仿宋_GB2312" w:eastAsia="仿宋_GB2312"/>
      <w:sz w:val="28"/>
    </w:rPr>
  </w:style>
  <w:style w:type="paragraph" w:styleId="958" w:customStyle="1">
    <w:name w:val="正文文本缩进1"/>
    <w:basedOn w:val="683"/>
    <w:link w:val="959"/>
    <w:uiPriority w:val="0"/>
    <w:qFormat/>
    <w:pPr>
      <w:ind w:left="156"/>
      <w:spacing w:line="300" w:lineRule="auto"/>
      <w:widowControl/>
    </w:pPr>
    <w:rPr>
      <w:rFonts w:ascii="仿宋_GB2312" w:eastAsia="仿宋_GB2312"/>
      <w:sz w:val="28"/>
      <w:szCs w:val="20"/>
    </w:rPr>
  </w:style>
  <w:style w:type="character" w:styleId="959" w:customStyle="1">
    <w:name w:val="正文文本缩进 字符"/>
    <w:link w:val="958"/>
    <w:uiPriority w:val="0"/>
    <w:qFormat/>
    <w:rPr>
      <w:rFonts w:ascii="仿宋_GB2312" w:eastAsia="仿宋_GB2312"/>
      <w:sz w:val="28"/>
    </w:rPr>
  </w:style>
  <w:style w:type="paragraph" w:styleId="960" w:customStyle="1">
    <w:name w:val="文本块1"/>
    <w:basedOn w:val="683"/>
    <w:uiPriority w:val="0"/>
    <w:qFormat/>
    <w:pPr>
      <w:ind w:left="420" w:right="33"/>
      <w:jc w:val="left"/>
    </w:pPr>
    <w:rPr>
      <w:sz w:val="24"/>
      <w:szCs w:val="20"/>
    </w:rPr>
  </w:style>
  <w:style w:type="paragraph" w:styleId="961" w:customStyle="1">
    <w:name w:val="列表项目符号 21"/>
    <w:basedOn w:val="683"/>
    <w:uiPriority w:val="0"/>
    <w:qFormat/>
    <w:pPr>
      <w:ind w:left="780"/>
      <w:tabs>
        <w:tab w:val="left" w:pos="360" w:leader="none"/>
        <w:tab w:val="left" w:pos="780" w:leader="none"/>
      </w:tabs>
    </w:pPr>
  </w:style>
  <w:style w:type="paragraph" w:styleId="962" w:customStyle="1">
    <w:name w:val="索引 411"/>
    <w:basedOn w:val="683"/>
    <w:next w:val="683"/>
    <w:uiPriority w:val="0"/>
    <w:qFormat/>
    <w:pPr>
      <w:ind w:left="600"/>
    </w:pPr>
    <w:rPr>
      <w:szCs w:val="20"/>
    </w:rPr>
  </w:style>
  <w:style w:type="paragraph" w:styleId="963" w:customStyle="1">
    <w:name w:val="目录 51"/>
    <w:basedOn w:val="683"/>
    <w:next w:val="683"/>
    <w:uiPriority w:val="39"/>
    <w:qFormat/>
    <w:pPr>
      <w:ind w:left="840" w:firstLine="420"/>
      <w:jc w:val="left"/>
      <w:spacing w:line="288" w:lineRule="auto"/>
    </w:pPr>
    <w:rPr>
      <w:sz w:val="18"/>
      <w:szCs w:val="18"/>
    </w:rPr>
  </w:style>
  <w:style w:type="paragraph" w:styleId="964" w:customStyle="1">
    <w:name w:val="目录 31"/>
    <w:basedOn w:val="683"/>
    <w:next w:val="683"/>
    <w:uiPriority w:val="39"/>
    <w:qFormat/>
    <w:pPr>
      <w:ind w:left="420" w:firstLine="420"/>
      <w:jc w:val="left"/>
      <w:spacing w:line="288" w:lineRule="auto"/>
    </w:pPr>
    <w:rPr>
      <w:iCs/>
      <w:sz w:val="20"/>
      <w:szCs w:val="20"/>
    </w:rPr>
  </w:style>
  <w:style w:type="paragraph" w:styleId="965" w:customStyle="1">
    <w:name w:val="纯文本1"/>
    <w:basedOn w:val="683"/>
    <w:link w:val="966"/>
    <w:uiPriority w:val="0"/>
    <w:qFormat/>
    <w:rPr>
      <w:rFonts w:ascii="宋体" w:hAnsi="Courier New"/>
      <w:szCs w:val="21"/>
    </w:rPr>
  </w:style>
  <w:style w:type="character" w:styleId="966" w:customStyle="1">
    <w:name w:val="纯文本 字符"/>
    <w:link w:val="965"/>
    <w:uiPriority w:val="0"/>
    <w:qFormat/>
    <w:rPr>
      <w:rFonts w:ascii="宋体" w:hAnsi="Courier New"/>
      <w:sz w:val="21"/>
      <w:szCs w:val="21"/>
    </w:rPr>
  </w:style>
  <w:style w:type="paragraph" w:styleId="967" w:customStyle="1">
    <w:name w:val="列表项目符号 51"/>
    <w:basedOn w:val="683"/>
    <w:uiPriority w:val="0"/>
    <w:qFormat/>
    <w:pPr>
      <w:spacing w:line="360" w:lineRule="exact"/>
      <w:widowControl/>
      <w:tabs>
        <w:tab w:val="left" w:pos="360" w:leader="none"/>
        <w:tab w:val="left" w:pos="2040" w:leader="none"/>
      </w:tabs>
    </w:pPr>
    <w:rPr>
      <w:rFonts w:eastAsia="楷体_GB2312"/>
      <w:sz w:val="24"/>
      <w:szCs w:val="20"/>
    </w:rPr>
  </w:style>
  <w:style w:type="paragraph" w:styleId="968" w:customStyle="1">
    <w:name w:val="目录 81"/>
    <w:basedOn w:val="683"/>
    <w:next w:val="683"/>
    <w:uiPriority w:val="39"/>
    <w:qFormat/>
    <w:pPr>
      <w:ind w:left="1470" w:firstLine="420"/>
      <w:jc w:val="left"/>
      <w:spacing w:line="288" w:lineRule="auto"/>
    </w:pPr>
    <w:rPr>
      <w:sz w:val="18"/>
      <w:szCs w:val="18"/>
    </w:rPr>
  </w:style>
  <w:style w:type="paragraph" w:styleId="969" w:customStyle="1">
    <w:name w:val="索引 31"/>
    <w:basedOn w:val="683"/>
    <w:next w:val="683"/>
    <w:uiPriority w:val="0"/>
    <w:qFormat/>
    <w:pPr>
      <w:ind w:left="400"/>
    </w:pPr>
    <w:rPr>
      <w:szCs w:val="20"/>
    </w:rPr>
  </w:style>
  <w:style w:type="paragraph" w:styleId="970" w:customStyle="1">
    <w:name w:val="日期1"/>
    <w:basedOn w:val="683"/>
    <w:next w:val="683"/>
    <w:link w:val="971"/>
    <w:uiPriority w:val="0"/>
    <w:qFormat/>
    <w:pPr>
      <w:ind w:left="100"/>
    </w:pPr>
    <w:rPr>
      <w:rFonts w:ascii="楷体_GB2312" w:eastAsia="楷体_GB2312"/>
      <w:b/>
      <w:sz w:val="28"/>
    </w:rPr>
  </w:style>
  <w:style w:type="character" w:styleId="971" w:customStyle="1">
    <w:name w:val="日期 字符"/>
    <w:link w:val="970"/>
    <w:uiPriority w:val="0"/>
    <w:qFormat/>
    <w:rPr>
      <w:rFonts w:ascii="楷体_GB2312" w:eastAsia="楷体_GB2312"/>
      <w:b/>
      <w:sz w:val="28"/>
      <w:szCs w:val="24"/>
    </w:rPr>
  </w:style>
  <w:style w:type="paragraph" w:styleId="972" w:customStyle="1">
    <w:name w:val="正文文本缩进 21"/>
    <w:basedOn w:val="683"/>
    <w:link w:val="973"/>
    <w:uiPriority w:val="0"/>
    <w:qFormat/>
    <w:pPr>
      <w:ind w:firstLine="559"/>
      <w:spacing w:line="400" w:lineRule="exact"/>
      <w:tabs>
        <w:tab w:val="left" w:pos="0" w:leader="none"/>
        <w:tab w:val="left" w:pos="1134" w:leader="none"/>
      </w:tabs>
    </w:pPr>
    <w:rPr>
      <w:rFonts w:ascii="楷体_GB2312" w:eastAsia="楷体_GB2312"/>
      <w:sz w:val="24"/>
    </w:rPr>
  </w:style>
  <w:style w:type="character" w:styleId="973" w:customStyle="1">
    <w:name w:val="正文文本缩进 2 字符"/>
    <w:link w:val="972"/>
    <w:uiPriority w:val="0"/>
    <w:qFormat/>
    <w:rPr>
      <w:rFonts w:ascii="楷体_GB2312" w:eastAsia="楷体_GB2312"/>
      <w:sz w:val="24"/>
      <w:szCs w:val="24"/>
    </w:rPr>
  </w:style>
  <w:style w:type="paragraph" w:styleId="974" w:customStyle="1">
    <w:name w:val="批注框文本1"/>
    <w:basedOn w:val="683"/>
    <w:link w:val="975"/>
    <w:uiPriority w:val="0"/>
    <w:qFormat/>
    <w:rPr>
      <w:sz w:val="18"/>
      <w:szCs w:val="18"/>
    </w:rPr>
  </w:style>
  <w:style w:type="character" w:styleId="975" w:customStyle="1">
    <w:name w:val="批注框文本 字符"/>
    <w:link w:val="974"/>
    <w:uiPriority w:val="0"/>
    <w:qFormat/>
    <w:rPr>
      <w:sz w:val="18"/>
      <w:szCs w:val="18"/>
    </w:rPr>
  </w:style>
  <w:style w:type="paragraph" w:styleId="976" w:customStyle="1">
    <w:name w:val="页脚1"/>
    <w:basedOn w:val="683"/>
    <w:next w:val="977"/>
    <w:link w:val="978"/>
    <w:uiPriority w:val="99"/>
    <w:qFormat/>
    <w:pPr>
      <w:jc w:val="left"/>
      <w:tabs>
        <w:tab w:val="center" w:pos="4153" w:leader="none"/>
        <w:tab w:val="right" w:pos="8306" w:leader="none"/>
      </w:tabs>
    </w:pPr>
    <w:rPr>
      <w:sz w:val="18"/>
      <w:szCs w:val="18"/>
    </w:rPr>
  </w:style>
  <w:style w:type="paragraph" w:styleId="977" w:customStyle="1">
    <w:name w:val="明显引用1"/>
    <w:basedOn w:val="683"/>
    <w:next w:val="683"/>
    <w:link w:val="979"/>
    <w:uiPriority w:val="0"/>
    <w:qFormat/>
    <w:pPr>
      <w:ind w:left="936" w:right="936"/>
      <w:spacing w:before="200" w:after="280"/>
      <w:pBdr>
        <w:bottom w:val="single" w:color="4F81BD" w:sz="4" w:space="4"/>
      </w:pBdr>
    </w:pPr>
    <w:rPr>
      <w:b/>
      <w:bCs/>
      <w:i/>
      <w:iCs/>
      <w:color w:val="4f81bd"/>
      <w:szCs w:val="22"/>
    </w:rPr>
  </w:style>
  <w:style w:type="character" w:styleId="978" w:customStyle="1">
    <w:name w:val="页脚 字符"/>
    <w:link w:val="976"/>
    <w:uiPriority w:val="99"/>
    <w:qFormat/>
    <w:rPr>
      <w:sz w:val="18"/>
      <w:szCs w:val="18"/>
    </w:rPr>
  </w:style>
  <w:style w:type="character" w:styleId="979" w:customStyle="1">
    <w:name w:val="明显引用 字符"/>
    <w:link w:val="977"/>
    <w:uiPriority w:val="0"/>
    <w:qFormat/>
    <w:rPr>
      <w:b/>
      <w:bCs/>
      <w:i/>
      <w:iCs/>
      <w:color w:val="4f81bd"/>
      <w:sz w:val="21"/>
      <w:szCs w:val="22"/>
    </w:rPr>
  </w:style>
  <w:style w:type="paragraph" w:styleId="980" w:customStyle="1">
    <w:name w:val="寄信人地址1"/>
    <w:basedOn w:val="683"/>
    <w:uiPriority w:val="99"/>
    <w:unhideWhenUsed/>
    <w:qFormat/>
    <w:rPr>
      <w:rFonts w:hint="eastAsia" w:ascii="Arial" w:hAnsi="Arial"/>
      <w:sz w:val="24"/>
    </w:rPr>
  </w:style>
  <w:style w:type="paragraph" w:styleId="981" w:customStyle="1">
    <w:name w:val="页眉11"/>
    <w:basedOn w:val="683"/>
    <w:link w:val="982"/>
    <w:uiPriority w:val="99"/>
    <w:qFormat/>
    <w:pPr>
      <w:jc w:val="center"/>
      <w:tabs>
        <w:tab w:val="center" w:pos="4153" w:leader="none"/>
        <w:tab w:val="right" w:pos="8306" w:leader="none"/>
      </w:tabs>
      <w:pBdr>
        <w:bottom w:val="single" w:color="000000" w:sz="6" w:space="1"/>
      </w:pBdr>
    </w:pPr>
    <w:rPr>
      <w:sz w:val="18"/>
      <w:szCs w:val="18"/>
    </w:rPr>
  </w:style>
  <w:style w:type="character" w:styleId="982" w:customStyle="1">
    <w:name w:val="页眉 字符"/>
    <w:link w:val="981"/>
    <w:uiPriority w:val="99"/>
    <w:qFormat/>
    <w:rPr>
      <w:sz w:val="18"/>
      <w:szCs w:val="18"/>
    </w:rPr>
  </w:style>
  <w:style w:type="paragraph" w:styleId="983" w:customStyle="1">
    <w:name w:val="目录 11"/>
    <w:basedOn w:val="683"/>
    <w:next w:val="683"/>
    <w:uiPriority w:val="39"/>
    <w:qFormat/>
    <w:pPr>
      <w:spacing w:before="120" w:after="120" w:line="288" w:lineRule="auto"/>
      <w:tabs>
        <w:tab w:val="right" w:pos="8296" w:leader="dot"/>
      </w:tabs>
    </w:pPr>
    <w:rPr>
      <w:rFonts w:ascii="黑体" w:hAnsi="宋体" w:eastAsia="黑体"/>
      <w:caps/>
      <w:sz w:val="30"/>
      <w:szCs w:val="30"/>
    </w:rPr>
  </w:style>
  <w:style w:type="paragraph" w:styleId="984" w:customStyle="1">
    <w:name w:val="目录 41"/>
    <w:basedOn w:val="683"/>
    <w:next w:val="683"/>
    <w:uiPriority w:val="39"/>
    <w:qFormat/>
    <w:pPr>
      <w:ind w:left="630" w:firstLine="420"/>
      <w:jc w:val="left"/>
      <w:spacing w:line="288" w:lineRule="auto"/>
    </w:pPr>
    <w:rPr>
      <w:sz w:val="18"/>
      <w:szCs w:val="18"/>
    </w:rPr>
  </w:style>
  <w:style w:type="paragraph" w:styleId="985" w:customStyle="1">
    <w:name w:val="副标题1"/>
    <w:basedOn w:val="683"/>
    <w:next w:val="683"/>
    <w:link w:val="986"/>
    <w:uiPriority w:val="0"/>
    <w:qFormat/>
    <w:pPr>
      <w:jc w:val="center"/>
      <w:spacing w:before="240" w:after="60" w:line="312" w:lineRule="auto"/>
      <w:outlineLvl w:val="1"/>
    </w:pPr>
    <w:rPr>
      <w:rFonts w:ascii="幼圆" w:hAnsi="幼圆"/>
      <w:b/>
      <w:bCs/>
      <w:sz w:val="32"/>
      <w:szCs w:val="32"/>
    </w:rPr>
  </w:style>
  <w:style w:type="character" w:styleId="986" w:customStyle="1">
    <w:name w:val="副标题 字符"/>
    <w:link w:val="985"/>
    <w:uiPriority w:val="0"/>
    <w:qFormat/>
    <w:rPr>
      <w:rFonts w:ascii="幼圆" w:hAnsi="幼圆"/>
      <w:b/>
      <w:bCs/>
      <w:sz w:val="32"/>
      <w:szCs w:val="32"/>
    </w:rPr>
  </w:style>
  <w:style w:type="paragraph" w:styleId="987" w:customStyle="1">
    <w:name w:val="列表1"/>
    <w:basedOn w:val="683"/>
    <w:uiPriority w:val="0"/>
    <w:qFormat/>
    <w:pPr>
      <w:spacing w:after="20" w:line="288" w:lineRule="auto"/>
      <w:tabs>
        <w:tab w:val="left" w:pos="360" w:leader="none"/>
        <w:tab w:val="left" w:pos="420" w:leader="none"/>
      </w:tabs>
    </w:pPr>
    <w:rPr>
      <w:szCs w:val="20"/>
      <w:lang w:val="en-GB"/>
    </w:rPr>
  </w:style>
  <w:style w:type="paragraph" w:styleId="988" w:customStyle="1">
    <w:name w:val="脚注文本1"/>
    <w:basedOn w:val="683"/>
    <w:link w:val="989"/>
    <w:uiPriority w:val="0"/>
    <w:qFormat/>
    <w:pPr>
      <w:ind w:firstLine="425"/>
      <w:jc w:val="left"/>
      <w:spacing w:after="60" w:line="360" w:lineRule="exact"/>
    </w:pPr>
    <w:rPr>
      <w:sz w:val="18"/>
      <w:szCs w:val="18"/>
    </w:rPr>
  </w:style>
  <w:style w:type="character" w:styleId="989" w:customStyle="1">
    <w:name w:val="脚注文本 字符"/>
    <w:link w:val="988"/>
    <w:uiPriority w:val="0"/>
    <w:qFormat/>
    <w:rPr>
      <w:sz w:val="18"/>
      <w:szCs w:val="18"/>
    </w:rPr>
  </w:style>
  <w:style w:type="paragraph" w:styleId="990" w:customStyle="1">
    <w:name w:val="目录 61"/>
    <w:basedOn w:val="683"/>
    <w:next w:val="683"/>
    <w:uiPriority w:val="39"/>
    <w:qFormat/>
    <w:pPr>
      <w:ind w:left="1050" w:firstLine="420"/>
      <w:jc w:val="left"/>
      <w:spacing w:line="288" w:lineRule="auto"/>
    </w:pPr>
    <w:rPr>
      <w:sz w:val="18"/>
      <w:szCs w:val="18"/>
    </w:rPr>
  </w:style>
  <w:style w:type="paragraph" w:styleId="991" w:customStyle="1">
    <w:name w:val="正文文本缩进 31"/>
    <w:basedOn w:val="683"/>
    <w:link w:val="992"/>
    <w:uiPriority w:val="0"/>
    <w:qFormat/>
    <w:pPr>
      <w:ind w:firstLine="698"/>
      <w:jc w:val="left"/>
      <w:spacing w:line="360" w:lineRule="auto"/>
    </w:pPr>
    <w:rPr>
      <w:rFonts w:ascii="仿宋_GB2312" w:eastAsia="仿宋_GB2312"/>
      <w:sz w:val="32"/>
      <w:szCs w:val="20"/>
    </w:rPr>
  </w:style>
  <w:style w:type="character" w:styleId="992" w:customStyle="1">
    <w:name w:val="正文文本缩进 3 字符"/>
    <w:link w:val="991"/>
    <w:uiPriority w:val="0"/>
    <w:qFormat/>
    <w:rPr>
      <w:rFonts w:ascii="仿宋_GB2312" w:eastAsia="仿宋_GB2312"/>
      <w:sz w:val="32"/>
    </w:rPr>
  </w:style>
  <w:style w:type="paragraph" w:styleId="993" w:customStyle="1">
    <w:name w:val="索引 71"/>
    <w:basedOn w:val="683"/>
    <w:next w:val="683"/>
    <w:uiPriority w:val="0"/>
    <w:qFormat/>
    <w:pPr>
      <w:ind w:left="1200"/>
    </w:pPr>
    <w:rPr>
      <w:szCs w:val="20"/>
    </w:rPr>
  </w:style>
  <w:style w:type="paragraph" w:styleId="994" w:customStyle="1">
    <w:name w:val="索引 91"/>
    <w:basedOn w:val="683"/>
    <w:next w:val="683"/>
    <w:uiPriority w:val="0"/>
    <w:qFormat/>
    <w:pPr>
      <w:ind w:left="1600"/>
    </w:pPr>
    <w:rPr>
      <w:szCs w:val="20"/>
    </w:rPr>
  </w:style>
  <w:style w:type="paragraph" w:styleId="995" w:customStyle="1">
    <w:name w:val="目录 21"/>
    <w:basedOn w:val="683"/>
    <w:next w:val="683"/>
    <w:uiPriority w:val="39"/>
    <w:qFormat/>
    <w:pPr>
      <w:ind w:left="210" w:firstLine="420"/>
      <w:jc w:val="left"/>
      <w:spacing w:line="288" w:lineRule="auto"/>
    </w:pPr>
    <w:rPr>
      <w:smallCaps/>
      <w:sz w:val="20"/>
      <w:szCs w:val="20"/>
    </w:rPr>
  </w:style>
  <w:style w:type="paragraph" w:styleId="996" w:customStyle="1">
    <w:name w:val="目录 91"/>
    <w:basedOn w:val="683"/>
    <w:next w:val="683"/>
    <w:uiPriority w:val="39"/>
    <w:qFormat/>
    <w:pPr>
      <w:ind w:left="1680" w:firstLine="420"/>
      <w:jc w:val="left"/>
      <w:spacing w:line="288" w:lineRule="auto"/>
    </w:pPr>
    <w:rPr>
      <w:sz w:val="18"/>
      <w:szCs w:val="18"/>
    </w:rPr>
  </w:style>
  <w:style w:type="paragraph" w:styleId="997" w:customStyle="1">
    <w:name w:val="正文文本 21"/>
    <w:basedOn w:val="683"/>
    <w:link w:val="998"/>
    <w:uiPriority w:val="0"/>
    <w:qFormat/>
    <w:pPr>
      <w:ind w:firstLine="420"/>
      <w:spacing w:after="20" w:line="720" w:lineRule="auto"/>
    </w:pPr>
    <w:rPr>
      <w:sz w:val="30"/>
    </w:rPr>
  </w:style>
  <w:style w:type="character" w:styleId="998" w:customStyle="1">
    <w:name w:val="正文文本 2 字符"/>
    <w:link w:val="997"/>
    <w:uiPriority w:val="0"/>
    <w:qFormat/>
    <w:rPr>
      <w:sz w:val="30"/>
      <w:szCs w:val="24"/>
    </w:rPr>
  </w:style>
  <w:style w:type="paragraph" w:styleId="999" w:customStyle="1">
    <w:name w:val="HTML 预设格式1"/>
    <w:basedOn w:val="683"/>
    <w:link w:val="100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00" w:customStyle="1">
    <w:name w:val="HTML 预设格式 字符"/>
    <w:link w:val="999"/>
    <w:uiPriority w:val="0"/>
    <w:qFormat/>
    <w:rPr>
      <w:rFonts w:ascii="黑体" w:hAnsi="Courier New" w:eastAsia="黑体"/>
    </w:rPr>
  </w:style>
  <w:style w:type="paragraph" w:styleId="1001" w:customStyle="1">
    <w:name w:val="普通(网站)1"/>
    <w:basedOn w:val="683"/>
    <w:link w:val="1002"/>
    <w:uiPriority w:val="0"/>
    <w:qFormat/>
    <w:pPr>
      <w:ind w:firstLine="420"/>
      <w:jc w:val="left"/>
      <w:spacing w:before="100" w:beforeAutospacing="1" w:after="100" w:afterAutospacing="1" w:line="288" w:lineRule="auto"/>
      <w:widowControl/>
    </w:pPr>
    <w:rPr>
      <w:rFonts w:ascii="宋体" w:hAnsi="宋体"/>
      <w:sz w:val="24"/>
    </w:rPr>
  </w:style>
  <w:style w:type="character" w:styleId="1002" w:customStyle="1">
    <w:name w:val="普通(网站) 字符"/>
    <w:link w:val="1001"/>
    <w:uiPriority w:val="0"/>
    <w:qFormat/>
    <w:rPr>
      <w:rFonts w:ascii="宋体" w:hAnsi="宋体"/>
      <w:sz w:val="24"/>
      <w:szCs w:val="24"/>
    </w:rPr>
  </w:style>
  <w:style w:type="paragraph" w:styleId="1003" w:customStyle="1">
    <w:name w:val="索引 11"/>
    <w:basedOn w:val="683"/>
    <w:next w:val="683"/>
    <w:uiPriority w:val="0"/>
    <w:qFormat/>
    <w:rPr>
      <w:szCs w:val="20"/>
    </w:rPr>
  </w:style>
  <w:style w:type="paragraph" w:styleId="1004" w:customStyle="1">
    <w:name w:val="索引 21"/>
    <w:basedOn w:val="683"/>
    <w:next w:val="683"/>
    <w:uiPriority w:val="0"/>
    <w:qFormat/>
    <w:pPr>
      <w:ind w:left="200"/>
    </w:pPr>
    <w:rPr>
      <w:szCs w:val="20"/>
    </w:rPr>
  </w:style>
  <w:style w:type="paragraph" w:styleId="1005" w:customStyle="1">
    <w:name w:val="标题1"/>
    <w:basedOn w:val="683"/>
    <w:link w:val="1006"/>
    <w:uiPriority w:val="0"/>
    <w:qFormat/>
    <w:pPr>
      <w:ind w:firstLine="420"/>
      <w:jc w:val="center"/>
      <w:spacing w:before="240" w:after="60" w:line="288" w:lineRule="auto"/>
      <w:outlineLvl w:val="0"/>
    </w:pPr>
    <w:rPr>
      <w:rFonts w:ascii="Arial" w:hAnsi="Arial"/>
      <w:b/>
      <w:bCs/>
      <w:sz w:val="32"/>
      <w:szCs w:val="32"/>
    </w:rPr>
  </w:style>
  <w:style w:type="character" w:styleId="1006" w:customStyle="1">
    <w:name w:val="标题 字符"/>
    <w:link w:val="1005"/>
    <w:uiPriority w:val="0"/>
    <w:qFormat/>
    <w:rPr>
      <w:rFonts w:ascii="Arial" w:hAnsi="Arial" w:cs="Arial"/>
      <w:b/>
      <w:bCs/>
      <w:sz w:val="32"/>
      <w:szCs w:val="32"/>
    </w:rPr>
  </w:style>
  <w:style w:type="paragraph" w:styleId="1007" w:customStyle="1">
    <w:name w:val="批注主题1"/>
    <w:basedOn w:val="946"/>
    <w:next w:val="946"/>
    <w:link w:val="1008"/>
    <w:uiPriority w:val="0"/>
    <w:qFormat/>
    <w:rPr>
      <w:b/>
      <w:bCs/>
    </w:rPr>
  </w:style>
  <w:style w:type="character" w:styleId="1008" w:customStyle="1">
    <w:name w:val="批注主题 字符"/>
    <w:link w:val="1007"/>
    <w:uiPriority w:val="0"/>
    <w:qFormat/>
    <w:rPr>
      <w:b/>
      <w:bCs/>
      <w:sz w:val="21"/>
      <w:szCs w:val="24"/>
    </w:rPr>
  </w:style>
  <w:style w:type="paragraph" w:styleId="1009" w:customStyle="1">
    <w:name w:val="正文首行缩进11"/>
    <w:basedOn w:val="956"/>
    <w:uiPriority w:val="0"/>
    <w:qFormat/>
    <w:pPr>
      <w:ind w:firstLine="420"/>
      <w:spacing w:after="120"/>
    </w:pPr>
    <w:rPr>
      <w:rFonts w:ascii="Times New Roman" w:eastAsia="宋体"/>
      <w:sz w:val="20"/>
      <w:lang w:bidi="mn-Mong-CN"/>
    </w:rPr>
  </w:style>
  <w:style w:type="paragraph" w:styleId="1010" w:customStyle="1">
    <w:name w:val="正文首行缩进 21"/>
    <w:basedOn w:val="958"/>
    <w:next w:val="683"/>
    <w:link w:val="1011"/>
    <w:uiPriority w:val="0"/>
    <w:qFormat/>
    <w:pPr>
      <w:ind w:left="420" w:firstLine="420"/>
      <w:spacing w:after="120" w:line="240" w:lineRule="auto"/>
      <w:widowControl w:val="off"/>
    </w:pPr>
    <w:rPr>
      <w:rFonts w:ascii="Cambria" w:hAnsi="Cambria" w:eastAsia="华文细黑"/>
      <w:sz w:val="21"/>
    </w:rPr>
  </w:style>
  <w:style w:type="character" w:styleId="1011" w:customStyle="1">
    <w:name w:val="正文文本首行缩进 2 字符"/>
    <w:link w:val="1010"/>
    <w:uiPriority w:val="0"/>
    <w:qFormat/>
    <w:rPr>
      <w:rFonts w:ascii="Cambria" w:hAnsi="Cambria" w:eastAsia="华文细黑" w:cs="Cambria"/>
      <w:sz w:val="21"/>
    </w:rPr>
  </w:style>
  <w:style w:type="table" w:styleId="1012" w:customStyle="1">
    <w:name w:val="网格型1"/>
    <w:basedOn w:val="928"/>
    <w:uiPriority w:val="0"/>
    <w:qFormat/>
    <w:pPr>
      <w:jc w:val="both"/>
      <w:widowControl w:val="off"/>
    </w:pPr>
    <w:tblPr/>
  </w:style>
  <w:style w:type="character" w:styleId="1013" w:customStyle="1">
    <w:name w:val="要点1"/>
    <w:uiPriority w:val="22"/>
    <w:qFormat/>
    <w:rPr>
      <w:b/>
      <w:bCs/>
    </w:rPr>
  </w:style>
  <w:style w:type="character" w:styleId="1014" w:customStyle="1">
    <w:name w:val="页码1"/>
    <w:uiPriority w:val="0"/>
    <w:qFormat/>
  </w:style>
  <w:style w:type="character" w:styleId="1015" w:customStyle="1">
    <w:name w:val="已访问的超链接1"/>
    <w:uiPriority w:val="0"/>
    <w:qFormat/>
    <w:rPr>
      <w:color w:val="800080"/>
      <w:u w:val="single"/>
    </w:rPr>
  </w:style>
  <w:style w:type="character" w:styleId="1016" w:customStyle="1">
    <w:name w:val="强调1"/>
    <w:uiPriority w:val="0"/>
    <w:qFormat/>
    <w:rPr>
      <w:i/>
    </w:rPr>
  </w:style>
  <w:style w:type="character" w:styleId="1017" w:customStyle="1">
    <w:name w:val="HTML 打字机1"/>
    <w:uiPriority w:val="0"/>
    <w:unhideWhenUsed/>
    <w:qFormat/>
    <w:rPr>
      <w:rFonts w:ascii="宋体" w:hAnsi="宋体" w:eastAsia="宋体" w:cs="宋体"/>
      <w:sz w:val="24"/>
      <w:szCs w:val="24"/>
    </w:rPr>
  </w:style>
  <w:style w:type="character" w:styleId="1018" w:customStyle="1">
    <w:name w:val="超链接1"/>
    <w:uiPriority w:val="99"/>
    <w:qFormat/>
    <w:rPr>
      <w:color w:val="0000ff"/>
      <w:u w:val="single"/>
    </w:rPr>
  </w:style>
  <w:style w:type="character" w:styleId="1019" w:customStyle="1">
    <w:name w:val="批注引用1"/>
    <w:uiPriority w:val="0"/>
    <w:qFormat/>
    <w:rPr>
      <w:sz w:val="21"/>
      <w:szCs w:val="21"/>
    </w:rPr>
  </w:style>
  <w:style w:type="character" w:styleId="1020" w:customStyle="1">
    <w:name w:val="脚注引用1"/>
    <w:uiPriority w:val="0"/>
    <w:qFormat/>
    <w:rPr>
      <w:rFonts w:ascii="宋体" w:hAnsi="宋体" w:eastAsia="宋体"/>
      <w:vertAlign w:val="superscript"/>
    </w:rPr>
  </w:style>
  <w:style w:type="paragraph" w:styleId="1021" w:customStyle="1">
    <w:name w:val="索引 41"/>
    <w:basedOn w:val="683"/>
    <w:next w:val="683"/>
    <w:uiPriority w:val="99"/>
    <w:qFormat/>
    <w:pPr>
      <w:ind w:left="600"/>
    </w:pPr>
  </w:style>
  <w:style w:type="paragraph" w:styleId="1022" w:customStyle="1">
    <w:name w:val="_Style 1"/>
    <w:basedOn w:val="683"/>
    <w:uiPriority w:val="34"/>
    <w:qFormat/>
    <w:pPr>
      <w:ind w:firstLine="420"/>
    </w:pPr>
    <w:rPr>
      <w:rFonts w:ascii="Calibri" w:hAnsi="Calibri"/>
      <w:szCs w:val="22"/>
    </w:rPr>
  </w:style>
  <w:style w:type="paragraph" w:styleId="1023" w:customStyle="1">
    <w:name w:val="引文目录1"/>
    <w:basedOn w:val="683"/>
    <w:next w:val="683"/>
    <w:uiPriority w:val="0"/>
    <w:qFormat/>
    <w:pPr>
      <w:ind w:left="420"/>
    </w:pPr>
  </w:style>
  <w:style w:type="paragraph" w:styleId="1024" w:customStyle="1">
    <w:name w:val="样式一"/>
    <w:basedOn w:val="683"/>
    <w:uiPriority w:val="0"/>
    <w:qFormat/>
    <w:pPr>
      <w:numPr>
        <w:ilvl w:val="2"/>
        <w:numId w:val="2"/>
      </w:numPr>
      <w:spacing w:before="100" w:after="100" w:line="360" w:lineRule="exact"/>
    </w:pPr>
    <w:rPr>
      <w:rFonts w:ascii="宋体" w:hAnsi="宋体" w:eastAsia="黑体"/>
      <w:sz w:val="24"/>
      <w:szCs w:val="20"/>
      <w:lang w:val="en-GB"/>
    </w:rPr>
  </w:style>
  <w:style w:type="paragraph" w:styleId="1025" w:customStyle="1">
    <w:name w:val="正文文本首行缩进 21"/>
    <w:basedOn w:val="958"/>
    <w:uiPriority w:val="0"/>
    <w:qFormat/>
    <w:pPr>
      <w:ind w:firstLine="420"/>
    </w:pPr>
  </w:style>
  <w:style w:type="paragraph" w:styleId="1026">
    <w:name w:val="List Paragraph"/>
    <w:basedOn w:val="683"/>
    <w:uiPriority w:val="34"/>
    <w:qFormat/>
    <w:pPr>
      <w:ind w:firstLine="420"/>
    </w:pPr>
    <w:rPr>
      <w:rFonts w:ascii="Calibri" w:hAnsi="Calibri"/>
      <w:szCs w:val="22"/>
    </w:rPr>
  </w:style>
  <w:style w:type="character" w:styleId="1027" w:customStyle="1">
    <w:name w:val="Char Char Char"/>
    <w:uiPriority w:val="0"/>
    <w:qFormat/>
    <w:rPr>
      <w:rFonts w:ascii="宋体" w:hAnsi="宋体" w:eastAsia="宋体"/>
      <w:b/>
      <w:sz w:val="24"/>
      <w:lang w:val="en-US" w:eastAsia="zh-CN" w:bidi="ar-SA"/>
    </w:rPr>
  </w:style>
  <w:style w:type="character" w:styleId="1028" w:customStyle="1">
    <w:name w:val="itm1"/>
    <w:uiPriority w:val="0"/>
    <w:qFormat/>
    <w:rPr>
      <w:rFonts w:hint="eastAsia" w:ascii="宋体" w:hAnsi="宋体" w:eastAsia="宋体"/>
      <w:sz w:val="21"/>
      <w:szCs w:val="21"/>
    </w:rPr>
  </w:style>
  <w:style w:type="character" w:styleId="1029" w:customStyle="1">
    <w:name w:val="明显参考1"/>
    <w:uiPriority w:val="0"/>
    <w:qFormat/>
    <w:rPr>
      <w:b/>
      <w:bCs/>
      <w:smallCaps/>
      <w:color w:val="c0504d"/>
      <w:spacing w:val="5"/>
      <w:u w:val="single"/>
    </w:rPr>
  </w:style>
  <w:style w:type="character" w:styleId="1030" w:customStyle="1">
    <w:name w:val="副标题 Char1"/>
    <w:uiPriority w:val="0"/>
    <w:qFormat/>
    <w:rPr>
      <w:rFonts w:ascii="Cambria" w:hAnsi="Cambria" w:cs="Times New Roman"/>
      <w:b/>
      <w:bCs/>
      <w:sz w:val="32"/>
      <w:szCs w:val="32"/>
    </w:rPr>
  </w:style>
  <w:style w:type="character" w:styleId="1031" w:customStyle="1">
    <w:name w:val="Typewriter"/>
    <w:uiPriority w:val="0"/>
    <w:qFormat/>
    <w:rPr>
      <w:rFonts w:ascii="华文细黑" w:hAnsi="华文细黑"/>
      <w:sz w:val="20"/>
    </w:rPr>
  </w:style>
  <w:style w:type="character" w:styleId="1032"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33" w:customStyle="1">
    <w:name w:val="书籍标题1"/>
    <w:uiPriority w:val="0"/>
    <w:qFormat/>
    <w:rPr>
      <w:b/>
      <w:bCs/>
      <w:smallCaps/>
      <w:spacing w:val="5"/>
    </w:rPr>
  </w:style>
  <w:style w:type="character" w:styleId="1034" w:customStyle="1">
    <w:name w:val="日期 Char1"/>
    <w:uiPriority w:val="0"/>
    <w:qFormat/>
    <w:rPr>
      <w:sz w:val="21"/>
      <w:szCs w:val="22"/>
    </w:rPr>
  </w:style>
  <w:style w:type="character" w:styleId="1035" w:customStyle="1">
    <w:name w:val="正文文本 Char1"/>
    <w:uiPriority w:val="0"/>
    <w:qFormat/>
    <w:rPr>
      <w:sz w:val="21"/>
      <w:szCs w:val="22"/>
    </w:rPr>
  </w:style>
  <w:style w:type="character" w:styleId="1036" w:customStyle="1">
    <w:name w:val="批注文字 Char Char"/>
    <w:uiPriority w:val="0"/>
    <w:qFormat/>
    <w:rPr>
      <w:rFonts w:ascii="华文细黑" w:hAnsi="Cambria" w:eastAsia="华文细黑" w:cs="Cambria"/>
      <w:sz w:val="28"/>
      <w:szCs w:val="20"/>
    </w:rPr>
  </w:style>
  <w:style w:type="character" w:styleId="1037" w:customStyle="1">
    <w:name w:val="称呼 Char1"/>
    <w:uiPriority w:val="0"/>
    <w:qFormat/>
    <w:rPr>
      <w:sz w:val="21"/>
      <w:szCs w:val="24"/>
    </w:rPr>
  </w:style>
  <w:style w:type="character" w:styleId="1038" w:customStyle="1">
    <w:name w:val="正文文本缩进 Char"/>
    <w:uiPriority w:val="0"/>
    <w:qFormat/>
    <w:rPr>
      <w:rFonts w:ascii="Cambria" w:hAnsi="Cambria" w:eastAsia="华文细黑" w:cs="Cambria"/>
      <w:sz w:val="21"/>
      <w:szCs w:val="24"/>
    </w:rPr>
  </w:style>
  <w:style w:type="character" w:styleId="1039" w:customStyle="1">
    <w:name w:val="明显引用 Char1"/>
    <w:uiPriority w:val="30"/>
    <w:qFormat/>
    <w:rPr>
      <w:b/>
      <w:bCs/>
      <w:i/>
      <w:iCs/>
      <w:color w:val="4f81bd"/>
      <w:sz w:val="21"/>
      <w:szCs w:val="24"/>
    </w:rPr>
  </w:style>
  <w:style w:type="character" w:styleId="1040" w:customStyle="1">
    <w:name w:val="正文缩进 Char1"/>
    <w:uiPriority w:val="0"/>
    <w:qFormat/>
    <w:rPr>
      <w:rFonts w:eastAsia="宋体"/>
      <w:lang w:val="en-US" w:eastAsia="zh-CN" w:bidi="ar-SA"/>
    </w:rPr>
  </w:style>
  <w:style w:type="character" w:styleId="1041" w:customStyle="1">
    <w:name w:val="Definition"/>
    <w:uiPriority w:val="0"/>
    <w:qFormat/>
    <w:rPr>
      <w:i/>
    </w:rPr>
  </w:style>
  <w:style w:type="character" w:styleId="1042" w:customStyle="1">
    <w:name w:val="标题 311"/>
    <w:uiPriority w:val="0"/>
    <w:qFormat/>
    <w:rPr>
      <w:rFonts w:hint="eastAsia" w:ascii="黑体" w:hAnsi="ˎ̥" w:eastAsia="黑体"/>
      <w:sz w:val="28"/>
    </w:rPr>
  </w:style>
  <w:style w:type="character" w:styleId="1043" w:customStyle="1">
    <w:name w:val="脚注文本 Char1"/>
    <w:uiPriority w:val="0"/>
    <w:qFormat/>
    <w:rPr>
      <w:sz w:val="18"/>
      <w:szCs w:val="18"/>
    </w:rPr>
  </w:style>
  <w:style w:type="character" w:styleId="1044" w:customStyle="1">
    <w:name w:val="明显强调1"/>
    <w:uiPriority w:val="0"/>
    <w:qFormat/>
    <w:rPr>
      <w:b/>
      <w:bCs/>
      <w:i/>
      <w:iCs/>
      <w:color w:val="4f81bd"/>
    </w:rPr>
  </w:style>
  <w:style w:type="character" w:styleId="1045" w:customStyle="1">
    <w:name w:val="HTML Markup"/>
    <w:uiPriority w:val="0"/>
    <w:qFormat/>
    <w:rPr>
      <w:vanish/>
      <w:color w:val="ff0000"/>
    </w:rPr>
  </w:style>
  <w:style w:type="character" w:styleId="1046" w:customStyle="1">
    <w:name w:val="text_list1"/>
    <w:uiPriority w:val="0"/>
    <w:qFormat/>
    <w:rPr>
      <w:rFonts w:ascii="Arial" w:hAnsi="Arial" w:cs="Arial"/>
      <w:color w:val="000000"/>
      <w:spacing w:val="272"/>
      <w:sz w:val="16"/>
      <w:szCs w:val="16"/>
    </w:rPr>
  </w:style>
  <w:style w:type="character" w:styleId="1047" w:customStyle="1">
    <w:name w:val="标题5 Char Char"/>
    <w:link w:val="1048"/>
    <w:uiPriority w:val="0"/>
    <w:qFormat/>
    <w:rPr>
      <w:rFonts w:ascii="Tahoma" w:hAnsi="Tahoma"/>
      <w:b/>
      <w:bCs/>
      <w:sz w:val="24"/>
      <w:szCs w:val="32"/>
    </w:rPr>
  </w:style>
  <w:style w:type="paragraph" w:styleId="1048" w:customStyle="1">
    <w:name w:val="标题5"/>
    <w:basedOn w:val="920"/>
    <w:link w:val="1047"/>
    <w:uiPriority w:val="0"/>
    <w:qFormat/>
    <w:pPr>
      <w:spacing w:line="413" w:lineRule="auto"/>
    </w:pPr>
    <w:rPr>
      <w:rFonts w:ascii="Tahoma" w:hAnsi="Tahoma" w:eastAsia="宋体"/>
      <w:sz w:val="24"/>
    </w:rPr>
  </w:style>
  <w:style w:type="character" w:styleId="1049" w:customStyle="1">
    <w:name w:val="批注主题 Char1"/>
    <w:uiPriority w:val="0"/>
    <w:qFormat/>
    <w:rPr>
      <w:b/>
      <w:bCs/>
      <w:sz w:val="21"/>
      <w:szCs w:val="22"/>
    </w:rPr>
  </w:style>
  <w:style w:type="character" w:styleId="1050" w:customStyle="1">
    <w:name w:val="CODE"/>
    <w:uiPriority w:val="0"/>
    <w:qFormat/>
    <w:rPr>
      <w:rFonts w:ascii="华文细黑" w:hAnsi="华文细黑"/>
      <w:sz w:val="20"/>
    </w:rPr>
  </w:style>
  <w:style w:type="character" w:styleId="1051" w:customStyle="1">
    <w:name w:val="不明显强调1"/>
    <w:uiPriority w:val="0"/>
    <w:qFormat/>
    <w:rPr>
      <w:i/>
      <w:iCs/>
      <w:color w:val="808080"/>
    </w:rPr>
  </w:style>
  <w:style w:type="character" w:styleId="1052" w:customStyle="1">
    <w:name w:val="不明显参考1"/>
    <w:uiPriority w:val="0"/>
    <w:qFormat/>
    <w:rPr>
      <w:smallCaps/>
      <w:color w:val="c0504d"/>
      <w:u w:val="single"/>
    </w:rPr>
  </w:style>
  <w:style w:type="character" w:styleId="1053" w:customStyle="1">
    <w:name w:val="Char Char4"/>
    <w:uiPriority w:val="0"/>
    <w:qFormat/>
    <w:rPr>
      <w:rFonts w:ascii="华文细黑" w:hAnsi="华文细黑" w:eastAsia="幼圆" w:cs="Tahoma"/>
      <w:b/>
      <w:sz w:val="28"/>
      <w:szCs w:val="32"/>
      <w:lang w:val="en-US" w:eastAsia="zh-CN" w:bidi="ar-SA"/>
    </w:rPr>
  </w:style>
  <w:style w:type="character" w:styleId="1054" w:customStyle="1">
    <w:name w:val="Char Char2"/>
    <w:uiPriority w:val="0"/>
    <w:semiHidden/>
    <w:qFormat/>
    <w:rPr>
      <w:rFonts w:eastAsia="华文细黑"/>
      <w:sz w:val="21"/>
      <w:szCs w:val="24"/>
      <w:lang w:val="en-US" w:eastAsia="zh-CN" w:bidi="ar-SA"/>
    </w:rPr>
  </w:style>
  <w:style w:type="character" w:styleId="1055" w:customStyle="1">
    <w:name w:val="文档结构图 Char1"/>
    <w:uiPriority w:val="0"/>
    <w:qFormat/>
    <w:rPr>
      <w:rFonts w:ascii="华文细黑"/>
      <w:sz w:val="18"/>
      <w:szCs w:val="18"/>
    </w:rPr>
  </w:style>
  <w:style w:type="character" w:styleId="1056" w:customStyle="1">
    <w:name w:val="Char Char1"/>
    <w:uiPriority w:val="0"/>
    <w:qFormat/>
    <w:rPr>
      <w:rFonts w:ascii="幼圆" w:hAnsi="Tahoma" w:eastAsia="幼圆" w:cs="Tahoma"/>
      <w:b/>
      <w:bCs/>
      <w:sz w:val="32"/>
      <w:szCs w:val="32"/>
      <w:lang w:val="en-US" w:eastAsia="zh-CN" w:bidi="ar-SA"/>
    </w:rPr>
  </w:style>
  <w:style w:type="character" w:styleId="1057" w:customStyle="1">
    <w:name w:val="Char Char"/>
    <w:uiPriority w:val="0"/>
    <w:qFormat/>
    <w:rPr>
      <w:rFonts w:eastAsia="华文细黑"/>
      <w:b/>
      <w:bCs/>
      <w:sz w:val="21"/>
      <w:szCs w:val="24"/>
      <w:lang w:val="en-US" w:eastAsia="zh-CN" w:bidi="ar-SA"/>
    </w:rPr>
  </w:style>
  <w:style w:type="character" w:styleId="1058" w:customStyle="1">
    <w:name w:val="页眉 Char1"/>
    <w:uiPriority w:val="0"/>
    <w:qFormat/>
    <w:rPr>
      <w:rFonts w:eastAsia="宋体"/>
      <w:sz w:val="18"/>
      <w:szCs w:val="18"/>
      <w:lang w:val="en-US" w:eastAsia="zh-CN" w:bidi="ar-SA"/>
    </w:rPr>
  </w:style>
  <w:style w:type="character" w:styleId="1059" w:customStyle="1">
    <w:name w:val="Variable"/>
    <w:uiPriority w:val="0"/>
    <w:qFormat/>
    <w:rPr>
      <w:i/>
    </w:rPr>
  </w:style>
  <w:style w:type="character" w:styleId="1060" w:customStyle="1">
    <w:name w:val="结束语 Char1"/>
    <w:uiPriority w:val="0"/>
    <w:qFormat/>
    <w:rPr>
      <w:sz w:val="21"/>
      <w:szCs w:val="24"/>
    </w:rPr>
  </w:style>
  <w:style w:type="character" w:styleId="1061" w:customStyle="1">
    <w:name w:val="表格正文 Char"/>
    <w:link w:val="1062"/>
    <w:uiPriority w:val="0"/>
    <w:qFormat/>
    <w:rPr>
      <w:sz w:val="21"/>
      <w:szCs w:val="24"/>
    </w:rPr>
  </w:style>
  <w:style w:type="paragraph" w:styleId="1062" w:customStyle="1">
    <w:name w:val="表格正文"/>
    <w:basedOn w:val="683"/>
    <w:link w:val="1061"/>
    <w:uiPriority w:val="0"/>
    <w:qFormat/>
  </w:style>
  <w:style w:type="character" w:styleId="1063" w:customStyle="1">
    <w:name w:val="Char Char31"/>
    <w:uiPriority w:val="0"/>
    <w:qFormat/>
    <w:rPr>
      <w:rFonts w:eastAsia="宋体"/>
      <w:b/>
      <w:bCs/>
      <w:sz w:val="32"/>
      <w:szCs w:val="44"/>
      <w:lang w:val="en-US" w:eastAsia="zh-CN" w:bidi="ar-SA"/>
    </w:rPr>
  </w:style>
  <w:style w:type="character" w:styleId="1064" w:customStyle="1">
    <w:name w:val="Comment"/>
    <w:uiPriority w:val="0"/>
    <w:qFormat/>
    <w:rPr>
      <w:vanish/>
    </w:rPr>
  </w:style>
  <w:style w:type="character" w:styleId="1065" w:customStyle="1">
    <w:name w:val="引用 Char1"/>
    <w:uiPriority w:val="29"/>
    <w:qFormat/>
    <w:rPr>
      <w:i/>
      <w:iCs/>
      <w:color w:val="000000"/>
      <w:sz w:val="21"/>
      <w:szCs w:val="24"/>
    </w:rPr>
  </w:style>
  <w:style w:type="character" w:styleId="1066" w:customStyle="1">
    <w:name w:val="Sample"/>
    <w:uiPriority w:val="0"/>
    <w:qFormat/>
    <w:rPr>
      <w:rFonts w:ascii="华文细黑" w:hAnsi="华文细黑"/>
    </w:rPr>
  </w:style>
  <w:style w:type="character" w:styleId="1067" w:customStyle="1">
    <w:name w:val="Para head"/>
    <w:uiPriority w:val="0"/>
    <w:qFormat/>
    <w:rPr>
      <w:rFonts w:ascii="Arial" w:hAnsi="Arial" w:eastAsia="Times New Roman"/>
      <w:sz w:val="20"/>
    </w:rPr>
  </w:style>
  <w:style w:type="character" w:styleId="1068" w:customStyle="1">
    <w:name w:val="批注框文本 Char1"/>
    <w:uiPriority w:val="0"/>
    <w:qFormat/>
    <w:rPr>
      <w:sz w:val="18"/>
      <w:szCs w:val="18"/>
    </w:rPr>
  </w:style>
  <w:style w:type="character" w:styleId="1069" w:customStyle="1">
    <w:name w:val="textcontents"/>
    <w:uiPriority w:val="0"/>
    <w:qFormat/>
    <w:rPr>
      <w:rFonts w:cs="Cambria"/>
    </w:rPr>
  </w:style>
  <w:style w:type="character" w:styleId="1070" w:customStyle="1">
    <w:name w:val="Keyboard"/>
    <w:uiPriority w:val="0"/>
    <w:qFormat/>
    <w:rPr>
      <w:rFonts w:ascii="华文细黑" w:hAnsi="华文细黑"/>
      <w:b/>
      <w:sz w:val="20"/>
    </w:rPr>
  </w:style>
  <w:style w:type="character" w:styleId="1071" w:customStyle="1">
    <w:name w:val="HTML 预设格式 Char1"/>
    <w:uiPriority w:val="0"/>
    <w:qFormat/>
    <w:rPr>
      <w:rFonts w:ascii="Courier New" w:hAnsi="Courier New" w:cs="Courier New"/>
    </w:rPr>
  </w:style>
  <w:style w:type="character" w:styleId="1072" w:customStyle="1">
    <w:name w:val="引用 字符"/>
    <w:link w:val="1073"/>
    <w:uiPriority w:val="0"/>
    <w:qFormat/>
    <w:rPr>
      <w:i/>
      <w:iCs/>
      <w:color w:val="000000"/>
      <w:sz w:val="21"/>
      <w:szCs w:val="22"/>
    </w:rPr>
  </w:style>
  <w:style w:type="paragraph" w:styleId="1073" w:customStyle="1">
    <w:name w:val="引用1"/>
    <w:basedOn w:val="683"/>
    <w:next w:val="683"/>
    <w:link w:val="1072"/>
    <w:uiPriority w:val="0"/>
    <w:qFormat/>
    <w:rPr>
      <w:i/>
      <w:iCs/>
      <w:color w:val="000000"/>
      <w:szCs w:val="22"/>
    </w:rPr>
  </w:style>
  <w:style w:type="character" w:styleId="1074" w:customStyle="1">
    <w:name w:val="Char Char3"/>
    <w:uiPriority w:val="0"/>
    <w:qFormat/>
    <w:rPr>
      <w:rFonts w:ascii="幼圆" w:hAnsi="华文细黑" w:eastAsia="幼圆" w:cs="Tahoma"/>
      <w:b/>
      <w:bCs/>
      <w:sz w:val="24"/>
      <w:szCs w:val="24"/>
      <w:lang w:val="en-US" w:eastAsia="zh-CN" w:bidi="ar-SA"/>
    </w:rPr>
  </w:style>
  <w:style w:type="character" w:styleId="1075" w:customStyle="1">
    <w:name w:val="chword"/>
    <w:uiPriority w:val="0"/>
    <w:qFormat/>
  </w:style>
  <w:style w:type="character" w:styleId="1076" w:customStyle="1">
    <w:name w:val="CITE"/>
    <w:uiPriority w:val="0"/>
    <w:qFormat/>
    <w:rPr>
      <w:i/>
    </w:rPr>
  </w:style>
  <w:style w:type="paragraph" w:styleId="1077" w:customStyle="1">
    <w:name w:val="页眉1"/>
    <w:basedOn w:val="68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78" w:customStyle="1">
    <w:name w:val="xl27"/>
    <w:basedOn w:val="68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9" w:customStyle="1">
    <w:name w:val="xl42"/>
    <w:basedOn w:val="68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80" w:customStyle="1">
    <w:name w:val="程序代码"/>
    <w:basedOn w:val="683"/>
    <w:uiPriority w:val="0"/>
    <w:qFormat/>
    <w:pPr>
      <w:ind w:left="839" w:firstLine="420"/>
      <w:spacing w:after="20" w:line="288" w:lineRule="auto"/>
    </w:pPr>
    <w:rPr>
      <w:rFonts w:eastAsia="仿宋_GB2312"/>
    </w:rPr>
  </w:style>
  <w:style w:type="paragraph" w:styleId="1081" w:customStyle="1">
    <w:name w:val="正文 A"/>
    <w:uiPriority w:val="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082" w:customStyle="1">
    <w:name w:val="列表段落1"/>
    <w:basedOn w:val="683"/>
    <w:uiPriority w:val="0"/>
    <w:qFormat/>
    <w:pPr>
      <w:ind w:firstLine="420"/>
    </w:pPr>
    <w:rPr>
      <w:rFonts w:ascii="Calibri" w:hAnsi="Calibri"/>
      <w:szCs w:val="22"/>
    </w:rPr>
  </w:style>
  <w:style w:type="paragraph" w:styleId="1083" w:customStyle="1">
    <w:name w:val="标准文字"/>
    <w:basedOn w:val="683"/>
    <w:uiPriority w:val="0"/>
    <w:qFormat/>
    <w:pPr>
      <w:ind w:firstLine="420"/>
      <w:spacing w:after="20" w:line="360" w:lineRule="auto"/>
    </w:pPr>
  </w:style>
  <w:style w:type="paragraph" w:styleId="1084" w:customStyle="1">
    <w:name w:val="z-Top of Form"/>
    <w:next w:val="683"/>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085" w:customStyle="1">
    <w:name w:val="TOC 标题11"/>
    <w:basedOn w:val="918"/>
    <w:next w:val="683"/>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086" w:customStyle="1">
    <w:name w:val="简介正文"/>
    <w:basedOn w:val="683"/>
    <w:uiPriority w:val="0"/>
    <w:qFormat/>
    <w:pPr>
      <w:ind w:left="1701" w:hanging="1701"/>
      <w:spacing w:after="20" w:line="520" w:lineRule="exact"/>
      <w:tabs>
        <w:tab w:val="left" w:pos="360" w:leader="none"/>
      </w:tabs>
    </w:pPr>
    <w:rPr>
      <w:sz w:val="24"/>
      <w:szCs w:val="20"/>
    </w:rPr>
  </w:style>
  <w:style w:type="paragraph" w:styleId="1087" w:customStyle="1">
    <w:name w:val="xl43"/>
    <w:basedOn w:val="68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88" w:customStyle="1">
    <w:name w:val="函数注释2"/>
    <w:basedOn w:val="683"/>
    <w:uiPriority w:val="0"/>
    <w:qFormat/>
    <w:pPr>
      <w:ind w:left="1680" w:firstLine="420"/>
      <w:spacing w:after="20" w:line="288" w:lineRule="auto"/>
    </w:pPr>
  </w:style>
  <w:style w:type="paragraph" w:styleId="1089" w:customStyle="1">
    <w:name w:val="Definition Term"/>
    <w:basedOn w:val="683"/>
    <w:next w:val="1090"/>
    <w:uiPriority w:val="0"/>
    <w:qFormat/>
    <w:pPr>
      <w:jc w:val="left"/>
    </w:pPr>
    <w:rPr>
      <w:rFonts w:ascii="Cambria" w:hAnsi="Cambria" w:eastAsia="华文细黑" w:cs="Cambria"/>
      <w:sz w:val="24"/>
      <w:szCs w:val="20"/>
    </w:rPr>
  </w:style>
  <w:style w:type="paragraph" w:styleId="1090" w:customStyle="1">
    <w:name w:val="Definition List"/>
    <w:basedOn w:val="683"/>
    <w:next w:val="1089"/>
    <w:uiPriority w:val="0"/>
    <w:qFormat/>
    <w:pPr>
      <w:ind w:left="360"/>
      <w:jc w:val="left"/>
    </w:pPr>
    <w:rPr>
      <w:rFonts w:ascii="Cambria" w:hAnsi="Cambria" w:eastAsia="华文细黑" w:cs="Cambria"/>
      <w:sz w:val="24"/>
      <w:szCs w:val="20"/>
    </w:rPr>
  </w:style>
  <w:style w:type="paragraph" w:styleId="1091" w:customStyle="1">
    <w:name w:val="默认段落字体 Para Char"/>
    <w:basedOn w:val="683"/>
    <w:uiPriority w:val="0"/>
    <w:qFormat/>
    <w:pPr>
      <w:ind w:firstLine="200"/>
      <w:spacing w:line="360" w:lineRule="auto"/>
    </w:pPr>
    <w:rPr>
      <w:rFonts w:ascii="华文细黑" w:hAnsi="华文细黑" w:eastAsia="华文细黑" w:cs="华文细黑"/>
      <w:sz w:val="24"/>
    </w:rPr>
  </w:style>
  <w:style w:type="paragraph" w:styleId="1092" w:customStyle="1">
    <w:name w:val="样式 标题 1 + 黑体 三号 非加粗 居中 段前: 6 磅 段后: 6 磅 行距: 固定值 20 磅"/>
    <w:basedOn w:val="918"/>
    <w:uiPriority w:val="0"/>
    <w:qFormat/>
    <w:pPr>
      <w:numPr>
        <w:numId w:val="0"/>
      </w:numPr>
      <w:spacing w:before="120" w:after="120" w:line="400" w:lineRule="exact"/>
    </w:pPr>
    <w:rPr>
      <w:rFonts w:ascii="幼圆" w:hAnsi="幼圆" w:eastAsia="幼圆" w:cs="华文细黑"/>
      <w:b w:val="0"/>
      <w:bCs w:val="0"/>
      <w:sz w:val="32"/>
      <w:szCs w:val="20"/>
    </w:rPr>
  </w:style>
  <w:style w:type="paragraph" w:styleId="1093" w:customStyle="1">
    <w:name w:val="yyn"/>
    <w:basedOn w:val="683"/>
    <w:uiPriority w:val="0"/>
    <w:qFormat/>
    <w:pPr>
      <w:ind w:right="562" w:firstLine="576"/>
      <w:keepNext/>
      <w:spacing w:line="360" w:lineRule="auto"/>
      <w:widowControl/>
    </w:pPr>
    <w:rPr>
      <w:rFonts w:ascii="宋体"/>
      <w:sz w:val="28"/>
      <w:szCs w:val="20"/>
    </w:rPr>
  </w:style>
  <w:style w:type="paragraph" w:styleId="1094" w:customStyle="1">
    <w:name w:val="font5"/>
    <w:basedOn w:val="683"/>
    <w:uiPriority w:val="0"/>
    <w:qFormat/>
    <w:pPr>
      <w:jc w:val="left"/>
      <w:spacing w:before="100" w:beforeAutospacing="1" w:after="100" w:afterAutospacing="1"/>
      <w:widowControl/>
    </w:pPr>
    <w:rPr>
      <w:rFonts w:hint="eastAsia" w:ascii="宋体" w:hAnsi="宋体"/>
      <w:sz w:val="18"/>
      <w:szCs w:val="18"/>
    </w:rPr>
  </w:style>
  <w:style w:type="paragraph" w:styleId="1095" w:customStyle="1">
    <w:name w:val="xl33"/>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6" w:customStyle="1">
    <w:name w:val="菲页(卷)"/>
    <w:basedOn w:val="918"/>
    <w:next w:val="1097"/>
    <w:uiPriority w:val="0"/>
    <w:qFormat/>
    <w:pPr>
      <w:ind w:left="780" w:hanging="360"/>
      <w:keepLines w:val="0"/>
      <w:spacing w:before="0" w:after="0" w:line="240" w:lineRule="auto"/>
      <w:widowControl/>
      <w:outlineLvl w:val="1"/>
    </w:pPr>
    <w:rPr>
      <w:b w:val="0"/>
      <w:bCs w:val="0"/>
      <w:sz w:val="52"/>
      <w:szCs w:val="20"/>
    </w:rPr>
  </w:style>
  <w:style w:type="paragraph" w:styleId="109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98" w:customStyle="1">
    <w:name w:val="列表_名词"/>
    <w:basedOn w:val="1099"/>
    <w:uiPriority w:val="0"/>
    <w:qFormat/>
    <w:pPr>
      <w:ind w:left="2745" w:hanging="420"/>
      <w:tabs>
        <w:tab w:val="left" w:pos="2745" w:leader="none"/>
      </w:tabs>
    </w:pPr>
  </w:style>
  <w:style w:type="paragraph" w:styleId="1099" w:customStyle="1">
    <w:name w:val="名词解释11"/>
    <w:basedOn w:val="1100"/>
    <w:uiPriority w:val="0"/>
    <w:qFormat/>
    <w:pPr>
      <w:ind w:firstLine="0"/>
      <w:spacing w:after="0"/>
    </w:pPr>
  </w:style>
  <w:style w:type="paragraph" w:styleId="1100" w:customStyle="1">
    <w:name w:val="名词解释"/>
    <w:basedOn w:val="683"/>
    <w:uiPriority w:val="0"/>
    <w:qFormat/>
    <w:pPr>
      <w:ind w:left="2325" w:hanging="2325"/>
      <w:spacing w:after="20" w:line="288" w:lineRule="auto"/>
    </w:pPr>
    <w:rPr>
      <w:szCs w:val="20"/>
    </w:rPr>
  </w:style>
  <w:style w:type="paragraph" w:styleId="1101" w:customStyle="1">
    <w:name w:val="空半行"/>
    <w:basedOn w:val="683"/>
    <w:uiPriority w:val="0"/>
    <w:qFormat/>
    <w:pPr>
      <w:spacing w:line="120" w:lineRule="exact"/>
    </w:pPr>
    <w:rPr>
      <w:rFonts w:ascii="Cambria" w:hAnsi="Cambria" w:eastAsia="Tahoma" w:cs="Cambria"/>
      <w:color w:val="ffffff"/>
      <w:sz w:val="30"/>
      <w:szCs w:val="20"/>
    </w:rPr>
  </w:style>
  <w:style w:type="paragraph" w:styleId="1102" w:customStyle="1">
    <w:name w:val="xl47"/>
    <w:basedOn w:val="6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03" w:customStyle="1">
    <w:name w:val="xl34"/>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4" w:customStyle="1">
    <w:name w:val="样式1"/>
    <w:basedOn w:val="683"/>
    <w:uiPriority w:val="0"/>
    <w:qFormat/>
    <w:pPr>
      <w:spacing w:before="120" w:after="120" w:line="300" w:lineRule="auto"/>
    </w:pPr>
    <w:rPr>
      <w:rFonts w:ascii="宋体" w:hAnsi="宋体"/>
      <w:b/>
      <w:sz w:val="24"/>
      <w:szCs w:val="20"/>
    </w:rPr>
  </w:style>
  <w:style w:type="paragraph" w:styleId="1105" w:customStyle="1">
    <w:name w:val="正文(缩进)"/>
    <w:basedOn w:val="683"/>
    <w:uiPriority w:val="0"/>
    <w:qFormat/>
    <w:pPr>
      <w:ind w:firstLine="200"/>
      <w:spacing w:line="360" w:lineRule="auto"/>
      <w:widowControl/>
    </w:pPr>
    <w:rPr>
      <w:rFonts w:eastAsia="仿宋_GB2312"/>
      <w:sz w:val="24"/>
      <w:szCs w:val="20"/>
    </w:rPr>
  </w:style>
  <w:style w:type="paragraph" w:styleId="1106" w:customStyle="1">
    <w:name w:val="产品型号"/>
    <w:basedOn w:val="683"/>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07" w:customStyle="1">
    <w:name w:val="xl37"/>
    <w:basedOn w:val="6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08" w:customStyle="1">
    <w:name w:val="列表2"/>
    <w:basedOn w:val="683"/>
    <w:uiPriority w:val="0"/>
    <w:qFormat/>
    <w:pPr>
      <w:ind w:left="1469" w:hanging="420"/>
      <w:spacing w:after="20" w:line="288" w:lineRule="auto"/>
      <w:tabs>
        <w:tab w:val="left" w:pos="1470" w:leader="none"/>
      </w:tabs>
    </w:pPr>
  </w:style>
  <w:style w:type="paragraph" w:styleId="1109" w:customStyle="1">
    <w:name w:val="xl29"/>
    <w:basedOn w:val="68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0" w:customStyle="1">
    <w:name w:val="xl32"/>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1" w:customStyle="1">
    <w:name w:val="Default Paragraph Font Para Char"/>
    <w:basedOn w:val="683"/>
    <w:uiPriority w:val="0"/>
    <w:qFormat/>
    <w:pPr>
      <w:jc w:val="left"/>
      <w:spacing w:after="160" w:line="240" w:lineRule="exact"/>
      <w:widowControl/>
    </w:pPr>
  </w:style>
  <w:style w:type="paragraph" w:styleId="1112" w:customStyle="1">
    <w:name w:val="1"/>
    <w:basedOn w:val="683"/>
    <w:uiPriority w:val="0"/>
    <w:qFormat/>
    <w:pPr>
      <w:ind w:firstLine="200"/>
      <w:spacing w:line="360" w:lineRule="auto"/>
    </w:pPr>
    <w:rPr>
      <w:rFonts w:ascii="华文细黑" w:hAnsi="华文细黑" w:eastAsia="华文细黑" w:cs="华文细黑"/>
      <w:sz w:val="24"/>
    </w:rPr>
  </w:style>
  <w:style w:type="paragraph" w:styleId="1113" w:customStyle="1">
    <w:name w:val="表格"/>
    <w:basedOn w:val="683"/>
    <w:uiPriority w:val="0"/>
    <w:qFormat/>
    <w:pPr>
      <w:jc w:val="center"/>
    </w:pPr>
    <w:rPr>
      <w:szCs w:val="21"/>
    </w:rPr>
  </w:style>
  <w:style w:type="paragraph" w:styleId="1114" w:customStyle="1">
    <w:name w:val="回信地址"/>
    <w:basedOn w:val="683"/>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15" w:customStyle="1">
    <w:name w:val="xl45"/>
    <w:basedOn w:val="6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16" w:customStyle="1">
    <w:name w:val="Preformatted"/>
    <w:basedOn w:val="68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17" w:customStyle="1">
    <w:name w:val="并列项-点"/>
    <w:basedOn w:val="683"/>
    <w:uiPriority w:val="0"/>
    <w:qFormat/>
    <w:pPr>
      <w:ind w:left="851" w:hanging="284"/>
      <w:spacing w:before="120" w:line="360" w:lineRule="auto"/>
      <w:widowControl/>
      <w:tabs>
        <w:tab w:val="left" w:pos="851" w:leader="none"/>
        <w:tab w:val="left" w:pos="927" w:leader="none"/>
      </w:tabs>
    </w:pPr>
    <w:rPr>
      <w:sz w:val="24"/>
      <w:szCs w:val="20"/>
    </w:rPr>
  </w:style>
  <w:style w:type="paragraph" w:styleId="1118" w:customStyle="1">
    <w:name w:val="标题0"/>
    <w:basedOn w:val="1005"/>
    <w:next w:val="1005"/>
    <w:uiPriority w:val="0"/>
    <w:qFormat/>
    <w:rPr>
      <w:sz w:val="52"/>
    </w:rPr>
  </w:style>
  <w:style w:type="paragraph" w:styleId="1119" w:customStyle="1">
    <w:name w:val="重点"/>
    <w:basedOn w:val="683"/>
    <w:uiPriority w:val="0"/>
    <w:qFormat/>
    <w:pPr>
      <w:ind w:firstLine="420"/>
      <w:spacing w:after="20" w:line="288" w:lineRule="auto"/>
      <w:shd w:val="pct10" w:color="auto" w:fill="auto"/>
    </w:pPr>
    <w:rPr>
      <w:rFonts w:eastAsia="黑体"/>
      <w:b/>
    </w:rPr>
  </w:style>
  <w:style w:type="paragraph" w:styleId="1120" w:customStyle="1">
    <w:name w:val="xl48"/>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21" w:customStyle="1">
    <w:name w:val="a2"/>
    <w:basedOn w:val="683"/>
    <w:uiPriority w:val="0"/>
    <w:qFormat/>
    <w:pPr>
      <w:jc w:val="left"/>
      <w:spacing w:before="100" w:beforeAutospacing="1" w:after="100" w:afterAutospacing="1"/>
      <w:widowControl/>
    </w:pPr>
    <w:rPr>
      <w:rFonts w:ascii="宋体" w:hAnsi="宋体" w:cs="宋体"/>
      <w:sz w:val="24"/>
    </w:rPr>
  </w:style>
  <w:style w:type="paragraph" w:styleId="1122" w:customStyle="1">
    <w:name w:val="图形"/>
    <w:basedOn w:val="683"/>
    <w:uiPriority w:val="0"/>
    <w:qFormat/>
    <w:pPr>
      <w:ind w:firstLine="420"/>
      <w:jc w:val="center"/>
      <w:spacing w:after="20" w:line="288" w:lineRule="auto"/>
    </w:pPr>
  </w:style>
  <w:style w:type="paragraph" w:styleId="1123" w:customStyle="1">
    <w:name w:val="函数注释1"/>
    <w:basedOn w:val="683"/>
    <w:uiPriority w:val="0"/>
    <w:qFormat/>
    <w:pPr>
      <w:ind w:left="1678" w:right="210" w:hanging="1049"/>
      <w:jc w:val="left"/>
      <w:spacing w:after="20" w:line="320" w:lineRule="exact"/>
    </w:pPr>
    <w:rPr>
      <w:szCs w:val="20"/>
    </w:rPr>
  </w:style>
  <w:style w:type="paragraph" w:styleId="1124" w:customStyle="1">
    <w:name w:val="Blockquote"/>
    <w:basedOn w:val="683"/>
    <w:uiPriority w:val="0"/>
    <w:qFormat/>
    <w:pPr>
      <w:ind w:left="360" w:right="360"/>
      <w:jc w:val="left"/>
      <w:spacing w:before="100" w:after="100"/>
    </w:pPr>
    <w:rPr>
      <w:rFonts w:ascii="Cambria" w:hAnsi="Cambria" w:eastAsia="华文细黑" w:cs="Cambria"/>
      <w:sz w:val="24"/>
      <w:szCs w:val="20"/>
    </w:rPr>
  </w:style>
  <w:style w:type="paragraph" w:styleId="1125" w:customStyle="1">
    <w:name w:val="菲页1"/>
    <w:basedOn w:val="919"/>
    <w:uiPriority w:val="0"/>
    <w:qFormat/>
    <w:pPr>
      <w:numPr>
        <w:numId w:val="0"/>
      </w:numPr>
      <w:jc w:val="center"/>
      <w:widowControl/>
    </w:pPr>
    <w:rPr>
      <w:rFonts w:ascii="黑体" w:hAnsi="宋体"/>
      <w:b w:val="0"/>
      <w:bCs w:val="0"/>
      <w:sz w:val="52"/>
      <w:szCs w:val="20"/>
    </w:rPr>
  </w:style>
  <w:style w:type="paragraph" w:styleId="1126" w:customStyle="1">
    <w:name w:val="xl35"/>
    <w:basedOn w:val="6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7" w:customStyle="1">
    <w:name w:val="样式 标题 3 + (中文) 黑体 小四 非加粗 段前: 7.8 磅 段后: 0 磅 行距: 固定值 20 磅"/>
    <w:basedOn w:val="920"/>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28" w:customStyle="1">
    <w:name w:val="表蕊"/>
    <w:basedOn w:val="683"/>
    <w:uiPriority w:val="0"/>
    <w:qFormat/>
    <w:pPr>
      <w:jc w:val="left"/>
      <w:spacing w:line="320" w:lineRule="atLeast"/>
    </w:pPr>
    <w:rPr>
      <w:rFonts w:eastAsia="楷体_GB2312"/>
      <w:spacing w:val="-10"/>
      <w:szCs w:val="20"/>
    </w:rPr>
  </w:style>
  <w:style w:type="paragraph" w:styleId="1129" w:customStyle="1">
    <w:name w:val="目录文字"/>
    <w:basedOn w:val="683"/>
    <w:uiPriority w:val="0"/>
    <w:qFormat/>
    <w:pPr>
      <w:jc w:val="left"/>
      <w:spacing w:line="480" w:lineRule="auto"/>
      <w:widowControl/>
    </w:pPr>
    <w:rPr>
      <w:rFonts w:ascii="宋体" w:hAnsi="宋体"/>
      <w:sz w:val="24"/>
      <w:szCs w:val="20"/>
    </w:rPr>
  </w:style>
  <w:style w:type="paragraph" w:styleId="1130" w:customStyle="1">
    <w:name w:val="默认段落字体 Para Char Char Char1 Char"/>
    <w:basedOn w:val="683"/>
    <w:uiPriority w:val="0"/>
    <w:qFormat/>
    <w:pPr>
      <w:ind w:left="420" w:firstLine="420"/>
      <w:spacing w:line="360" w:lineRule="auto"/>
    </w:pPr>
    <w:rPr>
      <w:sz w:val="24"/>
      <w:szCs w:val="21"/>
    </w:rPr>
  </w:style>
  <w:style w:type="paragraph" w:styleId="1131" w:customStyle="1">
    <w:name w:val="TOC 标题2"/>
    <w:basedOn w:val="918"/>
    <w:next w:val="683"/>
    <w:uiPriority w:val="0"/>
    <w:qFormat/>
    <w:pPr>
      <w:numPr>
        <w:numId w:val="0"/>
      </w:numPr>
      <w:jc w:val="both"/>
      <w:outlineLvl w:val="9"/>
    </w:pPr>
    <w:rPr>
      <w:rFonts w:ascii="Cambria" w:hAnsi="Cambria" w:eastAsia="华文细黑" w:cs="Cambria"/>
    </w:rPr>
  </w:style>
  <w:style w:type="paragraph" w:styleId="1132" w:customStyle="1">
    <w:name w:val="font6"/>
    <w:basedOn w:val="683"/>
    <w:uiPriority w:val="0"/>
    <w:qFormat/>
    <w:pPr>
      <w:ind w:firstLine="420"/>
      <w:jc w:val="left"/>
      <w:spacing w:before="100" w:beforeAutospacing="1" w:after="100" w:afterAutospacing="1" w:line="288" w:lineRule="auto"/>
      <w:widowControl/>
    </w:pPr>
    <w:rPr>
      <w:sz w:val="24"/>
    </w:rPr>
  </w:style>
  <w:style w:type="paragraph" w:styleId="1133" w:customStyle="1">
    <w:name w:val="p0"/>
    <w:basedOn w:val="683"/>
    <w:uiPriority w:val="0"/>
    <w:qFormat/>
    <w:pPr>
      <w:widowControl/>
    </w:pPr>
    <w:rPr>
      <w:szCs w:val="21"/>
    </w:rPr>
  </w:style>
  <w:style w:type="paragraph" w:styleId="1134" w:customStyle="1">
    <w:name w:val="Char"/>
    <w:basedOn w:val="683"/>
    <w:uiPriority w:val="0"/>
    <w:qFormat/>
    <w:pPr>
      <w:ind w:left="420" w:firstLine="420"/>
      <w:spacing w:line="240" w:lineRule="atLeast"/>
    </w:pPr>
    <w:rPr>
      <w:szCs w:val="21"/>
    </w:rPr>
  </w:style>
  <w:style w:type="paragraph" w:styleId="1135" w:customStyle="1">
    <w:name w:val="菲页2"/>
    <w:basedOn w:val="920"/>
    <w:uiPriority w:val="0"/>
    <w:qFormat/>
    <w:pPr>
      <w:ind w:left="6233" w:hanging="420"/>
      <w:jc w:val="center"/>
      <w:spacing w:before="120" w:after="120" w:line="360" w:lineRule="auto"/>
      <w:widowControl/>
    </w:pPr>
    <w:rPr>
      <w:rFonts w:hAnsi="宋体"/>
      <w:b w:val="0"/>
      <w:bCs w:val="0"/>
      <w:sz w:val="44"/>
      <w:szCs w:val="20"/>
    </w:rPr>
  </w:style>
  <w:style w:type="paragraph" w:styleId="1136" w:customStyle="1">
    <w:name w:val="Char Char Char Char Char Char Char Char Char Char1"/>
    <w:basedOn w:val="683"/>
    <w:uiPriority w:val="0"/>
    <w:qFormat/>
    <w:pPr>
      <w:ind w:left="425" w:hanging="425"/>
      <w:tabs>
        <w:tab w:val="left" w:pos="425" w:leader="none"/>
      </w:tabs>
    </w:pPr>
    <w:rPr>
      <w:sz w:val="28"/>
      <w:szCs w:val="20"/>
    </w:rPr>
  </w:style>
  <w:style w:type="paragraph" w:styleId="1137" w:customStyle="1">
    <w:name w:val="z-Bottom of Form"/>
    <w:next w:val="683"/>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138" w:customStyle="1">
    <w:name w:val="样式 (西文) 仿宋_GB2312 居中 行距: 1.5 倍行距"/>
    <w:basedOn w:val="683"/>
    <w:uiPriority w:val="0"/>
    <w:qFormat/>
    <w:pPr>
      <w:jc w:val="center"/>
      <w:spacing w:line="360" w:lineRule="auto"/>
    </w:pPr>
    <w:rPr>
      <w:rFonts w:ascii="华文细黑" w:hAnsi="华文细黑" w:eastAsia="华文细黑" w:cs="华文细黑"/>
      <w:szCs w:val="20"/>
    </w:rPr>
  </w:style>
  <w:style w:type="paragraph" w:styleId="1139" w:customStyle="1">
    <w:name w:val="font7"/>
    <w:basedOn w:val="683"/>
    <w:uiPriority w:val="0"/>
    <w:qFormat/>
    <w:pPr>
      <w:ind w:firstLine="420"/>
      <w:jc w:val="left"/>
      <w:spacing w:before="100" w:beforeAutospacing="1" w:after="100" w:afterAutospacing="1" w:line="288" w:lineRule="auto"/>
      <w:widowControl/>
    </w:pPr>
    <w:rPr>
      <w:b/>
      <w:bCs/>
      <w:sz w:val="24"/>
    </w:rPr>
  </w:style>
  <w:style w:type="paragraph" w:styleId="1140" w:customStyle="1">
    <w:name w:val="xl24"/>
    <w:basedOn w:val="68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1" w:customStyle="1">
    <w:name w:val="xl41"/>
    <w:basedOn w:val="68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42" w:customStyle="1">
    <w:name w:val="正文1)"/>
    <w:basedOn w:val="68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43" w:customStyle="1">
    <w:name w:val="H6"/>
    <w:basedOn w:val="683"/>
    <w:next w:val="683"/>
    <w:uiPriority w:val="0"/>
    <w:qFormat/>
    <w:pPr>
      <w:jc w:val="left"/>
      <w:keepNext/>
      <w:spacing w:before="100" w:after="100"/>
      <w:outlineLvl w:val="6"/>
    </w:pPr>
    <w:rPr>
      <w:b/>
      <w:sz w:val="16"/>
      <w:szCs w:val="20"/>
    </w:rPr>
  </w:style>
  <w:style w:type="paragraph" w:styleId="1144" w:customStyle="1">
    <w:name w:val="Char Char Char Char Char Char"/>
    <w:basedOn w:val="683"/>
    <w:uiPriority w:val="0"/>
    <w:qFormat/>
    <w:pPr>
      <w:jc w:val="left"/>
      <w:spacing w:after="160" w:line="240" w:lineRule="exact"/>
      <w:widowControl/>
    </w:pPr>
    <w:rPr>
      <w:rFonts w:ascii="黑体" w:hAnsi="Verdana" w:eastAsia="黑体"/>
      <w:sz w:val="32"/>
      <w:szCs w:val="32"/>
    </w:rPr>
  </w:style>
  <w:style w:type="paragraph" w:styleId="1145" w:customStyle="1">
    <w:name w:val="列出段落1"/>
    <w:basedOn w:val="683"/>
    <w:uiPriority w:val="34"/>
    <w:qFormat/>
    <w:pPr>
      <w:ind w:firstLine="420"/>
      <w:spacing w:before="120" w:after="120" w:line="360" w:lineRule="auto"/>
    </w:pPr>
    <w:rPr>
      <w:rFonts w:ascii="Calibri" w:hAnsi="Calibri"/>
      <w:sz w:val="24"/>
      <w:szCs w:val="22"/>
    </w:rPr>
  </w:style>
  <w:style w:type="paragraph" w:styleId="1146" w:customStyle="1">
    <w:name w:val="xl25"/>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7" w:customStyle="1">
    <w:name w:val="标准式样"/>
    <w:basedOn w:val="995"/>
    <w:uiPriority w:val="0"/>
    <w:qFormat/>
  </w:style>
  <w:style w:type="paragraph" w:styleId="1148" w:customStyle="1">
    <w:name w:val="CM41"/>
    <w:basedOn w:val="1149"/>
    <w:next w:val="1149"/>
    <w:uiPriority w:val="99"/>
    <w:qFormat/>
    <w:pPr>
      <w:spacing w:after="478"/>
    </w:pPr>
    <w:rPr>
      <w:rFonts w:ascii="Times New Roman PSMT" w:hAnsi="Times New Roman" w:eastAsia="Times New Roman PSMT" w:cs="Times New Roman PSMT"/>
    </w:rPr>
  </w:style>
  <w:style w:type="paragraph" w:styleId="1149"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150" w:customStyle="1">
    <w:name w:val="Char Char Char Char"/>
    <w:basedOn w:val="683"/>
    <w:uiPriority w:val="0"/>
    <w:qFormat/>
    <w:rPr>
      <w:rFonts w:ascii="Tahoma" w:hAnsi="Tahoma"/>
      <w:sz w:val="24"/>
      <w:szCs w:val="20"/>
    </w:rPr>
  </w:style>
  <w:style w:type="paragraph" w:styleId="1151" w:customStyle="1">
    <w:name w:val="表格文字"/>
    <w:basedOn w:val="683"/>
    <w:uiPriority w:val="0"/>
    <w:qFormat/>
    <w:pPr>
      <w:jc w:val="left"/>
      <w:spacing w:line="288" w:lineRule="auto"/>
    </w:pPr>
    <w:rPr>
      <w:szCs w:val="20"/>
    </w:rPr>
  </w:style>
  <w:style w:type="paragraph" w:styleId="1152"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53" w:customStyle="1">
    <w:name w:val="flNote"/>
    <w:basedOn w:val="683"/>
    <w:uiPriority w:val="0"/>
    <w:qFormat/>
    <w:pPr>
      <w:jc w:val="center"/>
      <w:spacing w:before="320" w:after="160" w:line="360" w:lineRule="atLeast"/>
    </w:pPr>
    <w:rPr>
      <w:rFonts w:ascii="Tahoma" w:hAnsi="Cambria" w:eastAsia="幼圆" w:cs="Cambria"/>
      <w:sz w:val="30"/>
      <w:szCs w:val="20"/>
    </w:rPr>
  </w:style>
  <w:style w:type="paragraph" w:styleId="1154" w:customStyle="1">
    <w:name w:val="Char11"/>
    <w:basedOn w:val="683"/>
    <w:uiPriority w:val="0"/>
    <w:qFormat/>
    <w:rPr>
      <w:rFonts w:ascii="仿宋_GB2312" w:eastAsia="仿宋_GB2312"/>
      <w:b/>
      <w:sz w:val="32"/>
      <w:szCs w:val="32"/>
    </w:rPr>
  </w:style>
  <w:style w:type="paragraph" w:styleId="1155" w:customStyle="1">
    <w:name w:val="Char1"/>
    <w:basedOn w:val="683"/>
    <w:uiPriority w:val="0"/>
    <w:qFormat/>
    <w:rPr>
      <w:rFonts w:ascii="仿宋_GB2312" w:eastAsia="仿宋_GB2312"/>
      <w:b/>
      <w:sz w:val="32"/>
      <w:szCs w:val="32"/>
    </w:rPr>
  </w:style>
  <w:style w:type="paragraph" w:styleId="1156" w:customStyle="1">
    <w:name w:val="xl39"/>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57" w:customStyle="1">
    <w:name w:val="xl40"/>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58" w:customStyle="1">
    <w:name w:val="xl51"/>
    <w:basedOn w:val="68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59" w:customStyle="1">
    <w:name w:val="Char2"/>
    <w:basedOn w:val="683"/>
    <w:uiPriority w:val="0"/>
    <w:qFormat/>
    <w:pPr>
      <w:ind w:firstLine="200"/>
      <w:spacing w:line="360" w:lineRule="auto"/>
    </w:pPr>
    <w:rPr>
      <w:rFonts w:ascii="宋体" w:hAnsi="宋体" w:cs="宋体"/>
      <w:sz w:val="24"/>
    </w:rPr>
  </w:style>
  <w:style w:type="paragraph" w:styleId="1160" w:customStyle="1">
    <w:name w:val="Char Char Char1 Char Char Char"/>
    <w:basedOn w:val="683"/>
    <w:uiPriority w:val="0"/>
    <w:qFormat/>
    <w:pPr>
      <w:ind w:firstLine="200"/>
    </w:pPr>
    <w:rPr>
      <w:rFonts w:ascii="Tahoma" w:hAnsi="Tahoma"/>
      <w:sz w:val="24"/>
      <w:szCs w:val="20"/>
    </w:rPr>
  </w:style>
  <w:style w:type="paragraph" w:styleId="1161" w:customStyle="1">
    <w:name w:val="Char Char Char Char Char Char Char Char Char Char"/>
    <w:basedOn w:val="683"/>
    <w:uiPriority w:val="0"/>
    <w:qFormat/>
    <w:pPr>
      <w:tabs>
        <w:tab w:val="left" w:pos="360" w:leader="none"/>
      </w:tabs>
    </w:pPr>
  </w:style>
  <w:style w:type="paragraph" w:styleId="1162" w:customStyle="1">
    <w:name w:val="Char Char Char Char1"/>
    <w:basedOn w:val="683"/>
    <w:uiPriority w:val="0"/>
    <w:qFormat/>
    <w:pPr>
      <w:numPr>
        <w:ilvl w:val="0"/>
        <w:numId w:val="3"/>
      </w:numPr>
      <w:ind w:left="560" w:firstLine="480"/>
      <w:jc w:val="left"/>
      <w:spacing w:after="120" w:line="360" w:lineRule="auto"/>
      <w:widowControl/>
    </w:pPr>
    <w:rPr>
      <w:rFonts w:ascii="Verdana" w:hAnsi="Verdana"/>
      <w:sz w:val="24"/>
    </w:rPr>
  </w:style>
  <w:style w:type="paragraph" w:styleId="1163" w:customStyle="1">
    <w:name w:val="样式 标题 2 + Times New Roman 四号 非加粗 段前: 5 磅 段后: 0 磅 行距: 固定值 20..."/>
    <w:basedOn w:val="919"/>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64" w:customStyle="1">
    <w:name w:val="xl23"/>
    <w:basedOn w:val="68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65" w:customStyle="1">
    <w:name w:val="Char Char Char Char Char Char Char Char Char Char Char Char Char Char Char Char"/>
    <w:basedOn w:val="683"/>
    <w:uiPriority w:val="0"/>
    <w:qFormat/>
    <w:pPr>
      <w:tabs>
        <w:tab w:val="left" w:pos="360" w:leader="none"/>
      </w:tabs>
    </w:pPr>
    <w:rPr>
      <w:sz w:val="24"/>
    </w:rPr>
  </w:style>
  <w:style w:type="paragraph" w:styleId="1166" w:customStyle="1">
    <w:name w:val="xl44"/>
    <w:basedOn w:val="68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67" w:customStyle="1">
    <w:name w:val="Char Char Char Char Char Char Char"/>
    <w:basedOn w:val="683"/>
    <w:uiPriority w:val="0"/>
    <w:qFormat/>
    <w:pPr>
      <w:jc w:val="left"/>
      <w:spacing w:after="160" w:line="240" w:lineRule="exact"/>
      <w:widowControl/>
    </w:pPr>
    <w:rPr>
      <w:rFonts w:ascii="Arial" w:hAnsi="Arial" w:eastAsia="Times New Roman" w:cs="Verdana"/>
      <w:b/>
      <w:sz w:val="24"/>
      <w:lang w:eastAsia="en-US"/>
    </w:rPr>
  </w:style>
  <w:style w:type="paragraph" w:styleId="1168" w:customStyle="1">
    <w:name w:val="表格标题"/>
    <w:basedOn w:val="683"/>
    <w:uiPriority w:val="0"/>
    <w:qFormat/>
    <w:pPr>
      <w:jc w:val="center"/>
      <w:spacing w:before="120" w:line="400" w:lineRule="exact"/>
    </w:pPr>
    <w:rPr>
      <w:rFonts w:eastAsia="文鼎CS中宋"/>
      <w:spacing w:val="8"/>
      <w:sz w:val="24"/>
      <w:szCs w:val="20"/>
    </w:rPr>
  </w:style>
  <w:style w:type="paragraph" w:styleId="1169" w:customStyle="1">
    <w:name w:val="xl22"/>
    <w:basedOn w:val="68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70" w:customStyle="1">
    <w:name w:val="表头"/>
    <w:basedOn w:val="683"/>
    <w:uiPriority w:val="0"/>
    <w:qFormat/>
    <w:pPr>
      <w:jc w:val="center"/>
      <w:spacing w:line="320" w:lineRule="atLeast"/>
    </w:pPr>
    <w:rPr>
      <w:rFonts w:eastAsia="黑体"/>
      <w:spacing w:val="-10"/>
      <w:szCs w:val="20"/>
    </w:rPr>
  </w:style>
  <w:style w:type="paragraph" w:styleId="1171" w:customStyle="1">
    <w:name w:val="Javis"/>
    <w:basedOn w:val="683"/>
    <w:uiPriority w:val="0"/>
    <w:qFormat/>
    <w:pPr>
      <w:ind w:right="210"/>
    </w:pPr>
    <w:rPr>
      <w:rFonts w:cs="宋体"/>
      <w:sz w:val="24"/>
      <w:szCs w:val="20"/>
    </w:rPr>
  </w:style>
  <w:style w:type="paragraph" w:styleId="1172" w:customStyle="1">
    <w:name w:val="xl30"/>
    <w:basedOn w:val="68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73" w:customStyle="1">
    <w:name w:val="正文2"/>
    <w:basedOn w:val="683"/>
    <w:uiPriority w:val="0"/>
    <w:qFormat/>
    <w:pPr>
      <w:ind w:firstLine="200"/>
      <w:jc w:val="left"/>
      <w:spacing w:after="160" w:line="360" w:lineRule="auto"/>
      <w:widowControl/>
    </w:pPr>
    <w:rPr>
      <w:rFonts w:ascii="Verdana" w:hAnsi="Verdana" w:eastAsia="黑体"/>
      <w:szCs w:val="20"/>
      <w:lang w:eastAsia="en-US"/>
    </w:rPr>
  </w:style>
  <w:style w:type="paragraph" w:styleId="1174" w:customStyle="1">
    <w:name w:val="H2"/>
    <w:basedOn w:val="683"/>
    <w:next w:val="683"/>
    <w:uiPriority w:val="0"/>
    <w:qFormat/>
    <w:pPr>
      <w:jc w:val="left"/>
      <w:keepNext/>
      <w:spacing w:before="100" w:after="100"/>
      <w:outlineLvl w:val="2"/>
    </w:pPr>
    <w:rPr>
      <w:b/>
      <w:sz w:val="36"/>
      <w:szCs w:val="20"/>
    </w:rPr>
  </w:style>
  <w:style w:type="paragraph" w:styleId="1175" w:customStyle="1">
    <w:name w:val="xl49"/>
    <w:basedOn w:val="683"/>
    <w:uiPriority w:val="0"/>
    <w:qFormat/>
    <w:pPr>
      <w:jc w:val="center"/>
      <w:spacing w:before="100" w:beforeAutospacing="1" w:after="100" w:afterAutospacing="1"/>
      <w:widowControl/>
    </w:pPr>
    <w:rPr>
      <w:rFonts w:ascii="宋体" w:hAnsi="宋体"/>
      <w:b/>
      <w:bCs/>
      <w:color w:val="000000"/>
      <w:sz w:val="40"/>
      <w:szCs w:val="40"/>
    </w:rPr>
  </w:style>
  <w:style w:type="paragraph" w:styleId="1176" w:customStyle="1">
    <w:name w:val="xl50"/>
    <w:basedOn w:val="683"/>
    <w:uiPriority w:val="0"/>
    <w:qFormat/>
    <w:pPr>
      <w:jc w:val="center"/>
      <w:spacing w:before="100" w:beforeAutospacing="1" w:after="100" w:afterAutospacing="1"/>
      <w:widowControl/>
    </w:pPr>
    <w:rPr>
      <w:rFonts w:ascii="宋体" w:hAnsi="宋体"/>
      <w:b/>
      <w:bCs/>
      <w:sz w:val="40"/>
      <w:szCs w:val="40"/>
    </w:rPr>
  </w:style>
  <w:style w:type="paragraph" w:styleId="1177" w:customStyle="1">
    <w:name w:val="xl26"/>
    <w:basedOn w:val="68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8" w:customStyle="1">
    <w:name w:val="xl31"/>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9" w:customStyle="1">
    <w:name w:val="默认段落字体 Para Char Char Char Char Char Char Char"/>
    <w:basedOn w:val="683"/>
    <w:uiPriority w:val="0"/>
    <w:qFormat/>
    <w:rPr>
      <w:rFonts w:eastAsia="华文细黑" w:cs="Cambria"/>
      <w:sz w:val="24"/>
      <w:szCs w:val="20"/>
    </w:rPr>
  </w:style>
  <w:style w:type="paragraph" w:styleId="1180" w:customStyle="1">
    <w:name w:val="CM4"/>
    <w:basedOn w:val="1149"/>
    <w:next w:val="1149"/>
    <w:uiPriority w:val="99"/>
    <w:qFormat/>
    <w:pPr>
      <w:spacing w:line="468" w:lineRule="atLeast"/>
    </w:pPr>
    <w:rPr>
      <w:rFonts w:ascii="Times New Roman PSMT" w:hAnsi="Times New Roman" w:eastAsia="Times New Roman PSMT" w:cs="Times New Roman PSMT"/>
    </w:rPr>
  </w:style>
  <w:style w:type="paragraph" w:styleId="1181" w:customStyle="1">
    <w:name w:val="H5"/>
    <w:basedOn w:val="683"/>
    <w:next w:val="683"/>
    <w:uiPriority w:val="0"/>
    <w:qFormat/>
    <w:pPr>
      <w:jc w:val="left"/>
      <w:keepNext/>
      <w:spacing w:before="100" w:after="100"/>
      <w:outlineLvl w:val="5"/>
    </w:pPr>
    <w:rPr>
      <w:b/>
      <w:sz w:val="20"/>
      <w:szCs w:val="20"/>
    </w:rPr>
  </w:style>
  <w:style w:type="paragraph" w:styleId="1182" w:customStyle="1">
    <w:name w:val="xl38"/>
    <w:basedOn w:val="68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83" w:customStyle="1">
    <w:name w:val="font0"/>
    <w:basedOn w:val="683"/>
    <w:uiPriority w:val="0"/>
    <w:qFormat/>
    <w:pPr>
      <w:jc w:val="left"/>
      <w:spacing w:before="100" w:beforeAutospacing="1" w:after="100" w:afterAutospacing="1"/>
      <w:widowControl/>
    </w:pPr>
    <w:rPr>
      <w:rFonts w:hint="eastAsia" w:ascii="宋体" w:hAnsi="宋体"/>
      <w:sz w:val="18"/>
      <w:szCs w:val="18"/>
    </w:rPr>
  </w:style>
  <w:style w:type="paragraph" w:styleId="1184" w:customStyle="1">
    <w:name w:val="H3"/>
    <w:basedOn w:val="683"/>
    <w:next w:val="683"/>
    <w:uiPriority w:val="0"/>
    <w:qFormat/>
    <w:pPr>
      <w:jc w:val="left"/>
      <w:keepNext/>
      <w:spacing w:before="100" w:after="100"/>
      <w:outlineLvl w:val="3"/>
    </w:pPr>
    <w:rPr>
      <w:b/>
      <w:sz w:val="28"/>
      <w:szCs w:val="20"/>
    </w:rPr>
  </w:style>
  <w:style w:type="paragraph" w:styleId="1185" w:customStyle="1">
    <w:name w:val="目录"/>
    <w:basedOn w:val="683"/>
    <w:next w:val="683"/>
    <w:uiPriority w:val="0"/>
    <w:qFormat/>
    <w:pPr>
      <w:ind w:firstLine="420"/>
      <w:jc w:val="center"/>
      <w:spacing w:before="360" w:after="360" w:line="360" w:lineRule="auto"/>
    </w:pPr>
    <w:rPr>
      <w:b/>
      <w:spacing w:val="200"/>
      <w:sz w:val="36"/>
      <w:szCs w:val="20"/>
    </w:rPr>
  </w:style>
  <w:style w:type="paragraph" w:styleId="1186" w:customStyle="1">
    <w:name w:val="默认段落字体 Para Char Char Char"/>
    <w:basedOn w:val="683"/>
    <w:uiPriority w:val="0"/>
    <w:qFormat/>
  </w:style>
  <w:style w:type="paragraph" w:styleId="1187" w:customStyle="1">
    <w:name w:val="xl52"/>
    <w:basedOn w:val="68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88" w:customStyle="1">
    <w:name w:val="xl28"/>
    <w:basedOn w:val="68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9" w:customStyle="1">
    <w:name w:val="xl46"/>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90" w:customStyle="1">
    <w:name w:val="修订1"/>
    <w:uiPriority w:val="0"/>
    <w:qFormat/>
    <w:rPr>
      <w:rFonts w:hint="default" w:ascii="Cambria" w:hAnsi="Cambria" w:eastAsia="华文细黑" w:cs="Cambria"/>
      <w:sz w:val="21"/>
      <w:szCs w:val="24"/>
      <w:lang w:val="en-US" w:eastAsia="zh-CN" w:bidi="ar-SA"/>
    </w:rPr>
  </w:style>
  <w:style w:type="paragraph" w:styleId="1191" w:customStyle="1">
    <w:name w:val="项目符号1"/>
    <w:basedOn w:val="683"/>
    <w:uiPriority w:val="0"/>
    <w:qFormat/>
    <w:pPr>
      <w:ind w:left="1440" w:hanging="360"/>
      <w:tabs>
        <w:tab w:val="left" w:pos="360" w:leader="none"/>
      </w:tabs>
    </w:pPr>
    <w:rPr>
      <w:szCs w:val="20"/>
    </w:rPr>
  </w:style>
  <w:style w:type="paragraph" w:styleId="1192" w:customStyle="1">
    <w:name w:val="Char Char Char Char Char Char Char Char Char Char2"/>
    <w:basedOn w:val="683"/>
    <w:uiPriority w:val="0"/>
    <w:qFormat/>
    <w:pPr>
      <w:numPr>
        <w:ilvl w:val="0"/>
        <w:numId w:val="4"/>
      </w:numPr>
    </w:pPr>
    <w:rPr>
      <w:sz w:val="24"/>
    </w:rPr>
  </w:style>
  <w:style w:type="paragraph" w:styleId="1193" w:customStyle="1">
    <w:name w:val="无间隔2"/>
    <w:uiPriority w:val="0"/>
    <w:qFormat/>
    <w:pPr>
      <w:jc w:val="both"/>
      <w:widowControl w:val="off"/>
    </w:pPr>
    <w:rPr>
      <w:rFonts w:hint="default" w:ascii="仿宋_GB2312" w:hAnsi="仿宋_GB2312" w:eastAsia="华文细黑" w:cs="Cambria"/>
      <w:sz w:val="21"/>
      <w:szCs w:val="22"/>
      <w:lang w:val="en-US" w:eastAsia="zh-CN" w:bidi="ar-SA"/>
    </w:rPr>
  </w:style>
  <w:style w:type="paragraph" w:styleId="1194" w:customStyle="1">
    <w:name w:val="H4"/>
    <w:basedOn w:val="683"/>
    <w:next w:val="683"/>
    <w:uiPriority w:val="0"/>
    <w:qFormat/>
    <w:pPr>
      <w:jc w:val="left"/>
      <w:keepNext/>
      <w:spacing w:before="100" w:after="100"/>
      <w:outlineLvl w:val="4"/>
    </w:pPr>
    <w:rPr>
      <w:b/>
      <w:sz w:val="24"/>
      <w:szCs w:val="20"/>
    </w:rPr>
  </w:style>
  <w:style w:type="paragraph" w:styleId="1195" w:customStyle="1">
    <w:name w:val="Address"/>
    <w:basedOn w:val="683"/>
    <w:next w:val="683"/>
    <w:uiPriority w:val="0"/>
    <w:qFormat/>
    <w:pPr>
      <w:jc w:val="left"/>
    </w:pPr>
    <w:rPr>
      <w:rFonts w:ascii="Cambria" w:hAnsi="Cambria" w:eastAsia="华文细黑" w:cs="Cambria"/>
      <w:i/>
      <w:sz w:val="24"/>
      <w:szCs w:val="20"/>
    </w:rPr>
  </w:style>
  <w:style w:type="paragraph" w:styleId="1196" w:customStyle="1">
    <w:name w:val="xl36"/>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97" w:customStyle="1">
    <w:name w:val="样式 纯文本 + 楷体_GB2312 小四 行距: 固定值 20 磅1"/>
    <w:basedOn w:val="965"/>
    <w:uiPriority w:val="0"/>
    <w:qFormat/>
    <w:pPr>
      <w:ind w:firstLine="200"/>
      <w:spacing w:line="400" w:lineRule="exact"/>
    </w:pPr>
    <w:rPr>
      <w:rFonts w:ascii="楷体_GB2312" w:eastAsia="楷体_GB2312"/>
      <w:sz w:val="24"/>
      <w:szCs w:val="20"/>
    </w:rPr>
  </w:style>
  <w:style w:type="paragraph" w:styleId="1198" w:customStyle="1">
    <w:name w:val="ZDY正文"/>
    <w:basedOn w:val="683"/>
    <w:uiPriority w:val="0"/>
    <w:qFormat/>
    <w:pPr>
      <w:ind w:firstLine="200"/>
      <w:jc w:val="left"/>
      <w:spacing w:before="156" w:line="360" w:lineRule="auto"/>
    </w:pPr>
    <w:rPr>
      <w:rFonts w:ascii="宋体" w:hAnsi="宋体"/>
      <w:sz w:val="24"/>
    </w:rPr>
  </w:style>
  <w:style w:type="paragraph" w:styleId="1199" w:customStyle="1">
    <w:name w:val="H1"/>
    <w:basedOn w:val="683"/>
    <w:next w:val="683"/>
    <w:uiPriority w:val="0"/>
    <w:qFormat/>
    <w:pPr>
      <w:jc w:val="left"/>
      <w:keepNext/>
      <w:spacing w:before="100" w:after="100"/>
      <w:outlineLvl w:val="1"/>
    </w:pPr>
    <w:rPr>
      <w:b/>
      <w:sz w:val="48"/>
      <w:szCs w:val="20"/>
    </w:rPr>
  </w:style>
  <w:style w:type="paragraph" w:styleId="1200" w:customStyle="1">
    <w:name w:val="章标题"/>
    <w:next w:val="683"/>
    <w:uiPriority w:val="0"/>
    <w:qFormat/>
    <w:pPr>
      <w:numPr>
        <w:ilvl w:val="1"/>
        <w:numId w:val="3"/>
      </w:numPr>
      <w:jc w:val="both"/>
      <w:spacing w:before="156" w:after="156"/>
      <w:tabs>
        <w:tab w:val="left" w:pos="360" w:leader="none"/>
      </w:tabs>
      <w:outlineLvl w:val="1"/>
    </w:pPr>
    <w:rPr>
      <w:rFonts w:hint="default" w:ascii="黑体" w:hAnsi="Times New Roman" w:eastAsia="黑体" w:cs="Times New Roman"/>
      <w:sz w:val="21"/>
      <w:lang w:val="en-US" w:eastAsia="zh-CN" w:bidi="ar-SA"/>
    </w:rPr>
  </w:style>
  <w:style w:type="paragraph" w:styleId="1201" w:customStyle="1">
    <w:name w:val="段"/>
    <w:next w:val="683"/>
    <w:link w:val="1202"/>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1202" w:customStyle="1">
    <w:name w:val="段 Char"/>
    <w:link w:val="1201"/>
    <w:uiPriority w:val="0"/>
    <w:qFormat/>
    <w:rPr>
      <w:rFonts w:ascii="宋体"/>
      <w:sz w:val="21"/>
    </w:rPr>
  </w:style>
  <w:style w:type="character" w:styleId="1203" w:customStyle="1">
    <w:name w:val="font31"/>
    <w:uiPriority w:val="0"/>
    <w:qFormat/>
    <w:rPr>
      <w:rFonts w:ascii="方正仿宋_GBK" w:hAnsi="方正仿宋_GBK" w:eastAsia="方正仿宋_GBK" w:cs="方正仿宋_GBK"/>
      <w:color w:val="000000"/>
      <w:sz w:val="18"/>
      <w:szCs w:val="18"/>
      <w:u w:val="none"/>
    </w:rPr>
  </w:style>
  <w:style w:type="character" w:styleId="1204" w:customStyle="1">
    <w:name w:val="font41"/>
    <w:uiPriority w:val="0"/>
    <w:qFormat/>
    <w:rPr>
      <w:rFonts w:hint="eastAsia" w:ascii="宋体" w:hAnsi="宋体" w:eastAsia="宋体" w:cs="宋体"/>
      <w:color w:val="000000"/>
      <w:sz w:val="18"/>
      <w:szCs w:val="18"/>
      <w:u w:val="none"/>
    </w:rPr>
  </w:style>
  <w:style w:type="character" w:styleId="1205" w:customStyle="1">
    <w:name w:val="bumpedfont15"/>
    <w:uiPriority w:val="0"/>
    <w:qFormat/>
  </w:style>
  <w:style w:type="character" w:styleId="1206" w:customStyle="1">
    <w:name w:val="font51"/>
    <w:uiPriority w:val="0"/>
    <w:qFormat/>
    <w:rPr>
      <w:rFonts w:ascii="方正仿宋_GBK" w:hAnsi="方正仿宋_GBK" w:eastAsia="方正仿宋_GBK" w:cs="方正仿宋_GBK"/>
      <w:color w:val="000000"/>
      <w:sz w:val="18"/>
      <w:szCs w:val="18"/>
      <w:u w:val="none"/>
    </w:rPr>
  </w:style>
  <w:style w:type="character" w:styleId="1207" w:customStyle="1">
    <w:name w:val="font61"/>
    <w:uiPriority w:val="0"/>
    <w:qFormat/>
    <w:rPr>
      <w:rFonts w:hint="eastAsia" w:ascii="宋体" w:hAnsi="宋体" w:eastAsia="宋体" w:cs="宋体"/>
      <w:color w:val="000000"/>
      <w:sz w:val="18"/>
      <w:szCs w:val="18"/>
      <w:u w:val="none"/>
    </w:rPr>
  </w:style>
  <w:style w:type="paragraph" w:styleId="1208" w:customStyle="1">
    <w:name w:val="_Style 9"/>
    <w:basedOn w:val="683"/>
    <w:next w:val="1145"/>
    <w:uiPriority w:val="34"/>
    <w:qFormat/>
    <w:pPr>
      <w:ind w:firstLine="420"/>
    </w:pPr>
    <w:rPr>
      <w:rFonts w:ascii="Calibri" w:hAnsi="Calibri"/>
    </w:rPr>
  </w:style>
  <w:style w:type="character" w:styleId="1209" w:customStyle="1">
    <w:name w:val="NormalCharacter1"/>
    <w:uiPriority w:val="0"/>
    <w:qFormat/>
  </w:style>
  <w:style w:type="paragraph" w:styleId="1210" w:customStyle="1">
    <w:name w:val="UserStyle_4"/>
    <w:basedOn w:val="683"/>
    <w:link w:val="1211"/>
    <w:uiPriority w:val="99"/>
    <w:qFormat/>
  </w:style>
  <w:style w:type="character" w:styleId="1211" w:customStyle="1">
    <w:name w:val="NormalCharacter11"/>
    <w:link w:val="1210"/>
    <w:uiPriority w:val="99"/>
    <w:qFormat/>
  </w:style>
  <w:style w:type="character" w:styleId="1212" w:customStyle="1">
    <w:name w:val="font81"/>
    <w:uiPriority w:val="0"/>
    <w:qFormat/>
    <w:rPr>
      <w:rFonts w:hint="eastAsia" w:ascii="宋体" w:hAnsi="宋体" w:eastAsia="宋体" w:cs="宋体"/>
      <w:b/>
      <w:bCs/>
      <w:color w:val="000000"/>
      <w:sz w:val="20"/>
      <w:szCs w:val="20"/>
      <w:u w:val="none"/>
    </w:rPr>
  </w:style>
  <w:style w:type="character" w:styleId="1213" w:customStyle="1">
    <w:name w:val="font91"/>
    <w:uiPriority w:val="0"/>
    <w:qFormat/>
    <w:rPr>
      <w:rFonts w:hint="eastAsia" w:ascii="宋体" w:hAnsi="宋体" w:eastAsia="宋体" w:cs="宋体"/>
      <w:color w:val="000000"/>
      <w:sz w:val="20"/>
      <w:szCs w:val="20"/>
      <w:u w:val="none"/>
    </w:rPr>
  </w:style>
  <w:style w:type="character" w:styleId="1214" w:customStyle="1">
    <w:name w:val="font01"/>
    <w:uiPriority w:val="0"/>
    <w:qFormat/>
    <w:rPr>
      <w:rFonts w:ascii="Arial" w:hAnsi="Arial" w:cs="Arial"/>
      <w:color w:val="000000"/>
      <w:sz w:val="20"/>
      <w:szCs w:val="20"/>
      <w:u w:val="none"/>
    </w:rPr>
  </w:style>
  <w:style w:type="paragraph" w:styleId="1215" w:customStyle="1">
    <w:name w:val="样式 标题 2 + 宋体 段前: 1 行"/>
    <w:basedOn w:val="919"/>
    <w:uiPriority w:val="0"/>
    <w:qFormat/>
    <w:pPr>
      <w:numPr>
        <w:ilvl w:val="0"/>
        <w:numId w:val="5"/>
      </w:numPr>
      <w:jc w:val="center"/>
      <w:keepLines w:val="0"/>
      <w:keepNext w:val="0"/>
      <w:spacing w:before="0" w:after="0" w:line="560" w:lineRule="exact"/>
      <w:tabs>
        <w:tab w:val="left" w:pos="5386" w:leader="none"/>
      </w:tabs>
      <w:outlineLvl w:val="0"/>
    </w:pPr>
    <w:rPr>
      <w:rFonts w:ascii="黑体" w:hAnsi="黑体" w:cs="微软雅黑"/>
      <w:b w:val="0"/>
      <w:spacing w:val="20"/>
      <w:sz w:val="44"/>
      <w:szCs w:val="44"/>
    </w:rPr>
  </w:style>
  <w:style w:type="paragraph" w:styleId="1216" w:customStyle="1">
    <w:name w:val="正文文本1"/>
    <w:basedOn w:val="683"/>
    <w:next w:val="1217"/>
    <w:uiPriority w:val="0"/>
    <w:qFormat/>
    <w:rPr>
      <w:rFonts w:ascii="仿宋_GB2312" w:eastAsia="仿宋_GB2312"/>
      <w:sz w:val="28"/>
      <w:szCs w:val="20"/>
    </w:rPr>
  </w:style>
  <w:style w:type="paragraph" w:styleId="1217" w:customStyle="1">
    <w:name w:val="正文首行缩进1"/>
    <w:basedOn w:val="1216"/>
    <w:uiPriority w:val="0"/>
    <w:qFormat/>
    <w:pPr>
      <w:ind w:firstLine="420"/>
      <w:spacing w:after="120"/>
    </w:pPr>
    <w:rPr>
      <w:color w:val="000000"/>
      <w:spacing w:val="-8"/>
      <w:sz w:val="21"/>
    </w:rPr>
  </w:style>
  <w:style w:type="paragraph" w:styleId="1218" w:customStyle="1">
    <w:name w:val="正文文本11"/>
    <w:basedOn w:val="683"/>
    <w:uiPriority w:val="0"/>
    <w:qFormat/>
    <w:rPr>
      <w:rFonts w:ascii="仿宋_GB2312" w:eastAsia="仿宋_GB2312"/>
      <w:sz w:val="28"/>
      <w:szCs w:val="20"/>
      <w:lang w:eastAsia="en-US"/>
    </w:rPr>
  </w:style>
  <w:style w:type="paragraph" w:styleId="1219" w:customStyle="1">
    <w:name w:val="Style1"/>
    <w:basedOn w:val="683"/>
    <w:uiPriority w:val="0"/>
    <w:qFormat/>
    <w:pPr>
      <w:widowControl/>
      <w:tabs>
        <w:tab w:val="left" w:pos="-720" w:leader="none"/>
      </w:tabs>
    </w:pPr>
    <w:rPr>
      <w:spacing w:val="-3"/>
      <w:sz w:val="24"/>
      <w:szCs w:val="22"/>
      <w:lang w:val="en-AU" w:eastAsia="en-US"/>
    </w:rPr>
  </w:style>
  <w:style w:type="paragraph" w:styleId="1220" w:customStyle="1">
    <w:name w:val="普通正文"/>
    <w:basedOn w:val="683"/>
    <w:uiPriority w:val="0"/>
    <w:qFormat/>
    <w:pPr>
      <w:ind w:firstLine="480"/>
      <w:jc w:val="left"/>
      <w:spacing w:before="120" w:after="120" w:line="360" w:lineRule="auto"/>
    </w:pPr>
    <w:rPr>
      <w:rFonts w:ascii="Arial" w:hAnsi="Arial"/>
      <w:sz w:val="24"/>
    </w:rPr>
  </w:style>
  <w:style w:type="paragraph" w:styleId="1221"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222" w:customStyle="1">
    <w:name w:val="表 靠左"/>
    <w:basedOn w:val="683"/>
    <w:uiPriority w:val="0"/>
    <w:qFormat/>
    <w:pPr>
      <w:jc w:val="left"/>
      <w:spacing w:line="360" w:lineRule="exact"/>
    </w:pPr>
    <w:rPr>
      <w:rFonts w:asciiTheme="minorEastAsia" w:hAnsiTheme="minorEastAsia" w:eastAsiaTheme="minorEastAsia"/>
      <w:szCs w:val="21"/>
    </w:rPr>
  </w:style>
  <w:style w:type="paragraph" w:styleId="1223" w:customStyle="1">
    <w:name w:val="*正文"/>
    <w:basedOn w:val="683"/>
    <w:uiPriority w:val="0"/>
    <w:qFormat/>
    <w:pPr>
      <w:widowControl/>
    </w:pPr>
  </w:style>
  <w:style w:type="paragraph" w:styleId="1224" w:customStyle="1">
    <w:name w:val="列出段落2"/>
    <w:basedOn w:val="683"/>
    <w:uiPriority w:val="0"/>
    <w:qFormat/>
    <w:pPr>
      <w:ind w:firstLine="420"/>
    </w:pPr>
    <w:rPr>
      <w:rFonts w:ascii="Calibri" w:hAnsi="Calibri"/>
    </w:rPr>
  </w:style>
  <w:style w:type="paragraph" w:styleId="1225" w:customStyle="1">
    <w:name w:val="_Style 14"/>
    <w:basedOn w:val="683"/>
    <w:next w:val="1224"/>
    <w:uiPriority w:val="0"/>
    <w:qFormat/>
    <w:pPr>
      <w:ind w:firstLine="420"/>
      <w:widowControl/>
    </w:pPr>
    <w:rPr>
      <w:rFonts w:ascii="Arial" w:hAnsi="Arial" w:cs="Arial"/>
      <w:color w:val="000000"/>
    </w:rPr>
  </w:style>
  <w:style w:type="paragraph" w:styleId="1226" w:customStyle="1">
    <w:name w:val="修订3"/>
    <w:hidden/>
    <w:uiPriority w:val="99"/>
    <w:unhideWhenUsed/>
    <w:qFormat/>
    <w:rPr>
      <w:rFonts w:hint="default" w:ascii="Times New Roman" w:hAnsi="Times New Roman" w:eastAsia="宋体" w:cs="Times New Roman"/>
      <w:sz w:val="21"/>
      <w:szCs w:val="24"/>
      <w:lang w:val="en-US" w:eastAsia="zh-CN" w:bidi="ar-SA"/>
    </w:rPr>
  </w:style>
  <w:style w:type="character" w:styleId="1227" w:customStyle="1">
    <w:name w:val="批注文字 字符1"/>
    <w:basedOn w:val="693"/>
    <w:link w:val="700"/>
    <w:uiPriority w:val="99"/>
    <w:qFormat/>
    <w:rPr>
      <w:sz w:val="21"/>
      <w:szCs w:val="24"/>
    </w:rPr>
  </w:style>
  <w:style w:type="character" w:styleId="1228" w:customStyle="1">
    <w:name w:val="批注主题 字符1"/>
    <w:basedOn w:val="1227"/>
    <w:link w:val="724"/>
    <w:uiPriority w:val="99"/>
    <w:semiHidden/>
    <w:qFormat/>
    <w:rPr>
      <w:b/>
      <w:bCs/>
      <w:sz w:val="21"/>
      <w:szCs w:val="24"/>
    </w:rPr>
  </w:style>
  <w:style w:type="paragraph" w:styleId="1229"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9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84251eb8-c6ba-48a3-a53b-db35783741d3</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4A58CB4</paraID>
      <start>0</start>
      <end>4</end>
      <status>unmodified</status>
      <modifiedWord/>
      <trackRevisions>false</trackRevisions>
    </reviewItem>
    <reviewItem>
      <errorID>e2e4e8b0-0b8d-406b-95e1-7aaf708a3d3f</errorID>
      <errorWord>.</errorWord>
      <group>L1_Format</group>
      <groupName>格式问题</groupName>
      <ability>L2_HalfPunc_CN</ability>
      <abilityName>全半角问题</abilityName>
      <candidateList>
        <item>。</item>
      </candidateList>
      <explain>文本全半角错误。</explain>
      <paraID>21D532E2</paraID>
      <start>5</start>
      <end>6</end>
      <status>unmodified</status>
      <modifiedWord/>
      <trackRevisions>false</trackRevisions>
    </reviewItem>
    <reviewItem>
      <errorID>df5c4258-303c-4420-9202-c1a9c8da6f98</errorID>
      <errorWord>[2011]300号</errorWord>
      <group>L1_Knowledge</group>
      <groupName>知识性问题</groupName>
      <ability>L2_Knowledge</ability>
      <abilityName>其他知识</abilityName>
      <candidateList>
        <item>〔2011〕300号</item>
      </candidateList>
      <explain>发文字号格式错误。</explain>
      <paraID>4B2B5ECF</paraID>
      <start>36</start>
      <end>46</end>
      <status>unmodified</status>
      <modifiedWord/>
      <trackRevisions>false</trackRevisions>
    </reviewItem>
    <reviewItem>
      <errorID>25785d48-eb20-4e32-babb-6a67544aaaf6</errorID>
      <errorWord>)</errorWord>
      <group>L1_Format</group>
      <groupName>格式问题</groupName>
      <ability>L2_HalfPunc_CN</ability>
      <abilityName>全半角问题</abilityName>
      <candidateList>
        <item>）</item>
      </candidateList>
      <explain>文本全半角错误。</explain>
      <paraID>4CBC4722</paraID>
      <start>63</start>
      <end>64</end>
      <status>unmodified</status>
      <modifiedWord/>
      <trackRevisions>false</trackRevisions>
    </reviewItem>
    <reviewItem>
      <errorID>fcf63036-a5e6-420e-a419-6c7e6467ed9c</errorID>
      <errorWord>00时</errorWord>
      <group>L1_Word</group>
      <groupName>字词问题</groupName>
      <ability>L2_Typo</ability>
      <abilityName>字词错误</abilityName>
      <candidateList>
        <item>00</item>
      </candidateList>
      <explain/>
      <paraID> 15CBF3C</paraID>
      <start>56</start>
      <end>59</end>
      <status>unmodified</status>
      <modifiedWord/>
      <trackRevisions>false</trackRevisions>
    </reviewItem>
    <reviewItem>
      <errorID>6d52bfdc-3d1a-4851-a124-6698749e6632</errorID>
      <errorWord>.</errorWord>
      <group>L1_Format</group>
      <groupName>格式问题</groupName>
      <ability>L2_HalfPunc_CN</ability>
      <abilityName>全半角问题</abilityName>
      <candidateList>
        <item>。</item>
      </candidateList>
      <explain>文本全半角错误。</explain>
      <paraID>606BF134</paraID>
      <start>5</start>
      <end>6</end>
      <status>unmodified</status>
      <modifiedWord/>
      <trackRevisions>false</trackRevisions>
    </reviewItem>
    <reviewItem>
      <errorID>cfcd9d72-1f7c-492d-92e1-74b5d47ba792</errorID>
      <errorWord>)</errorWord>
      <group>L1_Format</group>
      <groupName>格式问题</groupName>
      <ability>L2_HalfPunc_CN</ability>
      <abilityName>全半角问题</abilityName>
      <candidateList>
        <item>）</item>
      </candidateList>
      <explain>文本全半角错误。</explain>
      <paraID> EC5D80C</paraID>
      <start>22</start>
      <end>23</end>
      <status>unmodified</status>
      <modifiedWord/>
      <trackRevisions>false</trackRevisions>
    </reviewItem>
    <reviewItem>
      <errorID>1fdf4d5f-1d57-4b1c-a658-639e51f43fe3</errorID>
      <errorWord>)</errorWord>
      <group>L1_Format</group>
      <groupName>格式问题</groupName>
      <ability>L2_HalfPunc_CN</ability>
      <abilityName>全半角问题</abilityName>
      <candidateList>
        <item>）</item>
      </candidateList>
      <explain>文本全半角错误。</explain>
      <paraID>383AE861</paraID>
      <start>20</start>
      <end>21</end>
      <status>unmodified</status>
      <modifiedWord/>
      <trackRevisions>false</trackRevisions>
    </reviewItem>
    <reviewItem>
      <errorID>8fca9d25-0bd0-4273-b868-6a62fd585661</errorID>
      <errorWord>)</errorWord>
      <group>L1_Format</group>
      <groupName>格式问题</groupName>
      <ability>L2_HalfPunc_CN</ability>
      <abilityName>全半角问题</abilityName>
      <candidateList>
        <item>）</item>
      </candidateList>
      <explain>文本全半角错误。</explain>
      <paraID>148460BD</paraID>
      <start>44</start>
      <end>45</end>
      <status>unmodified</status>
      <modifiedWord/>
      <trackRevisions>false</trackRevisions>
    </reviewItem>
    <reviewItem>
      <errorID>a156730c-a3c1-4d8e-a185-a3f5f0197a25</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7FE67362</paraID>
      <start>11</start>
      <end>15</end>
      <status>unmodified</status>
      <modifiedWord/>
      <trackRevisions>false</trackRevisions>
    </reviewItem>
    <reviewItem>
      <errorID>90dd4779-3c26-4848-ae2a-0e49403808a3</errorID>
      <errorWord>其它</errorWord>
      <group>L1_Word</group>
      <groupName>字词问题</groupName>
      <ability>L2_Alias</ability>
      <abilityName>也作/曾用词</abilityName>
      <candidateList>
        <item>其他</item>
      </candidateList>
      <explain>词汇[其它]为不规范表述或旧称，其规范书面表述为[其他]。</explain>
      <paraID>527C4E5E</paraID>
      <start>3</start>
      <end>5</end>
      <status>unmodified</status>
      <modifiedWord/>
      <trackRevisions>false</trackRevisions>
    </reviewItem>
    <reviewItem>
      <errorID>98d86e28-c2b9-4c8c-b27b-234232ea1854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5D938743</paraID>
      <start>0</start>
      <end>2</end>
      <status>unmodified</status>
      <modifiedWord/>
      <trackRevisions>false</trackRevisions>
    </reviewItem>
    <reviewItem>
      <errorID>2eec5797-5e15-422c-a89b-3bb89e18ec2e</errorID>
      <errorWord>页</errorWord>
      <group>L1_Word</group>
      <groupName>字词问题</groupName>
      <ability>L2_Typo</ability>
      <abilityName>字词错误</abilityName>
      <candidateList>
        <item>页面</item>
      </candidateList>
      <explain/>
      <paraID> 33C4367</paraID>
      <start>27</start>
      <end>28</end>
      <status>unmodified</status>
      <modifiedWord/>
      <trackRevisions>false</trackRevisions>
    </reviewItem>
    <reviewItem>
      <errorID>1ec57545-bd5d-470e-be8e-188ccfca91df</errorID>
      <errorWord>&lt;</errorWord>
      <group>L1_Format</group>
      <groupName>格式问题</groupName>
      <ability>L2_HalfPunc_CN</ability>
      <abilityName>全半角问题</abilityName>
      <candidateList>
        <item>〈</item>
      </candidateList>
      <explain>文本全半角错误。</explain>
      <paraID>6BEECB75</paraID>
      <start>48</start>
      <end>49</end>
      <status>unmodified</status>
      <modifiedWord/>
      <trackRevisions>false</trackRevisions>
    </reviewItem>
    <reviewItem>
      <errorID>34464290-ac05-448c-ba55-e09bd470a753</errorID>
      <errorWord>&lt;</errorWord>
      <group>L1_Format</group>
      <groupName>格式问题</groupName>
      <ability>L2_HalfPunc_CN</ability>
      <abilityName>全半角问题</abilityName>
      <candidateList>
        <item>〈</item>
      </candidateList>
      <explain>文本全半角错误。</explain>
      <paraID> 4DB1853</paraID>
      <start>48</start>
      <end>49</end>
      <status>unmodified</status>
      <modifiedWord/>
      <trackRevisions>false</trackRevisions>
    </reviewItem>
    <reviewItem>
      <errorID>059935d8-3038-45c3-9d08-af7f3b61651b</errorID>
      <errorWord>&lt;</errorWord>
      <group>L1_Format</group>
      <groupName>格式问题</groupName>
      <ability>L2_HalfPunc_CN</ability>
      <abilityName>全半角问题</abilityName>
      <candidateList>
        <item>〈</item>
      </candidateList>
      <explain>文本全半角错误。</explain>
      <paraID>28254660</paraID>
      <start>33</start>
      <end>34</end>
      <status>unmodified</status>
      <modifiedWord/>
      <trackRevisions>false</trackRevisions>
    </reviewItem>
    <reviewItem>
      <errorID>5d2d35e3-39d3-43ff-b268-4235df0cd72b</errorID>
      <errorWord>，</errorWord>
      <group>L1_Word</group>
      <groupName>字词问题</groupName>
      <ability>L2_Typo</ability>
      <abilityName>字词错误</abilityName>
      <candidateList>
        <item>，并</item>
      </candidateList>
      <explain/>
      <paraID>1E88D276</paraID>
      <start>72</start>
      <end>73</end>
      <status>unmodified</status>
      <modifiedWord/>
      <trackRevisions>false</trackRevisions>
    </reviewItem>
    <reviewItem>
      <errorID>03faf5dc-14d8-473c-8cce-5a5057f817d1</errorID>
      <errorWord>[2014]68号</errorWord>
      <group>L1_Knowledge</group>
      <groupName>知识性问题</groupName>
      <ability>L2_Knowledge</ability>
      <abilityName>其他知识</abilityName>
      <candidateList>
        <item>〔2014〕68号</item>
      </candidateList>
      <explain>发文字号格式错误。</explain>
      <paraID>1B89E8D3</paraID>
      <start>83</start>
      <end>92</end>
      <status>unmodified</status>
      <modifiedWord/>
      <trackRevisions>false</trackRevisions>
    </reviewItem>
    <reviewItem>
      <errorID>4467b6b7-6b7d-469e-8a59-c2b08d7d0844</errorID>
      <errorWord>)</errorWord>
      <group>L1_Format</group>
      <groupName>格式问题</groupName>
      <ability>L2_HalfPunc_CN</ability>
      <abilityName>全半角问题</abilityName>
      <candidateList>
        <item>）</item>
      </candidateList>
      <explain>文本全半角错误。</explain>
      <paraID>1B89E8D3</paraID>
      <start>124</start>
      <end>125</end>
      <status>unmodified</status>
      <modifiedWord/>
      <trackRevisions>false</trackRevisions>
    </reviewItem>
    <reviewItem>
      <errorID>c4229466-6d86-4492-9a48-506f6f1e29c0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118</start>
      <end>121</end>
      <status>unmodified</status>
      <modifiedWord/>
      <trackRevisions>false</trackRevisions>
    </reviewItem>
    <reviewItem>
      <errorID>a7ad8011-b6e5-4ca0-996d-55ac744918fe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123</start>
      <end>126</end>
      <status>unmodified</status>
      <modifiedWord/>
      <trackRevisions>false</trackRevisions>
    </reviewItem>
    <reviewItem>
      <errorID>f95261c9-e6b6-4d97-9eca-91507fe02be2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36C871C9</paraID>
      <start>129</start>
      <end>132</end>
      <status>unmodified</status>
      <modifiedWord/>
      <trackRevisions>false</trackRevisions>
    </reviewItem>
    <reviewItem>
      <errorID>87000aae-cfa7-412a-b737-2e3a0923f026</errorID>
      <errorWord>》</errorWord>
      <group>L1_Word</group>
      <groupName>字词问题</groupName>
      <ability>L2_Typo</ability>
      <abilityName>字词错误</abilityName>
      <candidateList>
        <item>》等</item>
      </candidateList>
      <explain/>
      <paraID>36C871C9</paraID>
      <start>157</start>
      <end>158</end>
      <status>unmodified</status>
      <modifiedWord/>
      <trackRevisions>false</trackRevisions>
    </reviewItem>
    <reviewItem>
      <errorID>37b5366b-29bd-4a70-9265-1590c3550b8b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3E305FE9</paraID>
      <start>66</start>
      <end>67</end>
      <status>unmodified</status>
      <modifiedWord/>
      <trackRevisions>false</trackRevisions>
    </reviewItem>
    <reviewItem>
      <errorID>710ea233-824a-42eb-b498-cbf1abb4a77e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332504B</paraID>
      <start>0</start>
      <end>2</end>
      <status>unmodified</status>
      <modifiedWord/>
      <trackRevisions>false</trackRevisions>
    </reviewItem>
    <reviewItem>
      <errorID>78bbacc7-ced3-43c4-a0d7-c1c9d01714b2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6BD1BF0A</paraID>
      <start>0</start>
      <end>2</end>
      <status>unmodified</status>
      <modifiedWord/>
      <trackRevisions>false</trackRevisions>
    </reviewItem>
    <reviewItem>
      <errorID>49b4994e-a57d-4050-b7cb-bd6a8dd86067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52C98CA7</paraID>
      <start>0</start>
      <end>2</end>
      <status>unmodified</status>
      <modifiedWord/>
      <trackRevisions>false</trackRevisions>
    </reviewItem>
    <reviewItem>
      <errorID>58b38899-baaf-4269-8415-6267559db3e1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36A72AB</paraID>
      <start>0</start>
      <end>2</end>
      <status>unmodified</status>
      <modifiedWord/>
      <trackRevisions>false</trackRevisions>
    </reviewItem>
    <reviewItem>
      <errorID>074f95b6-fd49-4131-99a1-6dbc0494eafc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1EA0C399</paraID>
      <start>0</start>
      <end>2</end>
      <status>unmodified</status>
      <modifiedWord/>
      <trackRevisions>false</trackRevisions>
    </reviewItem>
    <reviewItem>
      <errorID>174d68f7-87fb-4e2c-a366-f01dd54b4f45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2C5C068F</paraID>
      <start>0</start>
      <end>2</end>
      <status>unmodified</status>
      <modifiedWord/>
      <trackRevisions>false</trackRevisions>
    </reviewItem>
    <reviewItem>
      <errorID>7c60f802-7e90-4f1d-b0c7-388465388c6c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451A475F</paraID>
      <start>0</start>
      <end>2</end>
      <status>unmodified</status>
      <modifiedWord/>
      <trackRevisions>false</trackRevisions>
    </reviewItem>
    <reviewItem>
      <errorID>f061c256-c11e-470a-9bdc-7f552d187138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1E6F6983</paraID>
      <start>0</start>
      <end>2</end>
      <status>unmodified</status>
      <modifiedWord/>
      <trackRevisions>false</trackRevisions>
    </reviewItem>
    <reviewItem>
      <errorID>814d9374-a809-4a2b-93b2-d6d8e6be71c3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166939B1</paraID>
      <start>0</start>
      <end>2</end>
      <status>unmodified</status>
      <modifiedWord/>
      <trackRevisions>false</trackRevisions>
    </reviewItem>
    <reviewItem>
      <errorID>72b17157-237b-46d2-8146-ab84bfc68dbd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166939B1</paraID>
      <start>47</start>
      <end>49</end>
      <status>unmodified</status>
      <modifiedWord/>
      <trackRevisions>false</trackRevisions>
    </reviewItem>
    <reviewItem>
      <errorID>7375dddc-a028-432c-b36d-fa6926b8bc76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49D8014A</paraID>
      <start>0</start>
      <end>2</end>
      <status>unmodified</status>
      <modifiedWord/>
      <trackRevisions>false</trackRevisions>
    </reviewItem>
    <reviewItem>
      <errorID>c59130d8-26d9-4443-95ad-fc4492ea7de3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5F4C63D0</paraID>
      <start>0</start>
      <end>2</end>
      <status>unmodified</status>
      <modifiedWord/>
      <trackRevisions>false</trackRevisions>
    </reviewItem>
    <reviewItem>
      <errorID>262d3e29-e817-48de-9c0f-0b9dd9a69b4e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65434465</paraID>
      <start>0</start>
      <end>2</end>
      <status>unmodified</status>
      <modifiedWord/>
      <trackRevisions>false</trackRevisions>
    </reviewItem>
    <reviewItem>
      <errorID>14835472-903f-4375-9c6b-8cf4e7c68fb8</errorID>
      <errorWord>100万以下</errorWord>
      <group>L1_Word</group>
      <groupName>字词问题</groupName>
      <ability>L2_Typo</ability>
      <abilityName>字词错误</abilityName>
      <candidateList>
        <item>100万元以下</item>
      </candidateList>
      <explain/>
      <paraID>13B019D2</paraID>
      <start>34</start>
      <end>40</end>
      <status>unmodified</status>
      <modifiedWord/>
      <trackRevisions>false</trackRevisions>
    </reviewItem>
    <reviewItem>
      <errorID>4144d4e9-0f92-4717-89da-6c41c8a1b5c7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13B019D2</paraID>
      <start>49</start>
      <end>58</end>
      <status>unmodified</status>
      <modifiedWord/>
      <trackRevisions>false</trackRevisions>
    </reviewItem>
    <reviewItem>
      <errorID>9925a81c-6dff-40d5-b4fb-1999cd86f7db</errorID>
      <errorWord>．</errorWord>
      <group>L1_Format</group>
      <groupName>格式问题</groupName>
      <ability>L2_HalfPunc_CN</ability>
      <abilityName>全半角问题</abilityName>
      <candidateList>
        <item>。</item>
      </candidateList>
      <explain>文本全半角错误。</explain>
      <paraID>2D2BAEEE</paraID>
      <start>4</start>
      <end>5</end>
      <status>unmodified</status>
      <modifiedWord/>
      <trackRevisions>false</trackRevisions>
    </reviewItem>
    <reviewItem>
      <errorID>ec52c3ed-7a4f-4a79-a921-b54a6f663051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73D3827C</paraID>
      <start>189</start>
      <end>191</end>
      <status>unmodified</status>
      <modifiedWord/>
      <trackRevisions>false</trackRevisions>
    </reviewItem>
    <reviewItem>
      <errorID>1def956b-91c2-48aa-aa62-ff378faba6bb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22CE0598</paraID>
      <start>192</start>
      <end>194</end>
      <status>unmodified</status>
      <modifiedWord/>
      <trackRevisions>false</trackRevisions>
    </reviewItem>
    <reviewItem>
      <errorID>9d8918da-edf9-4cb7-bcf6-7659a44f2279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71F63662</paraID>
      <start>172</start>
      <end>174</end>
      <status>unmodified</status>
      <modifiedWord/>
      <trackRevisions>false</trackRevisions>
    </reviewItem>
    <reviewItem>
      <errorID>61dea2da-dd77-422d-a6cc-9291f8d55af5</errorID>
      <errorWord>,</errorWord>
      <group>L1_Format</group>
      <groupName>格式问题</groupName>
      <ability>L2_HalfPunc_CN</ability>
      <abilityName>全半角问题</abilityName>
      <candidateList>
        <item>，</item>
      </candidateList>
      <explain>文本全半角错误。</explain>
      <paraID>4BF8F5CD</paraID>
      <start>30</start>
      <end>31</end>
      <status>unmodified</status>
      <modifiedWord/>
      <trackRevisions>false</trackRevisions>
    </reviewItem>
    <reviewItem>
      <errorID>9963ad94-946c-4a19-a0ce-40d7b76d3789</errorID>
      <errorWord>~</errorWord>
      <group>L1_Format</group>
      <groupName>格式问题</groupName>
      <ability>L2_HalfPunc_CN</ability>
      <abilityName>全半角问题</abilityName>
      <candidateList>
        <item>～</item>
      </candidateList>
      <explain>文本全半角错误。</explain>
      <paraID> 67EF508</paraID>
      <start>18</start>
      <end>19</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5B398756</paraID>
      <start>27</start>
      <end>30</end>
      <status>unmodified</status>
      <modifiedWord/>
      <trackRevisions>false</trackRevisions>
    </reviewItem>
    <reviewItem>
      <errorID>905485b9-53d7-4e1f-b5ed-9a1e069b3c94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243B0E62</paraID>
      <start>60</start>
      <end>61</end>
      <status>unmodified</status>
      <modifiedWord/>
      <trackRevisions>false</trackRevisions>
    </reviewItem>
    <reviewItem>
      <errorID>c95766a7-ec5e-4423-b86f-c738f0d60691</errorID>
      <errorWord>)</errorWord>
      <group>L1_Format</group>
      <groupName>格式问题</groupName>
      <ability>L2_HalfPunc_CN</ability>
      <abilityName>全半角问题</abilityName>
      <candidateList>
        <item>）</item>
      </candidateList>
      <explain>文本全半角错误。</explain>
      <paraID>32304740</paraID>
      <start>15</start>
      <end>16</end>
      <status>unmodified</status>
      <modifiedWord/>
      <trackRevisions>false</trackRevisions>
    </reviewItem>
    <reviewItem>
      <errorID>ae7fedbe-3a2e-48c9-abb2-7cb9af981f96</errorID>
      <errorWord>结</errorWord>
      <group>L1_Word</group>
      <groupName>字词问题</groupName>
      <ability>L2_Typo</ability>
      <abilityName>字词错误</abilityName>
      <candidateList>
        <item>结合</item>
      </candidateList>
      <explain/>
      <paraID>33B5A1BF</paraID>
      <start>23</start>
      <end>24</end>
      <status>unmodified</status>
      <modifiedWord/>
      <trackRevisions>false</trackRevisions>
    </reviewItem>
    <reviewItem>
      <errorID>f3883a5b-0e6f-4b4a-b977-608abf345d66</errorID>
      <errorWord>以及</errorWord>
      <group>L1_Word</group>
      <groupName>字词问题</groupName>
      <ability>L2_Typo</ability>
      <abilityName>字词错误</abilityName>
      <candidateList>
        <item>已经</item>
      </candidateList>
      <explain>〈副〉表示动作、变化完成或达到某种程度：任务～完成｜他～来了｜天～黑了，他们还没有收工｜我今年～七十了。</explain>
      <paraID>25B1479C</paraID>
      <start>27</start>
      <end>29</end>
      <status>unmodified</status>
      <modifiedWord/>
      <trackRevisions>false</trackRevisions>
    </reviewItem>
    <reviewItem>
      <errorID>f155c134-f4c9-49ca-acad-f68301a7d0cd</errorID>
      <errorWord>机械机械</errorWord>
      <group>L1_Word</group>
      <groupName>字词问题</groupName>
      <ability>L2_Typo</ability>
      <abilityName>字词错误</abilityName>
      <candidateList>
        <item>机械</item>
      </candidateList>
      <explain/>
      <paraID> 748B2E5</paraID>
      <start>28</start>
      <end>32</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1C0B3FCE</paraID>
      <start>27</start>
      <end>30</end>
      <status>unmodified</status>
      <modifiedWord/>
      <trackRevisions>false</trackRevisions>
    </reviewItem>
    <reviewItem>
      <errorID>4076b5dd-bc11-416f-a8be-5b8784010458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79127A7D</paraID>
      <start>58</start>
      <end>59</end>
      <status>unmodified</status>
      <modifiedWord/>
      <trackRevisions>false</trackRevisions>
    </reviewItem>
    <reviewItem>
      <errorID>8e2afc43-babc-41dd-b829-d8b1ee3bf48a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11C119D9</paraID>
      <start>6</start>
      <end>7</end>
      <status>unmodified</status>
      <modifiedWord/>
      <trackRevisions>false</trackRevisions>
    </reviewItem>
    <reviewItem>
      <errorID>6d788d03-fad6-4847-82bf-189ab80a7650</errorID>
      <errorWord>：Quad core</errorWord>
      <group>L1_Punc</group>
      <groupName>标点问题</groupName>
      <ability>L2_Punc_EN</ability>
      <abilityName>标点符号问题</abilityName>
      <candidateList>
        <item>: Quad-core</item>
      </candidateList>
      <explain>此处疑似有标点符号缺失，建议将：Quad core修改为: Quad-core</explain>
      <paraID>604174AC</paraID>
      <start>3</start>
      <end>13</end>
      <status>unmodified</status>
      <modifiedWord/>
      <trackRevisions>false</trackRevisions>
    </reviewItem>
    <reviewItem>
      <errorID>15327b1b-741d-4f6b-bc26-17de722fed0c</errorID>
      <errorWord>A53，1.6</errorWord>
      <group>L1_English</group>
      <groupName>英文问题</groupName>
      <ability>L2_Space</ability>
      <abilityName>空格不规范问题</abilityName>
      <candidateList>
        <item>A53, 1.6</item>
      </candidateList>
      <explain>疑似单词空格书写不规范，建议将A53，1.6修改为A53, 1.6</explain>
      <paraID>604174AC</paraID>
      <start>21</start>
      <end>28</end>
      <status>unmodified</status>
      <modifiedWord/>
      <trackRevisions>false</trackRevisions>
    </reviewItem>
    <reviewItem>
      <errorID>2768e8aa-15fd-4d92-8026-db41ca8a71e5</errorID>
      <errorWord>NPU：2.3</errorWord>
      <group>L1_English</group>
      <groupName>英文问题</groupName>
      <ability>L2_Space</ability>
      <abilityName>空格不规范问题</abilityName>
      <candidateList>
        <item>NPU: 2.3</item>
      </candidateList>
      <explain>疑似单词空格书写不规范，建议将NPU：2.3修改为NPU: 2.3</explain>
      <paraID>1DF3C5E1</paraID>
      <start>0</start>
      <end>7</end>
      <status>unmodified</status>
      <modifiedWord/>
      <trackRevisions>false</trackRevisions>
    </reviewItem>
    <reviewItem>
      <errorID>4feafd83-3743-438b-93d8-1014752c5d32</errorID>
      <errorWord>RAM：≥</errorWord>
      <group>L1_English</group>
      <groupName>英文问题</groupName>
      <ability>L2_Space</ability>
      <abilityName>空格不规范问题</abilityName>
      <candidateList>
        <item>RAM: ≥</item>
      </candidateList>
      <explain>疑似单词空格书写不规范，建议将RAM：≥修改为RAM: ≥</explain>
      <paraID>470DA164</paraID>
      <start>0</start>
      <end>5</end>
      <status>unmodified</status>
      <modifiedWord/>
      <trackRevisions>false</trackRevisions>
    </reviewItem>
    <reviewItem>
      <errorID>03c18730-ea8b-4d28-9000-7da5f35c937d</errorID>
      <errorWord>Flash：≥</errorWord>
      <group>L1_English</group>
      <groupName>英文问题</groupName>
      <ability>L2_Space</ability>
      <abilityName>空格不规范问题</abilityName>
      <candidateList>
        <item>Flash: ≥</item>
      </candidateList>
      <explain>疑似单词空格书写不规范，建议将Flash：≥修改为Flash: ≥</explain>
      <paraID>3A9561C8</paraID>
      <start>0</start>
      <end>7</end>
      <status>unmodified</status>
      <modifiedWord/>
      <trackRevisions>false</trackRevisions>
    </reviewItem>
    <reviewItem>
      <errorID>7491e93e-4669-48a6-906f-db11f42551a6</errorID>
      <errorWord>-</errorWord>
      <group>L1_Format</group>
      <groupName>格式问题</groupName>
      <ability>L2_HalfPunc_CN</ability>
      <abilityName>全半角问题</abilityName>
      <candidateList>
        <item>－</item>
      </candidateList>
      <explain>文本全半角错误。</explain>
      <paraID>3A465B99</paraID>
      <start>71</start>
      <end>72</end>
      <status>unmodified</status>
      <modifiedWord/>
      <trackRevisions>false</trackRevisions>
    </reviewItem>
    <reviewItem>
      <errorID>1acce298-b0d4-48dc-be31-a7fea3790941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2B8CD58A</paraID>
      <start>0</start>
      <end>2</end>
      <status>unmodified</status>
      <modifiedWord/>
      <trackRevisions>false</trackRevisions>
    </reviewItem>
    <reviewItem>
      <errorID>0667c470-c544-4687-955d-924e98debbac</errorID>
      <errorWord>WiFi</errorWord>
      <group>L1_Punc</group>
      <groupName>标点问题</groupName>
      <ability>L2_Punc_CN</ability>
      <abilityName>标点符号问题</abilityName>
      <candidateList>
        <item>Wi-Fi</item>
      </candidateList>
      <explain/>
      <paraID>4BD99A66</paraID>
      <start>3</start>
      <end>7</end>
      <status>unmodified</status>
      <modifiedWord/>
      <trackRevisions>false</trackRevisions>
    </reviewItem>
    <reviewItem>
      <errorID>9ccfa411-17f0-440f-ac7f-96b0ed6de354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6D52E8B6</paraID>
      <start>24</start>
      <end>25</end>
      <status>unmodified</status>
      <modifiedWord/>
      <trackRevisions>false</trackRevisions>
    </reviewItem>
    <reviewItem>
      <errorID>9e0117c2-1d1d-4037-a92a-aef59e29e796</errorID>
      <errorWord>低于300万</errorWord>
      <group>L1_Word</group>
      <groupName>字词问题</groupName>
      <ability>L2_Typo</ability>
      <abilityName>字词错误</abilityName>
      <candidateList>
        <item>低于300万元</item>
      </candidateList>
      <explain/>
      <paraID> 735442C</paraID>
      <start>7</start>
      <end>13</end>
      <status>unmodified</status>
      <modifiedWord/>
      <trackRevisions>false</trackRevisions>
    </reviewItem>
    <reviewItem>
      <errorID>8f1cf0f7-b41f-4bd1-8c7b-505a3d0a4813</errorID>
      <errorWord>,</errorWord>
      <group>L1_Format</group>
      <groupName>格式问题</groupName>
      <ability>L2_HalfPunc_CN</ability>
      <abilityName>全半角问题</abilityName>
      <candidateList>
        <item>，</item>
      </candidateList>
      <explain>文本全半角错误。</explain>
      <paraID> 6305791</paraID>
      <start>31</start>
      <end>32</end>
      <status>unmodified</status>
      <modifiedWord/>
      <trackRevisions>false</trackRevisions>
    </reviewItem>
    <reviewItem>
      <errorID>1f1a60e9-812f-4c95-8efe-c26db262bb89</errorID>
      <errorWord>)</errorWord>
      <group>L1_Format</group>
      <groupName>格式问题</groupName>
      <ability>L2_HalfPunc_CN</ability>
      <abilityName>全半角问题</abilityName>
      <candidateList>
        <item>）</item>
      </candidateList>
      <explain>文本全半角错误。</explain>
      <paraID>720475AE</paraID>
      <start>14</start>
      <end>15</end>
      <status>unmodified</status>
      <modifiedWord/>
      <trackRevisions>false</trackRevisions>
    </reviewItem>
    <reviewItem>
      <errorID>f50828de-8a16-456e-9eb4-ad39bd740a0e</errorID>
      <errorWord>Uweb</errorWord>
      <group>L1_English</group>
      <groupName>英文问题</groupName>
      <ability>L2_Case</ability>
      <abilityName>大小写问题</abilityName>
      <candidateList>
        <item>UWEB</item>
      </candidateList>
      <explain>疑似单词大小写错误，建议将Uweb修改为UWEB</explain>
      <paraID>1DAA8CF4</paraID>
      <start>21</start>
      <end>25</end>
      <status>unmodified</status>
      <modifiedWord/>
      <trackRevisions>false</trackRevisions>
    </reviewItem>
    <reviewItem>
      <errorID>2d8e5204-a048-4331-9612-cafd924001f3</errorID>
      <errorWord>集成有</errorWord>
      <group>L1_Word</group>
      <groupName>字词问题</groupName>
      <ability>L2_Typo</ability>
      <abilityName>字词错误</abilityName>
      <candidateList>
        <item>集成</item>
      </candidateList>
      <explain/>
      <paraID>258055F8</paraID>
      <start>37</start>
      <end>40</end>
      <status>unmodified</status>
      <modifiedWord/>
      <trackRevisions>false</trackRevisions>
    </reviewItem>
    <reviewItem>
      <errorID>89b4d380-fe99-4a03-834c-be3da61c7646</errorID>
      <errorWord>,</errorWord>
      <group>L1_Format</group>
      <groupName>格式问题</groupName>
      <ability>L2_HalfPunc_CN</ability>
      <abilityName>全半角问题</abilityName>
      <candidateList>
        <item>，</item>
      </candidateList>
      <explain>文本全半角错误。</explain>
      <paraID>5D1D6F90</paraID>
      <start>12</start>
      <end>13</end>
      <status>unmodified</status>
      <modifiedWord/>
      <trackRevisions>false</trackRevisions>
    </reviewItem>
    <reviewItem>
      <errorID>086845fc-13be-4ccd-84e3-48410c7c1289</errorID>
      <errorWord>,</errorWord>
      <group>L1_Format</group>
      <groupName>格式问题</groupName>
      <ability>L2_HalfPunc_CN</ability>
      <abilityName>全半角问题</abilityName>
      <candidateList>
        <item>，</item>
      </candidateList>
      <explain>文本全半角错误。</explain>
      <paraID>77076062</paraID>
      <start>6</start>
      <end>7</end>
      <status>unmodified</status>
      <modifiedWord/>
      <trackRevisions>false</trackRevisions>
    </reviewItem>
    <reviewItem>
      <errorID>133f6255-7ecb-4280-ab9b-5badacc4f462</errorID>
      <errorWord>需具备</errorWord>
      <group>L1_Word</group>
      <groupName>字词问题</groupName>
      <ability>L2_Typo</ability>
      <abilityName>字词错误</abilityName>
      <candidateList>
        <item>须具备</item>
      </candidateList>
      <explain/>
      <paraID>320EA3C8</paraID>
      <start>0</start>
      <end>3</end>
      <status>unmodified</status>
      <modifiedWord/>
      <trackRevisions>false</trackRevisions>
    </reviewItem>
    <reviewItem>
      <errorID>242ae627-a72f-48f4-87d9-18e3e57117d7</errorID>
      <errorWord>)</errorWord>
      <group>L1_Format</group>
      <groupName>格式问题</groupName>
      <ability>L2_HalfPunc_CN</ability>
      <abilityName>全半角问题</abilityName>
      <candidateList>
        <item>）</item>
      </candidateList>
      <explain>文本全半角错误。</explain>
      <paraID>76DC517F</paraID>
      <start>2</start>
      <end>3</end>
      <status>unmodified</status>
      <modifiedWord/>
      <trackRevisions>false</trackRevisions>
    </reviewItem>
    <reviewItem>
      <errorID>a9791d1d-beea-4141-aa78-35ca403efdee</errorID>
      <errorWord>,</errorWord>
      <group>L1_Format</group>
      <groupName>格式问题</groupName>
      <ability>L2_HalfPunc_CN</ability>
      <abilityName>全半角问题</abilityName>
      <candidateList>
        <item>，</item>
      </candidateList>
      <explain>文本全半角错误。</explain>
      <paraID>4987FF0E</paraID>
      <start>22</start>
      <end>23</end>
      <status>unmodified</status>
      <modifiedWord/>
      <trackRevisions>false</trackRevisions>
    </reviewItem>
    <reviewItem>
      <errorID>dba0a59d-bd02-47e8-8bbd-c2bac9a0967d</errorID>
      <errorWord>WiFi</errorWord>
      <group>L1_Punc</group>
      <groupName>标点问题</groupName>
      <ability>L2_Punc_CN</ability>
      <abilityName>标点符号问题</abilityName>
      <candidateList>
        <item>Wi-Fi</item>
      </candidateList>
      <explain/>
      <paraID>  A5F1E6</paraID>
      <start>0</start>
      <end>4</end>
      <status>unmodified</status>
      <modifiedWord/>
      <trackRevisions>false</trackRevisions>
    </reviewItem>
    <reviewItem>
      <errorID>5163d0d5-d6fd-4b56-8d09-c1da7704cb6e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F977E98</paraID>
      <start>36</start>
      <end>38</end>
      <status>unmodified</status>
      <modifiedWord/>
      <trackRevisions>false</trackRevisions>
    </reviewItem>
    <reviewItem>
      <errorID>5c983b3a-9fa2-490b-a001-22be6b5d3dab</errorID>
      <errorWord>最后一公里</errorWord>
      <group>L1_Political</group>
      <groupName>政治性问题</groupName>
      <ability>L2_Keyword</ability>
      <abilityName>固定表述</abilityName>
      <candidateList>
        <item>“最后一公里”</item>
      </candidateList>
      <explain>注意检查当前固定表述标点是否使用规范。</explain>
      <paraID> 4BF0ED8</paraID>
      <start>198</start>
      <end>203</end>
      <status>unmodified</status>
      <modifiedWord/>
      <trackRevisions>false</trackRevisions>
    </reviewItem>
    <reviewItem>
      <errorID>ca1924ac-7022-432a-804f-a5788fbba1b8</errorID>
      <errorWord>数据在</errorWord>
      <group>L1_Word</group>
      <groupName>字词问题</groupName>
      <ability>L2_Typo</ability>
      <abilityName>字词错误</abilityName>
      <candidateList>
        <item>数据</item>
      </candidateList>
      <explain/>
      <paraID>456A2789</paraID>
      <start>215</start>
      <end>218</end>
      <status>unmodified</status>
      <modifiedWord/>
      <trackRevisions>false</trackRevisions>
    </reviewItem>
    <reviewItem>
      <errorID>0aa79e91-ed62-4545-b120-335884d32d04</errorID>
      <errorWord>、以及</errorWord>
      <group>L1_Punc</group>
      <groupName>标点问题</groupName>
      <ability>L2_Punc_CN</ability>
      <abilityName>标点符号问题</abilityName>
      <candidateList>
        <item>，以及</item>
      </candidateList>
      <explain>连接词前后不宜使用顿号，建议使用逗号。</explain>
      <paraID>797E4533</paraID>
      <start>44</start>
      <end>47</end>
      <status>unmodified</status>
      <modifiedWord/>
      <trackRevisions>false</trackRevisions>
    </reviewItem>
    <reviewItem>
      <errorID>67592219-42dd-4151-b524-adc6e70c5a7c</errorID>
      <errorWord>、以及</errorWord>
      <group>L1_Punc</group>
      <groupName>标点问题</groupName>
      <ability>L2_Punc_CN</ability>
      <abilityName>标点符号问题</abilityName>
      <candidateList>
        <item>，以及</item>
      </candidateList>
      <explain>连接词前后不宜使用顿号，建议使用逗号。</explain>
      <paraID>27335596</paraID>
      <start>27</start>
      <end>30</end>
      <status>unmodified</status>
      <modifiedWord/>
      <trackRevisions>false</trackRevisions>
    </reviewItem>
    <reviewItem>
      <errorID>b1ebe4d5-5cf2-41ae-91d2-13e1ae6f9b97</errorID>
      <errorWord>,</errorWord>
      <group>L1_Format</group>
      <groupName>格式问题</groupName>
      <ability>L2_HalfPunc_CN</ability>
      <abilityName>全半角问题</abilityName>
      <candidateList>
        <item>，</item>
      </candidateList>
      <explain>文本全半角错误。</explain>
      <paraID>15F81264</paraID>
      <start>27</start>
      <end>28</end>
      <status>unmodified</status>
      <modifiedWord/>
      <trackRevisions>false</trackRevisions>
    </reviewItem>
    <reviewItem>
      <errorID>e089ee8f-9bc3-4bba-b14b-7c5ea6fb33e7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1A0ADA99</paraID>
      <start>15</start>
      <end>18</end>
      <status>unmodified</status>
      <modifiedWord/>
      <trackRevisions>false</trackRevisions>
    </reviewItem>
    <reviewItem>
      <errorID>75f31b36-e581-4a91-90cb-c9167b304a50</errorID>
      <errorWord>法律、法规</errorWord>
      <group>L1_Word</group>
      <groupName>字词问题</groupName>
      <ability>L2_Typo</ability>
      <abilityName>字词错误</abilityName>
      <candidateList>
        <item>法律法规</item>
      </candidateList>
      <explain/>
      <paraID>1A0ADA99</paraID>
      <start>30</start>
      <end>35</end>
      <status>unmodified</status>
      <modifiedWord/>
      <trackRevisions>false</trackRevisions>
    </reviewItem>
    <reviewItem>
      <errorID>b0e9a6d3-d6fe-422b-928d-da19f99e1bbb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7AE098A1</paraID>
      <start>147</start>
      <end>148</end>
      <status>unmodified</status>
      <modifiedWord/>
      <trackRevisions>false</trackRevisions>
    </reviewItem>
    <reviewItem>
      <errorID>8894b7a1-3d85-4e5b-bacc-6ec2c83954fd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1F3795A7</paraID>
      <start>0</start>
      <end>2</end>
      <status>unmodified</status>
      <modifiedWord/>
      <trackRevisions>false</trackRevisions>
    </reviewItem>
    <reviewItem>
      <errorID>59465f2c-208c-4684-8a53-9ab1a62d9251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43434ECB</paraID>
      <start>0</start>
      <end>2</end>
      <status>unmodified</status>
      <modifiedWord/>
      <trackRevisions>false</trackRevisions>
    </reviewItem>
    <reviewItem>
      <errorID>a7832f33-dcf0-4e11-94ed-7bc7ba008fac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3FDCDBB8</paraID>
      <start>0</start>
      <end>2</end>
      <status>unmodified</status>
      <modifiedWord/>
      <trackRevisions>false</trackRevisions>
    </reviewItem>
    <reviewItem>
      <errorID>d8c73621-5b94-4b5b-96b8-0036c699c58a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75C2CEBC</paraID>
      <start>0</start>
      <end>2</end>
      <status>unmodified</status>
      <modifiedWord/>
      <trackRevisions>false</trackRevisions>
    </reviewItem>
    <reviewItem>
      <errorID>42d3c480-f4f7-445a-b727-759b7c811d02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1F8CE882</paraID>
      <start>0</start>
      <end>2</end>
      <status>unmodified</status>
      <modifiedWord/>
      <trackRevisions>false</trackRevisions>
    </reviewItem>
    <reviewItem>
      <errorID>31556a66-2bd3-494e-898f-00ee60c1ebe8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27FB7A52</paraID>
      <start>0</start>
      <end>2</end>
      <status>unmodified</status>
      <modifiedWord/>
      <trackRevisions>false</trackRevisions>
    </reviewItem>
    <reviewItem>
      <errorID>7ed1d100-15a1-47ee-9f73-1dbf475cc390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451F9325</paraID>
      <start>0</start>
      <end>2</end>
      <status>unmodified</status>
      <modifiedWord/>
      <trackRevisions>false</trackRevisions>
    </reviewItem>
    <reviewItem>
      <errorID>cebfd07e-f612-486a-a629-b6b486f1a95f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71340CC1</paraID>
      <start>0</start>
      <end>2</end>
      <status>unmodified</status>
      <modifiedWord/>
      <trackRevisions>false</trackRevisions>
    </reviewItem>
    <reviewItem>
      <errorID>3279269e-52a2-4128-a0fe-cc85171d5729</errorID>
      <errorWord>、</errorWord>
      <group>L1_Word</group>
      <groupName>字词问题</groupName>
      <ability>L2_Typo</ability>
      <abilityName>字词错误</abilityName>
      <candidateList>
        <item>、以</item>
      </candidateList>
      <explain/>
      <paraID>71340CC1</paraID>
      <start>25</start>
      <end>26</end>
      <status>unmodified</status>
      <modifiedWord/>
      <trackRevisions>false</trackRevisions>
    </reviewItem>
    <reviewItem>
      <errorID>fb754e78-f4f3-4a39-b35d-2afcd2a48e71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5251BE1F</paraID>
      <start>0</start>
      <end>2</end>
      <status>unmodified</status>
      <modifiedWord/>
      <trackRevisions>false</trackRevisions>
    </reviewItem>
    <reviewItem>
      <errorID>5b67fba7-3044-43b9-a6b1-2af73c8e07f6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4DEE9EB1</paraID>
      <start>0</start>
      <end>2</end>
      <status>unmodified</status>
      <modifiedWord/>
      <trackRevisions>false</trackRevisions>
    </reviewItem>
    <reviewItem>
      <errorID>0a517693-6b05-4614-8908-d546f902b960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39016CD8</paraID>
      <start>0</start>
      <end>2</end>
      <status>unmodified</status>
      <modifiedWord/>
      <trackRevisions>false</trackRevisions>
    </reviewItem>
    <reviewItem>
      <errorID>26e5735d-96d3-4bf4-8114-4fe78ec7ec78</errorID>
      <errorWord>，,</errorWord>
      <group>L1_Punc</group>
      <groupName>标点问题</groupName>
      <ability>L2_Punc_CN</ability>
      <abilityName>标点符号问题</abilityName>
      <candidateList>
        <item>，</item>
      </candidateList>
      <explain/>
      <paraID>3AD272B6</paraID>
      <start>5</start>
      <end>7</end>
      <status>unmodified</status>
      <modifiedWord/>
      <trackRevisions>false</trackRevisions>
    </reviewItem>
    <reviewItem>
      <errorID>e7a9abc6-919a-4096-aeba-e468dbc1934f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6831816</paraID>
      <start>0</start>
      <end>2</end>
      <status>unmodified</status>
      <modifiedWord/>
      <trackRevisions>false</trackRevisions>
    </reviewItem>
    <reviewItem>
      <errorID>902738ec-6aee-4c2e-9121-6a7c126b2995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166437BD</paraID>
      <start>0</start>
      <end>2</end>
      <status>unmodified</status>
      <modifiedWord/>
      <trackRevisions>false</trackRevisions>
    </reviewItem>
    <reviewItem>
      <errorID>9ec6ca7f-a15e-4831-8434-019d74d3fb38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20464573</paraID>
      <start>0</start>
      <end>2</end>
      <status>unmodified</status>
      <modifiedWord/>
      <trackRevisions>false</trackRevisions>
    </reviewItem>
    <reviewItem>
      <errorID>46d061f3-06ff-4cfa-86f6-54a9e0b9eb60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30576537</paraID>
      <start>0</start>
      <end>2</end>
      <status>unmodified</status>
      <modifiedWord/>
      <trackRevisions>false</trackRevisions>
    </reviewItem>
    <reviewItem>
      <errorID>fbc27131-e866-480e-a2ee-26dc4277bfaf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78723EFD</paraID>
      <start>0</start>
      <end>2</end>
      <status>unmodified</status>
      <modifiedWord/>
      <trackRevisions>false</trackRevisions>
    </reviewItem>
    <reviewItem>
      <errorID>664dc89b-fd12-4893-adbf-9af60334682c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5991CCA8</paraID>
      <start>0</start>
      <end>2</end>
      <status>unmodified</status>
      <modifiedWord/>
      <trackRevisions>false</trackRevisions>
    </reviewItem>
    <reviewItem>
      <errorID>f0d3117a-0e63-4e64-bd8b-1096aa6e2f83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77259807</paraID>
      <start>4</start>
      <end>6</end>
      <status>unmodified</status>
      <modifiedWord/>
      <trackRevisions>false</trackRevisions>
    </reviewItem>
    <reviewItem>
      <errorID>c55377d8-003b-4c44-8207-f5023fe732ef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5D26686A</paraID>
      <start>4</start>
      <end>6</end>
      <status>unmodified</status>
      <modifiedWord/>
      <trackRevisions>false</trackRevisions>
    </reviewItem>
    <reviewItem>
      <errorID>f7941cd4-07dc-4455-90a3-6708325ad331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17584388</paraID>
      <start>4</start>
      <end>6</end>
      <status>unmodified</status>
      <modifiedWord/>
      <trackRevisions>false</trackRevisions>
    </reviewItem>
    <reviewItem>
      <errorID>b7ab496a-41a9-49d9-a141-d4e09125b7ba</errorID>
      <errorWord>，</errorWord>
      <group>L1_Word</group>
      <groupName>字词问题</groupName>
      <ability>L2_Typo</ability>
      <abilityName>字词错误</abilityName>
      <candidateList>
        <item>，在</item>
      </candidateList>
      <explain/>
      <paraID>17584388</paraID>
      <start>50</start>
      <end>51</end>
      <status>unmodified</status>
      <modifiedWord/>
      <trackRevisions>false</trackRevisions>
    </reviewItem>
    <reviewItem>
      <errorID>0b1170d7-e6e7-4566-83d0-3c81f94f9b14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495194AF</paraID>
      <start>0</start>
      <end>2</end>
      <status>unmodified</status>
      <modifiedWord/>
      <trackRevisions>false</trackRevisions>
    </reviewItem>
    <reviewItem>
      <errorID>027da11a-2ddd-4852-8517-d558e72878bb</errorID>
      <errorWord>)</errorWord>
      <group>L1_Format</group>
      <groupName>格式问题</groupName>
      <ability>L2_HalfPunc_CN</ability>
      <abilityName>全半角问题</abilityName>
      <candidateList>
        <item>）</item>
      </candidateList>
      <explain>文本全半角错误。</explain>
      <paraID>5D52A8C1</paraID>
      <start>116</start>
      <end>117</end>
      <status>unmodified</status>
      <modifiedWord/>
      <trackRevisions>false</trackRevisions>
    </reviewItem>
    <reviewItem>
      <errorID>26b70d3e-b000-4534-ad21-96a4ec4aa871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7A28DAEA</paraID>
      <start>0</start>
      <end>2</end>
      <status>unmodified</status>
      <modifiedWord/>
      <trackRevisions>false</trackRevisions>
    </reviewItem>
    <reviewItem>
      <errorID>0e4cab99-0da3-4348-a02a-1a8919c74586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73ED6EA5</paraID>
      <start>0</start>
      <end>2</end>
      <status>unmodified</status>
      <modifiedWord/>
      <trackRevisions>false</trackRevisions>
    </reviewItem>
    <reviewItem>
      <errorID>402c43a9-d5c8-45c0-bfad-e9e15206c133</errorID>
      <errorWord>具</errorWord>
      <group>L1_Word</group>
      <groupName>字词问题</groupName>
      <ability>L2_Typo</ability>
      <abilityName>字词错误</abilityName>
      <candidateList>
        <item>具有</item>
      </candidateList>
      <explain>〈动〉有（多用于抽象事物）：～信心｜～伟大的意义。</explain>
      <paraID>73ED6EA5</paraID>
      <start>28</start>
      <end>29</end>
      <status>unmodified</status>
      <modifiedWord/>
      <trackRevisions>false</trackRevisions>
    </reviewItem>
    <reviewItem>
      <errorID>3a53db1a-dbc6-4476-b342-972f4e1e2953</errorID>
      <errorWord>．</errorWord>
      <group>L1_Format</group>
      <groupName>格式问题</groupName>
      <ability>L2_HalfPunc_CN</ability>
      <abilityName>全半角问题</abilityName>
      <candidateList>
        <item>。</item>
      </candidateList>
      <explain>文本全半角错误。</explain>
      <paraID>5718CB4A</paraID>
      <start>4</start>
      <end>5</end>
      <status>unmodified</status>
      <modifiedWord/>
      <trackRevisions>false</trackRevisions>
    </reviewItem>
    <reviewItem>
      <errorID>d5497065-be8e-46ff-8159-010cf18c8bd7</errorID>
      <errorWord>法律、法规</errorWord>
      <group>L1_Word</group>
      <groupName>字词问题</groupName>
      <ability>L2_Typo</ability>
      <abilityName>字词错误</abilityName>
      <candidateList>
        <item>法律法规</item>
      </candidateList>
      <explain/>
      <paraID>5B64EAD1</paraID>
      <start>54</start>
      <end>59</end>
      <status>unmodified</status>
      <modifiedWord/>
      <trackRevisions>false</trackRevisions>
    </reviewItem>
    <reviewItem>
      <errorID>dc9b4f0a-774a-4372-89ed-1bc8032d2abe</errorID>
      <errorWord>按《中华人民共和国</errorWord>
      <group>L1_Political</group>
      <groupName>政治性问题</groupName>
      <ability>L2_Unpolitical</ability>
      <abilityName>政治敏感错误</abilityName>
      <candidateList>
        <item>按照《中华人民共和国</item>
      </candidateList>
      <explain/>
      <paraID>6C715BDD</paraID>
      <start>24</start>
      <end>33</end>
      <status>unmodified</status>
      <modifiedWord/>
      <trackRevisions>false</trackRevisions>
    </reviewItem>
    <reviewItem>
      <errorID>a24feee1-c6b8-453c-976f-448de7ed57f1</errorID>
      <errorWord>)</errorWord>
      <group>L1_Format</group>
      <groupName>格式问题</groupName>
      <ability>L2_HalfPunc_CN</ability>
      <abilityName>全半角问题</abilityName>
      <candidateList>
        <item>）</item>
      </candidateList>
      <explain>文本全半角错误。</explain>
      <paraID>531E5519</paraID>
      <start>15</start>
      <end>16</end>
      <status>unmodified</status>
      <modifiedWord/>
      <trackRevisions>false</trackRevisions>
    </reviewItem>
    <reviewItem>
      <errorID>e75dd788-8138-43ce-9e6a-c944daba676f</errorID>
      <errorWord>)</errorWord>
      <group>L1_Format</group>
      <groupName>格式问题</groupName>
      <ability>L2_HalfPunc_CN</ability>
      <abilityName>全半角问题</abilityName>
      <candidateList>
        <item>）</item>
      </candidateList>
      <explain>文本全半角错误。</explain>
      <paraID>6B451A39</paraID>
      <start>6</start>
      <end>7</end>
      <status>unmodified</status>
      <modifiedWord/>
      <trackRevisions>false</trackRevisions>
    </reviewItem>
    <reviewItem>
      <errorID>f39a0735-aabf-4377-8331-b435c94aa7d0</errorID>
      <errorWord>)</errorWord>
      <group>L1_Format</group>
      <groupName>格式问题</groupName>
      <ability>L2_HalfPunc_CN</ability>
      <abilityName>全半角问题</abilityName>
      <candidateList>
        <item>）</item>
      </candidateList>
      <explain>文本全半角错误。</explain>
      <paraID>33A3C1F2</paraID>
      <start>2</start>
      <end>3</end>
      <status>unmodified</status>
      <modifiedWord/>
      <trackRevisions>false</trackRevisions>
    </reviewItem>
    <reviewItem>
      <errorID>9cd925ec-55bc-4055-93b8-7e134c76a2e2</errorID>
      <errorWord>)</errorWord>
      <group>L1_Format</group>
      <groupName>格式问题</groupName>
      <ability>L2_HalfPunc_CN</ability>
      <abilityName>全半角问题</abilityName>
      <candidateList>
        <item>）</item>
      </candidateList>
      <explain>文本全半角错误。</explain>
      <paraID>1E58B0DA</paraID>
      <start>2</start>
      <end>3</end>
      <status>unmodified</status>
      <modifiedWord/>
      <trackRevisions>false</trackRevisions>
    </reviewItem>
    <reviewItem>
      <errorID>d9dc87aa-6934-4f2f-982b-bee1d162318f</errorID>
      <errorWord>)</errorWord>
      <group>L1_Format</group>
      <groupName>格式问题</groupName>
      <ability>L2_HalfPunc_CN</ability>
      <abilityName>全半角问题</abilityName>
      <candidateList>
        <item>）</item>
      </candidateList>
      <explain>文本全半角错误。</explain>
      <paraID>4B336CDD</paraID>
      <start>2</start>
      <end>3</end>
      <status>unmodified</status>
      <modifiedWord/>
      <trackRevisions>false</trackRevisions>
    </reviewItem>
    <reviewItem>
      <errorID>2db38f3d-c42d-4923-9e90-499b98357d8e</errorID>
      <errorWord>)</errorWord>
      <group>L1_Format</group>
      <groupName>格式问题</groupName>
      <ability>L2_HalfPunc_CN</ability>
      <abilityName>全半角问题</abilityName>
      <candidateList>
        <item>）</item>
      </candidateList>
      <explain>文本全半角错误。</explain>
      <paraID> D24AB86</paraID>
      <start>2</start>
      <end>3</end>
      <status>unmodified</status>
      <modifiedWord/>
      <trackRevisions>false</trackRevisions>
    </reviewItem>
    <reviewItem>
      <errorID>cd5dc35e-2279-4e5c-92b2-b001e4615d79</errorID>
      <errorWord>)</errorWord>
      <group>L1_Format</group>
      <groupName>格式问题</groupName>
      <ability>L2_HalfPunc_CN</ability>
      <abilityName>全半角问题</abilityName>
      <candidateList>
        <item>）</item>
      </candidateList>
      <explain>文本全半角错误。</explain>
      <paraID>55FBB7A7</paraID>
      <start>2</start>
      <end>3</end>
      <status>unmodified</status>
      <modifiedWord/>
      <trackRevisions>false</trackRevisions>
    </reviewItem>
    <reviewItem>
      <errorID>b65a5c5b-6560-499d-adb7-68d17f0a5e97</errorID>
      <errorWord>)</errorWord>
      <group>L1_Format</group>
      <groupName>格式问题</groupName>
      <ability>L2_HalfPunc_CN</ability>
      <abilityName>全半角问题</abilityName>
      <candidateList>
        <item>）</item>
      </candidateList>
      <explain>文本全半角错误。</explain>
      <paraID>290C9545</paraID>
      <start>2</start>
      <end>3</end>
      <status>unmodified</status>
      <modifiedWord/>
      <trackRevisions>false</trackRevisions>
    </reviewItem>
    <reviewItem>
      <errorID>2a291632-d630-4e76-bf24-0a2bd3a59c3c</errorID>
      <errorWord>)</errorWord>
      <group>L1_Format</group>
      <groupName>格式问题</groupName>
      <ability>L2_HalfPunc_CN</ability>
      <abilityName>全半角问题</abilityName>
      <candidateList>
        <item>）</item>
      </candidateList>
      <explain>文本全半角错误。</explain>
      <paraID> D9949EA</paraID>
      <start>11</start>
      <end>12</end>
      <status>unmodified</status>
      <modifiedWord/>
      <trackRevisions>false</trackRevisions>
    </reviewItem>
    <reviewItem>
      <errorID>dc2d6455-ceb3-4b7a-9d0b-24968a1e6713</errorID>
      <errorWord>)</errorWord>
      <group>L1_Format</group>
      <groupName>格式问题</groupName>
      <ability>L2_HalfPunc_CN</ability>
      <abilityName>全半角问题</abilityName>
      <candidateList>
        <item>）</item>
      </candidateList>
      <explain>文本全半角错误。</explain>
      <paraID>69551B85</paraID>
      <start>42</start>
      <end>43</end>
      <status>unmodified</status>
      <modifiedWord/>
      <trackRevisions>false</trackRevisions>
    </reviewItem>
    <reviewItem>
      <errorID>f65a5e09-2767-4afd-a893-7c05569b1c6c</errorID>
      <errorWord>)</errorWord>
      <group>L1_Format</group>
      <groupName>格式问题</groupName>
      <ability>L2_HalfPunc_CN</ability>
      <abilityName>全半角问题</abilityName>
      <candidateList>
        <item>）</item>
      </candidateList>
      <explain>文本全半角错误。</explain>
      <paraID>24E054F1</paraID>
      <start>41</start>
      <end>42</end>
      <status>unmodified</status>
      <modifiedWord/>
      <trackRevisions>false</trackRevisions>
    </reviewItem>
    <reviewItem>
      <errorID>d953a40c-6b06-4517-88ec-d6750aedb9c4</errorID>
      <errorWord>)</errorWord>
      <group>L1_Format</group>
      <groupName>格式问题</groupName>
      <ability>L2_HalfPunc_CN</ability>
      <abilityName>全半角问题</abilityName>
      <candidateList>
        <item>）</item>
      </candidateList>
      <explain>文本全半角错误。</explain>
      <paraID> 63BDC3C</paraID>
      <start>17</start>
      <end>18</end>
      <status>unmodified</status>
      <modifiedWord/>
      <trackRevisions>false</trackRevisions>
    </reviewItem>
    <reviewItem>
      <errorID>21b0da3d-48e8-4ea2-bd21-4657d77ecd46</errorID>
      <errorWord>)</errorWord>
      <group>L1_Format</group>
      <groupName>格式问题</groupName>
      <ability>L2_HalfPunc_CN</ability>
      <abilityName>全半角问题</abilityName>
      <candidateList>
        <item>）</item>
      </candidateList>
      <explain>文本全半角错误。</explain>
      <paraID>6C49A98D</paraID>
      <start>57</start>
      <end>58</end>
      <status>unmodified</status>
      <modifiedWord/>
      <trackRevisions>false</trackRevisions>
    </reviewItem>
    <reviewItem>
      <errorID>6b9563ae-a95f-4f81-9abf-6988e32db2e1</errorID>
      <errorWord>)</errorWord>
      <group>L1_Format</group>
      <groupName>格式问题</groupName>
      <ability>L2_HalfPunc_CN</ability>
      <abilityName>全半角问题</abilityName>
      <candidateList>
        <item>）</item>
      </candidateList>
      <explain>文本全半角错误。</explain>
      <paraID>6544FC87</paraID>
      <start>6</start>
      <end>7</end>
      <status>unmodified</status>
      <modifiedWord/>
      <trackRevisions>false</trackRevisions>
    </reviewItem>
    <reviewItem>
      <errorID>700349dd-71f2-42f5-b158-81d769d03889</errorID>
      <errorWord>)</errorWord>
      <group>L1_Format</group>
      <groupName>格式问题</groupName>
      <ability>L2_HalfPunc_CN</ability>
      <abilityName>全半角问题</abilityName>
      <candidateList>
        <item>）</item>
      </candidateList>
      <explain>文本全半角错误。</explain>
      <paraID>16B4CF1A</paraID>
      <start>49</start>
      <end>50</end>
      <status>unmodified</status>
      <modifiedWord/>
      <trackRevisions>false</trackRevisions>
    </reviewItem>
    <reviewItem>
      <errorID>e5c9cd34-4889-4250-90e7-f2933acb6514</errorID>
      <errorWord>)</errorWord>
      <group>L1_Format</group>
      <groupName>格式问题</groupName>
      <ability>L2_HalfPunc_CN</ability>
      <abilityName>全半角问题</abilityName>
      <candidateList>
        <item>）</item>
      </candidateList>
      <explain>文本全半角错误。</explain>
      <paraID>70C63ECC</paraID>
      <start>10</start>
      <end>11</end>
      <status>unmodified</status>
      <modifiedWord/>
      <trackRevisions>false</trackRevisions>
    </reviewItem>
    <reviewItem>
      <errorID>1f1700be-a7fe-4a6f-b9b8-a51a12d0d146</errorID>
      <errorWord>)</errorWord>
      <group>L1_Format</group>
      <groupName>格式问题</groupName>
      <ability>L2_HalfPunc_CN</ability>
      <abilityName>全半角问题</abilityName>
      <candidateList>
        <item>）</item>
      </candidateList>
      <explain>文本全半角错误。</explain>
      <paraID>5B70B486</paraID>
      <start>8</start>
      <end>9</end>
      <status>unmodified</status>
      <modifiedWord/>
      <trackRevisions>false</trackRevisions>
    </reviewItem>
    <reviewItem>
      <errorID>9273ac10-703b-47bd-bede-7da3b3d0099f</errorID>
      <errorWord>)</errorWord>
      <group>L1_Format</group>
      <groupName>格式问题</groupName>
      <ability>L2_HalfPunc_CN</ability>
      <abilityName>全半角问题</abilityName>
      <candidateList>
        <item>）</item>
      </candidateList>
      <explain>文本全半角错误。</explain>
      <paraID>698C567B</paraID>
      <start>11</start>
      <end>12</end>
      <status>unmodified</status>
      <modifiedWord/>
      <trackRevisions>false</trackRevisions>
    </reviewItem>
    <reviewItem>
      <errorID>c5421951-4822-463e-8032-df2a62bf5557</errorID>
      <errorWord>),</errorWord>
      <group>L1_Format</group>
      <groupName>格式问题</groupName>
      <ability>L2_HalfPunc_CN</ability>
      <abilityName>全半角问题</abilityName>
      <candidateList>
        <item>），</item>
      </candidateList>
      <explain>文本全半角错误。</explain>
      <paraID>2B34E031</paraID>
      <start>46</start>
      <end>48</end>
      <status>unmodified</status>
      <modifiedWord/>
      <trackRevisions>false</trackRevisions>
    </reviewItem>
    <reviewItem>
      <errorID>c0954fc0-f52f-4f6b-bf17-792dbaf984a6</errorID>
      <errorWord>)</errorWord>
      <group>L1_Format</group>
      <groupName>格式问题</groupName>
      <ability>L2_HalfPunc_CN</ability>
      <abilityName>全半角问题</abilityName>
      <candidateList>
        <item>）</item>
      </candidateList>
      <explain>文本全半角错误。</explain>
      <paraID>2B34E031</paraID>
      <start>92</start>
      <end>93</end>
      <status>unmodified</status>
      <modifiedWord/>
      <trackRevisions>false</trackRevisions>
    </reviewItem>
    <reviewItem>
      <errorID>d6e827c1-61a8-473e-8208-727239d5baa4</errorID>
      <errorWord>)</errorWord>
      <group>L1_Format</group>
      <groupName>格式问题</groupName>
      <ability>L2_HalfPunc_CN</ability>
      <abilityName>全半角问题</abilityName>
      <candidateList>
        <item>）</item>
      </candidateList>
      <explain>文本全半角错误。</explain>
      <paraID>2B34E031</paraID>
      <start>123</start>
      <end>124</end>
      <status>unmodified</status>
      <modifiedWord/>
      <trackRevisions>false</trackRevisions>
    </reviewItem>
    <reviewItem>
      <errorID>a2ffe158-2495-4b2f-9b54-5121284ad74c</errorID>
      <errorWord>)</errorWord>
      <group>L1_Format</group>
      <groupName>格式问题</groupName>
      <ability>L2_HalfPunc_CN</ability>
      <abilityName>全半角问题</abilityName>
      <candidateList>
        <item>）</item>
      </candidateList>
      <explain>文本全半角错误。</explain>
      <paraID>2B34E031</paraID>
      <start>176</start>
      <end>177</end>
      <status>unmodified</status>
      <modifiedWord/>
      <trackRevisions>false</trackRevisions>
    </reviewItem>
    <reviewItem>
      <errorID>33f0e6a5-414c-4cc1-9827-91b3a8038683</errorID>
      <errorWord>)</errorWord>
      <group>L1_Format</group>
      <groupName>格式问题</groupName>
      <ability>L2_HalfPunc_CN</ability>
      <abilityName>全半角问题</abilityName>
      <candidateList>
        <item>）</item>
      </candidateList>
      <explain>文本全半角错误。</explain>
      <paraID>2B34E031</paraID>
      <start>201</start>
      <end>202</end>
      <status>unmodified</status>
      <modifiedWord/>
      <trackRevisions>false</trackRevisions>
    </reviewItem>
    <reviewItem>
      <errorID>524b57f1-e15f-4644-b2b8-6841b9d59f86</errorID>
      <errorWord>)</errorWord>
      <group>L1_Format</group>
      <groupName>格式问题</groupName>
      <ability>L2_HalfPunc_CN</ability>
      <abilityName>全半角问题</abilityName>
      <candidateList>
        <item>）</item>
      </candidateList>
      <explain>文本全半角错误。</explain>
      <paraID>480B8244</paraID>
      <start>10</start>
      <end>11</end>
      <status>unmodified</status>
      <modifiedWord/>
      <trackRevisions>false</trackRevisions>
    </reviewItem>
    <reviewItem>
      <errorID>3ed431cd-6cee-488c-9e5a-6c1caaa91d64</errorID>
      <errorWord>)</errorWord>
      <group>L1_Format</group>
      <groupName>格式问题</groupName>
      <ability>L2_HalfPunc_CN</ability>
      <abilityName>全半角问题</abilityName>
      <candidateList>
        <item>）</item>
      </candidateList>
      <explain>文本全半角错误。</explain>
      <paraID>1210D49E</paraID>
      <start>6</start>
      <end>7</end>
      <status>unmodified</status>
      <modifiedWord/>
      <trackRevisions>false</trackRevisions>
    </reviewItem>
    <reviewItem>
      <errorID>f6cba815-9e2e-4921-a84e-699fca9a744a</errorID>
      <errorWord>)</errorWord>
      <group>L1_Format</group>
      <groupName>格式问题</groupName>
      <ability>L2_HalfPunc_CN</ability>
      <abilityName>全半角问题</abilityName>
      <candidateList>
        <item>）</item>
      </candidateList>
      <explain>文本全半角错误。</explain>
      <paraID>5B1CC399</paraID>
      <start>6</start>
      <end>7</end>
      <status>unmodified</status>
      <modifiedWord/>
      <trackRevisions>false</trackRevisions>
    </reviewItem>
    <reviewItem>
      <errorID>4bbfd64a-bc38-40c2-abcb-f2a78d949a7c</errorID>
      <errorWord>（</errorWord>
      <group>L1_Punc</group>
      <groupName>标点问题</groupName>
      <ability>L2_Punc_CN</ability>
      <abilityName>标点符号问题</abilityName>
      <candidateList/>
      <explain>同一形式括号套用。</explain>
      <paraID>64C86D77</paraID>
      <start>68</start>
      <end>69</end>
      <status>unmodified</status>
      <modifiedWord/>
      <trackRevisions>false</trackRevisions>
    </reviewItem>
    <reviewItem>
      <errorID>3217040e-4705-43ff-aab6-13c20f359311</errorID>
      <errorWord>）</errorWord>
      <group>L1_Punc</group>
      <groupName>标点问题</groupName>
      <ability>L2_Punc_CN</ability>
      <abilityName>标点符号问题</abilityName>
      <candidateList/>
      <explain>同一形式括号套用。</explain>
      <paraID>64C86D77</paraID>
      <start>71</start>
      <end>72</end>
      <status>unmodified</status>
      <modifiedWord/>
      <trackRevisions>false</trackRevisions>
    </reviewItem>
    <reviewItem>
      <errorID>4b8b5e7b-f158-48e9-917b-1c42c1967287</errorID>
      <errorWord>)</errorWord>
      <group>L1_Format</group>
      <groupName>格式问题</groupName>
      <ability>L2_HalfPunc_CN</ability>
      <abilityName>全半角问题</abilityName>
      <candidateList>
        <item>）</item>
      </candidateList>
      <explain>文本全半角错误。</explain>
      <paraID>64C86D77</paraID>
      <start>119</start>
      <end>120</end>
      <status>unmodified</status>
      <modifiedWord/>
      <trackRevisions>false</trackRevisions>
    </reviewItem>
    <reviewItem>
      <errorID>03b1e22b-9cbf-494d-b55d-dd6a2dc01370</errorID>
      <errorWord>须</errorWord>
      <group>L1_Word</group>
      <groupName>字词问题</groupName>
      <ability>L2_Typo</ability>
      <abilityName>字词错误</abilityName>
      <candidateList>
        <item>需</item>
      </candidateList>
      <explain>存在发音相同字词的误用。</explain>
      <paraID>78FE5F9E</paraID>
      <start>93</start>
      <end>94</end>
      <status>unmodified</status>
      <modifiedWord/>
      <trackRevisions>false</trackRevisions>
    </reviewItem>
    <reviewItem>
      <errorID>db70241b-1d7c-4037-a062-962a5f714bdb</errorID>
      <errorWord>:</errorWord>
      <group>L1_Format</group>
      <groupName>格式问题</groupName>
      <ability>L2_HalfPunc_CN</ability>
      <abilityName>全半角问题</abilityName>
      <candidateList>
        <item>：</item>
      </candidateList>
      <explain>文本全半角错误。</explain>
      <paraID>1B247EEC</paraID>
      <start>33</start>
      <end>34</end>
      <status>unmodified</status>
      <modifiedWord/>
      <trackRevisions>false</trackRevisions>
    </reviewItem>
    <reviewItem>
      <errorID>2d5fdc2d-5853-4397-b42c-216e02c0a249</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35E0EC4E</paraID>
      <start>12</start>
      <end>16</end>
      <status>unmodified</status>
      <modifiedWord/>
      <trackRevisions>false</trackRevisions>
    </reviewItem>
    <reviewItem>
      <errorID>ee2cc545-c03b-4c76-9462-dd94310b5719</errorID>
      <errorWord>其它</errorWord>
      <group>L1_Word</group>
      <groupName>字词问题</groupName>
      <ability>L2_Alias</ability>
      <abilityName>也作/曾用词</abilityName>
      <candidateList>
        <item>其他</item>
      </candidateList>
      <explain>词汇[其它]为不规范表述或旧称，其规范书面表述为[其他]。</explain>
      <paraID>6B93B263</paraID>
      <start>4</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2C3ED7C-6837-4286-8E56-7F6F1C4417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Abu</Company>
  <DocSecurity>0</DocSecurity>
  <LinksUpToDate>false</LinksUpToDate>
  <Manager>Abu</Manager>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信纸-A</dc:title>
  <dc:subject>信</dc:subject>
  <dc:creator>Abu</dc:creator>
  <cp:keywords>信纸 信</cp:keywords>
  <dc:description>更多Abu设计的信纸请访问
http://chn.docer.</dc:description>
  <cp:lastModifiedBy>向绍家</cp:lastModifiedBy>
  <cp:revision>6</cp:revision>
  <dcterms:created xsi:type="dcterms:W3CDTF">2026-10-10T05:11:00Z</dcterms:created>
  <dcterms:modified xsi:type="dcterms:W3CDTF">2026-10-30T02:51:08Z</dcterms:modified>
  <cp:category>信</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eyJoZGlkIjoiZGRmOTdiZDBhYTU5NjgwMDE3MzRkNDZiMzNiMTdmY2EiLCJ1c2VySWQiOiIzNjQ3MDA3OTgifQ==</vt:lpwstr>
  </property>
  <property fmtid="{D5CDD505-2E9C-101B-9397-08002B2CF9AE}" pid="3" name="KSOProductBuildVer">
    <vt:lpwstr>2052-12.1.0.29161</vt:lpwstr>
  </property>
  <property fmtid="{D5CDD505-2E9C-101B-9397-08002B2CF9AE}" pid="4" name="ICV">
    <vt:lpwstr>35080B1895F2433586D743FDC6734463_13</vt:lpwstr>
  </property>
</Properties>
</file>