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firstLine="0"/>
        <w:rPr>
          <w:rFonts w:eastAsia="黑体"/>
          <w:b/>
          <w:bCs/>
          <w:sz w:val="84"/>
        </w:rPr>
      </w:pPr>
      <w:r>
        <w:rPr>
          <w:rFonts w:hint="eastAsia" w:eastAsia="黑体"/>
          <w:b/>
          <w:bCs/>
          <w:sz w:val="84"/>
        </w:rPr>
        <w:t xml:space="preserve"> </w:t>
      </w:r>
      <w:r/>
    </w:p>
    <w:p>
      <w:pPr>
        <w:pStyle w:val="876"/>
        <w:ind w:firstLine="0"/>
        <w:jc w:val="center"/>
        <w:rPr>
          <w:rFonts w:eastAsia="黑体"/>
          <w:b/>
          <w:bCs/>
          <w:sz w:val="84"/>
        </w:rPr>
      </w:pPr>
      <w:r>
        <w:rPr>
          <w:rFonts w:hint="eastAsia" w:eastAsia="黑体"/>
          <w:b/>
          <w:bCs/>
          <w:sz w:val="84"/>
        </w:rPr>
        <w:t xml:space="preserve">招　标　文　件</w:t>
      </w:r>
      <w:r/>
    </w:p>
    <w:p>
      <w:pPr>
        <w:pStyle w:val="876"/>
        <w:ind w:firstLine="0"/>
        <w:rPr>
          <w:b/>
          <w:bCs/>
          <w:sz w:val="32"/>
        </w:rPr>
      </w:pPr>
      <w:r>
        <w:rPr>
          <w:b/>
          <w:bCs/>
          <w:sz w:val="32"/>
        </w:rPr>
      </w:r>
      <w:r/>
    </w:p>
    <w:p>
      <w:pPr>
        <w:pStyle w:val="876"/>
        <w:ind w:firstLine="0"/>
        <w:jc w:val="center"/>
        <w:rPr>
          <w:b/>
          <w:bCs/>
          <w:sz w:val="32"/>
        </w:rPr>
      </w:pPr>
      <w:r>
        <w:rPr>
          <w:rFonts w:hint="eastAsia"/>
          <w:b/>
          <w:bCs/>
          <w:sz w:val="32"/>
        </w:rPr>
        <w:t xml:space="preserve">项目名称：</w:t>
      </w:r>
      <w:bookmarkStart w:id="0" w:name="OLE_LINK18"/>
      <w:r>
        <w:rPr>
          <w:rFonts w:hint="eastAsia"/>
          <w:b/>
          <w:bCs/>
          <w:sz w:val="32"/>
        </w:rPr>
        <w:t xml:space="preserve">江苏省固体废物管理信息系统能力对标提升项目</w:t>
      </w:r>
      <w:bookmarkEnd w:id="0"/>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G2026-0525</w:t>
      </w:r>
      <w:r/>
    </w:p>
    <w:p>
      <w:pPr>
        <w:ind w:left="2811" w:hanging="2811"/>
        <w:jc w:val="center"/>
        <w:rPr>
          <w:b/>
          <w:sz w:val="28"/>
          <w:szCs w:val="28"/>
        </w:rPr>
      </w:pPr>
      <w:r>
        <w:rPr>
          <w:b/>
          <w:sz w:val="28"/>
          <w:szCs w:val="28"/>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spacing w:before="0" w:after="0"/>
        <w:rPr>
          <w:rFonts w:hint="eastAsia" w:ascii="宋体" w:hAnsi="宋体"/>
        </w:rPr>
      </w:pPr>
      <w:r>
        <w:rPr>
          <w:rFonts w:hint="eastAsia" w:ascii="宋体" w:hAnsi="宋体"/>
        </w:rPr>
      </w:r>
      <w:r/>
    </w:p>
    <w:p>
      <w:pPr>
        <w:pStyle w:val="876"/>
        <w:ind w:firstLine="0"/>
        <w:jc w:val="center"/>
        <w:rPr>
          <w:b/>
          <w:bCs/>
          <w:sz w:val="32"/>
        </w:rPr>
      </w:pPr>
      <w:r>
        <w:rPr>
          <w:rFonts w:hint="eastAsia"/>
          <w:b/>
          <w:bCs/>
          <w:sz w:val="32"/>
        </w:rPr>
        <w:t xml:space="preserve">江苏省政府采购中心</w:t>
      </w:r>
      <w:r/>
    </w:p>
    <w:p>
      <w:pPr>
        <w:pStyle w:val="876"/>
        <w:ind w:firstLine="0"/>
        <w:jc w:val="center"/>
        <w:rPr>
          <w:b/>
          <w:bCs/>
          <w:sz w:val="32"/>
        </w:rPr>
      </w:pPr>
      <w:r>
        <w:rPr>
          <w:rFonts w:hint="eastAsia"/>
          <w:b/>
          <w:bCs/>
          <w:sz w:val="32"/>
        </w:rPr>
        <w:t xml:space="preserve">2026</w:t>
      </w:r>
      <w:r>
        <w:rPr>
          <w:rFonts w:hint="eastAsia"/>
          <w:b/>
          <w:bCs/>
          <w:sz w:val="32"/>
        </w:rPr>
        <w:t xml:space="preserve">年</w:t>
      </w:r>
      <w:r>
        <w:rPr>
          <w:b/>
          <w:bCs/>
          <w:sz w:val="32"/>
        </w:rPr>
        <w:t xml:space="preserve">10</w:t>
      </w:r>
      <w:r>
        <w:rPr>
          <w:rFonts w:hint="eastAsia"/>
          <w:b/>
          <w:bCs/>
          <w:sz w:val="32"/>
        </w:rPr>
        <w:t xml:space="preserve">月</w:t>
      </w:r>
      <w:r/>
    </w:p>
    <w:p>
      <w:pPr>
        <w:pStyle w:val="876"/>
        <w:ind w:firstLine="0"/>
        <w:rPr>
          <w:u w:val="single"/>
        </w:rPr>
      </w:pPr>
      <w:r>
        <w:rPr>
          <w:rFonts w:hint="eastAsia"/>
        </w:rPr>
        <w:t xml:space="preserve">                        </w:t>
      </w:r>
      <w:r/>
    </w:p>
    <w:p>
      <w:pPr>
        <w:pStyle w:val="876"/>
        <w:ind w:firstLine="0"/>
        <w:jc w:val="center"/>
      </w:pPr>
      <w:r/>
      <w:r/>
    </w:p>
    <w:p>
      <w:pPr>
        <w:jc w:val="center"/>
        <w:spacing w:line="480" w:lineRule="auto"/>
        <w:rPr>
          <w:rFonts w:ascii="黑体" w:hAnsi="Arial" w:eastAsia="黑体"/>
          <w:b/>
          <w:sz w:val="44"/>
        </w:rPr>
        <w:outlineLvl w:val="0"/>
      </w:pPr>
      <w:r>
        <w:br w:type="page" w:clear="all"/>
      </w:r>
      <w:bookmarkStart w:id="1" w:name="_Toc120614210"/>
      <w:r/>
      <w:bookmarkStart w:id="2" w:name="_Toc523127445"/>
      <w:r/>
      <w:bookmarkStart w:id="3" w:name="_Toc479757206"/>
      <w:r/>
      <w:bookmarkStart w:id="4" w:name="_Toc16938516"/>
      <w:r/>
      <w:bookmarkStart w:id="5" w:name="_Toc513029200"/>
      <w:r/>
      <w:bookmarkStart w:id="6" w:name="_Toc20823272"/>
      <w:r>
        <w:rPr>
          <w:rFonts w:hint="eastAsia"/>
        </w:rPr>
        <w:t xml:space="preserve"> </w:t>
      </w:r>
      <w:bookmarkStart w:id="7" w:name="_Toc239690739"/>
      <w:r>
        <w:rPr>
          <w:rFonts w:hint="eastAsia" w:ascii="黑体" w:hAnsi="Arial" w:eastAsia="黑体"/>
          <w:b/>
          <w:sz w:val="44"/>
        </w:rPr>
        <w:t xml:space="preserve">总  目  录</w:t>
      </w:r>
      <w:bookmarkEnd w:id="7"/>
      <w:r/>
      <w:r/>
    </w:p>
    <w:p>
      <w:pPr>
        <w:pStyle w:val="739"/>
        <w:tabs>
          <w:tab w:val="right" w:pos="8943" w:leader="dot"/>
        </w:tabs>
        <w:rPr>
          <w:rFonts w:ascii="Arial" w:hAnsi="Arial" w:cs="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_Toc239690739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_Toc239690740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_Toc239690741 \h</w:instrText>
      </w:r>
      <w:r>
        <w:rPr>
          <w:rFonts w:hint="eastAsia"/>
        </w:rPr>
        <w:instrText xml:space="preserve"> </w:instrText>
      </w:r>
      <w:r>
        <w:rPr>
          <w:rFonts w:hint="eastAsia"/>
        </w:rPr>
        <w:fldChar w:fldCharType="separate"/>
      </w:r>
      <w:r>
        <w:t xml:space="preserve">6</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_Toc239690742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9"/>
        <w:tabs>
          <w:tab w:val="right" w:pos="8943" w:leader="dot"/>
        </w:tabs>
        <w:rPr>
          <w:rFonts w:ascii="Arial" w:hAnsi="Arial" w:cs="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_Toc239690743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_Toc239690744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_Toc239690745 \h</w:instrText>
      </w:r>
      <w:r>
        <w:rPr>
          <w:rFonts w:hint="eastAsia"/>
        </w:rPr>
        <w:instrText xml:space="preserve"> </w:instrText>
      </w:r>
      <w:r>
        <w:rPr>
          <w:rFonts w:hint="eastAsia"/>
        </w:rPr>
        <w:fldChar w:fldCharType="separate"/>
      </w:r>
      <w:r>
        <w:t xml:space="preserve">43</w:t>
      </w:r>
      <w:r>
        <w:rPr>
          <w:rFonts w:hint="eastAsia"/>
        </w:rPr>
        <w:fldChar w:fldCharType="end"/>
      </w:r>
      <w:r/>
    </w:p>
    <w:p>
      <w:pPr>
        <w:pStyle w:val="739"/>
        <w:tabs>
          <w:tab w:val="right" w:pos="8943" w:leader="dot"/>
        </w:tabs>
        <w:rPr>
          <w:rFonts w:ascii="Arial" w:hAnsi="Arial" w:cs="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_Toc239690746 \h</w:instrText>
      </w:r>
      <w:r>
        <w:rPr>
          <w:rFonts w:hint="eastAsia"/>
        </w:rPr>
        <w:instrText xml:space="preserve"> </w:instrText>
      </w:r>
      <w:r>
        <w:rPr>
          <w:rFonts w:hint="eastAsia"/>
        </w:rPr>
        <w:fldChar w:fldCharType="separate"/>
      </w:r>
      <w:r>
        <w:t xml:space="preserve">49</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07"/>
        <w:rPr>
          <w:rFonts w:ascii="黑体" w:eastAsia="黑体"/>
          <w:bCs/>
          <w:sz w:val="44"/>
          <w:szCs w:val="44"/>
        </w:rPr>
      </w:pPr>
      <w:r/>
      <w:bookmarkStart w:id="8" w:name="_Toc239690740"/>
      <w:r>
        <w:rPr>
          <w:rFonts w:hint="eastAsia" w:ascii="黑体" w:eastAsia="黑体"/>
          <w:sz w:val="44"/>
          <w:szCs w:val="44"/>
        </w:rPr>
        <w:t xml:space="preserve">第一章  </w:t>
      </w:r>
      <w:bookmarkEnd w:id="1"/>
      <w:r>
        <w:rPr>
          <w:rFonts w:hint="eastAsia" w:ascii="黑体" w:eastAsia="黑体"/>
          <w:sz w:val="44"/>
          <w:szCs w:val="44"/>
        </w:rPr>
        <w:t xml:space="preserve">投标邀请</w:t>
      </w:r>
      <w:bookmarkEnd w:id="8"/>
      <w:r/>
      <w:r/>
    </w:p>
    <w:p>
      <w:pPr>
        <w:ind w:firstLine="480"/>
        <w:spacing w:line="400" w:lineRule="exact"/>
        <w:rPr>
          <w:rFonts w:hint="eastAsia" w:ascii="宋体" w:hAnsi="宋体"/>
          <w:sz w:val="24"/>
          <w:szCs w:val="24"/>
        </w:rPr>
      </w:pPr>
      <w:r>
        <w:rPr>
          <w:rFonts w:hint="eastAsia" w:ascii="宋体" w:hAnsi="宋体"/>
          <w:sz w:val="24"/>
          <w:szCs w:val="24"/>
        </w:rPr>
        <w:t xml:space="preserve">受江苏省生态环境监控中心委托，江苏省政府采购中心就江苏省固体废物管理信息系统能力对标提升项目(JSZC-320000-SCZX-G2026-0525)项目进行公开招标采购，欢迎符合条件的供应商投标。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江苏省固体废物管理信息系统能力对标提升项目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年11月19日09点30分（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9"/>
        <w:ind w:firstLine="498"/>
        <w:spacing w:before="145" w:after="145" w:line="400" w:lineRule="exact"/>
      </w:pPr>
      <w:r/>
      <w:bookmarkStart w:id="9" w:name="_Toc35393790"/>
      <w:r/>
      <w:bookmarkStart w:id="10" w:name="_Toc28359079"/>
      <w:r/>
      <w:bookmarkStart w:id="11" w:name="_Toc38985263"/>
      <w:r/>
      <w:bookmarkStart w:id="12" w:name="_Toc28359002"/>
      <w:r/>
      <w:bookmarkStart w:id="13" w:name="_Toc35393621"/>
      <w:r/>
      <w:bookmarkStart w:id="14" w:name="_Hlk24379207"/>
      <w:r>
        <w:rPr>
          <w:rFonts w:hint="eastAsia"/>
        </w:rPr>
        <w:t xml:space="preserve">一、项目基本情况</w:t>
      </w:r>
      <w:bookmarkEnd w:id="9"/>
      <w:r/>
      <w:bookmarkEnd w:id="10"/>
      <w:r/>
      <w:bookmarkEnd w:id="11"/>
      <w:r/>
      <w:bookmarkEnd w:id="12"/>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1.采购编号：JSZC-320000-SCZX-G2026-0525</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4"/>
      <w:r>
        <w:rPr>
          <w:rFonts w:hint="eastAsia" w:ascii="宋体" w:hAnsi="宋体"/>
          <w:sz w:val="24"/>
          <w:szCs w:val="24"/>
        </w:rPr>
        <w:t xml:space="preserve">江苏省固体废物管理信息系统能力对标提升项目</w:t>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lang w:eastAsia="en-US"/>
              </w:rPr>
            </w:pPr>
            <w:r>
              <w:rPr>
                <w:rFonts w:ascii="宋体" w:hAnsi="宋体"/>
                <w:lang w:eastAsia="en-US"/>
              </w:rPr>
              <w:t xml:space="preserve">370</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lang w:eastAsia="en-US"/>
              </w:rPr>
            </w:pPr>
            <w:r>
              <w:rPr>
                <w:rFonts w:ascii="宋体" w:hAnsi="宋体"/>
                <w:lang w:eastAsia="en-US"/>
              </w:rPr>
              <w:t xml:space="preserve">370</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为持续响应国家和我省进一步严防危险废物环境风险，强化固体废物全过程监管，推动危险废物环境管理向规范化、动态化、智慧化转型，持续落实国家危险废物数字化建设计划，拓展小微收集等危险废物管理场景。同时，全力保障全省固体废物全过程管理工作全域落地铺开，现拟开展江苏省固体废物管理信息系统能力对标提升项目建设，包括危险废物全生命周期规范应用提升、一般工业固废全过程管理、“无废城市”无废集团管理、深化危险废物数据智能化场景运用。</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6.合同履行期限：合同签订后10个月内完成实施并部署上线，达到预期目标和功能，进入3个月试运行期（试运行开始时间以上线确认书为准）</w:t>
      </w:r>
      <w:r>
        <w:rPr>
          <w:rFonts w:hint="eastAsia" w:ascii="宋体" w:hAnsi="宋体" w:cs="宋体"/>
          <w:sz w:val="24"/>
          <w:szCs w:val="24"/>
        </w:rPr>
        <w:t xml:space="preserve">。</w:t>
      </w:r>
      <w:r/>
    </w:p>
    <w:p>
      <w:pPr>
        <w:pStyle w:val="709"/>
        <w:ind w:firstLine="498"/>
        <w:spacing w:before="145" w:after="145" w:line="400" w:lineRule="exact"/>
      </w:pPr>
      <w:r/>
      <w:bookmarkStart w:id="15" w:name="_Toc28359003"/>
      <w:r/>
      <w:bookmarkStart w:id="16" w:name="_Toc28359080"/>
      <w:r/>
      <w:bookmarkStart w:id="17" w:name="_Toc35393791"/>
      <w:r/>
      <w:bookmarkStart w:id="18" w:name="_Toc38985264"/>
      <w:r/>
      <w:bookmarkStart w:id="19" w:name="_Toc35393622"/>
      <w:r>
        <w:rPr>
          <w:rFonts w:hint="eastAsia"/>
        </w:rPr>
        <w:t xml:space="preserve">二、申请人的资格要求</w:t>
      </w:r>
      <w:bookmarkEnd w:id="15"/>
      <w:r/>
      <w:bookmarkEnd w:id="16"/>
      <w:r/>
      <w:bookmarkEnd w:id="17"/>
      <w:r/>
      <w:bookmarkEnd w:id="18"/>
      <w:r/>
      <w:bookmarkEnd w:id="19"/>
      <w:r/>
      <w:r/>
    </w:p>
    <w:p>
      <w:pPr>
        <w:ind w:firstLine="480"/>
        <w:spacing w:line="400" w:lineRule="exact"/>
        <w:rPr>
          <w:rFonts w:hint="eastAsia" w:ascii="宋体" w:hAnsi="宋体"/>
          <w:sz w:val="24"/>
          <w:szCs w:val="24"/>
        </w:rPr>
      </w:pPr>
      <w:r/>
      <w:bookmarkStart w:id="20" w:name="_Toc35393623"/>
      <w:r/>
      <w:bookmarkStart w:id="21" w:name="_Toc35393792"/>
      <w:r/>
      <w:bookmarkStart w:id="22" w:name="_Toc38985265"/>
      <w:r/>
      <w:bookmarkStart w:id="23" w:name="_Toc28359004"/>
      <w:r/>
      <w:bookmarkStart w:id="24"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w:t>
      </w:r>
      <w:r>
        <w:rPr>
          <w:rFonts w:hint="eastAsia" w:ascii="宋体" w:hAnsi="宋体"/>
          <w:sz w:val="24"/>
          <w:szCs w:val="24"/>
        </w:rPr>
        <w:t xml:space="preserve">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400" w:lineRule="exact"/>
        <w:rPr>
          <w:b/>
          <w:bCs/>
          <w:sz w:val="32"/>
          <w:szCs w:val="32"/>
        </w:rPr>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09"/>
        <w:ind w:firstLine="498"/>
        <w:spacing w:before="145" w:after="145" w:line="400" w:lineRule="exact"/>
      </w:pPr>
      <w:r/>
      <w:bookmarkStart w:id="25" w:name="_Toc28359082"/>
      <w:r/>
      <w:bookmarkStart w:id="26" w:name="_Toc28359005"/>
      <w:r/>
      <w:bookmarkStart w:id="27" w:name="_Toc38985266"/>
      <w:r/>
      <w:bookmarkStart w:id="28" w:name="_Toc35393793"/>
      <w:r/>
      <w:bookmarkStart w:id="29" w:name="_Toc35393624"/>
      <w:r/>
      <w:bookmarkEnd w:id="20"/>
      <w:r/>
      <w:bookmarkEnd w:id="21"/>
      <w:r/>
      <w:bookmarkEnd w:id="22"/>
      <w:r/>
      <w:bookmarkEnd w:id="23"/>
      <w:r/>
      <w:bookmarkEnd w:id="24"/>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2026年11月19日09点30分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30" w:name="_Toc35393794"/>
      <w:r/>
      <w:bookmarkStart w:id="31" w:name="_Toc28359007"/>
      <w:r/>
      <w:bookmarkStart w:id="32" w:name="_Toc28359084"/>
      <w:r/>
      <w:bookmarkStart w:id="33" w:name="_Toc38985267"/>
      <w:r/>
      <w:bookmarkStart w:id="34" w:name="_Toc35393625"/>
      <w:r>
        <w:rPr>
          <w:rFonts w:hint="eastAsia"/>
          <w:b/>
          <w:bCs/>
          <w:sz w:val="32"/>
          <w:szCs w:val="32"/>
        </w:rPr>
        <w:t xml:space="preserve">五、公告期限</w:t>
      </w:r>
      <w:bookmarkEnd w:id="30"/>
      <w:r/>
      <w:bookmarkEnd w:id="31"/>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09"/>
        <w:ind w:firstLine="498"/>
        <w:spacing w:before="145" w:after="145" w:line="400" w:lineRule="exact"/>
      </w:pPr>
      <w:r/>
      <w:bookmarkStart w:id="35" w:name="_Toc35393795"/>
      <w:r/>
      <w:bookmarkStart w:id="36" w:name="_Toc35393626"/>
      <w:r/>
      <w:bookmarkStart w:id="37" w:name="_Toc38985268"/>
      <w:r>
        <w:rPr>
          <w:rFonts w:hint="eastAsia"/>
        </w:rPr>
        <w:t xml:space="preserve">六、其他补充事宜</w:t>
      </w:r>
      <w:bookmarkEnd w:id="35"/>
      <w:r/>
      <w:bookmarkEnd w:id="36"/>
      <w:r/>
      <w:bookmarkEnd w:id="37"/>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09"/>
        <w:ind w:firstLine="498"/>
        <w:spacing w:before="145" w:after="145" w:line="400" w:lineRule="exact"/>
      </w:pPr>
      <w:r/>
      <w:bookmarkStart w:id="38" w:name="_Toc38985269"/>
      <w:r/>
      <w:bookmarkStart w:id="39" w:name="_Toc28359008"/>
      <w:r/>
      <w:bookmarkStart w:id="40" w:name="_Toc35393627"/>
      <w:r/>
      <w:bookmarkStart w:id="41" w:name="_Toc28359085"/>
      <w:r/>
      <w:bookmarkStart w:id="42" w:name="_Toc35393796"/>
      <w:r>
        <w:rPr>
          <w:rFonts w:hint="eastAsia"/>
        </w:rPr>
        <w:t xml:space="preserve">七、本次招标联系方式</w:t>
      </w:r>
      <w:bookmarkEnd w:id="38"/>
      <w:r/>
      <w:bookmarkEnd w:id="39"/>
      <w:r/>
      <w:bookmarkEnd w:id="40"/>
      <w:r/>
      <w:bookmarkEnd w:id="41"/>
      <w:r/>
      <w:bookmarkEnd w:id="42"/>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3" w:name="_Toc28359009"/>
      <w:r/>
      <w:bookmarkStart w:id="44" w:name="_Toc28359086"/>
      <w:r>
        <w:rPr>
          <w:rFonts w:hint="eastAsia" w:ascii="宋体" w:hAnsi="宋体" w:cs="宋体"/>
          <w:bCs/>
          <w:sz w:val="24"/>
          <w:szCs w:val="24"/>
          <w:u w:val="single"/>
          <w:lang w:bidi="ar"/>
        </w:rPr>
        <w:t xml:space="preserve">名 称：江苏省生态环境监控中心</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ascii="宋体" w:hAnsi="宋体"/>
          <w:sz w:val="24"/>
          <w:szCs w:val="24"/>
          <w:u w:val="single"/>
        </w:rPr>
        <w:t xml:space="preserve">南京市鼓楼区江东北路176号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ascii="宋体" w:hAnsi="宋体"/>
          <w:sz w:val="24"/>
          <w:szCs w:val="24"/>
          <w:u w:val="single"/>
        </w:rPr>
        <w:t xml:space="preserve">杨清</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ascii="宋体" w:hAnsi="宋体"/>
          <w:sz w:val="24"/>
          <w:szCs w:val="24"/>
          <w:u w:val="single"/>
        </w:rPr>
        <w:t xml:space="preserve">13770660103</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5" w:name="_Toc28359010"/>
      <w:r/>
      <w:bookmarkStart w:id="46" w:name="_Toc28359087"/>
      <w:r/>
      <w:bookmarkEnd w:id="43"/>
      <w:r/>
      <w:bookmarkEnd w:id="44"/>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5"/>
      <w:r/>
      <w:bookmarkEnd w:id="46"/>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09"/>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07"/>
        <w:rPr>
          <w:rFonts w:ascii="黑体" w:eastAsia="黑体"/>
          <w:sz w:val="44"/>
          <w:szCs w:val="44"/>
        </w:rPr>
      </w:pPr>
      <w:r/>
      <w:bookmarkStart w:id="47" w:name="_Toc120614211"/>
      <w:r/>
      <w:bookmarkStart w:id="48" w:name="_Toc239690741"/>
      <w:r>
        <w:rPr>
          <w:rFonts w:hint="eastAsia" w:ascii="黑体" w:eastAsia="黑体"/>
          <w:sz w:val="44"/>
          <w:szCs w:val="44"/>
        </w:rPr>
        <w:t xml:space="preserve">第二章  </w:t>
      </w:r>
      <w:bookmarkStart w:id="49" w:name="_Toc20823274"/>
      <w:r/>
      <w:bookmarkStart w:id="50" w:name="_Toc120614213"/>
      <w:r/>
      <w:bookmarkStart w:id="51" w:name="_Toc513029202"/>
      <w:r/>
      <w:bookmarkStart w:id="52" w:name="_Toc16938518"/>
      <w:r/>
      <w:bookmarkEnd w:id="2"/>
      <w:r/>
      <w:bookmarkEnd w:id="3"/>
      <w:r/>
      <w:bookmarkEnd w:id="4"/>
      <w:r/>
      <w:bookmarkEnd w:id="5"/>
      <w:r/>
      <w:bookmarkEnd w:id="6"/>
      <w:r/>
      <w:bookmarkEnd w:id="47"/>
      <w:r>
        <w:rPr>
          <w:rFonts w:hint="eastAsia" w:ascii="黑体" w:eastAsia="黑体"/>
          <w:sz w:val="44"/>
          <w:szCs w:val="44"/>
        </w:rPr>
        <w:t xml:space="preserve">投标人须知</w:t>
      </w:r>
      <w:bookmarkEnd w:id="48"/>
      <w:r/>
      <w:bookmarkEnd w:id="49"/>
      <w:r/>
      <w:bookmarkEnd w:id="50"/>
      <w:r/>
      <w:bookmarkEnd w:id="51"/>
      <w:r/>
      <w:bookmarkEnd w:id="52"/>
      <w:r/>
      <w:r/>
    </w:p>
    <w:p>
      <w:pPr>
        <w:pStyle w:val="709"/>
        <w:ind w:firstLine="498"/>
        <w:spacing w:before="145" w:after="145" w:line="400" w:lineRule="exact"/>
      </w:pPr>
      <w:r/>
      <w:bookmarkStart w:id="53" w:name="_Toc120614214"/>
      <w:r/>
      <w:bookmarkStart w:id="54" w:name="_Toc20823275"/>
      <w:r/>
      <w:bookmarkStart w:id="55" w:name="_Toc513029203"/>
      <w:r/>
      <w:bookmarkStart w:id="56" w:name="_Toc16938519"/>
      <w:r/>
      <w:bookmarkStart w:id="57" w:name="OLE_LINK5"/>
      <w:r/>
      <w:bookmarkStart w:id="58" w:name="OLE_LINK4"/>
      <w:r/>
      <w:bookmarkStart w:id="59" w:name="OLE_LINK6"/>
      <w:r>
        <w:rPr>
          <w:rFonts w:hint="eastAsia"/>
        </w:rPr>
        <w:t xml:space="preserve">一、总则</w:t>
      </w:r>
      <w:bookmarkEnd w:id="53"/>
      <w:r/>
      <w:bookmarkEnd w:id="54"/>
      <w:r/>
      <w:bookmarkEnd w:id="55"/>
      <w:r/>
      <w:bookmarkEnd w:id="56"/>
      <w:r/>
      <w:r/>
    </w:p>
    <w:p>
      <w:pPr>
        <w:pStyle w:val="710"/>
        <w:ind w:firstLine="420"/>
        <w:spacing w:before="0" w:after="0" w:line="400" w:lineRule="exact"/>
        <w:rPr>
          <w:b w:val="0"/>
          <w:bCs w:val="0"/>
        </w:rPr>
      </w:pPr>
      <w:r/>
      <w:bookmarkStart w:id="60" w:name="_Hlt16619475"/>
      <w:r/>
      <w:bookmarkStart w:id="61" w:name="_Toc458694821"/>
      <w:r/>
      <w:bookmarkStart w:id="62" w:name="_Toc20823276"/>
      <w:r/>
      <w:bookmarkStart w:id="63" w:name="_Toc16938520"/>
      <w:r/>
      <w:bookmarkStart w:id="64" w:name="_Toc513029204"/>
      <w:r/>
      <w:bookmarkEnd w:id="6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10"/>
        <w:ind w:firstLine="420"/>
        <w:spacing w:before="0" w:after="0" w:line="400" w:lineRule="exact"/>
        <w:rPr>
          <w:b w:val="0"/>
          <w:bCs w:val="0"/>
        </w:rPr>
      </w:pPr>
      <w:r/>
      <w:bookmarkStart w:id="65" w:name="_Toc20823277"/>
      <w:r/>
      <w:bookmarkStart w:id="66" w:name="_Toc513029205"/>
      <w:r/>
      <w:bookmarkStart w:id="67" w:name="_Toc16938521"/>
      <w:r>
        <w:rPr>
          <w:rFonts w:hint="eastAsia"/>
          <w:b w:val="0"/>
          <w:bCs w:val="0"/>
        </w:rPr>
        <w:t xml:space="preserve">2</w:t>
      </w:r>
      <w:r>
        <w:rPr>
          <w:rFonts w:hint="eastAsia"/>
          <w:b w:val="0"/>
          <w:bCs w:val="0"/>
        </w:rPr>
        <w:t xml:space="preserve">、合格的投标人</w:t>
      </w:r>
      <w:bookmarkEnd w:id="65"/>
      <w:r/>
      <w:bookmarkEnd w:id="66"/>
      <w:r/>
      <w:bookmarkEnd w:id="6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10"/>
        <w:ind w:firstLine="422"/>
        <w:spacing w:before="0" w:after="0" w:line="400" w:lineRule="exact"/>
      </w:pPr>
      <w:r/>
      <w:bookmarkStart w:id="68" w:name="_Toc16938522"/>
      <w:r/>
      <w:bookmarkStart w:id="69" w:name="_Toc20823278"/>
      <w:r/>
      <w:bookmarkStart w:id="70" w:name="_Toc513029206"/>
      <w:r>
        <w:rPr>
          <w:rFonts w:hint="eastAsia"/>
        </w:rPr>
        <w:t xml:space="preserve">3</w:t>
      </w:r>
      <w:r>
        <w:rPr>
          <w:rFonts w:hint="eastAsia"/>
        </w:rPr>
        <w:t xml:space="preserve">、适用法律</w:t>
      </w:r>
      <w:bookmarkEnd w:id="68"/>
      <w:r/>
      <w:bookmarkEnd w:id="69"/>
      <w:r/>
      <w:bookmarkEnd w:id="70"/>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1" w:name="_Toc513029207"/>
      <w:r/>
      <w:bookmarkStart w:id="72" w:name="_Toc16938523"/>
      <w:r/>
      <w:bookmarkStart w:id="73" w:name="_Toc462564067"/>
      <w:r/>
      <w:bookmarkStart w:id="74" w:name="_Toc20823279"/>
      <w:r>
        <w:rPr>
          <w:rFonts w:hint="eastAsia" w:ascii="宋体" w:hAnsi="宋体"/>
          <w:sz w:val="24"/>
        </w:rPr>
        <w:t xml:space="preserve">3.2 在本项目政府采购活动过程中，如果所执行的标准有更新的，按照最新标准执行。</w:t>
      </w:r>
      <w:r/>
    </w:p>
    <w:p>
      <w:pPr>
        <w:pStyle w:val="710"/>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10"/>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9"/>
        <w:ind w:firstLine="321"/>
        <w:spacing w:before="145" w:after="145" w:line="400" w:lineRule="exact"/>
      </w:pPr>
      <w:r/>
      <w:bookmarkStart w:id="75" w:name="_Toc16938525"/>
      <w:r/>
      <w:bookmarkStart w:id="76" w:name="_Toc513029209"/>
      <w:r/>
      <w:bookmarkStart w:id="77" w:name="_Toc20823281"/>
      <w:r/>
      <w:bookmarkStart w:id="78" w:name="_Toc120614215"/>
      <w:r>
        <w:rPr>
          <w:rFonts w:hint="eastAsia"/>
        </w:rPr>
        <w:t xml:space="preserve">二、招标文件</w:t>
      </w:r>
      <w:bookmarkEnd w:id="75"/>
      <w:r/>
      <w:bookmarkEnd w:id="76"/>
      <w:r/>
      <w:bookmarkEnd w:id="77"/>
      <w:r/>
      <w:bookmarkEnd w:id="78"/>
      <w:r/>
      <w:r/>
    </w:p>
    <w:p>
      <w:pPr>
        <w:pStyle w:val="710"/>
        <w:ind w:firstLine="420"/>
        <w:spacing w:before="0" w:after="0" w:line="400" w:lineRule="exact"/>
        <w:rPr>
          <w:b w:val="0"/>
          <w:bCs w:val="0"/>
        </w:rPr>
      </w:pPr>
      <w:r/>
      <w:bookmarkStart w:id="79" w:name="_Toc20823282"/>
      <w:r/>
      <w:bookmarkStart w:id="80" w:name="_Toc513029210"/>
      <w:r/>
      <w:bookmarkStart w:id="81" w:name="_Toc16938526"/>
      <w:r>
        <w:rPr>
          <w:rFonts w:hint="eastAsia"/>
          <w:b w:val="0"/>
          <w:bCs w:val="0"/>
        </w:rPr>
        <w:t xml:space="preserve">6</w:t>
      </w:r>
      <w:r>
        <w:rPr>
          <w:rFonts w:hint="eastAsia"/>
          <w:b w:val="0"/>
          <w:bCs w:val="0"/>
        </w:rPr>
        <w:t xml:space="preserve">、招标文件构成</w:t>
      </w:r>
      <w:bookmarkEnd w:id="79"/>
      <w:r/>
      <w:bookmarkEnd w:id="80"/>
      <w:r/>
      <w:bookmarkEnd w:id="81"/>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560"/>
        <w:spacing w:before="0" w:after="0" w:line="400" w:lineRule="exact"/>
        <w:rPr>
          <w:b w:val="0"/>
          <w:bCs w:val="0"/>
        </w:rPr>
      </w:pPr>
      <w:r/>
      <w:bookmarkStart w:id="82" w:name="_Toc462564071"/>
      <w:r/>
      <w:bookmarkStart w:id="83" w:name="_Toc513029212"/>
      <w:r/>
      <w:bookmarkStart w:id="84" w:name="_Toc16938528"/>
      <w:r/>
      <w:bookmarkStart w:id="85" w:name="_Toc20823284"/>
      <w:r>
        <w:rPr>
          <w:b w:val="0"/>
          <w:bCs w:val="0"/>
        </w:rPr>
        <w:t xml:space="preserve">7</w:t>
      </w:r>
      <w:r>
        <w:rPr>
          <w:rFonts w:hint="eastAsia"/>
          <w:b w:val="0"/>
          <w:bCs w:val="0"/>
        </w:rPr>
        <w:t xml:space="preserve">、招标文件的修改</w:t>
      </w:r>
      <w:bookmarkEnd w:id="82"/>
      <w:r/>
      <w:bookmarkEnd w:id="83"/>
      <w:r/>
      <w:bookmarkEnd w:id="84"/>
      <w:r/>
      <w:bookmarkEnd w:id="85"/>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9"/>
        <w:ind w:firstLine="482"/>
        <w:spacing w:before="145" w:after="145" w:line="400" w:lineRule="exact"/>
      </w:pPr>
      <w:r/>
      <w:bookmarkStart w:id="86" w:name="_Toc462564072"/>
      <w:r/>
      <w:bookmarkStart w:id="87" w:name="_Toc16938529"/>
      <w:r/>
      <w:bookmarkStart w:id="88" w:name="_Toc513029213"/>
      <w:r/>
      <w:bookmarkStart w:id="89" w:name="_Toc20823285"/>
      <w:r/>
      <w:bookmarkStart w:id="90" w:name="_Toc120614216"/>
      <w:r>
        <w:rPr>
          <w:rFonts w:hint="eastAsia"/>
        </w:rPr>
        <w:t xml:space="preserve">三、投标文件的编制</w:t>
      </w:r>
      <w:bookmarkEnd w:id="86"/>
      <w:r/>
      <w:bookmarkEnd w:id="87"/>
      <w:r/>
      <w:bookmarkEnd w:id="88"/>
      <w:r/>
      <w:bookmarkEnd w:id="89"/>
      <w:r/>
      <w:bookmarkEnd w:id="90"/>
      <w:r/>
      <w:r/>
    </w:p>
    <w:p>
      <w:pPr>
        <w:pStyle w:val="710"/>
        <w:ind w:firstLine="560"/>
        <w:spacing w:before="0" w:after="0" w:line="400" w:lineRule="exact"/>
        <w:rPr>
          <w:bCs w:val="0"/>
        </w:rPr>
      </w:pPr>
      <w:r/>
      <w:bookmarkStart w:id="91" w:name="_Toc462564073"/>
      <w:r/>
      <w:bookmarkStart w:id="92" w:name="_Toc513029214"/>
      <w:r/>
      <w:bookmarkStart w:id="93" w:name="_Toc20823286"/>
      <w:r/>
      <w:bookmarkStart w:id="94" w:name="_Toc16938530"/>
      <w:r>
        <w:rPr>
          <w:b w:val="0"/>
          <w:bCs w:val="0"/>
        </w:rPr>
        <w:t xml:space="preserve">8</w:t>
      </w:r>
      <w:r>
        <w:rPr>
          <w:rFonts w:hint="eastAsia"/>
          <w:b w:val="0"/>
          <w:bCs w:val="0"/>
        </w:rPr>
        <w:t xml:space="preserve">、投标文件的语言及度量衡单位</w:t>
      </w:r>
      <w:bookmarkEnd w:id="91"/>
      <w:r/>
      <w:bookmarkEnd w:id="92"/>
      <w:r/>
      <w:bookmarkEnd w:id="93"/>
      <w:r/>
      <w:bookmarkEnd w:id="9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10"/>
        <w:ind w:firstLine="420"/>
        <w:spacing w:before="0" w:after="0" w:line="400" w:lineRule="exact"/>
        <w:rPr>
          <w:b w:val="0"/>
          <w:bCs w:val="0"/>
        </w:rPr>
      </w:pPr>
      <w:r/>
      <w:bookmarkStart w:id="95" w:name="_Toc20823287"/>
      <w:r/>
      <w:bookmarkStart w:id="96" w:name="_Toc16938531"/>
      <w:r/>
      <w:bookmarkStart w:id="97" w:name="_Toc462564074"/>
      <w:r/>
      <w:bookmarkStart w:id="98" w:name="_Toc513029215"/>
      <w:r>
        <w:rPr>
          <w:b w:val="0"/>
          <w:bCs w:val="0"/>
        </w:rPr>
        <w:t xml:space="preserve">9</w:t>
      </w:r>
      <w:r>
        <w:rPr>
          <w:rFonts w:hint="eastAsia"/>
          <w:b w:val="0"/>
          <w:bCs w:val="0"/>
        </w:rPr>
        <w:t xml:space="preserve">、投标文件构成</w:t>
      </w:r>
      <w:bookmarkEnd w:id="95"/>
      <w:r/>
      <w:bookmarkEnd w:id="96"/>
      <w:r/>
      <w:bookmarkEnd w:id="97"/>
      <w:r/>
      <w:bookmarkEnd w:id="9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10"/>
        <w:ind w:firstLine="420"/>
        <w:spacing w:before="0" w:after="0" w:line="400" w:lineRule="exact"/>
        <w:rPr>
          <w:b w:val="0"/>
          <w:bCs w:val="0"/>
        </w:rPr>
      </w:pPr>
      <w:r/>
      <w:bookmarkStart w:id="99" w:name="_Hlt26670360"/>
      <w:r/>
      <w:bookmarkStart w:id="100" w:name="_Hlt26668975"/>
      <w:r/>
      <w:bookmarkStart w:id="101" w:name="_Hlt26954838"/>
      <w:r/>
      <w:bookmarkStart w:id="102" w:name="_Toc513029219"/>
      <w:r/>
      <w:bookmarkStart w:id="103" w:name="_Toc49090509"/>
      <w:r/>
      <w:bookmarkStart w:id="104" w:name="_Toc14577357"/>
      <w:r/>
      <w:bookmarkStart w:id="105" w:name="_Toc49090507"/>
      <w:r/>
      <w:bookmarkStart w:id="106" w:name="_Toc513029216"/>
      <w:r/>
      <w:bookmarkStart w:id="107" w:name="_Toc14577354"/>
      <w:r/>
      <w:bookmarkEnd w:id="99"/>
      <w:r/>
      <w:bookmarkEnd w:id="100"/>
      <w:r/>
      <w:bookmarkEnd w:id="10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2"/>
      <w:r/>
      <w:bookmarkEnd w:id="103"/>
      <w:r/>
      <w:bookmarkEnd w:id="104"/>
      <w:r/>
      <w:r/>
    </w:p>
    <w:p>
      <w:pPr>
        <w:spacing w:line="400" w:lineRule="exact"/>
        <w:rPr>
          <w:rFonts w:hint="eastAsia" w:ascii="宋体" w:hAnsi="宋体"/>
          <w:sz w:val="24"/>
          <w:szCs w:val="24"/>
        </w:rPr>
      </w:pPr>
      <w:r/>
      <w:bookmarkStart w:id="108" w:name="_Toc14577355"/>
      <w:r/>
      <w:bookmarkStart w:id="109" w:name="_Toc49090508"/>
      <w:r/>
      <w:bookmarkEnd w:id="105"/>
      <w:r/>
      <w:bookmarkEnd w:id="106"/>
      <w:r/>
      <w:bookmarkEnd w:id="10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10"/>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10" w:name="_Hlt26670373"/>
      <w:r/>
      <w:bookmarkEnd w:id="108"/>
      <w:r/>
      <w:bookmarkEnd w:id="110"/>
      <w:r>
        <w:rPr>
          <w:rFonts w:hint="eastAsia"/>
          <w:b w:val="0"/>
          <w:bCs w:val="0"/>
        </w:rPr>
        <w:t xml:space="preserve">表</w:t>
      </w:r>
      <w:bookmarkEnd w:id="10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1" w:name="_Hlt26954840"/>
      <w:r/>
      <w:bookmarkEnd w:id="111"/>
      <w:r>
        <w:rPr>
          <w:rFonts w:hint="eastAsia" w:ascii="宋体" w:hAnsi="宋体"/>
          <w:sz w:val="24"/>
        </w:rPr>
        <w:t xml:space="preserve">标人按照招标文件规定格式填报投标分项报价表</w:t>
      </w:r>
      <w:bookmarkStart w:id="112" w:name="_Hlt26670399"/>
      <w:r/>
      <w:bookmarkEnd w:id="11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0"/>
        <w:ind w:firstLine="420"/>
        <w:spacing w:before="0" w:after="0" w:line="400" w:lineRule="exact"/>
        <w:rPr>
          <w:b w:val="0"/>
          <w:bCs w:val="0"/>
        </w:rPr>
      </w:pPr>
      <w:r/>
      <w:bookmarkStart w:id="113" w:name="_Hlt26954846"/>
      <w:r/>
      <w:bookmarkStart w:id="114" w:name="_Hlt26668983"/>
      <w:r/>
      <w:bookmarkStart w:id="115" w:name="_Hlt26954842"/>
      <w:r/>
      <w:bookmarkStart w:id="116" w:name="_Hlt26954731"/>
      <w:r/>
      <w:bookmarkStart w:id="117" w:name="_Hlt26670425"/>
      <w:r/>
      <w:bookmarkStart w:id="118" w:name="_Hlt26670486"/>
      <w:r/>
      <w:bookmarkStart w:id="119" w:name="_Hlt26670403"/>
      <w:r/>
      <w:bookmarkStart w:id="120" w:name="_Hlt26670482"/>
      <w:r/>
      <w:bookmarkStart w:id="121" w:name="_Hlt26954848"/>
      <w:r/>
      <w:bookmarkStart w:id="122" w:name="_Hlt26954844"/>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3" w:name="_Toc14577359"/>
      <w:r/>
      <w:bookmarkStart w:id="12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10"/>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10"/>
        <w:ind w:firstLine="420"/>
        <w:spacing w:before="0" w:after="0" w:line="400" w:lineRule="exact"/>
        <w:rPr>
          <w:b w:val="0"/>
          <w:bCs w:val="0"/>
        </w:rPr>
      </w:pPr>
      <w:r/>
      <w:bookmarkStart w:id="125" w:name="_Hlt26670489"/>
      <w:r/>
      <w:bookmarkStart w:id="126" w:name="_Hlt26954734"/>
      <w:r/>
      <w:bookmarkStart w:id="127" w:name="_Hlt26954850"/>
      <w:r/>
      <w:bookmarkStart w:id="128" w:name="_Toc14577360"/>
      <w:r/>
      <w:bookmarkStart w:id="129" w:name="_Toc49090511"/>
      <w:r/>
      <w:bookmarkEnd w:id="123"/>
      <w:r/>
      <w:bookmarkEnd w:id="124"/>
      <w:r/>
      <w:bookmarkEnd w:id="125"/>
      <w:r/>
      <w:bookmarkEnd w:id="126"/>
      <w:r/>
      <w:bookmarkEnd w:id="127"/>
      <w:r>
        <w:rPr>
          <w:rFonts w:hint="eastAsia"/>
          <w:b w:val="0"/>
          <w:bCs w:val="0"/>
        </w:rPr>
        <w:t xml:space="preserve">1</w:t>
      </w:r>
      <w:r>
        <w:rPr>
          <w:b w:val="0"/>
          <w:bCs w:val="0"/>
        </w:rPr>
        <w:t xml:space="preserve">4</w:t>
      </w:r>
      <w:r>
        <w:rPr>
          <w:rFonts w:hint="eastAsia"/>
          <w:b w:val="0"/>
          <w:bCs w:val="0"/>
        </w:rPr>
        <w:t xml:space="preserve">、投标有效期</w:t>
      </w:r>
      <w:bookmarkEnd w:id="128"/>
      <w:r/>
      <w:bookmarkEnd w:id="12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0"/>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9"/>
        <w:ind w:firstLine="482"/>
        <w:spacing w:before="145" w:after="145" w:line="400" w:lineRule="exact"/>
      </w:pPr>
      <w:r/>
      <w:bookmarkStart w:id="130" w:name="_Hlt26954739"/>
      <w:r/>
      <w:bookmarkStart w:id="131" w:name="_Hlt26954852"/>
      <w:r/>
      <w:bookmarkStart w:id="132" w:name="_Toc120614217"/>
      <w:r/>
      <w:bookmarkStart w:id="133" w:name="_Toc20823296"/>
      <w:r/>
      <w:bookmarkStart w:id="134" w:name="_Toc513029224"/>
      <w:r/>
      <w:bookmarkStart w:id="135" w:name="_Toc16938540"/>
      <w:r/>
      <w:bookmarkEnd w:id="130"/>
      <w:r/>
      <w:bookmarkEnd w:id="131"/>
      <w:r>
        <w:rPr>
          <w:rFonts w:hint="eastAsia"/>
        </w:rPr>
        <w:t xml:space="preserve">四、投标文件的递交</w:t>
      </w:r>
      <w:bookmarkEnd w:id="132"/>
      <w:r/>
      <w:bookmarkEnd w:id="133"/>
      <w:r/>
      <w:bookmarkEnd w:id="134"/>
      <w:r/>
      <w:bookmarkEnd w:id="135"/>
      <w:r/>
      <w:r/>
    </w:p>
    <w:p>
      <w:pPr>
        <w:pStyle w:val="710"/>
        <w:ind w:firstLine="560"/>
        <w:spacing w:before="0" w:after="0" w:line="400" w:lineRule="exact"/>
        <w:rPr>
          <w:rFonts w:ascii="黑体"/>
          <w:b w:val="0"/>
          <w:bCs w:val="0"/>
        </w:rPr>
      </w:pPr>
      <w:r/>
      <w:bookmarkStart w:id="136" w:name="_Toc513029225"/>
      <w:r/>
      <w:bookmarkStart w:id="137" w:name="_Toc20823297"/>
      <w:r/>
      <w:bookmarkStart w:id="138" w:name="_Toc462564084"/>
      <w:r/>
      <w:bookmarkStart w:id="139"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64"/>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16938542"/>
      <w:r/>
      <w:bookmarkStart w:id="141" w:name="_Toc513029226"/>
      <w:r/>
      <w:bookmarkStart w:id="142" w:name="_Toc20823298"/>
      <w:r/>
      <w:r/>
    </w:p>
    <w:p>
      <w:pPr>
        <w:pStyle w:val="710"/>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40"/>
      <w:r/>
      <w:bookmarkEnd w:id="141"/>
      <w:r/>
      <w:bookmarkEnd w:id="14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0"/>
        <w:ind w:firstLine="420"/>
        <w:spacing w:before="0" w:after="0" w:line="400" w:lineRule="exact"/>
        <w:rPr>
          <w:b w:val="0"/>
          <w:bCs w:val="0"/>
        </w:rPr>
      </w:pPr>
      <w:r/>
      <w:bookmarkStart w:id="143" w:name="_Toc20823299"/>
      <w:r/>
      <w:bookmarkStart w:id="144" w:name="_Toc513029227"/>
      <w:r/>
      <w:bookmarkStart w:id="145" w:name="_Toc16938543"/>
      <w:r>
        <w:rPr>
          <w:rFonts w:hint="eastAsia"/>
          <w:b w:val="0"/>
          <w:bCs w:val="0"/>
        </w:rPr>
        <w:t xml:space="preserve">1</w:t>
      </w:r>
      <w:r>
        <w:rPr>
          <w:b w:val="0"/>
          <w:bCs w:val="0"/>
        </w:rPr>
        <w:t xml:space="preserve">8</w:t>
      </w:r>
      <w:r>
        <w:rPr>
          <w:rFonts w:hint="eastAsia"/>
          <w:b w:val="0"/>
          <w:bCs w:val="0"/>
        </w:rPr>
        <w:t xml:space="preserve">、投标文件</w:t>
      </w:r>
      <w:bookmarkEnd w:id="143"/>
      <w:r/>
      <w:bookmarkEnd w:id="144"/>
      <w:r/>
      <w:bookmarkEnd w:id="14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10"/>
        <w:ind w:firstLine="420"/>
        <w:spacing w:before="0" w:after="0" w:line="400" w:lineRule="exact"/>
        <w:rPr>
          <w:b w:val="0"/>
          <w:bCs w:val="0"/>
        </w:rPr>
      </w:pPr>
      <w:r/>
      <w:bookmarkStart w:id="146" w:name="_Toc513029228"/>
      <w:r/>
      <w:bookmarkStart w:id="147" w:name="_Toc16938544"/>
      <w:r/>
      <w:bookmarkStart w:id="148" w:name="_Toc20823300"/>
      <w:r>
        <w:rPr>
          <w:b w:val="0"/>
          <w:bCs w:val="0"/>
        </w:rPr>
        <w:t xml:space="preserve">19</w:t>
      </w:r>
      <w:r>
        <w:rPr>
          <w:rFonts w:hint="eastAsia"/>
          <w:b w:val="0"/>
          <w:bCs w:val="0"/>
        </w:rPr>
        <w:t xml:space="preserve">、投标文件的撤回和修改</w:t>
      </w:r>
      <w:bookmarkEnd w:id="146"/>
      <w:r/>
      <w:bookmarkEnd w:id="147"/>
      <w:r/>
      <w:bookmarkEnd w:id="14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09"/>
        <w:ind w:firstLine="482"/>
        <w:spacing w:before="145" w:after="145" w:line="400" w:lineRule="exact"/>
      </w:pPr>
      <w:r/>
      <w:bookmarkStart w:id="149" w:name="_Toc513029229"/>
      <w:r/>
      <w:bookmarkStart w:id="150" w:name="_Toc120614218"/>
      <w:r/>
      <w:bookmarkStart w:id="151" w:name="_Toc16938545"/>
      <w:r/>
      <w:bookmarkStart w:id="152" w:name="_Toc20823301"/>
      <w:r>
        <w:rPr>
          <w:rFonts w:hint="eastAsia"/>
        </w:rPr>
        <w:t xml:space="preserve">五、开标与评标</w:t>
      </w:r>
      <w:bookmarkEnd w:id="149"/>
      <w:r/>
      <w:bookmarkEnd w:id="150"/>
      <w:r/>
      <w:bookmarkEnd w:id="151"/>
      <w:r/>
      <w:bookmarkEnd w:id="152"/>
      <w:r/>
      <w:r/>
    </w:p>
    <w:p>
      <w:pPr>
        <w:pStyle w:val="710"/>
        <w:ind w:firstLine="420"/>
        <w:spacing w:before="0" w:after="0" w:line="400" w:lineRule="exact"/>
        <w:rPr>
          <w:b w:val="0"/>
          <w:bCs w:val="0"/>
        </w:rPr>
      </w:pPr>
      <w:r/>
      <w:bookmarkStart w:id="153" w:name="_Toc20823302"/>
      <w:r/>
      <w:bookmarkStart w:id="154" w:name="_Toc513029230"/>
      <w:r/>
      <w:bookmarkStart w:id="155" w:name="_Toc16938546"/>
      <w:r>
        <w:rPr>
          <w:rFonts w:hint="eastAsia"/>
          <w:b w:val="0"/>
          <w:bCs w:val="0"/>
        </w:rPr>
        <w:t xml:space="preserve">2</w:t>
      </w:r>
      <w:r>
        <w:rPr>
          <w:b w:val="0"/>
          <w:bCs w:val="0"/>
        </w:rPr>
        <w:t xml:space="preserve">0</w:t>
      </w:r>
      <w:r>
        <w:rPr>
          <w:rFonts w:hint="eastAsia"/>
          <w:b w:val="0"/>
          <w:bCs w:val="0"/>
        </w:rPr>
        <w:t xml:space="preserve">、开标</w:t>
      </w:r>
      <w:bookmarkEnd w:id="153"/>
      <w:r/>
      <w:bookmarkEnd w:id="154"/>
      <w:r/>
      <w:bookmarkEnd w:id="155"/>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10"/>
        <w:ind w:firstLine="420"/>
        <w:spacing w:before="0" w:after="0" w:line="400" w:lineRule="exact"/>
        <w:rPr>
          <w:b w:val="0"/>
          <w:bCs w:val="0"/>
        </w:rPr>
      </w:pPr>
      <w:r/>
      <w:bookmarkStart w:id="156" w:name="_Toc20823303"/>
      <w:r/>
      <w:bookmarkStart w:id="157" w:name="_Toc16938547"/>
      <w:r/>
      <w:bookmarkStart w:id="158"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10"/>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6"/>
      <w:r/>
      <w:bookmarkEnd w:id="157"/>
      <w:r/>
      <w:bookmarkEnd w:id="158"/>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10"/>
        <w:ind w:firstLine="420"/>
        <w:spacing w:before="0" w:after="0" w:line="400" w:lineRule="exact"/>
        <w:rPr>
          <w:b w:val="0"/>
          <w:bCs w:val="0"/>
        </w:rPr>
      </w:pPr>
      <w:r/>
      <w:bookmarkStart w:id="159" w:name="_Toc16938548"/>
      <w:r/>
      <w:bookmarkStart w:id="160" w:name="_Toc20823304"/>
      <w:r/>
      <w:bookmarkStart w:id="161" w:name="_Toc513029232"/>
      <w:r>
        <w:rPr>
          <w:rFonts w:hint="eastAsia"/>
          <w:b w:val="0"/>
          <w:bCs w:val="0"/>
        </w:rPr>
        <w:t xml:space="preserve">2</w:t>
      </w:r>
      <w:r>
        <w:rPr>
          <w:b w:val="0"/>
          <w:bCs w:val="0"/>
        </w:rPr>
        <w:t xml:space="preserve">3</w:t>
      </w:r>
      <w:r>
        <w:rPr>
          <w:rFonts w:hint="eastAsia"/>
          <w:b w:val="0"/>
          <w:bCs w:val="0"/>
        </w:rPr>
        <w:t xml:space="preserve">、投标文件的澄清</w:t>
      </w:r>
      <w:bookmarkEnd w:id="159"/>
      <w:r/>
      <w:bookmarkEnd w:id="160"/>
      <w:r/>
      <w:bookmarkEnd w:id="161"/>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10"/>
        <w:ind w:firstLine="420"/>
        <w:spacing w:before="0" w:after="0" w:line="400" w:lineRule="exact"/>
        <w:rPr>
          <w:b w:val="0"/>
          <w:bCs w:val="0"/>
        </w:rPr>
      </w:pPr>
      <w:r/>
      <w:bookmarkStart w:id="162" w:name="_Toc16938549"/>
      <w:r/>
      <w:bookmarkStart w:id="163" w:name="_Toc20823305"/>
      <w:r/>
      <w:bookmarkStart w:id="164"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2"/>
      <w:r/>
      <w:bookmarkEnd w:id="163"/>
      <w:r/>
      <w:bookmarkEnd w:id="164"/>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5" w:name="_Toc20823306"/>
      <w:r/>
      <w:bookmarkStart w:id="166" w:name="_Toc16938550"/>
      <w:r/>
      <w:bookmarkStart w:id="167"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10"/>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5"/>
      <w:r/>
      <w:bookmarkEnd w:id="166"/>
      <w:r/>
      <w:bookmarkEnd w:id="167"/>
      <w:r>
        <w:rPr>
          <w:rFonts w:hint="eastAsia"/>
          <w:b w:val="0"/>
          <w:bCs w:val="0"/>
        </w:rPr>
        <w:t xml:space="preserve">无效投标条款和废标条款</w:t>
      </w:r>
      <w:r/>
    </w:p>
    <w:p>
      <w:pPr>
        <w:ind w:left="479"/>
        <w:spacing w:line="400" w:lineRule="exact"/>
        <w:rPr>
          <w:rFonts w:hint="eastAsia" w:ascii="宋体" w:hAnsi="宋体"/>
          <w:bCs/>
          <w:sz w:val="24"/>
        </w:rPr>
      </w:pPr>
      <w:r/>
      <w:bookmarkStart w:id="168" w:name="_Toc16938551"/>
      <w:r/>
      <w:bookmarkStart w:id="169" w:name="_Toc20823307"/>
      <w:r/>
      <w:bookmarkStart w:id="170"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09"/>
        <w:ind w:firstLine="482"/>
        <w:spacing w:before="145" w:after="145" w:line="400" w:lineRule="exact"/>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710"/>
        <w:ind w:firstLine="600"/>
        <w:spacing w:before="0" w:after="0" w:line="400" w:lineRule="exact"/>
        <w:rPr>
          <w:rFonts w:hint="eastAsia" w:ascii="黑体" w:hAnsi="宋体" w:cs="Times New Roman"/>
          <w:b w:val="0"/>
          <w:sz w:val="30"/>
          <w:szCs w:val="30"/>
        </w:rPr>
      </w:pPr>
      <w:r/>
      <w:bookmarkStart w:id="172" w:name="_Toc513029238"/>
      <w:r/>
      <w:bookmarkStart w:id="173" w:name="_Toc16938554"/>
      <w:r/>
      <w:bookmarkStart w:id="174"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w:t>
      </w:r>
      <w:r>
        <w:rPr>
          <w:rFonts w:hint="eastAsia" w:ascii="宋体" w:hAnsi="宋体"/>
          <w:sz w:val="24"/>
          <w:szCs w:val="24"/>
        </w:rPr>
        <w:t xml:space="preserve">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10"/>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5"/>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w:t>
      </w:r>
      <w:r>
        <w:rPr>
          <w:rFonts w:hint="eastAsia" w:ascii="宋体" w:hAnsi="宋体"/>
          <w:sz w:val="24"/>
          <w:szCs w:val="24"/>
        </w:rPr>
        <w:t xml:space="preserve">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0"/>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09"/>
        <w:spacing w:before="145" w:after="145" w:line="400" w:lineRule="exact"/>
      </w:pPr>
      <w:r/>
      <w:bookmarkStart w:id="176" w:name="_Toc120614220"/>
      <w:r/>
      <w:bookmarkStart w:id="177" w:name="_Toc513029236"/>
      <w:r/>
      <w:bookmarkStart w:id="178" w:name="_Toc16938552"/>
      <w:r/>
      <w:bookmarkStart w:id="179" w:name="_Toc20823308"/>
      <w:r>
        <w:rPr>
          <w:rFonts w:hint="eastAsia"/>
        </w:rPr>
        <w:t xml:space="preserve">七、授予合同</w:t>
      </w:r>
      <w:bookmarkEnd w:id="176"/>
      <w:r/>
      <w:r/>
    </w:p>
    <w:p>
      <w:pPr>
        <w:pStyle w:val="710"/>
        <w:ind w:firstLine="600"/>
        <w:spacing w:before="0" w:after="0" w:line="400" w:lineRule="exact"/>
        <w:rPr>
          <w:rFonts w:hint="eastAsia" w:ascii="黑体" w:hAnsi="宋体" w:cs="Times New Roman"/>
          <w:b w:val="0"/>
          <w:sz w:val="30"/>
          <w:szCs w:val="30"/>
        </w:rPr>
      </w:pPr>
      <w:r/>
      <w:bookmarkStart w:id="180" w:name="_Toc20823309"/>
      <w:r/>
      <w:bookmarkStart w:id="181" w:name="_Toc513029237"/>
      <w:r/>
      <w:bookmarkStart w:id="182" w:name="_Toc16938553"/>
      <w:r/>
      <w:bookmarkEnd w:id="177"/>
      <w:r/>
      <w:bookmarkEnd w:id="178"/>
      <w:r/>
      <w:bookmarkEnd w:id="17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10"/>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w:t>
      </w:r>
      <w:r>
        <w:rPr>
          <w:rFonts w:hint="eastAsia" w:ascii="宋体" w:hAnsi="宋体"/>
          <w:sz w:val="24"/>
          <w:szCs w:val="24"/>
        </w:rPr>
        <w:t xml:space="preserve">但所有补充合同的采购金额不超过原合同金额10%。</w:t>
      </w:r>
      <w:r/>
    </w:p>
    <w:p>
      <w:pPr>
        <w:pStyle w:val="710"/>
        <w:ind w:firstLine="600"/>
        <w:spacing w:before="0" w:after="0" w:line="400" w:lineRule="exact"/>
        <w:rPr>
          <w:rFonts w:hint="eastAsia" w:ascii="黑体" w:hAnsi="宋体" w:cs="Times New Roman"/>
          <w:b w:val="0"/>
          <w:sz w:val="30"/>
          <w:szCs w:val="30"/>
        </w:rPr>
      </w:pPr>
      <w:r/>
      <w:bookmarkStart w:id="183" w:name="_Toc20823314"/>
      <w:r/>
      <w:bookmarkStart w:id="184" w:name="_Toc120614221"/>
      <w:r/>
      <w:bookmarkStart w:id="185" w:name="_Toc513029242"/>
      <w:r/>
      <w:bookmarkStart w:id="186" w:name="_Toc479757207"/>
      <w:r/>
      <w:bookmarkStart w:id="187" w:name="_Toc16938558"/>
      <w:r/>
      <w:bookmarkEnd w:id="180"/>
      <w:r/>
      <w:bookmarkEnd w:id="181"/>
      <w:r/>
      <w:bookmarkEnd w:id="18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1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19"/>
        <w:ind w:firstLine="0"/>
        <w:spacing w:line="400" w:lineRule="exact"/>
        <w:rPr>
          <w:rFonts w:hint="eastAsia" w:ascii="宋体" w:hAnsi="宋体"/>
          <w:bCs/>
          <w:sz w:val="24"/>
        </w:rPr>
      </w:pPr>
      <w:r>
        <w:rPr>
          <w:rFonts w:hint="eastAsia" w:ascii="宋体" w:hAnsi="宋体"/>
          <w:bCs/>
          <w:sz w:val="24"/>
        </w:rPr>
        <w:br w:type="page" w:clear="all"/>
      </w:r>
      <w:r/>
    </w:p>
    <w:p>
      <w:pPr>
        <w:pStyle w:val="707"/>
        <w:rPr>
          <w:rFonts w:ascii="黑体" w:eastAsia="黑体"/>
          <w:bCs/>
          <w:sz w:val="44"/>
        </w:rPr>
      </w:pPr>
      <w:r/>
      <w:bookmarkStart w:id="188" w:name="_Toc239690742"/>
      <w:r/>
      <w:bookmarkEnd w:id="57"/>
      <w:r/>
      <w:bookmarkEnd w:id="58"/>
      <w:r/>
      <w:bookmarkEnd w:id="59"/>
      <w:r>
        <w:rPr>
          <w:rFonts w:hint="eastAsia" w:ascii="黑体" w:eastAsia="黑体"/>
          <w:sz w:val="44"/>
          <w:szCs w:val="44"/>
        </w:rPr>
        <w:t xml:space="preserve">第三章  合同</w:t>
      </w:r>
      <w:bookmarkEnd w:id="183"/>
      <w:r/>
      <w:bookmarkEnd w:id="184"/>
      <w:r/>
      <w:bookmarkEnd w:id="185"/>
      <w:r/>
      <w:bookmarkEnd w:id="186"/>
      <w:r/>
      <w:bookmarkEnd w:id="187"/>
      <w:r>
        <w:rPr>
          <w:rFonts w:hint="eastAsia" w:ascii="黑体" w:eastAsia="黑体"/>
          <w:sz w:val="44"/>
          <w:szCs w:val="44"/>
        </w:rPr>
        <w:t xml:space="preserve">文本</w:t>
      </w:r>
      <w:bookmarkEnd w:id="188"/>
      <w:r/>
      <w:r/>
    </w:p>
    <w:p>
      <w:pPr>
        <w:jc w:val="center"/>
        <w:spacing w:before="145" w:after="145"/>
        <w:rPr>
          <w:rFonts w:hint="eastAsia" w:ascii="宋体" w:hAnsi="宋体"/>
          <w:b/>
          <w:bCs/>
          <w:sz w:val="30"/>
          <w:szCs w:val="20"/>
        </w:rPr>
        <w:outlineLvl w:val="0"/>
      </w:pPr>
      <w:r/>
      <w:bookmarkStart w:id="189" w:name="_Hlt16619369"/>
      <w:r/>
      <w:bookmarkStart w:id="190" w:name="_Toc239690743"/>
      <w:r/>
      <w:bookmarkStart w:id="191" w:name="_Toc16938590"/>
      <w:r/>
      <w:bookmarkStart w:id="192" w:name="_Toc20823346"/>
      <w:r/>
      <w:bookmarkStart w:id="193" w:name="_Hlt16619350"/>
      <w:r/>
      <w:bookmarkStart w:id="194" w:name="_Toc120614244"/>
      <w:r/>
      <w:bookmarkStart w:id="195" w:name="_Toc462564139"/>
      <w:r/>
      <w:bookmarkStart w:id="196" w:name="_Toc479757211"/>
      <w:r/>
      <w:bookmarkEnd w:id="189"/>
      <w:r>
        <w:rPr>
          <w:rFonts w:hint="eastAsia" w:ascii="宋体" w:hAnsi="宋体"/>
          <w:b/>
          <w:sz w:val="30"/>
        </w:rPr>
        <w:t xml:space="preserve">江苏省政府采购合同（服务）（合同编号）</w:t>
      </w:r>
      <w:bookmarkEnd w:id="190"/>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731"/>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31"/>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731"/>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31"/>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1"/>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1"/>
        <w:spacing w:before="120" w:after="120"/>
        <w:rPr>
          <w:rFonts w:hint="eastAsia" w:hAnsi="宋体"/>
          <w:sz w:val="24"/>
          <w:szCs w:val="24"/>
        </w:rPr>
      </w:pPr>
      <w:r>
        <w:rPr>
          <w:rFonts w:hint="eastAsia" w:hAnsi="宋体"/>
          <w:sz w:val="24"/>
          <w:szCs w:val="24"/>
        </w:rPr>
        <w:t xml:space="preserve">1.3 标的数量（规模）：</w:t>
      </w:r>
      <w:r/>
    </w:p>
    <w:p>
      <w:pPr>
        <w:pStyle w:val="731"/>
        <w:spacing w:before="120" w:after="120"/>
        <w:rPr>
          <w:rFonts w:hint="eastAsia" w:hAnsi="宋体"/>
          <w:sz w:val="24"/>
          <w:szCs w:val="24"/>
        </w:rPr>
      </w:pPr>
      <w:r>
        <w:rPr>
          <w:rFonts w:hint="eastAsia" w:hAnsi="宋体"/>
          <w:sz w:val="24"/>
          <w:szCs w:val="24"/>
        </w:rPr>
        <w:t xml:space="preserve">1.4 履行时间（期限）：</w:t>
      </w:r>
      <w:r/>
    </w:p>
    <w:p>
      <w:pPr>
        <w:pStyle w:val="731"/>
        <w:spacing w:before="120" w:after="120"/>
        <w:rPr>
          <w:rFonts w:hint="eastAsia" w:hAnsi="宋体"/>
          <w:sz w:val="24"/>
          <w:szCs w:val="24"/>
        </w:rPr>
      </w:pPr>
      <w:r>
        <w:rPr>
          <w:rFonts w:hint="eastAsia" w:hAnsi="宋体"/>
          <w:sz w:val="24"/>
          <w:szCs w:val="24"/>
        </w:rPr>
        <w:t xml:space="preserve">1.5 履行地点：</w:t>
      </w:r>
      <w:r/>
    </w:p>
    <w:p>
      <w:pPr>
        <w:pStyle w:val="73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31"/>
        <w:spacing w:before="120" w:after="120"/>
        <w:rPr>
          <w:rFonts w:hint="eastAsia" w:hAnsi="宋体"/>
          <w:b/>
          <w:sz w:val="24"/>
          <w:szCs w:val="24"/>
        </w:rPr>
      </w:pPr>
      <w:r>
        <w:rPr>
          <w:rFonts w:hAnsi="宋体"/>
          <w:b/>
          <w:sz w:val="24"/>
          <w:szCs w:val="24"/>
        </w:rPr>
        <w:t xml:space="preserve">二、合同金额</w:t>
      </w:r>
      <w:r/>
    </w:p>
    <w:p>
      <w:pPr>
        <w:pStyle w:val="731"/>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cs="宋体"/>
          <w:sz w:val="24"/>
        </w:rPr>
        <w:t xml:space="preserve">前述费用是完成本项目所有含税费用，支付给员工的工资和国家强制缴纳的各种社会保障资金，以及乙方认为需要的其他费用等。除双方另有约定以外，甲方就本合同不再向乙方支付任何其他款项。</w:t>
      </w:r>
      <w:r/>
    </w:p>
    <w:p>
      <w:pPr>
        <w:pStyle w:val="731"/>
        <w:spacing w:before="120" w:after="120"/>
        <w:rPr>
          <w:rFonts w:hint="eastAsia" w:hAnsi="宋体"/>
          <w:b/>
          <w:sz w:val="24"/>
          <w:szCs w:val="24"/>
        </w:rPr>
      </w:pPr>
      <w:r>
        <w:rPr>
          <w:rFonts w:hAnsi="宋体"/>
          <w:b/>
          <w:sz w:val="24"/>
          <w:szCs w:val="24"/>
        </w:rPr>
        <w:t xml:space="preserve">三、技术资料</w:t>
      </w:r>
      <w:r/>
    </w:p>
    <w:p>
      <w:pPr>
        <w:pStyle w:val="73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31"/>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1"/>
        <w:ind w:left="412" w:hanging="412"/>
        <w:spacing w:before="120" w:after="120"/>
        <w:rPr>
          <w:rFonts w:hint="eastAsia" w:hAnsi="宋体"/>
          <w:b/>
          <w:sz w:val="24"/>
          <w:szCs w:val="24"/>
        </w:rPr>
      </w:pPr>
      <w:r>
        <w:rPr>
          <w:rFonts w:hAnsi="宋体"/>
          <w:b/>
          <w:sz w:val="24"/>
          <w:szCs w:val="24"/>
        </w:rPr>
        <w:t xml:space="preserve">四、知识产权</w:t>
      </w:r>
      <w:r/>
    </w:p>
    <w:p>
      <w:pPr>
        <w:pStyle w:val="73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1"/>
        <w:ind w:left="408" w:hanging="408"/>
        <w:rPr>
          <w:rFonts w:hint="eastAsia"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w:t>
      </w:r>
      <w:r>
        <w:rPr>
          <w:rFonts w:hint="eastAsia" w:hAnsi="宋体"/>
          <w:sz w:val="24"/>
          <w:szCs w:val="24"/>
        </w:rPr>
        <w:t xml:space="preserve">定制开发</w:t>
      </w:r>
      <w:r>
        <w:rPr>
          <w:rFonts w:hAnsi="宋体"/>
          <w:sz w:val="24"/>
          <w:szCs w:val="24"/>
        </w:rPr>
        <w:t xml:space="preserve">软件的使用说明及源程序码等开发成果。</w:t>
      </w:r>
      <w:r/>
    </w:p>
    <w:p>
      <w:pPr>
        <w:pStyle w:val="731"/>
        <w:spacing w:before="120" w:after="120"/>
        <w:rPr>
          <w:rFonts w:hint="eastAsia" w:hAnsi="宋体"/>
          <w:sz w:val="24"/>
          <w:szCs w:val="24"/>
          <w:u w:val="single"/>
        </w:rPr>
      </w:pPr>
      <w:r>
        <w:rPr>
          <w:rFonts w:hAnsi="宋体"/>
          <w:b/>
          <w:sz w:val="24"/>
          <w:szCs w:val="24"/>
        </w:rPr>
        <w:t xml:space="preserve">五、产权担保</w:t>
      </w:r>
      <w:r/>
    </w:p>
    <w:p>
      <w:pPr>
        <w:pStyle w:val="731"/>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w:t>
      </w:r>
      <w:r>
        <w:rPr>
          <w:rFonts w:hAnsi="宋体"/>
          <w:sz w:val="24"/>
          <w:szCs w:val="24"/>
        </w:rPr>
        <w:t xml:space="preserve">何抵押、查封等产权瑕疵。</w:t>
      </w:r>
      <w:r/>
    </w:p>
    <w:p>
      <w:pPr>
        <w:pStyle w:val="731"/>
        <w:ind w:left="410" w:hanging="410"/>
        <w:spacing w:before="120" w:after="120"/>
        <w:rPr>
          <w:rFonts w:hint="eastAsia" w:hAnsi="宋体"/>
          <w:b/>
          <w:sz w:val="24"/>
          <w:szCs w:val="24"/>
        </w:rPr>
      </w:pPr>
      <w:r>
        <w:rPr>
          <w:rFonts w:hAnsi="宋体"/>
          <w:b/>
          <w:sz w:val="24"/>
          <w:szCs w:val="24"/>
        </w:rPr>
        <w:t xml:space="preserve">六、履约保证金</w:t>
      </w:r>
      <w:r/>
    </w:p>
    <w:p>
      <w:pPr>
        <w:pStyle w:val="731"/>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73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31"/>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731"/>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731"/>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731"/>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1"/>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31"/>
        <w:spacing w:before="120" w:after="120"/>
        <w:rPr>
          <w:rFonts w:hint="eastAsia" w:hAnsi="宋体"/>
          <w:sz w:val="24"/>
          <w:szCs w:val="24"/>
          <w:u w:val="single"/>
        </w:rPr>
      </w:pPr>
      <w:r>
        <w:rPr>
          <w:rFonts w:hAnsi="宋体"/>
          <w:sz w:val="24"/>
          <w:szCs w:val="24"/>
          <w:u w:val="single"/>
        </w:rPr>
        <w:t xml:space="preserve">8.1.1 预付款支付时间：合同签订后***日内，预付款支付比例：合同金额的**%。</w:t>
      </w:r>
      <w:r/>
    </w:p>
    <w:p>
      <w:pPr>
        <w:pStyle w:val="731"/>
        <w:spacing w:before="120" w:after="120"/>
        <w:rPr>
          <w:rFonts w:hint="eastAsia" w:hAnsi="宋体"/>
          <w:sz w:val="24"/>
          <w:szCs w:val="24"/>
          <w:u w:val="single"/>
        </w:rPr>
      </w:pPr>
      <w:r>
        <w:rPr>
          <w:rFonts w:hAnsi="宋体"/>
          <w:sz w:val="24"/>
          <w:szCs w:val="24"/>
          <w:u w:val="single"/>
        </w:rPr>
        <w:t xml:space="preserve">8.1.2 尾款支付时间：服务结束并验收合格,采购人收到发票后</w:t>
      </w:r>
      <w:r>
        <w:rPr>
          <w:rFonts w:hint="eastAsia" w:hAnsi="宋体"/>
          <w:sz w:val="24"/>
          <w:szCs w:val="24"/>
          <w:u w:val="single"/>
        </w:rPr>
        <w:t xml:space="preserve">10个工作</w:t>
      </w:r>
      <w:r>
        <w:rPr>
          <w:rFonts w:hAnsi="宋体"/>
          <w:sz w:val="24"/>
          <w:szCs w:val="24"/>
          <w:u w:val="single"/>
        </w:rPr>
        <w:t xml:space="preserve">日内，尾款支付比例：合同金额的**%。</w:t>
      </w:r>
      <w:r/>
    </w:p>
    <w:p>
      <w:pPr>
        <w:spacing w:before="145" w:after="145"/>
        <w:rPr>
          <w:rFonts w:hint="eastAsia" w:ascii="宋体" w:hAnsi="宋体" w:eastAsia="仿宋_GB2312"/>
          <w:b/>
          <w:bCs/>
          <w:sz w:val="24"/>
          <w:szCs w:val="24"/>
        </w:rPr>
      </w:pPr>
      <w:r>
        <w:rPr>
          <w:rFonts w:hint="eastAsia" w:ascii="宋体" w:hAnsi="宋体"/>
          <w:b/>
          <w:sz w:val="24"/>
          <w:szCs w:val="24"/>
        </w:rPr>
        <w:t xml:space="preserve">九、税费</w:t>
      </w:r>
      <w:r/>
    </w:p>
    <w:p>
      <w:pPr>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3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列明各项标准的验收情况及项目总体</w:t>
      </w:r>
      <w:r>
        <w:rPr>
          <w:rFonts w:hint="eastAsia" w:hAnsi="宋体"/>
          <w:sz w:val="24"/>
          <w:szCs w:val="24"/>
        </w:rPr>
        <w:t xml:space="preserve">评价,</w:t>
      </w:r>
      <w:r>
        <w:rPr>
          <w:rFonts w:hint="eastAsia" w:hAnsi="宋体"/>
          <w:sz w:val="24"/>
          <w:szCs w:val="24"/>
        </w:rPr>
        <w:t xml:space="preserve">由验收双方共同签署。验收结果与采购合同约定的资金支付及履约保证金返还条件挂钩。履约验收的各项资料存档备查。</w:t>
      </w:r>
      <w:r/>
    </w:p>
    <w:p>
      <w:pPr>
        <w:pStyle w:val="73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的违法违规情形的,甲方将及时报告本级财政部门。</w:t>
      </w:r>
      <w:r/>
    </w:p>
    <w:p>
      <w:pPr>
        <w:pStyle w:val="73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1"/>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3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3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1"/>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31"/>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1"/>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1"/>
        <w:ind w:firstLine="240"/>
        <w:spacing w:before="120" w:after="120" w:line="0" w:lineRule="atLeast"/>
        <w:rPr>
          <w:rFonts w:hint="eastAsia" w:hAnsi="宋体"/>
          <w:sz w:val="24"/>
          <w:szCs w:val="24"/>
        </w:rPr>
      </w:pPr>
      <w:r>
        <w:rPr>
          <w:rFonts w:hint="eastAsia" w:hAnsi="宋体"/>
          <w:sz w:val="24"/>
          <w:szCs w:val="24"/>
        </w:rPr>
        <w:t xml:space="preserve">联系电话：                    联系电话： </w:t>
      </w:r>
      <w:r/>
    </w:p>
    <w:p>
      <w:pPr>
        <w:pStyle w:val="1035"/>
        <w:jc w:val="right"/>
        <w:spacing w:before="120" w:after="120" w:line="0" w:lineRule="atLeast"/>
        <w:rPr>
          <w:sz w:val="24"/>
          <w:szCs w:val="24"/>
        </w:rPr>
      </w:pPr>
      <w:r>
        <w:rPr>
          <w:sz w:val="24"/>
          <w:szCs w:val="24"/>
        </w:rPr>
      </w:r>
      <w:r/>
    </w:p>
    <w:p>
      <w:pPr>
        <w:pStyle w:val="731"/>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731"/>
        <w:jc w:val="center"/>
        <w:spacing w:before="120" w:after="120" w:line="0" w:lineRule="atLeast"/>
        <w:rPr>
          <w:sz w:val="24"/>
          <w:szCs w:val="24"/>
        </w:rPr>
      </w:pPr>
      <w:r>
        <w:rPr>
          <w:sz w:val="24"/>
          <w:szCs w:val="24"/>
        </w:rPr>
      </w:r>
      <w:r/>
    </w:p>
    <w:p>
      <w:pPr>
        <w:pStyle w:val="731"/>
        <w:jc w:val="center"/>
        <w:spacing w:before="120" w:after="120" w:line="0" w:lineRule="atLeast"/>
        <w:rPr>
          <w:rFonts w:ascii="黑体" w:eastAsia="黑体"/>
          <w:bCs/>
          <w:sz w:val="44"/>
        </w:rPr>
      </w:pPr>
      <w:r>
        <w:rPr>
          <w:rFonts w:ascii="黑体" w:eastAsia="黑体"/>
          <w:bCs/>
          <w:sz w:val="44"/>
        </w:rPr>
        <w:br w:type="page" w:clear="all"/>
      </w:r>
      <w:r/>
    </w:p>
    <w:p>
      <w:pPr>
        <w:pStyle w:val="707"/>
        <w:rPr>
          <w:rFonts w:ascii="黑体" w:eastAsia="黑体"/>
          <w:bCs/>
          <w:sz w:val="44"/>
        </w:rPr>
      </w:pPr>
      <w:r/>
      <w:bookmarkStart w:id="197" w:name="_Toc239690744"/>
      <w:r>
        <w:rPr>
          <w:rFonts w:ascii="黑体" w:eastAsia="黑体"/>
          <w:bCs/>
          <w:sz w:val="44"/>
        </w:rPr>
        <w:t xml:space="preserve">第四章 采购需求</w:t>
      </w:r>
      <w:bookmarkEnd w:id="197"/>
      <w:r/>
      <w:r/>
    </w:p>
    <w:p>
      <w:r/>
      <w:r/>
    </w:p>
    <w:p>
      <w:pPr>
        <w:spacing w:line="440" w:lineRule="exact"/>
        <w:rPr>
          <w:rFonts w:hint="eastAsia" w:ascii="宋体" w:hAnsi="宋体" w:cs="Times New Roman"/>
          <w:bCs/>
          <w:sz w:val="24"/>
          <w:szCs w:val="24"/>
        </w:rPr>
      </w:pPr>
      <w:r/>
      <w:bookmarkStart w:id="198" w:name="OLE_LINK24"/>
      <w:r/>
      <w:bookmarkStart w:id="199" w:name="OLE_LINK25"/>
      <w:r/>
      <w:bookmarkStart w:id="200" w:name="_Toc49090575"/>
      <w:r/>
      <w:bookmarkStart w:id="201" w:name="_Toc120614281"/>
      <w:r/>
      <w:bookmarkStart w:id="202" w:name="_Toc26554093"/>
      <w:r/>
      <w:bookmarkEnd w:id="191"/>
      <w:r/>
      <w:bookmarkEnd w:id="192"/>
      <w:r/>
      <w:bookmarkEnd w:id="193"/>
      <w:r/>
      <w:bookmarkEnd w:id="194"/>
      <w:r>
        <w:rPr>
          <w:rFonts w:ascii="宋体" w:hAnsi="宋体" w:cs="Times New Roman"/>
          <w:sz w:val="24"/>
          <w:szCs w:val="24"/>
        </w:rPr>
        <w:t xml:space="preserve">项目属性:服务类项目。</w:t>
      </w:r>
      <w:r/>
    </w:p>
    <w:p>
      <w:pPr>
        <w:spacing w:line="440" w:lineRule="exact"/>
        <w:rPr>
          <w:rFonts w:hint="eastAsia" w:ascii="宋体" w:hAnsi="宋体" w:cs="Times New Roman"/>
          <w:bCs/>
          <w:sz w:val="24"/>
          <w:szCs w:val="24"/>
        </w:rPr>
      </w:pPr>
      <w:r>
        <w:rPr>
          <w:rFonts w:ascii="宋体" w:hAnsi="宋体" w:cs="Times New Roman"/>
          <w:bCs/>
          <w:sz w:val="24"/>
          <w:szCs w:val="24"/>
        </w:rPr>
        <w:t xml:space="preserve">采购标的清单</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4536"/>
        <w:gridCol w:w="2694"/>
      </w:tblGrid>
      <w:tr>
        <w:trPr>
          <w:cantSplit/>
          <w:trHeight w:val="435"/>
        </w:trPr>
        <w:tc>
          <w:tcPr>
            <w:tcW w:w="1242" w:type="dxa"/>
            <w:vAlign w:val="center"/>
            <w:textDirection w:val="lrTb"/>
            <w:noWrap w:val="false"/>
          </w:tcPr>
          <w:p>
            <w:pPr>
              <w:jc w:val="center"/>
              <w:spacing w:line="0" w:lineRule="atLeast"/>
              <w:rPr>
                <w:rFonts w:hint="eastAsia" w:ascii="宋体" w:hAnsi="宋体" w:cs="Times New Roman"/>
                <w:sz w:val="24"/>
                <w:szCs w:val="24"/>
              </w:rPr>
            </w:pPr>
            <w:r>
              <w:rPr>
                <w:rFonts w:ascii="宋体" w:hAnsi="宋体" w:cs="Times New Roman"/>
                <w:sz w:val="24"/>
                <w:szCs w:val="24"/>
              </w:rPr>
              <w:t xml:space="preserve">采购包</w:t>
            </w:r>
            <w:r/>
          </w:p>
        </w:tc>
        <w:tc>
          <w:tcPr>
            <w:tcW w:w="4536" w:type="dxa"/>
            <w:vAlign w:val="center"/>
            <w:textDirection w:val="lrTb"/>
            <w:noWrap w:val="false"/>
          </w:tcPr>
          <w:p>
            <w:pPr>
              <w:jc w:val="center"/>
              <w:spacing w:line="0" w:lineRule="atLeast"/>
              <w:rPr>
                <w:rFonts w:hint="eastAsia" w:ascii="宋体" w:hAnsi="宋体" w:cs="Times New Roman"/>
                <w:sz w:val="24"/>
                <w:szCs w:val="24"/>
              </w:rPr>
            </w:pPr>
            <w:r>
              <w:rPr>
                <w:rFonts w:ascii="宋体" w:hAnsi="宋体" w:cs="Times New Roman"/>
                <w:sz w:val="24"/>
                <w:szCs w:val="24"/>
              </w:rPr>
              <w:t xml:space="preserve">采购标的</w:t>
            </w:r>
            <w:r/>
          </w:p>
        </w:tc>
        <w:tc>
          <w:tcPr>
            <w:tcW w:w="2694" w:type="dxa"/>
            <w:vAlign w:val="center"/>
            <w:textDirection w:val="lrTb"/>
            <w:noWrap w:val="false"/>
          </w:tcPr>
          <w:p>
            <w:pPr>
              <w:jc w:val="center"/>
              <w:spacing w:line="0" w:lineRule="atLeast"/>
              <w:rPr>
                <w:rFonts w:hint="eastAsia" w:ascii="宋体" w:hAnsi="宋体" w:cs="Times New Roman"/>
                <w:sz w:val="24"/>
                <w:szCs w:val="24"/>
              </w:rPr>
            </w:pPr>
            <w:r>
              <w:rPr>
                <w:rFonts w:ascii="宋体" w:hAnsi="宋体" w:cs="Times New Roman"/>
                <w:sz w:val="24"/>
                <w:szCs w:val="24"/>
              </w:rPr>
              <w:t xml:space="preserve">对应中小企业划分标准所属行业</w:t>
            </w:r>
            <w:r/>
          </w:p>
        </w:tc>
      </w:tr>
      <w:tr>
        <w:trPr>
          <w:cantSplit/>
          <w:trHeight w:val="435"/>
        </w:trPr>
        <w:tc>
          <w:tcPr>
            <w:tcW w:w="1242" w:type="dxa"/>
            <w:vAlign w:val="center"/>
            <w:textDirection w:val="lrTb"/>
            <w:noWrap w:val="false"/>
          </w:tcPr>
          <w:p>
            <w:pPr>
              <w:jc w:val="center"/>
              <w:spacing w:line="0" w:lineRule="atLeast"/>
              <w:rPr>
                <w:rFonts w:hint="eastAsia" w:ascii="宋体" w:hAnsi="宋体" w:cs="Times New Roman"/>
                <w:sz w:val="24"/>
                <w:szCs w:val="24"/>
              </w:rPr>
            </w:pPr>
            <w:r>
              <w:rPr>
                <w:rFonts w:ascii="宋体" w:hAnsi="宋体" w:cs="Times New Roman"/>
                <w:sz w:val="24"/>
                <w:szCs w:val="24"/>
              </w:rPr>
              <w:t xml:space="preserve">1</w:t>
            </w:r>
            <w:r/>
          </w:p>
        </w:tc>
        <w:tc>
          <w:tcPr>
            <w:tcW w:w="4536" w:type="dxa"/>
            <w:vAlign w:val="center"/>
            <w:textDirection w:val="lrTb"/>
            <w:noWrap w:val="false"/>
          </w:tcPr>
          <w:p>
            <w:pPr>
              <w:spacing w:line="0" w:lineRule="atLeast"/>
              <w:tabs>
                <w:tab w:val="left" w:pos="2020" w:leader="none"/>
              </w:tabs>
              <w:rPr>
                <w:rFonts w:hint="eastAsia" w:ascii="宋体" w:hAnsi="宋体" w:cs="Times New Roman"/>
                <w:sz w:val="24"/>
                <w:szCs w:val="24"/>
              </w:rPr>
            </w:pPr>
            <w:r>
              <w:rPr>
                <w:rFonts w:ascii="宋体" w:hAnsi="宋体" w:cs="Times New Roman"/>
                <w:sz w:val="24"/>
                <w:szCs w:val="24"/>
              </w:rPr>
              <w:t xml:space="preserve">江苏省固体废物管理信息系统能力对标提升项目</w:t>
            </w:r>
            <w:r/>
          </w:p>
        </w:tc>
        <w:tc>
          <w:tcPr>
            <w:tcW w:w="2694" w:type="dxa"/>
            <w:vAlign w:val="center"/>
            <w:textDirection w:val="lrTb"/>
            <w:noWrap w:val="false"/>
          </w:tcPr>
          <w:p>
            <w:pPr>
              <w:jc w:val="center"/>
              <w:spacing w:line="0" w:lineRule="atLeast"/>
              <w:rPr>
                <w:rFonts w:hint="eastAsia" w:ascii="宋体" w:hAnsi="宋体" w:cs="Times New Roman"/>
                <w:sz w:val="24"/>
                <w:szCs w:val="24"/>
              </w:rPr>
            </w:pPr>
            <w:r>
              <w:rPr>
                <w:rFonts w:ascii="宋体" w:hAnsi="宋体" w:cs="Times New Roman"/>
                <w:sz w:val="24"/>
                <w:szCs w:val="24"/>
              </w:rPr>
              <w:t xml:space="preserve">软件和信息技术服务业</w:t>
            </w:r>
            <w:r/>
          </w:p>
        </w:tc>
      </w:tr>
    </w:tbl>
    <w:p>
      <w:pPr>
        <w:spacing w:line="440" w:lineRule="exact"/>
        <w:rPr>
          <w:rFonts w:hint="eastAsia" w:ascii="宋体" w:hAnsi="宋体" w:cs="Times New Roman"/>
          <w:sz w:val="24"/>
          <w:szCs w:val="24"/>
        </w:rPr>
      </w:pPr>
      <w:r>
        <w:rPr>
          <w:rFonts w:ascii="宋体" w:hAnsi="宋体" w:cs="Times New Roman"/>
          <w:sz w:val="24"/>
          <w:szCs w:val="24"/>
        </w:rPr>
        <w:t xml:space="preserve">进口产品参与投标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2"/>
        <w:gridCol w:w="7216"/>
      </w:tblGrid>
      <w:tr>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采购包号</w:t>
            </w:r>
            <w:r/>
          </w:p>
        </w:tc>
        <w:tc>
          <w:tcPr>
            <w:tcW w:w="7216"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是否接受进口产品参与投标</w:t>
            </w:r>
            <w:r/>
          </w:p>
          <w:p>
            <w:pPr>
              <w:jc w:val="center"/>
              <w:rPr>
                <w:rFonts w:hint="eastAsia" w:ascii="宋体" w:hAnsi="宋体" w:cs="Times New Roman"/>
                <w:sz w:val="24"/>
                <w:szCs w:val="24"/>
              </w:rPr>
            </w:pPr>
            <w:r>
              <w:rPr>
                <w:rFonts w:ascii="宋体" w:hAnsi="宋体" w:cs="Times New Roman"/>
                <w:sz w:val="24"/>
                <w:szCs w:val="24"/>
              </w:rPr>
              <w:t xml:space="preserve">（是/否）</w:t>
            </w:r>
            <w:r/>
          </w:p>
        </w:tc>
      </w:tr>
      <w:tr>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1</w:t>
            </w:r>
            <w:r/>
          </w:p>
        </w:tc>
        <w:tc>
          <w:tcPr>
            <w:tcW w:w="7216"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否</w:t>
            </w:r>
            <w:r/>
          </w:p>
        </w:tc>
      </w:tr>
    </w:tbl>
    <w:p>
      <w:pPr>
        <w:spacing w:line="0" w:lineRule="atLeast"/>
        <w:rPr>
          <w:rFonts w:hint="eastAsia" w:ascii="宋体" w:hAnsi="宋体" w:cs="Times New Roman"/>
          <w:b/>
          <w:color w:val="000000"/>
          <w:sz w:val="24"/>
          <w:szCs w:val="24"/>
        </w:rPr>
      </w:pPr>
      <w:r>
        <w:rPr>
          <w:rFonts w:hint="eastAsia" w:ascii="宋体" w:hAnsi="宋体" w:cs="Times New Roman"/>
          <w:b/>
          <w:color w:val="000000"/>
          <w:sz w:val="24"/>
          <w:szCs w:val="24"/>
        </w:rPr>
      </w:r>
      <w:r/>
    </w:p>
    <w:p>
      <w:pPr>
        <w:numPr>
          <w:ilvl w:val="0"/>
          <w:numId w:val="7"/>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项目背景</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为全面落实党的二十大、二十届三中全会及全国生态环境保护大会精神，生态环境部印发专项指导意见，明确以严密防控危险废物环境风险为核心，以全过程信息化监管、严控填埋处置规模为重要抓手，持续提升危废环境监管效能，优化资源化、无害化处置路径，坚决守牢危险废物生态环境安全底线。</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2025年</w:t>
      </w:r>
      <w:r>
        <w:rPr>
          <w:rFonts w:ascii="宋体" w:hAnsi="宋体" w:cs="Times New Roman"/>
          <w:sz w:val="24"/>
          <w:szCs w:val="24"/>
        </w:rPr>
        <w:t xml:space="preserve">7月，江苏省获批全国危险废物全过程环境管理信息系统（以下简称国家危废系统）建设试点省份，重点承担三项核心试点任务，即规范完善全省危废全过程管理流程、落地危废“五即”规范化管控与“一码贯通”全生命周期追溯机制、结合省内管理实际优化省级自建系统配套功能。同年10月，生态环境部固体废物与化学品司召开专项联调对接会议，明确国家危废系统建设阶段性成果，划定省级系统数据归集、功能改造、物联网设备联调安装等关键时间节点，要求2025年底前全面完成系统对接、终端部署和联网运行，实现危险废物数据实时采集、全程溯源、动态管控。</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2026年7月，生态环境部、国家发展改革委、工业和信息化部、住房城乡建设部、农业农村部、商务部联合印发《固体废物污染防治“十五五”规划》，要求“以有效防控固体废物全过程生态环境风险为目标，统筹推进重点攻坚和系统治理，紧盯重点领域、重点地区、重点问题，扎实推动固体废物环境污染隐患排查整治，加快补齐短板弱项，持续强化固体废物全链条监管”。</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当前，全省固废智慧监管建设任务明确、标准严苛、落地要求紧迫。现有固废管理系统存在国家统一标准适配不足、一般工业固废数字化监管覆盖不全、智能研判能力薄弱、跨区域数据协同不畅等突出问题，传统人工台账、线下审核、分散管控的管理模式，已无法适配新形势下固废风险防控、无废城市建设、长三角协同治理及AI</w:t>
      </w:r>
      <w:r>
        <w:rPr>
          <w:rFonts w:ascii="宋体" w:hAnsi="宋体" w:cs="Times New Roman"/>
          <w:sz w:val="24"/>
          <w:szCs w:val="24"/>
        </w:rPr>
        <w:t xml:space="preserve">赋能生态治理的刚性工作要求。</w:t>
      </w:r>
      <w:r/>
    </w:p>
    <w:p>
      <w:pPr>
        <w:numPr>
          <w:ilvl w:val="0"/>
          <w:numId w:val="7"/>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建设目标</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全面对标落实国家及省级固废治理新规要求，补齐传统监管短板，盘活存量智能终端资源、杜绝重复建设，持续优化涉废营商环境、减轻基层监管压力、严密防控固废非法倾倒等环境风险，打通标准化管控、跨区域协同、智能化治理壁垒，通过本项目建设，构建标准统一、全程可溯、智能预警、协同高效的固废智慧监管体系，以数字化赋能全省固体废物规范化、精细化、智能化管理，筑牢区域生态环境安全底线，全面提升全省固废治理体系和治理能力现代化水平。</w:t>
      </w:r>
      <w:r/>
    </w:p>
    <w:p>
      <w:pPr>
        <w:numPr>
          <w:ilvl w:val="0"/>
          <w:numId w:val="7"/>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建设内容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（一）危险废物全生命周期规范应用提升</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1、危险废物管理优化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以危险废物“五即”规范化、“一码贯通”全流程追溯为核心，紧跟国家危废管理制度及国家危废系统更新迭代节奏，同步优化江苏省固体废物管理信息系统（以下简称省固废系统）业务逻辑、补齐监管短板；持续深化与国家危废系统数据对接互通，全域归集全省危废全生命周期数据，构建省级危险废物监管“一本账”，赋能属地精准高效环境监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（1）危险废物全过程管理功能优化（电脑端）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①省生态环境智慧监管平台危废大屏改造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搭建危险废物管理数字工作矩阵应用，从区域监控（宏观）、企业监控（微观）两个层面全景展示全省危险废物产生、转移及利用处置全流程态势。</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②涉废单位全过程管理与工作界面优化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●审核“我的待办”扩充优化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优化工作台“我的待办”模块，扩容固废业务审核场景，新增企业固体废物库存调整、业务冻结申请两类审核事项。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●涉废单位销号归档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完善涉废单位全过程管理，增设销号弹窗校验、厂区固废核查相关填报功能，涉废单位销号归档需两级系统管理员确认后方可生效。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●新增虚拟标签全过程对接</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根据国家危废系统《智能称重设备接口文档》</w:t>
      </w:r>
      <w:r>
        <w:rPr>
          <w:rFonts w:hint="eastAsia" w:ascii="宋体" w:hAnsi="宋体" w:cs="Times New Roman"/>
          <w:sz w:val="24"/>
          <w:szCs w:val="24"/>
        </w:rPr>
        <w:t xml:space="preserve">（</w:t>
      </w:r>
      <w:r>
        <w:rPr>
          <w:rFonts w:ascii="宋体" w:hAnsi="宋体" w:cs="Times New Roman"/>
          <w:sz w:val="24"/>
          <w:szCs w:val="24"/>
        </w:rPr>
        <w:t xml:space="preserve">https://docs.cswm.org.cn/iot/</w:t>
      </w:r>
      <w:r>
        <w:rPr>
          <w:rFonts w:hint="eastAsia" w:ascii="宋体" w:hAnsi="宋体" w:cs="Times New Roman"/>
          <w:sz w:val="24"/>
          <w:szCs w:val="24"/>
        </w:rPr>
        <w:t xml:space="preserve">）</w:t>
      </w:r>
      <w:r>
        <w:rPr>
          <w:rFonts w:hint="eastAsia" w:ascii="宋体" w:hAnsi="宋体" w:cs="Times New Roman"/>
          <w:sz w:val="24"/>
          <w:szCs w:val="24"/>
        </w:rPr>
        <w:t xml:space="preserve">以及</w:t>
      </w:r>
      <w:r>
        <w:rPr>
          <w:rFonts w:hint="eastAsia" w:ascii="宋体" w:hAnsi="宋体" w:cs="Times New Roman"/>
          <w:sz w:val="24"/>
          <w:szCs w:val="24"/>
        </w:rPr>
        <w:t xml:space="preserve">《</w:t>
      </w:r>
      <w:r>
        <w:rPr>
          <w:rFonts w:ascii="宋体" w:hAnsi="宋体" w:cs="Times New Roman"/>
          <w:sz w:val="24"/>
          <w:szCs w:val="24"/>
        </w:rPr>
        <w:t xml:space="preserve">江苏省固体废物管理信息系统物联网智能终端一点多传接口说明</w:t>
      </w:r>
      <w:r>
        <w:rPr>
          <w:rFonts w:hint="eastAsia" w:ascii="宋体" w:hAnsi="宋体" w:cs="Times New Roman"/>
          <w:sz w:val="24"/>
          <w:szCs w:val="24"/>
        </w:rPr>
        <w:t xml:space="preserve">》（</w:t>
      </w:r>
      <w:r>
        <w:rPr>
          <w:rFonts w:ascii="宋体" w:hAnsi="宋体" w:cs="Times New Roman"/>
          <w:sz w:val="24"/>
          <w:szCs w:val="24"/>
        </w:rPr>
        <w:t xml:space="preserve">http:</w:t>
      </w:r>
      <w:r>
        <w:rPr>
          <w:rFonts w:ascii="宋体" w:hAnsi="宋体" w:cs="Times New Roman"/>
          <w:sz w:val="24"/>
          <w:szCs w:val="24"/>
        </w:rPr>
        <w:t xml:space="preserve">//ywxt.sthjt.jiangsu.gov.cn:18181/solid-waste/main/view/index/lawDetail.ht</w:t>
      </w:r>
      <w:r>
        <w:rPr>
          <w:rFonts w:ascii="宋体" w:hAnsi="宋体" w:cs="Times New Roman"/>
          <w:sz w:val="24"/>
          <w:szCs w:val="24"/>
        </w:rPr>
        <w:t xml:space="preserve">ml?id=cd9501ad0205444cad7a69e65452f26a</w:t>
      </w:r>
      <w:r>
        <w:rPr>
          <w:rFonts w:hint="eastAsia" w:ascii="宋体" w:hAnsi="宋体" w:cs="Times New Roman"/>
          <w:sz w:val="24"/>
          <w:szCs w:val="24"/>
        </w:rPr>
        <w:t xml:space="preserve">）</w:t>
      </w:r>
      <w:r>
        <w:rPr>
          <w:rFonts w:ascii="宋体" w:hAnsi="宋体" w:cs="Times New Roman"/>
          <w:sz w:val="24"/>
          <w:szCs w:val="24"/>
        </w:rPr>
        <w:t xml:space="preserve">，开展省固废系统物联网对接功能改造。针对无包装危废启用虚拟标签管理，依托先入先出规则生成数字识别码，实现与</w:t>
      </w:r>
      <w:r>
        <w:rPr>
          <w:rFonts w:hint="eastAsia" w:ascii="宋体" w:hAnsi="宋体" w:cs="Times New Roman"/>
          <w:sz w:val="24"/>
          <w:szCs w:val="24"/>
        </w:rPr>
        <w:t xml:space="preserve">国家</w:t>
      </w:r>
      <w:r>
        <w:rPr>
          <w:rFonts w:ascii="宋体" w:hAnsi="宋体" w:cs="Times New Roman"/>
          <w:sz w:val="24"/>
          <w:szCs w:val="24"/>
        </w:rPr>
        <w:t xml:space="preserve">危废系统数据对接。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●新增物联网智能终端校验接口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新增物联网前置校验流程，为规范危废智能终端联网上报数据质量；搭建虚拟标签配套业务接口，限定无包装危废适用场景，打通虚拟标签物联网业务省级数据自动回流通道。</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●新增政府申报对接</w:t>
      </w:r>
      <w:r/>
    </w:p>
    <w:p>
      <w:pPr>
        <w:ind w:firstLine="480"/>
        <w:spacing w:line="440" w:lineRule="exact"/>
        <w:rPr>
          <w:rFonts w:hint="eastAsia" w:ascii="宋体" w:hAnsi="宋体" w:cs="Times New Roman"/>
          <w:sz w:val="24"/>
          <w:szCs w:val="24"/>
        </w:rPr>
      </w:pPr>
      <w:r>
        <w:rPr>
          <w:rFonts w:hint="eastAsia" w:ascii="宋体" w:hAnsi="宋体" w:cs="Times New Roman"/>
          <w:sz w:val="24"/>
          <w:szCs w:val="24"/>
        </w:rPr>
        <w:t xml:space="preserve">依据国家危废系统</w:t>
      </w:r>
      <w:r>
        <w:rPr>
          <w:rFonts w:hint="eastAsia" w:ascii="宋体" w:hAnsi="宋体" w:cs="Times New Roman"/>
          <w:sz w:val="24"/>
          <w:szCs w:val="24"/>
        </w:rPr>
        <w:t xml:space="preserve">对接</w:t>
      </w:r>
      <w:r>
        <w:rPr>
          <w:rFonts w:hint="eastAsia" w:ascii="宋体" w:hAnsi="宋体" w:cs="Times New Roman"/>
          <w:sz w:val="24"/>
          <w:szCs w:val="24"/>
        </w:rPr>
        <w:t xml:space="preserve">规范</w:t>
      </w:r>
      <w:r>
        <w:rPr>
          <w:rFonts w:hint="eastAsia" w:ascii="宋体" w:hAnsi="宋体" w:cs="Times New Roman"/>
          <w:sz w:val="24"/>
          <w:szCs w:val="24"/>
        </w:rPr>
        <w:t xml:space="preserve">（</w:t>
      </w:r>
      <w:hyperlink r:id="rId12" w:tooltip="https://docs.cswm.org.cn/http/" w:history="1">
        <w:r>
          <w:rPr>
            <w:rStyle w:val="760"/>
            <w:rFonts w:ascii="宋体" w:hAnsi="宋体" w:cs="Times New Roman"/>
            <w:sz w:val="24"/>
            <w:szCs w:val="24"/>
          </w:rPr>
          <w:t xml:space="preserve">https://docs.cswm.org.cn/http/</w:t>
        </w:r>
      </w:hyperlink>
      <w:r>
        <w:rPr>
          <w:rFonts w:hint="eastAsia" w:ascii="宋体" w:hAnsi="宋体" w:cs="Times New Roman"/>
          <w:sz w:val="24"/>
          <w:szCs w:val="24"/>
        </w:rPr>
        <w:t xml:space="preserve">详见</w:t>
      </w:r>
      <w:r>
        <w:rPr>
          <w:rFonts w:hint="eastAsia" w:ascii="宋体" w:hAnsi="宋体" w:cs="Times New Roman"/>
          <w:sz w:val="24"/>
          <w:szCs w:val="24"/>
        </w:rPr>
        <w:t xml:space="preserve">“14.政府申报”</w:t>
      </w:r>
      <w:r>
        <w:rPr>
          <w:rFonts w:hint="eastAsia" w:ascii="宋体" w:hAnsi="宋体" w:cs="Times New Roman"/>
          <w:sz w:val="24"/>
          <w:szCs w:val="24"/>
        </w:rPr>
        <w:t xml:space="preserve">）</w:t>
      </w:r>
      <w:r>
        <w:rPr>
          <w:rFonts w:ascii="宋体" w:hAnsi="宋体" w:cs="Times New Roman"/>
          <w:sz w:val="24"/>
          <w:szCs w:val="24"/>
        </w:rPr>
        <w:t xml:space="preserve">，</w:t>
      </w:r>
      <w:r>
        <w:rPr>
          <w:rFonts w:ascii="宋体" w:hAnsi="宋体" w:cs="Times New Roman"/>
          <w:sz w:val="24"/>
          <w:szCs w:val="24"/>
        </w:rPr>
        <w:t xml:space="preserve">完成省固废系统政府代申报全业务流程与国家危废系统互联互通。同时，配套新增政府代申报协商、退单退货业务能力。</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●新增经营单位按量处置对接</w:t>
      </w:r>
      <w:r/>
    </w:p>
    <w:p>
      <w:pPr>
        <w:ind w:firstLine="480"/>
        <w:spacing w:line="440" w:lineRule="exact"/>
        <w:rPr>
          <w:rFonts w:hint="eastAsia" w:ascii="宋体" w:hAnsi="宋体" w:cs="Times New Roman"/>
          <w:sz w:val="24"/>
          <w:szCs w:val="24"/>
        </w:rPr>
      </w:pPr>
      <w:r>
        <w:rPr>
          <w:rFonts w:hint="eastAsia" w:ascii="宋体" w:hAnsi="宋体" w:cs="Times New Roman"/>
          <w:sz w:val="24"/>
          <w:szCs w:val="24"/>
        </w:rPr>
        <w:t xml:space="preserve">依据国家危废系统对接规范</w:t>
      </w:r>
      <w:r>
        <w:rPr>
          <w:rFonts w:hint="eastAsia" w:ascii="宋体" w:hAnsi="宋体" w:cs="Times New Roman"/>
          <w:sz w:val="24"/>
          <w:szCs w:val="24"/>
        </w:rPr>
        <w:t xml:space="preserve">（</w:t>
      </w:r>
      <w:r>
        <w:rPr>
          <w:rFonts w:ascii="宋体" w:hAnsi="宋体" w:cs="Times New Roman"/>
          <w:sz w:val="24"/>
          <w:szCs w:val="24"/>
        </w:rPr>
        <w:t xml:space="preserve">https://docs.cswm.org.cn/http/</w:t>
      </w:r>
      <w:r>
        <w:rPr>
          <w:rFonts w:hint="eastAsia" w:ascii="宋体" w:hAnsi="宋体" w:cs="Times New Roman"/>
          <w:sz w:val="24"/>
          <w:szCs w:val="24"/>
        </w:rPr>
        <w:t xml:space="preserve">详见“5.6利用/处置申报”）</w:t>
      </w:r>
      <w:r>
        <w:rPr>
          <w:rFonts w:ascii="宋体" w:hAnsi="宋体" w:cs="Times New Roman"/>
          <w:sz w:val="24"/>
          <w:szCs w:val="24"/>
        </w:rPr>
        <w:t xml:space="preserve">，在省固废系统增设经营单位预处理记录、经营台账的按量处置填报模块。终端配套部署逻辑校验与数据回流功能，延续本省现有校验标准，严格核对处置方式一致性。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③其他危废管理功能优化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●优化涉废单位暂停功能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系统按年度自动校验涉废单位申报数据，对长期无业务申报主体自动关停申报权限，实现存量涉废主体常态化动态清理。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●新增零申报功能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增设零申报业务模块，由涉废单位自主提交零申报材料；完成零申报的单位，不再纳入“近一年内未申报数据”管控统计范围。</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●新增超期贮存管控功能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针对经营单位危废超期贮存风险实施刚性管控，转移联单环节拦截预警，同时限定同类废物延期贮存仅可申请一次、有效期半年。</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●新增填埋场封场申报功能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新增终止危废经营业务类型并与经营业务互斥，严格校验历史库存，完成备案后单位管理模式切换为产废单位管理标准。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●优化经营单位预处理记录申报功能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细化处置量统计指标，规范出库先入先出、整批处置规则，完善豁免处置设施绑</w:t>
      </w:r>
      <w:r>
        <w:rPr>
          <w:rFonts w:ascii="宋体" w:hAnsi="宋体" w:cs="Times New Roman"/>
          <w:sz w:val="24"/>
          <w:szCs w:val="24"/>
        </w:rPr>
        <w:t xml:space="preserve">定要求，实现物联网台账数据自动归集回流。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●新增政府代为申报库存功能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开放生态环境部门政府代申报通道，经市级审核授权后可接管企业完成存量废物申报，库存清零后同步办理涉废单位销号注销。</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●调整实体包装标签重量管控规则</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对标国家危废系统要求，优化标签重量阈值管控，明确有容器包装危废单次产生上限5吨并覆盖全业务场景，无包装废物不受该限值约束。</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●新增管理部门代为清理库存功能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建立涉废单位库存清理白名单，监管部门按层级复核完成存量清零，操作全程留痕可溯源，变更数据同步推送至国家危废系统。</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●优化自行利用处置设施申报功能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自建处置设施信息实行区县初审、市级终审两级审核，审核通过后方可上报国家危废系统，设施停用变更同样履行两级审批并同步更新国家危废系统数据。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●优化豁免利用处置单位资质申报功能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豁免利用处置资质办理、资质终止实行属地与市级逐级审核，终审通过后自动更新资质信息并同步推送至国家危废系统。</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（2）危险废物全过程管理功能优化（移动端）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①企业“环保脸谱”APP集成改造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开展企业“环保脸谱”APP集成改造，面向产废单位、经营单位、豁免处置单位和政府部门四类主体整合扫码申报、库存管理、联单流转、危废处置全流程功能，满足危废 “一码贯通” 管控要求。</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②离线扫码申报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新增离线扫码申报能力，区分产废、经营单位配置差异化离线业务功能，断网作业数据重新联网后可自动同步，保障现场申报连续稳定。</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③新建转移即扫码管理模块</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搭建转移即扫码管控体系，区分包装危废、无包装液态危废实施差异化核验，覆盖各类特殊转移场景，构建危废转出交接电子化闭环监管。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④新建接受即核码管理模块</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落实国家“接受即核码”要求，建立扫码比对、异常拦截标准化机制，结合 GPS 轨迹开展风险核验，实现危废进厂接收信息精准校验、异常分级处置、信息多方互通。</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⑤新建利用处置即销码管理模块</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搭建处置即销码全流程管控体系，分类完善包装、液态危废扫码销码规则，建立二维码生命周期管控机制，联动资质核验补齐末端处置监管短板，达成危废全生命周期追溯闭环。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（3）审批流程优化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①升级经营许可证备案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优化危废经营许可备案管理，规范年度核准规模申报与线下发证备案流程，同步完善许可暂停信息公示机制，强化许可备案主体与事项信息校验管控。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②跨省转入、转出审批事项拆分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优化审批系统权限管控逻辑，拆分跨省危废转入、转出业务审批权限，分离两类事项待办入口，实现账号权责隔离，办理跨省转出业务的账号不可审核转入申请，办理跨省转入业务的账号不可审核转出申请。</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③审批许可证发证流程变更</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●优化经营许可证首次发证、换证审批流程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重构危废经营许可证首证、换证分级审批流程，落实属地核查整改、省级技术评估、处室终审的多层级办理机制，规范各环节材料审核与退回管理流程。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●优化许可变更审批流程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删减固体处组织会审环节，将原固管中心技术评估统一调整为固管中心初审，审核工作内容保持不变。</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（4）豁免功能改造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对照2021版、2025版危险废物豁免管理清单变更对照表开展系统功能迭代，同步更新清单内豁免类别、管控要求、适用条件等相关校验规则，完善企业申报、台账管理、数据报送等关联模块适配调整，保障豁免类危废业务线上办理合规准确。主要改造功能包括改造运输豁免、改造利用处置豁免资质申报、利用处置豁免资质信息补录、豁免资质申报限制等内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（5）提醒预警与工单管理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①企业停产暂停预警工况管理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建立企业停产工况预警启停机制，由属地监管部门管控预警开关，停产期间暂停工况异常预警推送，复产之后恢复常态化预警。</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②新增报送数据校验规则</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对标国家危废系统要求增设实时数据校验逻辑，对申报数据格式、完整性、逻辑一致性自动核查并提醒企业整改。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③新增“一码贯通”扫码异常规则</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围绕危废一码贯通管理构建多场景扫码异常判定机制，识别标签不符、轨迹偏离、重复扫码等问题并推送整改通知。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④新增固废监管电子工单管理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搭建固废监管电子工单闭环处置体系，归集各级预警线索自动生成整改工单，任务线上流转核查，违法线索同步推送执法系统。</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（6）配套国家危废系统迭代升级开展联网数据报送改造</w:t>
      </w:r>
      <w:r/>
    </w:p>
    <w:p>
      <w:pPr>
        <w:numPr>
          <w:ilvl w:val="0"/>
          <w:numId w:val="8"/>
        </w:numPr>
        <w:spacing w:line="440" w:lineRule="exact"/>
        <w:rPr>
          <w:rFonts w:hint="eastAsia" w:ascii="宋体" w:hAnsi="宋体" w:cs="Times New Roman"/>
          <w:sz w:val="24"/>
          <w:szCs w:val="24"/>
        </w:rPr>
      </w:pPr>
      <w:r>
        <w:rPr>
          <w:rFonts w:ascii="宋体" w:hAnsi="宋体" w:cs="Times New Roman"/>
          <w:sz w:val="24"/>
          <w:szCs w:val="24"/>
        </w:rPr>
        <w:t xml:space="preserve">完善“一码贯通”联网报送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升级 “一码贯通” 模块，实现扫码、核码、销码核心数据标准化上报国家危废系统，打通跨省危废流转数据双向回流通道，分级推送各类异常预警，整改信息闭环回传国家危废系统。</w:t>
      </w:r>
      <w:r/>
    </w:p>
    <w:p>
      <w:pPr>
        <w:numPr>
          <w:ilvl w:val="0"/>
          <w:numId w:val="8"/>
        </w:numPr>
        <w:spacing w:line="440" w:lineRule="exact"/>
        <w:rPr>
          <w:rFonts w:hint="eastAsia" w:ascii="宋体" w:hAnsi="宋体" w:cs="Times New Roman"/>
          <w:sz w:val="24"/>
          <w:szCs w:val="24"/>
        </w:rPr>
      </w:pPr>
      <w:r>
        <w:rPr>
          <w:rFonts w:ascii="宋体" w:hAnsi="宋体" w:cs="Times New Roman"/>
          <w:sz w:val="24"/>
          <w:szCs w:val="24"/>
        </w:rPr>
        <w:t xml:space="preserve">增小微收集管理联网报送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实现小微产废单位、小微收集单位基础档案、转移联单、电子台账等全量信息</w:t>
      </w:r>
      <w:bookmarkStart w:id="203" w:name="OLE_LINK1"/>
      <w:r>
        <w:rPr>
          <w:rFonts w:ascii="宋体" w:hAnsi="宋体" w:cs="Times New Roman"/>
          <w:sz w:val="24"/>
          <w:szCs w:val="24"/>
        </w:rPr>
        <w:t xml:space="preserve">向国家危废系统联网报送</w:t>
      </w:r>
      <w:bookmarkEnd w:id="203"/>
      <w:r>
        <w:rPr>
          <w:rFonts w:ascii="宋体" w:hAnsi="宋体" w:cs="Times New Roman"/>
          <w:sz w:val="24"/>
          <w:szCs w:val="24"/>
        </w:rPr>
        <w:t xml:space="preserve">。</w:t>
      </w:r>
      <w:r/>
    </w:p>
    <w:p>
      <w:pPr>
        <w:numPr>
          <w:ilvl w:val="0"/>
          <w:numId w:val="8"/>
        </w:numPr>
        <w:spacing w:line="440" w:lineRule="exact"/>
        <w:rPr>
          <w:rFonts w:hint="eastAsia" w:ascii="宋体" w:hAnsi="宋体" w:cs="Times New Roman"/>
          <w:sz w:val="24"/>
          <w:szCs w:val="24"/>
        </w:rPr>
      </w:pPr>
      <w:r>
        <w:rPr>
          <w:rFonts w:ascii="宋体" w:hAnsi="宋体" w:cs="Times New Roman"/>
          <w:sz w:val="24"/>
          <w:szCs w:val="24"/>
        </w:rPr>
        <w:t xml:space="preserve">增医疗废物联网报送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实现医疗废物产废、收集、处置单位基础信息、专属转移联单、电子台账等信息向国家危废系统联网报送。</w:t>
      </w:r>
      <w:r/>
    </w:p>
    <w:p>
      <w:pPr>
        <w:numPr>
          <w:ilvl w:val="0"/>
          <w:numId w:val="8"/>
        </w:numPr>
        <w:spacing w:line="440" w:lineRule="exact"/>
        <w:rPr>
          <w:rFonts w:hint="eastAsia" w:ascii="宋体" w:hAnsi="宋体" w:cs="Times New Roman"/>
          <w:sz w:val="24"/>
          <w:szCs w:val="24"/>
        </w:rPr>
      </w:pPr>
      <w:r>
        <w:rPr>
          <w:rFonts w:ascii="宋体" w:hAnsi="宋体" w:cs="Times New Roman"/>
          <w:sz w:val="24"/>
          <w:szCs w:val="24"/>
        </w:rPr>
        <w:t xml:space="preserve">国家危废系统数据互通规范化提升</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全面对标国家危废系统规范统一数据标准，补齐各类业务必填字段，搭建专用双向传输通道，严控数据同步时延，并按照法规要求明确不同类型业务数据归档留存时限。</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2、其他危险废物管理应用完善</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（1）废铅蓄电池管理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适配全省废铅蓄电池集中收集跨区域转运试点工作，完善试点单位与转运点绑定管理、数据查询功能，健全线上管控体系，实现试点单位三级回收体系信息化系统与省固废系统对接，保障试点业务规范稳定运行。</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（2）医疗废物管理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搭建与江苏省卫健委医疗废物监管平台的数据对接通道，同步归集医疗机构基础档案与医疗废物日流转台账两类核心数据并配套可视化展示功能。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（3）尾矿产生单位管理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新增尾矿产生单位专项管理模块，支持企业自查整改线上备案申报，同步为监管</w:t>
      </w:r>
      <w:r>
        <w:rPr>
          <w:rFonts w:ascii="宋体" w:hAnsi="宋体" w:cs="Times New Roman"/>
          <w:sz w:val="24"/>
          <w:szCs w:val="24"/>
        </w:rPr>
        <w:t xml:space="preserve">端配置多类尾矿统计分析功能，落实尾矿排查整治管控要求。</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（4）重金属管理应用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搭建重金属污染管控应用，依托项目库、收储库、存量指标库三库协同管理，规范涉重行业总量管控与指标配置，实现重金属全流程污染防治精细化管理。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（5）化学物质调查应用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依据全省新污染物治理要求，搭建化学品年度调查申报应用，支撑企业全品类化学品信息填报，配套台账与进度统计功能，摸清全省化学品管控底数。</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w:t>
      </w:r>
      <w:bookmarkStart w:id="204" w:name="OLE_LINK62"/>
      <w:r>
        <w:rPr>
          <w:rFonts w:ascii="宋体" w:hAnsi="宋体" w:cs="Times New Roman"/>
          <w:sz w:val="24"/>
          <w:szCs w:val="24"/>
        </w:rPr>
        <w:t xml:space="preserve">小量收集数据质量校验能力提升</w:t>
      </w:r>
      <w:bookmarkEnd w:id="204"/>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（1）危险废物小微收集数据质量校验能力提升</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小微收集主体接入范围持续扩大的监管需求，迭代优化小微收集平台数据对接方案及配套接口，全面落地数据逻辑校验规则，提升源头数据精准度。主要包括信息上报接口改造、省固废系统废物基本信息同步改造、信息数据确认、信息更新接口改造、历史数据批量处理、更新分级分类等。</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（2）小量一般工业固废收集数据完善</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推进小量工业固废收集数据对接，实现省固废系统归集小量工业产废单位基础信息、固废申报、贮存设施、转移联单等全量业务数据，持续强化全流程数据校验管控能力。主要包括一般工业固废基础信息下发、小量一般工业固废业务上报等。</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4、省危险废物许可证电子证照对接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按照全省公共数据攻坚行动方案要求，实施危废经营许可证电子证照对接改造，完成存量及新发证照统一签发通道对接，证照变更、备案换证流程自动联动更新电子证照信息。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（二）危险废物数据智能化场景运用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1、固体废物日常监管智能助手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（1）危险废物经营许可证辅助审批</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搭建纳入省级审批的危废经营许核发事项，新建辅助核发智能助手，通过自动解析申报材料、研判合规性，实现许可审批标准化、全流程留痕可追溯。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（2）危险废物跨省转移商请辅助审核</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运用AI多模态解析与智能比对技术，自动校验跨省转移申报信息、企业资质及材料合规性，智能生成审核意见与制式函件</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（3）一般工业固废跨省转入备案辅助审核</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依托智能算法自动抓取备案全量信息并交叉核验，联动校验接收单位资质与处置</w:t>
      </w:r>
      <w:r>
        <w:rPr>
          <w:rFonts w:ascii="宋体" w:hAnsi="宋体" w:cs="Times New Roman"/>
          <w:sz w:val="24"/>
          <w:szCs w:val="24"/>
        </w:rPr>
        <w:t xml:space="preserve">能力，AI智能研判并生成审核结论及操作指引，实现工业固废跨省转入备案审核自动化、精准化。建设一般工业固废跨省转入备案辅助审核能力，审核分析过程可视化，审核流程、引用审核规则、材料比对差异全程留痕可追溯，便于问题定位。单件辅助意见出具时限不超过 3 分钟，系统试运行后新受理事项预审覆盖率</w:t>
      </w:r>
      <w:r>
        <w:rPr>
          <w:rFonts w:hint="eastAsia" w:ascii="宋体" w:hAnsi="宋体" w:cs="Times New Roman"/>
          <w:sz w:val="24"/>
          <w:szCs w:val="24"/>
        </w:rPr>
        <w:t xml:space="preserve">不低于95</w:t>
      </w:r>
      <w:r>
        <w:rPr>
          <w:rFonts w:ascii="宋体" w:hAnsi="宋体" w:cs="Times New Roman"/>
          <w:sz w:val="24"/>
          <w:szCs w:val="24"/>
        </w:rPr>
        <w:t xml:space="preserve">%。</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（4）一般工业固废收集处置资质辅助审核</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通过智能解析技术提取环评批复核心参数，与企业资质申请信息自动比对校验，精准识别填报差异并输出审核结论、补正指引，替代人工核验模式。</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2、固体废物智能客服</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提供智能客服“拟人化”交互服务，提升企业服务水平，减轻业务人员负担。</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（1）固废知识语料梳理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开展固废监管知识语料梳理，覆盖国家、省级、长三角固废监管政策并标注重点条款、建立版本台账，萃取高频咨询问题并标准化答复，搭建专业术语词库与同义词体系，配套问答模板与拟人化兜底答复能力；完成智能客服业务逻辑与提示词工程搭建，精准识别用户意图，支持复杂业务多轮对话，明确知识边界，规范应答口径、兜底机制及人工转接流程。</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依托省生态监控中心人工智能能力底座，构建固废监管知识库，服务危险废物数据智能化场景。知识库须包含法规政策库、业务技术规范、术语与同义词典、系统、系统操作等语料</w:t>
      </w:r>
      <w:r>
        <w:rPr>
          <w:rFonts w:hint="eastAsia" w:ascii="宋体" w:hAnsi="宋体" w:cs="Times New Roman"/>
          <w:sz w:val="24"/>
          <w:szCs w:val="24"/>
        </w:rPr>
        <w:t xml:space="preserve">，</w:t>
      </w:r>
      <w:r>
        <w:rPr>
          <w:rFonts w:ascii="宋体" w:hAnsi="宋体" w:cs="Times New Roman"/>
          <w:sz w:val="24"/>
          <w:szCs w:val="24"/>
        </w:rPr>
        <w:t xml:space="preserve">知识条目须具备来源、责任部门以及生效日期。</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（2）固废智能客服应用搭建</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①固废监管知识检索与问答</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依托固废监管知识向量库实现知识动态更新，通过语义模型训练、知识图谱管理及用户画像识别，精准匹配用户咨询诉求，</w:t>
      </w:r>
      <w:r>
        <w:rPr>
          <w:rFonts w:hint="eastAsia" w:ascii="宋体" w:hAnsi="宋体" w:cs="Times New Roman"/>
          <w:sz w:val="24"/>
          <w:szCs w:val="24"/>
        </w:rPr>
        <w:t xml:space="preserve">支持</w:t>
      </w:r>
      <w:r>
        <w:rPr>
          <w:rFonts w:hint="eastAsia" w:ascii="宋体" w:hAnsi="宋体" w:cs="Times New Roman"/>
          <w:sz w:val="24"/>
          <w:szCs w:val="24"/>
        </w:rPr>
        <w:t xml:space="preserve">业务管理人员</w:t>
      </w:r>
      <w:r>
        <w:rPr>
          <w:rFonts w:hint="eastAsia" w:ascii="宋体" w:hAnsi="宋体" w:cs="Times New Roman"/>
          <w:sz w:val="24"/>
          <w:szCs w:val="24"/>
        </w:rPr>
        <w:t xml:space="preserve">持续调教</w:t>
      </w:r>
      <w:r>
        <w:rPr>
          <w:rFonts w:hint="eastAsia" w:ascii="宋体" w:hAnsi="宋体" w:cs="Times New Roman"/>
          <w:sz w:val="24"/>
          <w:szCs w:val="24"/>
        </w:rPr>
        <w:t xml:space="preserve">智能客服，</w:t>
      </w:r>
      <w:r>
        <w:rPr>
          <w:rFonts w:hint="eastAsia" w:ascii="宋体" w:hAnsi="宋体" w:cs="Times New Roman"/>
          <w:sz w:val="24"/>
          <w:szCs w:val="24"/>
        </w:rPr>
        <w:t xml:space="preserve">提升问答精准度与规范性</w:t>
      </w:r>
      <w:r>
        <w:rPr>
          <w:rFonts w:ascii="宋体" w:hAnsi="宋体" w:cs="Times New Roman"/>
          <w:sz w:val="24"/>
          <w:szCs w:val="24"/>
        </w:rPr>
        <w:t xml:space="preserve">。</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②固废监管业务办理引导</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构建智能业务导办逻辑，结合用户身份与咨询意图精准匹配系统功能，自动推送标准化操作指引，支持上下文多轮对话，实现业务问题全程闭环指导。</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（3）固废智能客服调优与评估</w:t>
      </w:r>
      <w:r/>
    </w:p>
    <w:p>
      <w:pPr>
        <w:ind w:firstLine="420"/>
        <w:spacing w:line="440" w:lineRule="exact"/>
        <w:rPr>
          <w:rFonts w:hint="eastAsia" w:ascii="宋体" w:hAnsi="宋体" w:cs="Times New Roman"/>
          <w:sz w:val="24"/>
          <w:szCs w:val="24"/>
        </w:rPr>
      </w:pPr>
      <w:r>
        <w:rPr>
          <w:rFonts w:ascii="宋体" w:hAnsi="宋体" w:cs="Times New Roman"/>
          <w:sz w:val="24"/>
          <w:szCs w:val="24"/>
        </w:rPr>
        <w:t xml:space="preserve">搭建“百问百答”线上评估校验体系，</w:t>
      </w:r>
      <w:r>
        <w:rPr>
          <w:rFonts w:hint="eastAsia" w:ascii="宋体" w:hAnsi="宋体" w:cs="Times New Roman"/>
          <w:sz w:val="24"/>
          <w:szCs w:val="24"/>
        </w:rPr>
        <w:t xml:space="preserve">支持</w:t>
      </w:r>
      <w:r>
        <w:rPr>
          <w:rFonts w:hint="eastAsia" w:ascii="宋体" w:hAnsi="宋体" w:cs="Times New Roman"/>
          <w:sz w:val="24"/>
          <w:szCs w:val="24"/>
        </w:rPr>
        <w:t xml:space="preserve">业务管理人员</w:t>
      </w:r>
      <w:r>
        <w:rPr>
          <w:rFonts w:hint="eastAsia" w:ascii="宋体" w:hAnsi="宋体" w:cs="Times New Roman"/>
          <w:sz w:val="24"/>
          <w:szCs w:val="24"/>
        </w:rPr>
        <w:t xml:space="preserve">动态校调优化</w:t>
      </w:r>
      <w:r>
        <w:rPr>
          <w:rFonts w:ascii="宋体" w:hAnsi="宋体" w:cs="Times New Roman"/>
          <w:sz w:val="24"/>
          <w:szCs w:val="24"/>
        </w:rPr>
        <w:t xml:space="preserve">，配套完善测试记录与上线评估流程，保障智能客服合规、精准上线运行。题库总量不少于1000 道；系统上线前需完成抽检，抽检数量不少于500道，抽检准确率≥90% 方可面向企业开放；试运行阶段每月开展一次回归测试，知识库更新后须重新执行评测集</w:t>
      </w:r>
      <w:r>
        <w:rPr>
          <w:rFonts w:ascii="宋体" w:hAnsi="宋体" w:cs="Times New Roman"/>
          <w:sz w:val="24"/>
          <w:szCs w:val="24"/>
        </w:rPr>
        <w:t xml:space="preserve">验证。</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（三）一般工业固废全过程管理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1、一般工业固废企业信息管理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（1）固废名录切换升级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对标新版固废分类目录重构系统名录体系，搭建新旧代码映射替换规则，指导企业整改存量业务代码数据，支持固废基础分类信息常态化更新维护。</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（2）固废单位信息申报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新增产废单位基础信息专项申报模块，联动排污许可数据精准匹配管控标准，统一落实新版固废分类名录，全覆盖固废产废、贮存、自行处置、外协处置设施信息管理。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（3）固废收集利用处置资质申报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①一般工业固废收集利用处置资质备案申报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搭建一般工业固废收储处置资质线上备案模块，支持企业全维度资质信息填报，经属地部门线上审核生效，实现行业资质数字化、规范化备案管控。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②一般工业固废收集利用处置资质备案确认</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为监管端配置资质备案可视化核查功能，针对企业资质变更自动预警、高亮变动数据，辅助部门高效审核，落实资质动态闭环监管。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③一般工业固废收集利用处置资质归档</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新增资质专项归档管理功能，支持市级部门规范处置资质启停归档操作，归档资质永久失效、停止业务承接与台账申报，且全程留痕可查。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④一般工业固废收集利用处置资质管控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新增资质有效期与接收容量双重管控规则，精准校验资质有效性，调整为按总核准能力管控接收体量，自动校验转运容量、超限弹窗预警，筑牢业务合规防线。</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2、一般工业固废电子台账管理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（1）固废业务申报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实行产废单位按产量分级分期申报制度，污泥类按月申报；委外处置合作单位需线上资质核验、上传合同资料，核验通过后方可开展业务填报。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（2）利用处置单位月报申报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搭建处置单位月度申报模块，规范接收、贮存、处置全量数据报送，支持出入库台账数据自动归集生成月报数据，实现处置端常态化数据闭环上报。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（3）收集单位月报申报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新增收集单位月度申报功能，规范月度收贮、处置数据填报，依托电子联单与出入库记录自动生成申报数据，夯实固废收集环节数据监管基础。</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（4）一般工业固废产废入库申报（含库存初始化）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规范产废单位入库申报与库存管理，自动汇总年产废数据并支持库存查询、偏差修正；统一库存初始化规则，入库存量仅支持单次申报，杜绝补录存量数据。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（5）一般工业固废产废出库申报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针对企业自行利用处置场景，上线产废出库申报功能，规范填报固废类别、处置量及次生废物信息，完善产废端出库全流程台账管理。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（6）一般工业固废监控预警管理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新增持证单位工业固废应纳未纳标记管理、一般工业固废监控预警管理。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（7）固废数字工作矩阵应用</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建立一般工业固废数字工作矩阵应用，从区域监控（宏观）、企业监控（微观）两个层面展示全省固体废物产生、转移、利用处置情况。</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3、一般工业固废跨省转移管理 </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（1）固废跨省转出利用备案</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新增跨省转出利用备案差异化填报规则，区分工业固废、建筑 / 生活 / 农业固废分级填报；新增产生地信息填报，明确移出地审核权责，解绑备案与联单强绑定，增设退回补正功能，提升跨省备案审批效率。</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（2）固废跨省转入利用申报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新增跨省转入利用专属申报模块，支撑企业依据外省备案函线上全量填报信息、上传佐证材料，联动月度申报归集实际处置量；系统区分跨省转入、转出待办并配置专属审核账号，实现业务分类闭环管控。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（3）固废跨省转出贮存处置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优化跨省转出贮存处置审批规则，按固废类型实行分级填报精度管控，审批通过后需如实报备实际转移全量信息；补充产生地属地信息，由移出地生态环境部门统一审核，规范跨省贮存处置全流程审批管理。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（4）固废跨省转入贮存处置</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落实跨省转入贮存处置差异化填报标准，细化不同品类固废填报精度要求；审批办结后纳入企业月度申报，自动归集外省转入贮存处置数据，实现跨省转入业务规范化、常态化闭环统计监管。</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4、一般工业固废转移联单管理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（1）一般工业固废电子转移联单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依托现有一般工业污泥电子转移联单模块实施升级改造，支持冶炼废渣、粉煤灰、炉渣、脱硫石膏、煤矸石、尾矿、磷石膏及其他工业副产石膏等各类一般工业固体废物，按照“一车（船）一联单”规则，在省级固体废物管理系统中办理电子转移联单业务。主要包括电子转移联单发起、电子转移联单确认、出厂确认以及转出单位跨省转出联单、接收单位跨省转入联单、收集单位电子转移联单等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（2）大宗工业固废电子转移联单优化</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针对产生粉煤灰、炉渣、脱硫石膏、钛石膏等工业固废单位可申请采用大宗工业固废管理。其他工业固废按照一般工业固废联单运行。主要包括常用运输信息、常用接收单位信息、大宗工业固废产废入库、大宗工业固废计划联单、大宗工业固废转移联单、大宗工业固废批量转移联单等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5、长三角一般工业固废跨省转移数据共享</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围绕一般工业固废跨省转移全过程的管理要求，打通长三角三省一市固废管理系统，实现一般工业固废跨省转移区域信息共享和业务协同。主要包括一般工业固废跨省转出利用备案数据共享、一般工业固废跨省转出贮存处置数据共享、一般工业固废跨省转入利用备案数据共享、一般工业固废跨省转入贮存处置数据共享。依据统一标准开发服务事项的互联网应用，提供固废管理相关政务服务事项在线申请、进度查询、结果下载等服务，接入省一体化政务服务平台，实现“一平台办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（四）“无废城市”无废集团管理专题</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1、无废集团资质认定</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（1）共享利用处置设施单位名单</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系统支持共享处置企业名录动态维护，主管部门评审入库后，为纳入企业开通 “无废集团设施共享” 专属业务模块，实现共享主体专项归口管理。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（2）共享利用处置设施在线申报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新增无废集团线上申报、资质核验与业务办理通道，落实市县全过程核查审核权限，省级端增设专属管理模块，实现共享单位资质、台账、考核数据集中归集管控。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（3）经营许可资质备案改造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依托危废经营许可证备案模块进行改造，在保留原有功能的基础上，新增共享利用设施单位的经营许可证备案功能改造，统一适配无废集团备案管理业务规则。主要包括标准化备案模块改造、共享焚烧处置设施关联管理和分级核准总量管控等功能。</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2、无废集团业务接入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（1）设施共享单位管理计划备案改造</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优化固废管理计划备案规则，在原有处置主体选择基础上新增焚烧设施共享单位遴选通道，备案完成后可通过常规转移联单开展危废转移，适配设施共享处置业务场景。</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（2）焚烧处置设施所属单位联单签收</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建立共享焚烧设施联单限额签收机制，严格按照备案核准规模管控签收总量，签收入库数据自动归集至危废库存台账，实现存量数据动态精准管理。</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（3）焚烧处置设施利用处置记录申报</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支持共享焚烧设施台账选取、产废直报双向处置申报模式，系统依托设施总核准量开展刚性校验，严控处置总量不超备案规模，实现处置环节限额闭环管控。</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3、无废集团业务统计分析</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新增无废集团设施共享专项统计分析模块，面向省、市、县三级监管部门开放，覆盖多类核心业务指标，统一展示共享处置数据情况，为无废建设监管研判、成效分析提供数据支撑。</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4、无废集团规范化考核</w:t>
      </w:r>
      <w:r/>
    </w:p>
    <w:p>
      <w:pPr>
        <w:ind w:firstLine="480"/>
        <w:spacing w:line="440" w:lineRule="exact"/>
        <w:rPr>
          <w:rFonts w:hint="eastAsia" w:ascii="宋体" w:hAnsi="宋体" w:cs="Times New Roman"/>
          <w:sz w:val="24"/>
          <w:szCs w:val="24"/>
        </w:rPr>
      </w:pPr>
      <w:r>
        <w:rPr>
          <w:rFonts w:ascii="宋体" w:hAnsi="宋体" w:cs="Times New Roman"/>
          <w:sz w:val="24"/>
          <w:szCs w:val="24"/>
        </w:rPr>
        <w:t xml:space="preserve">搭建无废集团年度规范化考核体系，由地市统一组织考核评定，内置智能预警督办机制，对考核不合格、逾期未填报单位自动预警，实现年度考核全流程闭环监管，保障常态化建设质效。</w:t>
      </w:r>
      <w:r/>
    </w:p>
    <w:p>
      <w:pPr>
        <w:numPr>
          <w:ilvl w:val="0"/>
          <w:numId w:val="7"/>
        </w:numPr>
        <w:contextualSpacing/>
        <w:jc w:val="left"/>
        <w:keepLines/>
        <w:keepNext/>
        <w:spacing w:before="156" w:after="156" w:line="480" w:lineRule="exact"/>
        <w:widowControl/>
        <w:rPr>
          <w:rFonts w:hint="eastAsia" w:ascii="宋体" w:hAnsi="宋体" w:cs="Times New Roman"/>
          <w:b/>
          <w:sz w:val="32"/>
          <w:szCs w:val="20"/>
          <w:lang w:eastAsia="en-US" w:bidi="en-US"/>
        </w:rPr>
        <w:outlineLvl w:val="2"/>
      </w:pPr>
      <w:r>
        <w:rPr>
          <w:rFonts w:ascii="宋体" w:hAnsi="宋体" w:cs="Times New Roman"/>
          <w:b/>
          <w:sz w:val="32"/>
          <w:szCs w:val="20"/>
          <w:lang w:eastAsia="en-US" w:bidi="en-US"/>
        </w:rPr>
        <w:t xml:space="preserve">总体技术要求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本项目建设全过程严格贯彻“统一规划、统一标准、联通共享、统分结合、安全可靠”的建设原则，严格执行省生态环境智慧监管平台软件工程实施规范，全面落实标准化、规范化工程建设管理要求，确保项目系统集成高效、资源共享互通、操作便捷实用、运维简易可控、实施全程规范。</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（一）标准规范要求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系统严格遵循软件工程全流程实施规范，统筹保障系统技术先进性、业务易用性、功能可扩展性与运维便捷性；系统建设须严格遵照《</w:t>
      </w:r>
      <w:bookmarkStart w:id="205" w:name="OLE_LINK42"/>
      <w:r/>
      <w:bookmarkStart w:id="206" w:name="OLE_LINK41"/>
      <w:r>
        <w:rPr>
          <w:rFonts w:ascii="宋体" w:hAnsi="宋体" w:cs="Times New Roman"/>
          <w:sz w:val="24"/>
          <w:szCs w:val="24"/>
        </w:rPr>
        <w:t xml:space="preserve">江苏省生态环境智慧监管平台管理办法（试运行）</w:t>
      </w:r>
      <w:bookmarkEnd w:id="205"/>
      <w:r/>
      <w:bookmarkEnd w:id="206"/>
      <w:r>
        <w:rPr>
          <w:rFonts w:ascii="宋体" w:hAnsi="宋体" w:cs="Times New Roman"/>
          <w:sz w:val="24"/>
          <w:szCs w:val="24"/>
        </w:rPr>
        <w:t xml:space="preserve">》以及配套应用集成、数据集成、安全集成、基础设施集成等技术规范</w:t>
      </w:r>
      <w:r>
        <w:rPr>
          <w:rFonts w:hint="eastAsia" w:ascii="宋体" w:hAnsi="宋体" w:cs="Times New Roman"/>
          <w:sz w:val="24"/>
          <w:szCs w:val="24"/>
        </w:rPr>
        <w:t xml:space="preserve">，</w:t>
      </w:r>
      <w:r>
        <w:rPr>
          <w:rFonts w:ascii="宋体" w:hAnsi="宋体" w:cs="Times New Roman"/>
          <w:sz w:val="24"/>
          <w:szCs w:val="24"/>
        </w:rPr>
        <w:t xml:space="preserve">系统整体架构深度融入省生态环境智慧监管平台顶层设计体系，方案设计、接口开发、数据交互、软硬件部署等技术环节，均须契合省生态环境智慧监管平台统一技术管控要求。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（二）业务设计要求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业务设计应符合生态环境管理最新政策以及工作文件要求，基于充分的业务调研与需求分析，形成完整的《需求规格说明书》和相关设计文档；系统应支持跨业务域协同能力，实现跨部门业务模块的联动贯通。</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（三）应用要求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应坚持“存量兼容、增量优化”原则，对已建系统或已建可重复利用信息化资源必须实现平滑集成，不得形成数据孤岛或重复建设，确保业务连续性与历史数据完整继承；系统应遵循云服务与“微服务、组件化”架构理念，具备高内聚、低耦合、可插拔能力，支持组件化部署、服务独立扩展与灰度发布，避免单点依赖与整体性风险。</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（四）数据要求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系统数据库须严格依托总体数据架构统筹规划、统一设计，梳理形成完整的本项目业务数据产出清单及外部数据需求清单。系统须同步提供规范化的建库、建表语句，支撑省生态环境智慧监管平台数据底座统一部署建库、统一归口管理；业务数据须严格遵照数据标准、接口规范及归集要求，全量完整、合规、有序接入省生态环境智慧监管平台数据底座。</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建立危险废物生命周期一本账、一般工业固废全过程、小微收集管理、经营许可与跨省转移审批、预警与工单以及危险废物知识等数据集，确保全域数据统一汇聚、统一治理、统一共享、统一应用。投标人须承诺每类数据集应交付数据字典、数据标准、质量规则及权威数据源清单。数据集关键必填字段完整率≥98%，逻辑校验通过率≥95%，对接国家系统字段缺失率≤2%。试运行阶段须开展数据质量核查，问题数据工单闭环率≥90%。不得使用境外大模型处理政务业务数据，知识库与语料不得出域。</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（五）安全要求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1、系统安全须符合省生态环境智慧监管平台统一安</w:t>
      </w:r>
      <w:r>
        <w:rPr>
          <w:rFonts w:ascii="宋体" w:hAnsi="宋体" w:cs="Times New Roman"/>
          <w:sz w:val="24"/>
          <w:szCs w:val="24"/>
        </w:rPr>
        <w:t xml:space="preserve">全体系要求，严格遵循“最小权限”原则，制定身份认证、访问控制、数据加密等机制，并具备基础防护SQL注入、XSS等攻击的能力；数据传输采用HTTPS、国密算法等加密方式，敏感数据脱敏或加密存储；系统安全建设应符合国家网络安全等级保护三级等保相关要求，按照省生态环境智慧监管平台统一规划开展等保测评；在采购人开展日常安全巡检、漏洞扫描、等保测评、渗透测试等网络安全检查等工作时，须配合检查并及时整改，根据安全隐患和安全事件，对软件、数据、密码等进行安全加固，配合开展中间件系统、数据库管理系统等第三方软件的安全加固。</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根据《中华人民共和国民法典》及《中华人民共和国网络安全法》《中华人民共和国数据安全法》《中华人民共和国个人信息保护法》等有关法律法规及规范性文件的规定，成交供应商须与采购人签订网络安全协议，所有参与运维的人员须提供无违法记录证明。</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（六）网络要求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须依据业务运行保障需求，部署于省政务云互联网区、电子政务外网区；若涉及生态环境专用网络使用需求的，可部署至生态环境业务专网区。如采用多网区部署模式，须遵循“最小化暴露攻击面”原则，结合实际业务访问场景，配套建设合规的数据交换通道，实现跨网安全可控的数据交互与应用穿透访问，全程满足省级政务网络安全隔离与互通管理相关规定。</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（七）集成要求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电脑端应用入口须严格遵照省生态环境智慧监管平台技术规范，统一集成至江苏省生态环境厅环保云桌面。移动端应用入口应对接全省统一移动端云桌面应用；系统如面向排污企业、第三方服务单位提供线上服务功能，相关服务入口须依据既定集成标准，统一接入企业端“环保脸谱”应用，实现各类业务应用集中归口、一体化访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（八）生态环境数智场景建设要求 </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1、系统数智场景建设须满足江苏省生态环境领域人工智能工作部署要求，依托生态环境人工智能能力底座AI技能、智能体相关建设与运营管理规范，开展统一设计、注册与发布。</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沉淀可复用业务分析技能，构建业务智能体。投标人须承诺危险废物数据智能化场景建设所需Skill不少于12个，每个技能测试用例不少于10条；智能体应注册合规，跨智能体调用须严格鉴权，禁止绕过网关权限互访生产数据库。</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3、依托人工智能能力底座 MCP 连接标准，规范数据底座面向数智场景的数据服务供给，结合本项目数智场景要求，提供固体废物日常监管智能助手、固体废物智能客服等连接器。</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4、落实数智场景建设安全管控要求和跨智能体调用与权限控制要求，系统应对MCP调用、Skill执行、智能体决策、人工确认、结果回写、线索流转、执法推送等全过程留痕。</w:t>
      </w:r>
      <w:r/>
    </w:p>
    <w:p>
      <w:pPr>
        <w:ind w:firstLine="482"/>
        <w:spacing w:line="440" w:lineRule="exact"/>
        <w:rPr>
          <w:rFonts w:hint="eastAsia" w:ascii="宋体" w:hAnsi="宋体" w:cs="Times New Roman"/>
          <w:sz w:val="24"/>
          <w:szCs w:val="24"/>
        </w:rPr>
      </w:pPr>
      <w:r>
        <w:rPr>
          <w:rFonts w:ascii="宋体" w:hAnsi="宋体"/>
          <w:sz w:val="24"/>
          <w:szCs w:val="24"/>
        </w:rPr>
        <w:t xml:space="preserve">5、</w:t>
      </w:r>
      <w:r>
        <w:rPr>
          <w:rFonts w:hint="eastAsia" w:ascii="宋体" w:hAnsi="宋体"/>
          <w:sz w:val="24"/>
          <w:szCs w:val="24"/>
        </w:rPr>
        <w:t xml:space="preserve">为保障项目验收前研发、测试、试运行阶段人工智能模型开发调试工作，供应商须自行提供算力资源并部署至采购人指定的网络环境。 （提供承诺函）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（九）国产化适配要求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按照省级相关主管部门及省生态环境厅信息化安全建设统一部署，系统全流程适配国产化技术体系，可基于</w:t>
      </w:r>
      <w:r>
        <w:rPr>
          <w:rFonts w:ascii="宋体" w:hAnsi="宋体" w:cs="Times New Roman"/>
          <w:sz w:val="24"/>
          <w:szCs w:val="24"/>
        </w:rPr>
        <w:t xml:space="preserve">国产中央处理器、国产操作系统、国产数据库、国产中间件</w:t>
      </w:r>
      <w:r>
        <w:rPr>
          <w:rFonts w:ascii="宋体" w:hAnsi="宋体" w:cs="Times New Roman"/>
          <w:sz w:val="24"/>
          <w:szCs w:val="24"/>
        </w:rPr>
        <w:t xml:space="preserve">完成开发、部署、实施与常态化运行。系统应使用符合国产化要求的数据库，对于有集群化、分布式部署要求的系统，应按要求使用相关技术进行部署。系统须全面兼容</w:t>
      </w:r>
      <w:r>
        <w:rPr>
          <w:rFonts w:hint="eastAsia" w:ascii="宋体" w:hAnsi="宋体" w:cs="Times New Roman"/>
          <w:sz w:val="24"/>
          <w:szCs w:val="24"/>
        </w:rPr>
        <w:t xml:space="preserve">国产主流浏览器及</w:t>
      </w:r>
      <w:r>
        <w:rPr>
          <w:rFonts w:ascii="宋体" w:hAnsi="宋体" w:cs="Times New Roman"/>
          <w:sz w:val="24"/>
          <w:szCs w:val="24"/>
        </w:rPr>
        <w:t xml:space="preserve">谷歌浏览器（V100及以上）、Microsoft Edge（V100 及以上）、火狐 Firefox ESR（V115 及以上）</w:t>
      </w:r>
      <w:r>
        <w:rPr>
          <w:rFonts w:hint="eastAsia" w:ascii="宋体" w:hAnsi="宋体" w:cs="Times New Roman"/>
          <w:sz w:val="24"/>
          <w:szCs w:val="24"/>
        </w:rPr>
        <w:t xml:space="preserve">等</w:t>
      </w:r>
      <w:r>
        <w:rPr>
          <w:rFonts w:hint="eastAsia" w:ascii="宋体" w:hAnsi="宋体" w:cs="Times New Roman"/>
          <w:sz w:val="24"/>
          <w:szCs w:val="24"/>
        </w:rPr>
        <w:t xml:space="preserve">市面通用主流浏览器</w:t>
      </w:r>
      <w:r>
        <w:rPr>
          <w:rFonts w:ascii="宋体" w:hAnsi="宋体" w:cs="Times New Roman"/>
          <w:sz w:val="24"/>
          <w:szCs w:val="24"/>
        </w:rPr>
        <w:t xml:space="preserve">，保障不同终端环境下稳定、正常访问。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（十）性能与可靠性要求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企业端应用系统可满足1500用户同时在线，满足至少150个用户的并发访问，管理端应用可满足500用户同时在线，满足至少50个用户的并发访问；系统功能点满足非高峰时段响应时间小于1秒，高峰时段响应时间小于2秒要求；数据交换接口在并发300次/秒的情况下响应时间不超过2秒。系统年平均故障时间小于1天，平均故障修复时间小于1小时。</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（十一）易用性要求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系统界面视觉风格、版式规范须与省</w:t>
      </w:r>
      <w:r>
        <w:rPr>
          <w:rFonts w:ascii="宋体" w:hAnsi="宋体" w:cs="Times New Roman"/>
          <w:sz w:val="24"/>
          <w:szCs w:val="24"/>
        </w:rPr>
        <w:t xml:space="preserve">生态环境</w:t>
      </w:r>
      <w:r>
        <w:rPr>
          <w:rFonts w:ascii="宋体" w:hAnsi="宋体" w:cs="Times New Roman"/>
          <w:sz w:val="24"/>
          <w:szCs w:val="24"/>
        </w:rPr>
        <w:t xml:space="preserve">智慧监管平台保持统一。客户端所需配套插件、运行组件采用一体化安装包，支持一键式部署安装；系统内置完整在线联机帮助模块，操作指引清晰完备，便于操作人员自主查阅使用。</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五、服务要求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1、成交供应商应遵照《江苏省生态环境业务信息系统建设管理办法（试行）》开展工作。</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2、成交供应商应具备完善的项目管理体系，能够对进度、质量、变更进行全面的控制，对代码、文档进行完备的版本管理，并保证项目过程中的沟通顺畅。</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成交供应商应有严格的质量控制管理体系，系统的开发、测试、安装、调试过程中相关的技术文档必须按照采购人的要求，提交相应的规范文件，由采购人统一管理。同时成交供应商须具备良好的软件质量保证机制，对项目各个阶段的质量进行控制。</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4、成交供应商</w:t>
      </w:r>
      <w:bookmarkStart w:id="207" w:name="OLE_LINK12"/>
      <w:r>
        <w:rPr>
          <w:rFonts w:ascii="宋体" w:hAnsi="宋体" w:cs="Times New Roman"/>
          <w:sz w:val="24"/>
          <w:szCs w:val="24"/>
        </w:rPr>
        <w:t xml:space="preserve">应制定项目计划安排，按照计划开发实施，</w:t>
      </w:r>
      <w:bookmarkEnd w:id="207"/>
      <w:r>
        <w:rPr>
          <w:rFonts w:ascii="宋体" w:hAnsi="宋体" w:cs="Times New Roman"/>
          <w:sz w:val="24"/>
          <w:szCs w:val="24"/>
        </w:rPr>
        <w:t xml:space="preserve">每周总结并提交周报（内容包括但不限于进度、问题、需协调的资源等），对项目过程进行追踪和控制。</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5、成交供应商应积极配合采购人的管理，严格按照有关要求实施项目，积极落实采购人提出的整改要求。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6、成交供应商在完成系统开发和系统自测后，应再通过</w:t>
      </w:r>
      <w:r>
        <w:rPr>
          <w:rFonts w:hint="eastAsia" w:ascii="宋体" w:hAnsi="宋体" w:cs="Times New Roman"/>
          <w:sz w:val="24"/>
          <w:szCs w:val="24"/>
        </w:rPr>
        <w:t xml:space="preserve">具有</w:t>
      </w:r>
      <w:r>
        <w:rPr>
          <w:rFonts w:hint="eastAsia" w:ascii="宋体" w:hAnsi="宋体" w:cs="Times New Roman"/>
          <w:sz w:val="24"/>
          <w:szCs w:val="24"/>
        </w:rPr>
        <w:t xml:space="preserve">国家认可实验室</w:t>
      </w:r>
      <w:r>
        <w:rPr>
          <w:rFonts w:hint="eastAsia" w:ascii="宋体" w:hAnsi="宋体" w:cs="Times New Roman"/>
          <w:sz w:val="24"/>
          <w:szCs w:val="24"/>
        </w:rPr>
        <w:t xml:space="preserve">CNAS认证</w:t>
      </w:r>
      <w:r>
        <w:rPr>
          <w:rFonts w:hint="eastAsia" w:ascii="宋体" w:hAnsi="宋体" w:cs="Times New Roman"/>
          <w:sz w:val="24"/>
          <w:szCs w:val="24"/>
        </w:rPr>
        <w:t xml:space="preserve">资质</w:t>
      </w:r>
      <w:r>
        <w:rPr>
          <w:rFonts w:ascii="宋体" w:hAnsi="宋体" w:cs="Times New Roman"/>
          <w:sz w:val="24"/>
          <w:szCs w:val="24"/>
        </w:rPr>
        <w:t xml:space="preserve">的第三方测试机构对系统进行测评，</w:t>
      </w:r>
      <w:r>
        <w:rPr>
          <w:rFonts w:hint="eastAsia" w:cs="Times New Roman"/>
          <w:sz w:val="24"/>
          <w:szCs w:val="24"/>
        </w:rPr>
        <w:t xml:space="preserve">必须通过系统测评并取得测评报告后方可申请验收。</w:t>
      </w:r>
      <w:r>
        <w:rPr>
          <w:rFonts w:ascii="宋体" w:hAnsi="宋体" w:cs="Times New Roman"/>
          <w:sz w:val="24"/>
          <w:szCs w:val="24"/>
        </w:rPr>
        <w:t xml:space="preserve">第三方测评费用应包含在本项目投标总报价中。</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7、对于因成交供应商原因造成项目质量不合格、项目延期等问题，采购人有权利依照合同对成交供应商进行经济处罚。</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六、项目团队要求</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1、为保障项目的顺利实施，供应商须有严谨的项目组织，须建立项目领导组、实施组、质保组、设计组、开发组、测试组、运维组等职能小组，实行项目领导小组负责制，从组织和管理上保证整个项目统一规划，统一管理，统一标准。</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2、供应商须建立健全保障项目顺利实施的各项管理制度和质量保证体系；安排专职的项目经理和足够的专业技术人员参加本项目建设工作。</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3、项目经理须具有</w:t>
      </w:r>
      <w:r>
        <w:rPr>
          <w:rFonts w:ascii="宋体" w:hAnsi="宋体" w:cs="Times New Roman"/>
          <w:sz w:val="24"/>
          <w:szCs w:val="24"/>
        </w:rPr>
        <w:t xml:space="preserve">三</w:t>
      </w:r>
      <w:r>
        <w:rPr>
          <w:rFonts w:ascii="宋体" w:hAnsi="宋体" w:cs="Times New Roman"/>
          <w:sz w:val="24"/>
          <w:szCs w:val="24"/>
        </w:rPr>
        <w:t xml:space="preserve">年以上（含</w:t>
      </w:r>
      <w:r>
        <w:rPr>
          <w:rFonts w:ascii="宋体" w:hAnsi="宋体" w:cs="Times New Roman"/>
          <w:sz w:val="24"/>
          <w:szCs w:val="24"/>
        </w:rPr>
        <w:t xml:space="preserve">三</w:t>
      </w:r>
      <w:r>
        <w:rPr>
          <w:rFonts w:ascii="宋体" w:hAnsi="宋体" w:cs="Times New Roman"/>
          <w:sz w:val="24"/>
          <w:szCs w:val="24"/>
        </w:rPr>
        <w:t xml:space="preserve">年）</w:t>
      </w:r>
      <w:r>
        <w:rPr>
          <w:rFonts w:ascii="宋体" w:hAnsi="宋体" w:cs="Times New Roman"/>
          <w:sz w:val="24"/>
          <w:szCs w:val="24"/>
        </w:rPr>
        <w:t xml:space="preserve">并承担过类似</w:t>
      </w:r>
      <w:r>
        <w:rPr>
          <w:rFonts w:ascii="宋体" w:hAnsi="宋体" w:cs="Times New Roman"/>
          <w:sz w:val="24"/>
          <w:szCs w:val="24"/>
        </w:rPr>
        <w:t xml:space="preserve">项目</w:t>
      </w:r>
      <w:r>
        <w:rPr>
          <w:rFonts w:ascii="宋体" w:hAnsi="宋体" w:cs="Times New Roman"/>
          <w:sz w:val="24"/>
          <w:szCs w:val="24"/>
        </w:rPr>
        <w:t xml:space="preserve">的项目</w:t>
      </w:r>
      <w:r>
        <w:rPr>
          <w:rFonts w:ascii="宋体" w:hAnsi="宋体" w:cs="Times New Roman"/>
          <w:sz w:val="24"/>
          <w:szCs w:val="24"/>
        </w:rPr>
        <w:t xml:space="preserve">管理经验</w:t>
      </w:r>
      <w:r>
        <w:rPr>
          <w:rFonts w:hint="eastAsia" w:ascii="宋体" w:hAnsi="宋体" w:cs="Times New Roman"/>
          <w:sz w:val="24"/>
          <w:szCs w:val="24"/>
        </w:rPr>
        <w:t xml:space="preserve">，</w:t>
      </w:r>
      <w:r>
        <w:rPr>
          <w:rFonts w:ascii="宋体" w:hAnsi="宋体" w:cs="Times New Roman"/>
          <w:sz w:val="24"/>
          <w:szCs w:val="24"/>
        </w:rPr>
        <w:t xml:space="preserve">项目经理全程负责本项目工作，不得无故</w:t>
      </w:r>
      <w:r>
        <w:rPr>
          <w:rFonts w:ascii="宋体" w:hAnsi="宋体" w:cs="Times New Roman"/>
          <w:sz w:val="24"/>
          <w:szCs w:val="24"/>
        </w:rPr>
        <w:t xml:space="preserve">更换,</w:t>
      </w:r>
      <w:r>
        <w:rPr>
          <w:rFonts w:ascii="宋体" w:hAnsi="宋体" w:cs="Times New Roman"/>
          <w:sz w:val="24"/>
          <w:szCs w:val="24"/>
        </w:rPr>
        <w:t xml:space="preserve">项目组成员一经确认，如需变更需征得采购人书面批准。</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4、实施双方成员的职责要明晰、确定，并且须落到实处。供应商保证经采购人确认的项目组能够按照要求提供现场开发服务，现场实施人员须服从采购人统一管理。</w:t>
      </w:r>
      <w:r/>
    </w:p>
    <w:p>
      <w:pPr>
        <w:ind w:firstLine="480"/>
        <w:spacing w:line="360" w:lineRule="auto"/>
        <w:rPr>
          <w:rFonts w:hint="eastAsia" w:ascii="宋体" w:hAnsi="宋体" w:cs="Times New Roman"/>
          <w:sz w:val="24"/>
          <w:szCs w:val="24"/>
        </w:rPr>
      </w:pPr>
      <w:r>
        <w:rPr>
          <w:rFonts w:ascii="宋体" w:hAnsi="宋体" w:cs="Times New Roman"/>
          <w:sz w:val="24"/>
          <w:szCs w:val="24"/>
        </w:rPr>
        <w:t xml:space="preserve">5、供应商成交后应组织项目团队</w:t>
      </w:r>
      <w:r>
        <w:rPr>
          <w:rFonts w:ascii="宋体" w:hAnsi="宋体" w:cs="Times New Roman"/>
          <w:sz w:val="24"/>
          <w:szCs w:val="24"/>
        </w:rPr>
        <w:t xml:space="preserve">在采购人指定地点</w:t>
      </w:r>
      <w:r>
        <w:rPr>
          <w:rFonts w:ascii="宋体" w:hAnsi="宋体" w:cs="Times New Roman"/>
          <w:sz w:val="24"/>
          <w:szCs w:val="24"/>
        </w:rPr>
        <w:t xml:space="preserve">提供服务，其中项目经理、设计组负责人、开发组负责人等关键角色需保证全程驻场。</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七、项目培训要求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供应商需免费向本项目中所涉及的用户提供培训，保证用户能够进行系统的运行管理、操作、日常维护与故障分析处理等工作。具体培训要求包括：</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1、供应商须安排具有项目相关专业背景的技术人员作为培训教师。</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2、供应商应为采购人提供包括但不限于下列几个方面的</w:t>
      </w:r>
      <w:r>
        <w:rPr>
          <w:rFonts w:ascii="宋体" w:hAnsi="宋体" w:cs="Times New Roman"/>
          <w:sz w:val="24"/>
          <w:szCs w:val="24"/>
        </w:rPr>
        <w:t xml:space="preserve">培训:</w:t>
      </w:r>
      <w:r>
        <w:rPr>
          <w:rFonts w:ascii="宋体" w:hAnsi="宋体" w:cs="Times New Roman"/>
          <w:sz w:val="24"/>
          <w:szCs w:val="24"/>
        </w:rPr>
        <w:t xml:space="preserve">项目管理培训；系统业务操作培训；系统管理、维护工具培训；供应商认为必要的其他培训。</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3、供应商负责提供培训所需计划和电子版资料，培训教材包括视频教材、WORD用户手册、培训PPT，培训所使用的语言和教材必须是中文。用户单位有权在系统内部使用这些培训资料。</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4、培训形式：采用线上、线下相结合的方式开展培训，供应商可结合项目实际情况灵活安排培训形式，保障参训人员能够掌握培训技能。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5、培训次数：培训次数不少于2次，并做好参训登记工作。</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八、项目文档要求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供应商除在规定时间内按照招标文件的要求完成本项目的调研、设计、系统开发、调试、对接、测试等工作外，还应向用户方提供计算机软件光盘，并提交相关技术文档并提供明确的交付清单。同时，成果和文档资料必须符合软件工程及项目竣工验收的相关要求，所有交付的文档包括但不限于：需求规格说明书、设计文档、开发文档、测试报告、操作手册、安装部署手册等。</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九、知识产权要求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1、本项目中建设的所有软件系统所有权（含数据、代码、知识所有权）归采购人所有，系统验收后供应商应向采购人移交相关源代码。</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供应商自行采购开发过程中所使用的开发平台、插件、第三方中间件、数据库等正版软件，保证采购人在拥有系统（包括系统所使用第三方的中间件或数据库等）所有权的过程中不产生任何侵权行为，否则，供应商须承担由此产生的所有相关法律责任。</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十、保密要求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应对项目技术文件以及由采购人提供的所有内部资料、技术文档、数据和信息予以保密；供应商应与采购人签订保密协议并严格遵守，未经采购人书面许可，供应商不得以任何形式向第三方透露本项目文件、技术方案等内容。</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2、成交供应商驻场工作人员应</w:t>
      </w:r>
      <w:r>
        <w:rPr>
          <w:rFonts w:hint="eastAsia" w:ascii="宋体" w:hAnsi="宋体" w:cs="Times New Roman"/>
          <w:sz w:val="24"/>
          <w:szCs w:val="24"/>
        </w:rPr>
        <w:t xml:space="preserve">按照采购人提供的标准模板签署</w:t>
      </w:r>
      <w:r>
        <w:rPr>
          <w:rFonts w:ascii="宋体" w:hAnsi="宋体" w:cs="Times New Roman"/>
          <w:sz w:val="24"/>
          <w:szCs w:val="24"/>
        </w:rPr>
        <w:t xml:space="preserve">保密承诺书，并与合同、保密协议一并提交给采购人。</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（以上提供承诺函）</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r>
      <w:r/>
    </w:p>
    <w:p>
      <w:pPr>
        <w:jc w:val="center"/>
        <w:spacing w:line="540" w:lineRule="exact"/>
        <w:rPr>
          <w:rFonts w:hint="eastAsia" w:ascii="方正小标宋_GBK" w:hAnsi="方正小标宋_GBK" w:eastAsia="方正小标宋_GBK" w:cs="方正小标宋_GBK"/>
          <w:b/>
          <w:bCs/>
          <w:sz w:val="44"/>
          <w:szCs w:val="44"/>
        </w:rPr>
      </w:pPr>
      <w:r>
        <w:rPr>
          <w:rFonts w:ascii="方正小标宋_GBK" w:hAnsi="方正小标宋_GBK" w:eastAsia="方正小标宋_GBK" w:cs="方正小标宋_GBK"/>
          <w:b/>
          <w:bCs/>
          <w:sz w:val="44"/>
          <w:szCs w:val="44"/>
        </w:rPr>
        <w:t xml:space="preserve">保  密  承  诺  书</w:t>
      </w:r>
      <w:r/>
    </w:p>
    <w:p>
      <w:pPr>
        <w:jc w:val="center"/>
        <w:spacing w:line="540" w:lineRule="exact"/>
        <w:rPr>
          <w:rFonts w:hint="eastAsia" w:ascii="方正楷体_GBK" w:hAnsi="方正楷体_GBK" w:eastAsia="方正楷体_GBK" w:cs="方正楷体_GBK"/>
          <w:b/>
          <w:bCs/>
          <w:szCs w:val="22"/>
        </w:rPr>
      </w:pPr>
      <w:r>
        <w:rPr>
          <w:rFonts w:hint="eastAsia" w:ascii="方正楷体_GBK" w:hAnsi="方正楷体_GBK" w:eastAsia="方正楷体_GBK" w:cs="方正楷体_GBK"/>
          <w:b/>
          <w:bCs/>
          <w:szCs w:val="22"/>
        </w:rPr>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我了解有关保密法规制度，知悉应当承担的保密义务和法律责任。本人庄严承诺：</w:t>
      </w:r>
      <w:r/>
    </w:p>
    <w:p>
      <w:pPr>
        <w:numPr>
          <w:ilvl w:val="0"/>
          <w:numId w:val="9"/>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严格遵守国家保密法律、法规和规章制度，履行保密义务；</w:t>
      </w:r>
      <w:r/>
    </w:p>
    <w:p>
      <w:pPr>
        <w:numPr>
          <w:ilvl w:val="0"/>
          <w:numId w:val="9"/>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严格遵守《国家机关工作人员保密守则》和《驻场运维人员保密纪律十严禁》有关条款；</w:t>
      </w:r>
      <w:r/>
    </w:p>
    <w:p>
      <w:pPr>
        <w:numPr>
          <w:ilvl w:val="0"/>
          <w:numId w:val="9"/>
        </w:numPr>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不提供虚假个人信息，自愿接受政治和保密审查；</w:t>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违反上述承诺，自愿承担一切行政和法律后果。</w:t>
      </w:r>
      <w:r/>
    </w:p>
    <w:p>
      <w:pPr>
        <w:ind w:firstLine="64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附件：1.国家机关工作人员保密守则</w:t>
      </w:r>
      <w:r/>
    </w:p>
    <w:p>
      <w:pPr>
        <w:ind w:firstLine="64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      2. 驻场运维人员保密纪律十严禁</w:t>
      </w:r>
      <w:r/>
    </w:p>
    <w:p>
      <w:pPr>
        <w:ind w:firstLine="64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316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承诺人签名：</w:t>
      </w:r>
      <w:r/>
    </w:p>
    <w:p>
      <w:pPr>
        <w:ind w:firstLine="5271"/>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年  月  日 </w:t>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5271"/>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jc w:val="left"/>
        <w:widowControl/>
        <w:rPr>
          <w:rFonts w:hint="eastAsia" w:ascii="黑体" w:hAnsi="黑体" w:eastAsia="黑体" w:cs="方正仿宋_GBK"/>
          <w:b/>
          <w:bCs/>
          <w:sz w:val="28"/>
          <w:szCs w:val="28"/>
        </w:rPr>
      </w:pPr>
      <w:r>
        <w:rPr>
          <w:rFonts w:ascii="黑体" w:hAnsi="黑体" w:eastAsia="黑体" w:cs="方正仿宋_GBK"/>
          <w:b/>
          <w:bCs/>
          <w:sz w:val="28"/>
          <w:szCs w:val="28"/>
        </w:rPr>
        <w:t xml:space="preserve">附件1</w:t>
      </w:r>
      <w:r/>
    </w:p>
    <w:p>
      <w:pPr>
        <w:jc w:val="center"/>
        <w:spacing w:line="540" w:lineRule="atLeast"/>
        <w:shd w:val="clear" w:color="auto" w:fill="ffffff"/>
        <w:widowControl/>
        <w:rPr>
          <w:rFonts w:hint="eastAsia" w:ascii="微软雅黑" w:hAnsi="微软雅黑" w:eastAsia="微软雅黑" w:cs="微软雅黑"/>
          <w:color w:val="222222"/>
          <w:sz w:val="12"/>
          <w:szCs w:val="12"/>
        </w:rPr>
      </w:pPr>
      <w:r>
        <w:rPr>
          <w:rFonts w:ascii="方正小标宋_GBK" w:hAnsi="方正仿宋_GBK" w:eastAsia="方正小标宋_GBK" w:cs="方正仿宋_GBK"/>
          <w:b/>
          <w:bCs/>
          <w:sz w:val="44"/>
          <w:szCs w:val="44"/>
        </w:rPr>
        <w:t xml:space="preserve">国家机关工作人员保密守则</w:t>
      </w:r>
      <w:r/>
    </w:p>
    <w:p>
      <w:pPr>
        <w:ind w:firstLine="422"/>
        <w:spacing w:line="540" w:lineRule="exact"/>
        <w:rPr>
          <w:rFonts w:hint="eastAsia" w:ascii="方正黑体_GBK" w:hAnsi="方正仿宋_GBK" w:eastAsia="方正黑体_GBK" w:cs="方正仿宋_GBK"/>
          <w:b/>
          <w:bCs/>
          <w:szCs w:val="22"/>
        </w:rPr>
      </w:pPr>
      <w:r>
        <w:rPr>
          <w:rFonts w:hint="eastAsia" w:ascii="方正黑体_GBK" w:hAnsi="方正仿宋_GBK" w:eastAsia="方正黑体_GBK" w:cs="方正仿宋_GBK"/>
          <w:b/>
          <w:bCs/>
          <w:szCs w:val="22"/>
        </w:rPr>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（一）不该说的国家秘密，绝对不说；</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（二）不该问的国家秘密，绝对不问；</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（三）不该看的国家秘密，绝对不看；</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（四）不该记录的国家秘密，绝对不记录；</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（五）不在私人交往中涉及国家秘密；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（六）不在公共场所谈论和处理国家秘密事项；</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（七）不在没有保障的地方存放国家秘密；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（八）不用普通电话、明码电报、普通邮政传递国家秘密；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（九）不准擅自复制国家秘密；</w:t>
      </w:r>
      <w:r/>
    </w:p>
    <w:p>
      <w:pPr>
        <w:ind w:firstLine="422"/>
        <w:spacing w:line="540" w:lineRule="exact"/>
        <w:rPr>
          <w:rFonts w:hint="eastAsia" w:ascii="方正黑体_GBK" w:hAnsi="方正仿宋_GBK" w:eastAsia="方正黑体_GBK" w:cs="方正仿宋_GBK"/>
          <w:b/>
          <w:bCs/>
          <w:szCs w:val="22"/>
        </w:rPr>
      </w:pPr>
      <w:r>
        <w:rPr>
          <w:rFonts w:ascii="方正黑体_GBK" w:hAnsi="方正仿宋_GBK" w:eastAsia="方正黑体_GBK" w:cs="方正仿宋_GBK"/>
          <w:b/>
          <w:bCs/>
          <w:szCs w:val="22"/>
        </w:rPr>
        <w:t xml:space="preserve">（十）不携带国家秘密文件、资料、物品参观、游览和探亲访友。</w:t>
      </w:r>
      <w:r/>
    </w:p>
    <w:p>
      <w:pPr>
        <w:spacing w:line="440" w:lineRule="exact"/>
        <w:rPr>
          <w:rFonts w:hint="eastAsia" w:ascii="宋体" w:hAnsi="宋体" w:cs="Times New Roman"/>
          <w:sz w:val="24"/>
          <w:szCs w:val="24"/>
        </w:rPr>
      </w:pPr>
      <w:r>
        <w:rPr>
          <w:rFonts w:hint="eastAsia" w:ascii="宋体" w:hAnsi="宋体" w:cs="Times New Roman"/>
          <w:sz w:val="24"/>
          <w:szCs w:val="24"/>
        </w:rPr>
      </w:r>
      <w:r/>
    </w:p>
    <w:p>
      <w:pPr>
        <w:jc w:val="left"/>
        <w:spacing w:line="540" w:lineRule="atLeast"/>
        <w:shd w:val="clear" w:color="auto" w:fill="ffffff"/>
        <w:widowControl/>
        <w:rPr>
          <w:rFonts w:hint="eastAsia" w:ascii="黑体" w:hAnsi="黑体" w:eastAsia="黑体" w:cs="方正仿宋_GBK"/>
          <w:b/>
          <w:bCs/>
          <w:sz w:val="28"/>
          <w:szCs w:val="28"/>
        </w:rPr>
      </w:pPr>
      <w:r>
        <w:rPr>
          <w:rFonts w:ascii="黑体" w:hAnsi="黑体" w:eastAsia="黑体" w:cs="方正仿宋_GBK"/>
          <w:b/>
          <w:bCs/>
          <w:sz w:val="28"/>
          <w:szCs w:val="28"/>
        </w:rPr>
        <w:t xml:space="preserve">附件2</w:t>
      </w:r>
      <w:r/>
    </w:p>
    <w:p>
      <w:pPr>
        <w:jc w:val="center"/>
        <w:spacing w:line="590" w:lineRule="exact"/>
        <w:rPr>
          <w:rFonts w:hint="eastAsia" w:ascii="方正小标宋_GBK" w:hAnsi="方正仿宋_GBK" w:eastAsia="方正小标宋_GBK" w:cs="方正仿宋_GBK"/>
          <w:b/>
          <w:bCs/>
          <w:sz w:val="44"/>
          <w:szCs w:val="44"/>
        </w:rPr>
      </w:pPr>
      <w:r>
        <w:rPr>
          <w:rFonts w:ascii="方正小标宋_GBK" w:hAnsi="方正仿宋_GBK" w:eastAsia="方正小标宋_GBK" w:cs="方正仿宋_GBK"/>
          <w:b/>
          <w:bCs/>
          <w:sz w:val="44"/>
          <w:szCs w:val="44"/>
        </w:rPr>
        <w:t xml:space="preserve">驻场运维人员保密纪律十严禁</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驻场运维保障江苏省生态环境监控中心（以下简称中心）的全体人员，必须严格遵守以下保密纪律：</w:t>
      </w:r>
      <w:r/>
    </w:p>
    <w:p>
      <w:pPr>
        <w:ind w:firstLine="407"/>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一、严禁翻看、摘录、传播属国家秘密信息；</w:t>
      </w:r>
      <w:r/>
    </w:p>
    <w:p>
      <w:pPr>
        <w:spacing w:line="540" w:lineRule="exact"/>
        <w:rPr>
          <w:rFonts w:ascii="方正黑体_GBK" w:eastAsia="方正黑体_GBK" w:cs="Times New Roman"/>
          <w:szCs w:val="22"/>
        </w:rPr>
      </w:pPr>
      <w:r>
        <w:rPr>
          <w:rFonts w:ascii="方正黑体_GBK" w:hAnsi="方正仿宋_GBK" w:eastAsia="方正黑体_GBK" w:cs="方正仿宋_GBK"/>
          <w:bCs/>
          <w:szCs w:val="22"/>
        </w:rPr>
        <w:t xml:space="preserve">二、严禁传播江苏省生态环境厅及中心未标注主动公开的所有工作信息；</w:t>
      </w:r>
      <w:r>
        <w:rPr>
          <w:rFonts w:ascii="方正黑体_GBK" w:eastAsia="方正黑体_GBK" w:cs="Times New Roman"/>
          <w:szCs w:val="22"/>
        </w:rPr>
        <w:t xml:space="preserve">严禁变卖、私自处置记录未主动公开信息的文件和办公</w:t>
      </w:r>
      <w:r>
        <w:rPr>
          <w:rFonts w:ascii="方正黑体_GBK" w:hAnsi="宋体" w:eastAsia="方正黑体_GBK" w:cs="宋体"/>
          <w:szCs w:val="22"/>
        </w:rPr>
        <w:t xml:space="preserve">废</w:t>
      </w:r>
      <w:r>
        <w:rPr>
          <w:rFonts w:ascii="方正黑体_GBK" w:eastAsia="方正黑体_GBK" w:cs="Times New Roman"/>
          <w:szCs w:val="22"/>
        </w:rPr>
        <w:t xml:space="preserve">纸；</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三、严禁向无关人员透露、传播江苏省生态环境厅及中心各类会议方案、会议材料、出席人员和会议内容等信息；</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四、严禁向中心外人员透露江苏省生态环境厅及中心所属人员信息、人员分工、人员和车辆动态；</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五、严禁向无关人员透露省部级（含）以上领导指导调研江苏省生态环境工作的有关信息。</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六、严禁向中心外人员透露和传播江苏省生态环境厅及中心内网信息、通讯录信息及信息化建设、通讯设备情况；</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七、严禁向中心外人员透露中心固定资产、设备设施配置及其运行状况；</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八、严禁向无关人员透露信息系统建设情况以及中心已获取或产生的数据资源；</w:t>
      </w:r>
      <w:r/>
    </w:p>
    <w:p>
      <w:pPr>
        <w:ind w:firstLine="420"/>
        <w:spacing w:line="540" w:lineRule="exact"/>
        <w:rPr>
          <w:rFonts w:ascii="方正黑体_GBK" w:eastAsia="方正黑体_GBK" w:cs="Times New Roman"/>
          <w:bCs/>
          <w:szCs w:val="22"/>
        </w:rPr>
      </w:pPr>
      <w:r>
        <w:rPr>
          <w:rFonts w:ascii="方正黑体_GBK" w:hAnsi="方正仿宋_GBK" w:eastAsia="方正黑体_GBK" w:cs="方正仿宋_GBK"/>
          <w:bCs/>
          <w:szCs w:val="22"/>
        </w:rPr>
        <w:t xml:space="preserve">九、严禁向中心外人员透露江苏省生态环境厅及中心内部管理规定、制度、办法及其有关流程；</w:t>
      </w:r>
      <w:r/>
    </w:p>
    <w:p>
      <w:pPr>
        <w:ind w:firstLine="420"/>
        <w:spacing w:line="540" w:lineRule="exact"/>
        <w:rPr>
          <w:rFonts w:hint="eastAsia" w:ascii="方正黑体_GBK" w:hAnsi="方正仿宋_GBK" w:eastAsia="方正黑体_GBK" w:cs="方正仿宋_GBK"/>
          <w:bCs/>
          <w:szCs w:val="22"/>
        </w:rPr>
      </w:pPr>
      <w:r>
        <w:rPr>
          <w:rFonts w:ascii="方正黑体_GBK" w:hAnsi="方正仿宋_GBK" w:eastAsia="方正黑体_GBK" w:cs="方正仿宋_GBK"/>
          <w:bCs/>
          <w:szCs w:val="22"/>
        </w:rPr>
        <w:t xml:space="preserve">十、严禁向生态监控中心外人员透露江苏省生态环境厅及中心掌握的泄露后会影响社会稳定、造成公众恐慌或损害江苏省生态环境厅及中心声誉的其他信息。</w:t>
      </w:r>
      <w:r/>
    </w:p>
    <w:p>
      <w:pPr>
        <w:spacing w:line="440" w:lineRule="exact"/>
        <w:rPr>
          <w:rFonts w:hint="eastAsia" w:ascii="方正黑体_GBK" w:hAnsi="方正仿宋_GBK" w:eastAsia="方正黑体_GBK" w:cs="方正仿宋_GBK"/>
          <w:bCs/>
          <w:szCs w:val="22"/>
        </w:rPr>
      </w:pPr>
      <w:r>
        <w:rPr>
          <w:rFonts w:hint="eastAsia" w:ascii="方正黑体_GBK" w:hAnsi="方正仿宋_GBK" w:eastAsia="方正黑体_GBK" w:cs="方正仿宋_GBK"/>
          <w:bCs/>
          <w:szCs w:val="22"/>
        </w:rPr>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十一、交货期及交货地点</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1、交货期：合同签订后10个月内完成实施并部署上线，达到预期目标和功能，进入3个月试运行期（试运行开始时间以上线确认书为准）。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2、交货地点：采购人指定地点。</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十二、验收要求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项目按照招标文件及采购人要求完成所有建设内容，并且连续稳定运行3个月，经采购人检查满足验收条件后组织专家对项目进行验收。若项目验收不合格时，成交供应商应负责修改系统，并在达到验收条件时，再次向采购人提出书面验收申请。因成交供应商原因导致系统验收不合格产生的延期及其它系统建设工作成本，由成交供应商承担。成交供应商在本项目投标总报价中应包含项目有关验收费用。</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十三、货款支付</w:t>
      </w:r>
      <w:r/>
    </w:p>
    <w:p>
      <w:pPr>
        <w:ind w:firstLine="420"/>
        <w:spacing w:line="480" w:lineRule="exact"/>
        <w:rPr>
          <w:rFonts w:cs="Times New Roman"/>
          <w:sz w:val="24"/>
          <w:szCs w:val="24"/>
        </w:rPr>
      </w:pPr>
      <w:r/>
      <w:bookmarkStart w:id="208" w:name="_Hlk116473386"/>
      <w:r>
        <w:rPr>
          <w:rFonts w:cs="Times New Roman"/>
          <w:sz w:val="24"/>
          <w:szCs w:val="24"/>
        </w:rPr>
        <w:t xml:space="preserve">1</w:t>
      </w:r>
      <w:r>
        <w:rPr>
          <w:rFonts w:cs="Times New Roman"/>
          <w:sz w:val="24"/>
          <w:szCs w:val="24"/>
        </w:rPr>
        <w:t xml:space="preserve">、合同签订并生效，采购人收到发票后</w:t>
      </w:r>
      <w:r>
        <w:rPr>
          <w:rFonts w:cs="Times New Roman"/>
          <w:sz w:val="24"/>
          <w:szCs w:val="24"/>
        </w:rPr>
        <w:t xml:space="preserve">10</w:t>
      </w:r>
      <w:r>
        <w:rPr>
          <w:rFonts w:cs="Times New Roman"/>
          <w:sz w:val="24"/>
          <w:szCs w:val="24"/>
        </w:rPr>
        <w:t xml:space="preserve">个工作日内，采购人向成交供应商支付合同总价款的</w:t>
      </w:r>
      <w:r>
        <w:rPr>
          <w:rFonts w:cs="Times New Roman"/>
          <w:sz w:val="24"/>
          <w:szCs w:val="24"/>
        </w:rPr>
        <w:t xml:space="preserve">60%</w:t>
      </w:r>
      <w:r>
        <w:rPr>
          <w:rFonts w:cs="Times New Roman"/>
          <w:sz w:val="24"/>
          <w:szCs w:val="24"/>
        </w:rPr>
        <w:t xml:space="preserve">；</w:t>
      </w:r>
      <w:r/>
    </w:p>
    <w:p>
      <w:pPr>
        <w:ind w:firstLine="420"/>
        <w:spacing w:line="480" w:lineRule="exact"/>
        <w:rPr>
          <w:rFonts w:cs="Times New Roman"/>
          <w:sz w:val="24"/>
          <w:szCs w:val="24"/>
        </w:rPr>
      </w:pPr>
      <w:r>
        <w:rPr>
          <w:rFonts w:cs="Times New Roman"/>
          <w:sz w:val="24"/>
          <w:szCs w:val="24"/>
        </w:rPr>
        <w:t xml:space="preserve">2</w:t>
      </w:r>
      <w:r>
        <w:rPr>
          <w:rFonts w:cs="Times New Roman"/>
          <w:sz w:val="24"/>
          <w:szCs w:val="24"/>
        </w:rPr>
        <w:t xml:space="preserve">、项目通过验收，采购人收到发票后</w:t>
      </w:r>
      <w:r>
        <w:rPr>
          <w:rFonts w:cs="Times New Roman"/>
          <w:sz w:val="24"/>
          <w:szCs w:val="24"/>
        </w:rPr>
        <w:t xml:space="preserve">10</w:t>
      </w:r>
      <w:r>
        <w:rPr>
          <w:rFonts w:cs="Times New Roman"/>
          <w:sz w:val="24"/>
          <w:szCs w:val="24"/>
        </w:rPr>
        <w:t xml:space="preserve">个工作日内，采购人向成交供应商支付余款。</w:t>
      </w:r>
      <w:bookmarkEnd w:id="208"/>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十四、售后服务要求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w:t>
      </w:r>
      <w:bookmarkStart w:id="209" w:name="OLE_LINK13"/>
      <w:r/>
      <w:bookmarkStart w:id="210" w:name="OLE_LINK23"/>
      <w:r>
        <w:rPr>
          <w:rFonts w:ascii="宋体" w:hAnsi="宋体" w:cs="Times New Roman"/>
          <w:sz w:val="24"/>
          <w:szCs w:val="24"/>
        </w:rPr>
        <w:t xml:space="preserve">供应商应具备完善的售后服务体系，根据本项目需求和特点，制定合理可行的售后服务方案，明确服务内容和响应能力。</w:t>
      </w:r>
      <w:bookmarkEnd w:id="209"/>
      <w:r/>
      <w:bookmarkEnd w:id="210"/>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2、在验收合格结束后，成交供应商应提供1年免费质保服务，免费保修期从验收合格之日起计算。（提供承诺函）</w:t>
      </w:r>
      <w:r/>
    </w:p>
    <w:p>
      <w:pPr>
        <w:ind w:firstLine="480"/>
        <w:spacing w:line="440" w:lineRule="exact"/>
        <w:rPr>
          <w:rFonts w:hint="eastAsia" w:ascii="宋体" w:hAnsi="宋体" w:cs="Times New Roman"/>
          <w:sz w:val="24"/>
          <w:szCs w:val="24"/>
        </w:rPr>
      </w:pPr>
      <w:r>
        <w:rPr>
          <w:rFonts w:ascii="宋体" w:hAnsi="宋体" w:cs="Times New Roman"/>
          <w:sz w:val="24"/>
          <w:szCs w:val="24"/>
          <w:highlight w:val="yellow"/>
        </w:rPr>
        <w:t xml:space="preserve">3、</w:t>
      </w:r>
      <w:r>
        <w:rPr>
          <w:rFonts w:hint="eastAsia" w:ascii="宋体" w:hAnsi="宋体" w:cs="Times New Roman"/>
          <w:sz w:val="24"/>
          <w:szCs w:val="24"/>
        </w:rPr>
        <w:t xml:space="preserve">免费</w:t>
      </w:r>
      <w:r>
        <w:rPr>
          <w:rFonts w:ascii="宋体" w:hAnsi="宋体" w:cs="Times New Roman"/>
          <w:sz w:val="24"/>
          <w:szCs w:val="24"/>
        </w:rPr>
        <w:t xml:space="preserve">质保期内，如</w:t>
      </w:r>
      <w:r>
        <w:rPr>
          <w:rFonts w:hint="eastAsia" w:ascii="宋体" w:hAnsi="宋体" w:cs="Times New Roman"/>
          <w:sz w:val="24"/>
          <w:szCs w:val="24"/>
        </w:rPr>
        <w:t xml:space="preserve">全国危险废物</w:t>
      </w:r>
      <w:r>
        <w:rPr>
          <w:rFonts w:ascii="宋体" w:hAnsi="宋体" w:cs="Times New Roman"/>
          <w:sz w:val="24"/>
          <w:szCs w:val="24"/>
        </w:rPr>
        <w:t xml:space="preserve">全过程环境管理信息系统</w:t>
      </w:r>
      <w:r>
        <w:rPr>
          <w:rFonts w:hint="eastAsia" w:ascii="宋体" w:hAnsi="宋体" w:cs="Times New Roman"/>
          <w:sz w:val="24"/>
          <w:szCs w:val="24"/>
        </w:rPr>
        <w:t xml:space="preserve">的一般工业固废联网报送</w:t>
      </w:r>
      <w:r>
        <w:rPr>
          <w:rFonts w:ascii="宋体" w:hAnsi="宋体" w:cs="Times New Roman"/>
          <w:sz w:val="24"/>
          <w:szCs w:val="24"/>
        </w:rPr>
        <w:t xml:space="preserve">接口发生调整、变更，</w:t>
      </w:r>
      <w:r>
        <w:rPr>
          <w:rFonts w:hint="eastAsia" w:ascii="宋体" w:hAnsi="宋体" w:cs="Times New Roman"/>
          <w:sz w:val="24"/>
          <w:szCs w:val="24"/>
        </w:rPr>
        <w:t xml:space="preserve">成交</w:t>
      </w:r>
      <w:r>
        <w:rPr>
          <w:rFonts w:ascii="宋体" w:hAnsi="宋体" w:cs="Times New Roman"/>
          <w:sz w:val="24"/>
          <w:szCs w:val="24"/>
        </w:rPr>
        <w:t xml:space="preserve">供应商须及时响应并免费完成</w:t>
      </w:r>
      <w:r>
        <w:rPr>
          <w:rFonts w:hint="eastAsia" w:ascii="宋体" w:hAnsi="宋体" w:cs="Times New Roman"/>
          <w:sz w:val="24"/>
          <w:szCs w:val="24"/>
        </w:rPr>
        <w:t xml:space="preserve">功能与联网</w:t>
      </w:r>
      <w:r>
        <w:rPr>
          <w:rFonts w:ascii="宋体" w:hAnsi="宋体" w:cs="Times New Roman"/>
          <w:sz w:val="24"/>
          <w:szCs w:val="24"/>
        </w:rPr>
        <w:t xml:space="preserve">接口改造、适配调试工作，保障本项目系统与上级监管系统联网正常，相关改造产生的全部费用包含在合同总价内。</w:t>
      </w:r>
      <w:r>
        <w:rPr>
          <w:rFonts w:hint="eastAsia" w:ascii="宋体" w:hAnsi="宋体" w:cs="Times New Roman"/>
          <w:sz w:val="24"/>
          <w:szCs w:val="24"/>
        </w:rPr>
        <w:t xml:space="preserve">（提供承诺函）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4、供应商提供所投产品所有权属于江苏省生态环境监控中心（江苏省环境信息中心）。（提供承诺函）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5、保修期间发生的任何异常故障和损坏</w:t>
      </w:r>
      <w:r>
        <w:rPr>
          <w:rFonts w:ascii="宋体" w:hAnsi="宋体" w:cs="Times New Roman"/>
          <w:sz w:val="24"/>
          <w:szCs w:val="24"/>
        </w:rPr>
        <w:t xml:space="preserve">(人为损坏除外)</w:t>
      </w:r>
      <w:r>
        <w:rPr>
          <w:rFonts w:ascii="宋体" w:hAnsi="宋体" w:cs="Times New Roman"/>
          <w:sz w:val="24"/>
          <w:szCs w:val="24"/>
        </w:rPr>
        <w:t xml:space="preserve">引起的费用应由成交供应商负责。（提供承诺函）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6、供应商必须保证投标所涉及的软件不涉及版权问题，否则一切后果由供应商承担。（提供承诺函）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7、供应商需提供7×24小时运维服务，包括系统巡检、软件版本更新服务和与应用软件联调服务、运行故障的响应与处理、数据备份、用户咨询服务。（提供承诺</w:t>
      </w:r>
      <w:r>
        <w:rPr>
          <w:rFonts w:ascii="宋体" w:hAnsi="宋体" w:cs="Times New Roman"/>
          <w:sz w:val="24"/>
          <w:szCs w:val="24"/>
        </w:rPr>
        <w:t xml:space="preserve">函）</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8、质保期内须保障知识库政策更新入库、Skill小幅规则调整、智能体提示词校调和数据质量月报，纳入7×24小时运维和免费技术改进范围，不另计费用。（提供承诺函）</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十五、履约能力要求</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1、供应商具有2023年1月1日以来，承担并完成固体废物或危险废物全过程管理相关信息化项目。</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2、投标人具有自主研发能力，具备</w:t>
      </w:r>
      <w:bookmarkStart w:id="211" w:name="OLE_LINK10"/>
      <w:r/>
      <w:bookmarkStart w:id="212" w:name="OLE_LINK3"/>
      <w:r>
        <w:rPr>
          <w:rFonts w:ascii="宋体" w:hAnsi="宋体" w:cs="Times New Roman"/>
          <w:sz w:val="24"/>
          <w:szCs w:val="24"/>
        </w:rPr>
        <w:t xml:space="preserve">危险废物</w:t>
      </w:r>
      <w:bookmarkEnd w:id="211"/>
      <w:r/>
      <w:bookmarkEnd w:id="212"/>
      <w:r>
        <w:rPr>
          <w:rFonts w:ascii="宋体" w:hAnsi="宋体" w:cs="Times New Roman"/>
          <w:sz w:val="24"/>
          <w:szCs w:val="24"/>
        </w:rPr>
        <w:t xml:space="preserve">可追溯类、小微收集管理类、固废AI类相关软件著作权。</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3、为满足与江苏省生态环境智慧监管平台对接的要求，投标人应具有能够接入水、气、污染源、危废等生态环境数据技术能力和</w:t>
      </w:r>
      <w:r>
        <w:rPr>
          <w:rFonts w:hint="eastAsia" w:ascii="宋体" w:hAnsi="宋体" w:cs="Times New Roman"/>
          <w:sz w:val="24"/>
          <w:szCs w:val="24"/>
        </w:rPr>
        <w:t xml:space="preserve">与省级或市级生态环境监管平台对接</w:t>
      </w:r>
      <w:r>
        <w:rPr>
          <w:rFonts w:ascii="宋体" w:hAnsi="宋体" w:cs="Times New Roman"/>
          <w:sz w:val="24"/>
          <w:szCs w:val="24"/>
        </w:rPr>
        <w:t xml:space="preserve">集成能力。</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4、供应商应当为本项目提供专业的项目团队。项目经理具有三年以上（含三年）</w:t>
      </w:r>
      <w:r>
        <w:rPr>
          <w:rFonts w:ascii="宋体" w:hAnsi="宋体" w:cs="Times New Roman"/>
          <w:sz w:val="24"/>
          <w:szCs w:val="24"/>
        </w:rPr>
        <w:t xml:space="preserve">并</w:t>
      </w:r>
      <w:r>
        <w:rPr>
          <w:rFonts w:ascii="宋体" w:hAnsi="宋体" w:cs="Times New Roman"/>
          <w:sz w:val="24"/>
          <w:szCs w:val="24"/>
        </w:rPr>
        <w:t xml:space="preserve">承担过类似项目的项目管理工作经验，并具有系统集成项目管理工程师证书、中级及以上软件设计师证书、高级网络与信息安全工程师证书。项目技术负责人具有计算机</w:t>
      </w:r>
      <w:r>
        <w:rPr>
          <w:rFonts w:ascii="宋体" w:hAnsi="宋体" w:cs="Times New Roman"/>
          <w:sz w:val="24"/>
          <w:szCs w:val="24"/>
        </w:rPr>
        <w:t xml:space="preserve">类</w:t>
      </w:r>
      <w:r>
        <w:rPr>
          <w:rFonts w:ascii="宋体" w:hAnsi="宋体" w:cs="Times New Roman"/>
          <w:sz w:val="24"/>
          <w:szCs w:val="24"/>
        </w:rPr>
        <w:t xml:space="preserve">或环境工程类中级工程师及以上职称证书、系统集成项目管理工程师证书、高级人工智能应用工程师证书。项目团队其他成员（不含项目经理、项目技术负责人）具有信息系统项目管理师证书、软件设计师证书、网络工程师证书、数据库系统工程师证书、人工智能应用工程师证书，证明具有服务本项目的能力。</w:t>
      </w:r>
      <w:r/>
    </w:p>
    <w:p>
      <w:pPr>
        <w:keepLines/>
        <w:keepNext/>
        <w:spacing w:before="156" w:after="156" w:line="480" w:lineRule="exact"/>
        <w:rPr>
          <w:rFonts w:hint="eastAsia" w:ascii="宋体" w:hAnsi="宋体" w:cs="Times New Roman"/>
          <w:b/>
          <w:sz w:val="32"/>
          <w:szCs w:val="20"/>
          <w:highlight w:val="yellow"/>
        </w:rPr>
        <w:outlineLvl w:val="2"/>
      </w:pPr>
      <w:r>
        <w:rPr>
          <w:rFonts w:ascii="宋体" w:hAnsi="宋体" w:cs="Times New Roman"/>
          <w:b/>
          <w:sz w:val="32"/>
          <w:szCs w:val="20"/>
        </w:rPr>
        <w:t xml:space="preserve">十六、项目服务方案（不仅限于以下内容）</w:t>
      </w:r>
      <w:r/>
    </w:p>
    <w:p>
      <w:pPr>
        <w:ind w:firstLine="480"/>
        <w:spacing w:line="360" w:lineRule="auto"/>
        <w:rPr>
          <w:rFonts w:hint="eastAsia" w:ascii="宋体" w:hAnsi="宋体" w:cs="宋体"/>
          <w:sz w:val="24"/>
          <w:szCs w:val="24"/>
        </w:rPr>
      </w:pPr>
      <w:r/>
      <w:bookmarkStart w:id="213" w:name="OLE_LINK70"/>
      <w:r/>
      <w:bookmarkStart w:id="214" w:name="OLE_LINK69"/>
      <w:r>
        <w:rPr>
          <w:rFonts w:ascii="宋体" w:hAnsi="宋体" w:cs="宋体"/>
          <w:sz w:val="24"/>
          <w:szCs w:val="24"/>
        </w:rPr>
        <w:t xml:space="preserve">投标人应结合本项目的建设目标、业务现状与服务要求，围绕需求理解、系统功能、系统安全、项目管理、培训、售后服务等内容编制完整方案，保障项目各项建设内容合规落地。</w:t>
      </w:r>
      <w:bookmarkEnd w:id="213"/>
      <w:bookmarkEnd w:id="214"/>
      <w:r/>
    </w:p>
    <w:p>
      <w:pPr>
        <w:ind w:firstLine="480"/>
        <w:spacing w:line="360" w:lineRule="auto"/>
        <w:rPr>
          <w:rFonts w:hint="eastAsia" w:ascii="宋体" w:hAnsi="宋体" w:cs="宋体"/>
          <w:sz w:val="24"/>
          <w:szCs w:val="24"/>
        </w:rPr>
      </w:pPr>
      <w:r>
        <w:rPr>
          <w:rFonts w:ascii="宋体" w:hAnsi="宋体" w:cs="宋体"/>
          <w:sz w:val="24"/>
          <w:szCs w:val="22"/>
        </w:rPr>
        <w:t xml:space="preserve">（一） 需求理解方案。</w:t>
      </w:r>
      <w:r>
        <w:rPr>
          <w:rFonts w:ascii="宋体" w:hAnsi="宋体" w:cs="宋体"/>
          <w:sz w:val="24"/>
          <w:szCs w:val="24"/>
        </w:rPr>
        <w:t xml:space="preserve">投标人应根据招标文件项目背景、项目目标等要求制定需求理解方案，深度分析项目采购需求</w:t>
      </w:r>
      <w:bookmarkStart w:id="215" w:name="OLE_LINK33"/>
      <w:r/>
      <w:bookmarkStart w:id="216" w:name="OLE_LINK30"/>
      <w:r>
        <w:rPr>
          <w:rFonts w:ascii="宋体" w:hAnsi="宋体" w:cs="宋体"/>
          <w:sz w:val="24"/>
          <w:szCs w:val="24"/>
        </w:rPr>
        <w:t xml:space="preserve">，结合业务特点进行现状及问题分析、建设必要性分析、用户需求分析</w:t>
      </w:r>
      <w:bookmarkEnd w:id="215"/>
      <w:r/>
      <w:bookmarkEnd w:id="216"/>
      <w:r>
        <w:rPr>
          <w:rFonts w:ascii="宋体" w:hAnsi="宋体" w:cs="宋体"/>
          <w:sz w:val="24"/>
          <w:szCs w:val="24"/>
        </w:rPr>
        <w:t xml:space="preserve">。</w:t>
      </w:r>
      <w:r/>
    </w:p>
    <w:p>
      <w:pPr>
        <w:ind w:firstLine="480"/>
        <w:spacing w:line="360" w:lineRule="auto"/>
        <w:rPr>
          <w:rFonts w:hint="eastAsia" w:ascii="宋体" w:hAnsi="宋体" w:cs="宋体"/>
          <w:sz w:val="24"/>
          <w:szCs w:val="22"/>
        </w:rPr>
      </w:pPr>
      <w:r>
        <w:rPr>
          <w:rFonts w:ascii="宋体" w:hAnsi="宋体" w:cs="宋体"/>
          <w:sz w:val="24"/>
          <w:szCs w:val="22"/>
        </w:rPr>
        <w:t xml:space="preserve">（二）系统功能设计方案</w:t>
      </w:r>
      <w:r/>
    </w:p>
    <w:p>
      <w:pPr>
        <w:ind w:firstLine="480"/>
        <w:spacing w:line="360" w:lineRule="auto"/>
        <w:rPr>
          <w:rFonts w:hint="eastAsia" w:ascii="宋体" w:hAnsi="宋体" w:cs="宋体"/>
          <w:sz w:val="24"/>
          <w:szCs w:val="22"/>
        </w:rPr>
      </w:pPr>
      <w:r>
        <w:rPr>
          <w:rFonts w:ascii="宋体" w:hAnsi="宋体" w:cs="宋体"/>
          <w:sz w:val="24"/>
          <w:szCs w:val="22"/>
        </w:rPr>
        <w:t xml:space="preserve">1、</w:t>
      </w:r>
      <w:bookmarkStart w:id="217" w:name="OLE_LINK88"/>
      <w:r/>
      <w:bookmarkStart w:id="218" w:name="OLE_LINK89"/>
      <w:r>
        <w:rPr>
          <w:rFonts w:ascii="宋体" w:hAnsi="宋体" w:cs="宋体"/>
          <w:sz w:val="24"/>
          <w:szCs w:val="22"/>
        </w:rPr>
        <w:t xml:space="preserve">投标人应根据招标文件</w:t>
      </w:r>
      <w:bookmarkStart w:id="219" w:name="OLE_LINK97"/>
      <w:r/>
      <w:bookmarkStart w:id="220" w:name="OLE_LINK96"/>
      <w:r>
        <w:rPr>
          <w:rFonts w:ascii="宋体" w:hAnsi="宋体" w:cs="宋体"/>
          <w:sz w:val="24"/>
          <w:szCs w:val="22"/>
        </w:rPr>
        <w:t xml:space="preserve">“危险废物全生命周期规范应用提升”</w:t>
      </w:r>
      <w:bookmarkEnd w:id="219"/>
      <w:r/>
      <w:bookmarkEnd w:id="220"/>
      <w:r>
        <w:rPr>
          <w:rFonts w:ascii="宋体" w:hAnsi="宋体" w:cs="宋体"/>
          <w:sz w:val="24"/>
          <w:szCs w:val="22"/>
        </w:rPr>
        <w:t xml:space="preserve">建设要求编制设计方案</w:t>
      </w:r>
      <w:bookmarkEnd w:id="217"/>
      <w:r/>
      <w:bookmarkEnd w:id="218"/>
      <w:r>
        <w:rPr>
          <w:rFonts w:ascii="宋体" w:hAnsi="宋体" w:cs="宋体"/>
          <w:sz w:val="24"/>
          <w:szCs w:val="22"/>
        </w:rPr>
        <w:t xml:space="preserve">，至少包括危险废物管理优化、其他危险废物管理应用完善、小量收集数据</w:t>
      </w:r>
      <w:r>
        <w:rPr>
          <w:rFonts w:ascii="宋体" w:hAnsi="宋体" w:cs="宋体"/>
          <w:sz w:val="24"/>
          <w:szCs w:val="22"/>
        </w:rPr>
        <w:t xml:space="preserve">质量校验能力提升、省危险废物许可证电子证照对接、与国家危废系统数据互通规范化提升等内容。</w:t>
      </w:r>
      <w:r/>
    </w:p>
    <w:p>
      <w:pPr>
        <w:ind w:firstLine="480"/>
        <w:spacing w:line="360" w:lineRule="auto"/>
        <w:rPr>
          <w:rFonts w:hint="eastAsia" w:ascii="宋体" w:hAnsi="宋体" w:cs="宋体"/>
          <w:sz w:val="24"/>
          <w:szCs w:val="22"/>
        </w:rPr>
      </w:pPr>
      <w:r>
        <w:rPr>
          <w:rFonts w:ascii="宋体" w:hAnsi="宋体" w:cs="宋体"/>
          <w:sz w:val="24"/>
          <w:szCs w:val="22"/>
        </w:rPr>
        <w:t xml:space="preserve">2、投标人应根据招标文件</w:t>
      </w:r>
      <w:bookmarkStart w:id="221" w:name="OLE_LINK98"/>
      <w:r/>
      <w:bookmarkStart w:id="222" w:name="OLE_LINK99"/>
      <w:r>
        <w:rPr>
          <w:rFonts w:ascii="宋体" w:hAnsi="宋体" w:cs="宋体"/>
          <w:sz w:val="24"/>
          <w:szCs w:val="22"/>
        </w:rPr>
        <w:t xml:space="preserve">“危险废物数据智能化场景运用”</w:t>
      </w:r>
      <w:bookmarkEnd w:id="221"/>
      <w:r/>
      <w:bookmarkEnd w:id="222"/>
      <w:r>
        <w:rPr>
          <w:rFonts w:ascii="宋体" w:hAnsi="宋体" w:cs="宋体"/>
          <w:sz w:val="24"/>
          <w:szCs w:val="22"/>
        </w:rPr>
        <w:t xml:space="preserve">建设要求编制设计方案设计方案，至少包括危险废物经营许可证辅助审批、危险废物跨省转移商请辅助审核、一般工业固废跨省转入备案辅助审核、一般工业固废收集处置资质辅助审核以及固体废物智能客服等内容。</w:t>
      </w:r>
      <w:r/>
    </w:p>
    <w:p>
      <w:pPr>
        <w:ind w:firstLine="480"/>
        <w:spacing w:line="360" w:lineRule="auto"/>
        <w:rPr>
          <w:rFonts w:hint="eastAsia" w:ascii="宋体" w:hAnsi="宋体" w:cs="宋体"/>
          <w:sz w:val="24"/>
          <w:szCs w:val="22"/>
          <w:highlight w:val="yellow"/>
        </w:rPr>
      </w:pPr>
      <w:r>
        <w:rPr>
          <w:rFonts w:ascii="宋体" w:hAnsi="宋体" w:cs="宋体"/>
          <w:sz w:val="24"/>
          <w:szCs w:val="22"/>
        </w:rPr>
        <w:t xml:space="preserve">3、</w:t>
      </w:r>
      <w:bookmarkStart w:id="223" w:name="OLE_LINK80"/>
      <w:r/>
      <w:bookmarkStart w:id="224" w:name="OLE_LINK81"/>
      <w:r>
        <w:rPr>
          <w:rFonts w:ascii="宋体" w:hAnsi="宋体" w:cs="宋体"/>
          <w:sz w:val="24"/>
          <w:szCs w:val="22"/>
        </w:rPr>
        <w:t xml:space="preserve">投标人应根据招标文件“一般工业固废全过程管理”建设要求编制设计方案设计方案，至少包括</w:t>
      </w:r>
      <w:bookmarkEnd w:id="223"/>
      <w:r/>
      <w:bookmarkEnd w:id="224"/>
      <w:r>
        <w:rPr>
          <w:rFonts w:ascii="宋体" w:hAnsi="宋体" w:cs="宋体"/>
          <w:sz w:val="24"/>
          <w:szCs w:val="22"/>
        </w:rPr>
        <w:t xml:space="preserve">一般工业固废企业信息管理、一般工业固废电子台账管理、一般工业固废跨省转移管理、一般工业固废转移联单管理、长三角一般工业固废跨省转移数据共享等内容。</w:t>
      </w:r>
      <w:r/>
    </w:p>
    <w:p>
      <w:pPr>
        <w:ind w:firstLine="480"/>
        <w:spacing w:line="360" w:lineRule="auto"/>
        <w:rPr>
          <w:rFonts w:hint="eastAsia" w:ascii="宋体" w:hAnsi="宋体" w:cs="宋体"/>
          <w:sz w:val="24"/>
          <w:szCs w:val="22"/>
        </w:rPr>
      </w:pPr>
      <w:r>
        <w:rPr>
          <w:rFonts w:ascii="宋体" w:hAnsi="宋体" w:cs="宋体"/>
          <w:sz w:val="24"/>
          <w:szCs w:val="22"/>
        </w:rPr>
        <w:t xml:space="preserve">4、投标人应根据招标文件“‘无废城市’无废集团管理专题”建设要求编制设计方案设计方案，至少包括无废集团资质认定、无废集团业务接入、无废集团业务统计分析、无废集团规范化考核等内容。</w:t>
      </w:r>
      <w:r/>
    </w:p>
    <w:p>
      <w:pPr>
        <w:ind w:firstLine="480"/>
        <w:spacing w:line="360" w:lineRule="auto"/>
        <w:rPr>
          <w:rFonts w:hint="eastAsia" w:ascii="宋体" w:hAnsi="宋体" w:cs="宋体"/>
          <w:sz w:val="24"/>
          <w:szCs w:val="22"/>
        </w:rPr>
      </w:pPr>
      <w:r>
        <w:rPr>
          <w:rFonts w:ascii="宋体" w:hAnsi="宋体" w:cs="宋体"/>
          <w:sz w:val="24"/>
          <w:szCs w:val="22"/>
        </w:rPr>
        <w:t xml:space="preserve">（三）系统安全设计方案。</w:t>
      </w:r>
      <w:bookmarkStart w:id="225" w:name="OLE_LINK78"/>
      <w:r/>
      <w:bookmarkStart w:id="226" w:name="OLE_LINK79"/>
      <w:r/>
      <w:bookmarkStart w:id="227" w:name="OLE_LINK87"/>
      <w:r/>
      <w:bookmarkStart w:id="228" w:name="OLE_LINK123"/>
      <w:r>
        <w:rPr>
          <w:rFonts w:ascii="宋体" w:hAnsi="宋体" w:cs="宋体"/>
          <w:sz w:val="24"/>
          <w:szCs w:val="22"/>
        </w:rPr>
        <w:t xml:space="preserve">投标人应根据招标文件</w:t>
      </w:r>
      <w:bookmarkEnd w:id="225"/>
      <w:r/>
      <w:bookmarkEnd w:id="226"/>
      <w:r/>
      <w:bookmarkEnd w:id="227"/>
      <w:r>
        <w:rPr>
          <w:rFonts w:ascii="宋体" w:hAnsi="宋体" w:cs="宋体"/>
          <w:sz w:val="24"/>
          <w:szCs w:val="22"/>
        </w:rPr>
        <w:t xml:space="preserve">安全要求、网络要求、信创要求制定系统安全设计方案</w:t>
      </w:r>
      <w:bookmarkEnd w:id="228"/>
      <w:r>
        <w:rPr>
          <w:rFonts w:ascii="宋体" w:hAnsi="宋体" w:cs="宋体"/>
          <w:sz w:val="24"/>
          <w:szCs w:val="22"/>
        </w:rPr>
        <w:t xml:space="preserve">，至少包括安全保护总体设计、安全风险分析、安全技术体系、安全管理体系、安全运营体系等内容</w:t>
      </w:r>
      <w:bookmarkStart w:id="229" w:name="OLE_LINK34"/>
      <w:r/>
      <w:bookmarkStart w:id="230" w:name="OLE_LINK35"/>
      <w:r>
        <w:rPr>
          <w:rFonts w:ascii="宋体" w:hAnsi="宋体" w:cs="宋体"/>
          <w:sz w:val="24"/>
          <w:szCs w:val="22"/>
        </w:rPr>
        <w:t xml:space="preserve">，须按照“最小权限”原则、“最小化暴露攻击面”原则，重点阐述身份认证、</w:t>
      </w:r>
      <w:bookmarkStart w:id="231" w:name="OLE_LINK7"/>
      <w:r>
        <w:rPr>
          <w:rFonts w:ascii="宋体" w:hAnsi="宋体" w:cs="宋体"/>
          <w:sz w:val="24"/>
          <w:szCs w:val="22"/>
        </w:rPr>
        <w:t xml:space="preserve">访问控制、系统部署及跨网数据交互、数据传输及存储加密</w:t>
      </w:r>
      <w:bookmarkEnd w:id="231"/>
      <w:r>
        <w:rPr>
          <w:rFonts w:ascii="宋体" w:hAnsi="宋体" w:cs="宋体"/>
          <w:sz w:val="24"/>
          <w:szCs w:val="22"/>
        </w:rPr>
        <w:t xml:space="preserve">等方面的安全设计</w:t>
      </w:r>
      <w:bookmarkEnd w:id="229"/>
      <w:r/>
      <w:bookmarkEnd w:id="230"/>
      <w:r>
        <w:rPr>
          <w:rFonts w:ascii="宋体" w:hAnsi="宋体" w:cs="宋体"/>
          <w:sz w:val="24"/>
          <w:szCs w:val="22"/>
        </w:rPr>
        <w:t xml:space="preserve">。</w:t>
      </w:r>
      <w:r/>
    </w:p>
    <w:p>
      <w:pPr>
        <w:ind w:firstLine="482"/>
        <w:spacing w:line="440" w:lineRule="exact"/>
        <w:rPr>
          <w:rFonts w:hint="eastAsia" w:ascii="宋体" w:hAnsi="宋体" w:cs="Times New Roman"/>
          <w:sz w:val="24"/>
          <w:szCs w:val="24"/>
          <w:highlight w:val="yellow"/>
        </w:rPr>
      </w:pPr>
      <w:r>
        <w:rPr>
          <w:rFonts w:ascii="宋体" w:hAnsi="宋体" w:cs="Times New Roman"/>
          <w:sz w:val="24"/>
          <w:szCs w:val="24"/>
        </w:rPr>
        <w:t xml:space="preserve">（四）</w:t>
      </w:r>
      <w:bookmarkStart w:id="232" w:name="OLE_LINK36"/>
      <w:r/>
      <w:bookmarkStart w:id="233" w:name="OLE_LINK37"/>
      <w:r>
        <w:rPr>
          <w:rFonts w:ascii="宋体" w:hAnsi="宋体" w:cs="Times New Roman"/>
          <w:sz w:val="24"/>
          <w:szCs w:val="24"/>
        </w:rPr>
        <w:t xml:space="preserve">项目管理及质量保证方案。投标人应根据招标文件服务要求、项目团队要求、验收要求、项目文档要求、知识产权要求和保密要求等制定项目管理及质量保证方案，至少包括项目管理制度、进度计划安排、进度保障措施、质量保障措施（包括但不限于质量保障组织体系、质量保障管理体系、质量保障方法等）、风险分析及应对措施等内容，明确项目产出物权属、资料保密、人员保密管理相关内容，签订保密承诺，杜绝泄密、违规使用资料等行为。</w:t>
      </w:r>
      <w:bookmarkEnd w:id="232"/>
      <w:r/>
      <w:bookmarkEnd w:id="233"/>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（五）培训方案。投标人应根据招标文件培训要求制定培训方案，明确培训目标、培训内容、培训方式、培训质量保证等内容。</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（六）售后服务方案。投标人应根据招标文件售后服务要求制定售后服务方案，至少包括售后服务体系、服务内容、服务方式、服务承诺、响应能力等内容。</w:t>
      </w:r>
      <w:r/>
    </w:p>
    <w:p>
      <w:pPr>
        <w:keepLines/>
        <w:keepNext/>
        <w:spacing w:before="156" w:after="156" w:line="480" w:lineRule="exact"/>
        <w:rPr>
          <w:rFonts w:hint="eastAsia" w:ascii="宋体" w:hAnsi="宋体" w:cs="Times New Roman"/>
          <w:b/>
          <w:sz w:val="32"/>
          <w:szCs w:val="20"/>
        </w:rPr>
        <w:outlineLvl w:val="2"/>
      </w:pPr>
      <w:r>
        <w:rPr>
          <w:rFonts w:hint="eastAsia" w:ascii="宋体" w:hAnsi="宋体" w:cs="Times New Roman"/>
          <w:b/>
          <w:sz w:val="32"/>
          <w:szCs w:val="20"/>
        </w:rPr>
        <w:t xml:space="preserve">十七、演示要求</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供应商需按照磋商文件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演示内容如下：</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1．根据“危险废物全生命周期规范应用提升”建设要求，演示危险废物政府申报功能。</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①演示创建政府申报账户，政府工作人员凭账户登录系统，依次使用基础信息申报、危废信息申报、发起转移联单、一事一授权等功能；针对查获或来源不明的危险废物场景，可在线完成危废申报、打印危废标签，并查询入库操作记录。</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②演示政府用户发起危险废物转移联单，实现“五必查”留痕，动态跟踪转运状态直至联单签收；支持查询国家平台政府申报联网明细接口，完成转移联单向国家平台报送，同步查看报送结果。</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2．根据“危险废物数据智能化场景运用”建设要求，演示危险废物经营许可证辅助审批、数据分析功能。</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①演示对经营处置单位环评文件开展智能解析，自动提取固废相关章节有效数据，将提取内容与单位申报的固废信息比对，识别差异项，智能输出分析结论，辅助审批人员开展办件审查。</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②演示基于历史业务数据实现产废量趋势预测（含模型精度对比）、处置能力与缺口分析（含产能不足预警）及典型风险识别（如“应产未产”联动预警），体现从“看数”到“用数”的辅助决策能力。</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3．根据“一般工业固废全过程管理”建设要求，演示一般工业固废全过程管理功能。</w:t>
      </w:r>
      <w:r/>
    </w:p>
    <w:p>
      <w:pPr>
        <w:ind w:firstLine="482"/>
        <w:spacing w:line="440" w:lineRule="exact"/>
        <w:rPr>
          <w:rFonts w:hint="eastAsia" w:ascii="宋体" w:hAnsi="宋体" w:cs="Times New Roman"/>
          <w:sz w:val="24"/>
          <w:szCs w:val="24"/>
        </w:rPr>
      </w:pPr>
      <w:r>
        <w:rPr>
          <w:rFonts w:hint="eastAsia" w:ascii="宋体" w:hAnsi="宋体" w:cs="Times New Roman"/>
          <w:sz w:val="24"/>
          <w:szCs w:val="24"/>
        </w:rPr>
        <w:t xml:space="preserve">演示一般工业固废跨省利用备案、跨省转移贮存处置审批线上办理，可在线发起一般工业固废转移联单并实现全流程跟踪监控；面向小量一般工业固废数据对接场景，管理人员可维护对接主体信息，创建对接接口资源凭证，对凭证可访问的数据资源进行动态授权管理。</w:t>
      </w:r>
      <w:r/>
    </w:p>
    <w:p>
      <w:pPr>
        <w:keepLines/>
        <w:keepNext/>
        <w:spacing w:before="156" w:after="156" w:line="480" w:lineRule="exact"/>
        <w:rPr>
          <w:rFonts w:hint="eastAsia" w:ascii="宋体" w:hAnsi="宋体" w:cs="Times New Roman"/>
          <w:b/>
          <w:sz w:val="32"/>
          <w:szCs w:val="20"/>
        </w:rPr>
        <w:outlineLvl w:val="2"/>
      </w:pPr>
      <w:r>
        <w:rPr>
          <w:rFonts w:ascii="宋体" w:hAnsi="宋体" w:cs="Times New Roman"/>
          <w:b/>
          <w:sz w:val="32"/>
          <w:szCs w:val="20"/>
        </w:rPr>
        <w:t xml:space="preserve">十</w:t>
      </w:r>
      <w:r>
        <w:rPr>
          <w:rFonts w:hint="eastAsia" w:ascii="宋体" w:hAnsi="宋体" w:cs="Times New Roman"/>
          <w:b/>
          <w:sz w:val="32"/>
          <w:szCs w:val="20"/>
        </w:rPr>
        <w:t xml:space="preserve">八</w:t>
      </w:r>
      <w:r>
        <w:rPr>
          <w:rFonts w:ascii="宋体" w:hAnsi="宋体" w:cs="Times New Roman"/>
          <w:b/>
          <w:sz w:val="32"/>
          <w:szCs w:val="20"/>
        </w:rPr>
        <w:t xml:space="preserve">、政府采购中实施本国产品标准及相关政策</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（一）根据《国务院办公厅关于在政府采购中实施本国产品标准及相关政策的通</w:t>
      </w:r>
      <w:r>
        <w:rPr>
          <w:rFonts w:ascii="宋体" w:hAnsi="宋体" w:cs="Times New Roman"/>
          <w:sz w:val="24"/>
          <w:szCs w:val="24"/>
        </w:rPr>
        <w:t xml:space="preserve">知》（国办发〔2025〕34号）规定，本项目对采购本国产品给予政策支持，具体内容见招标文件“第五章 评标方法与评标标准”。</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二）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hint="eastAsia" w:ascii="宋体" w:hAnsi="宋体" w:cs="Times New Roman"/>
          <w:sz w:val="24"/>
          <w:szCs w:val="24"/>
        </w:rPr>
      </w:pPr>
      <w:r>
        <w:rPr>
          <w:rFonts w:ascii="宋体" w:hAnsi="宋体" w:cs="Times New Roman"/>
          <w:sz w:val="24"/>
          <w:szCs w:val="24"/>
        </w:rPr>
        <w:t xml:space="preserve">（三）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cs="Times New Roman"/>
          <w:szCs w:val="22"/>
        </w:rPr>
      </w:pPr>
      <w:r>
        <w:rPr>
          <w:rFonts w:cs="Times New Roman"/>
          <w:szCs w:val="22"/>
        </w:rPr>
      </w:r>
      <w:r/>
    </w:p>
    <w:p>
      <w:pPr>
        <w:rPr>
          <w:rFonts w:cs="Times New Roman"/>
          <w:b/>
          <w:sz w:val="24"/>
          <w:szCs w:val="24"/>
        </w:rPr>
      </w:pPr>
      <w:r>
        <w:rPr>
          <w:rFonts w:cs="Times New Roman"/>
          <w:b/>
          <w:sz w:val="24"/>
          <w:szCs w:val="24"/>
        </w:rPr>
      </w:r>
      <w:bookmarkEnd w:id="198"/>
      <w:bookmarkEnd w:id="199"/>
      <w:r/>
    </w:p>
    <w:p>
      <w:pPr>
        <w:jc w:val="left"/>
        <w:widowControl/>
        <w:rPr>
          <w:rFonts w:hint="eastAsia" w:ascii="宋体" w:hAnsi="宋体"/>
          <w:sz w:val="24"/>
          <w:szCs w:val="24"/>
        </w:rPr>
      </w:pPr>
      <w:r>
        <w:rPr>
          <w:rFonts w:hint="eastAsia" w:ascii="宋体" w:hAnsi="宋体"/>
          <w:sz w:val="24"/>
          <w:szCs w:val="24"/>
        </w:rPr>
        <w:br w:type="page" w:clear="all"/>
      </w:r>
      <w:r/>
    </w:p>
    <w:p>
      <w:pPr>
        <w:jc w:val="left"/>
        <w:widowControl/>
        <w:rPr>
          <w:rFonts w:hint="eastAsia" w:ascii="宋体" w:hAnsi="宋体"/>
          <w:sz w:val="24"/>
          <w:szCs w:val="24"/>
        </w:rPr>
      </w:pPr>
      <w:r>
        <w:rPr>
          <w:rFonts w:hint="eastAsia" w:ascii="宋体" w:hAnsi="宋体"/>
          <w:sz w:val="24"/>
          <w:szCs w:val="24"/>
        </w:rPr>
      </w:r>
      <w:r/>
    </w:p>
    <w:p>
      <w:pPr>
        <w:pStyle w:val="707"/>
        <w:rPr>
          <w:rFonts w:ascii="黑体" w:eastAsia="黑体"/>
          <w:bCs/>
          <w:sz w:val="44"/>
        </w:rPr>
      </w:pPr>
      <w:r/>
      <w:bookmarkStart w:id="234" w:name="_Toc239690745"/>
      <w:r>
        <w:rPr>
          <w:rFonts w:hint="eastAsia" w:ascii="黑体" w:eastAsia="黑体"/>
          <w:bCs/>
          <w:sz w:val="44"/>
        </w:rPr>
        <w:t xml:space="preserve">第五章  评标方法与评标标准</w:t>
      </w:r>
      <w:bookmarkEnd w:id="234"/>
      <w:r/>
      <w:r/>
    </w:p>
    <w:p>
      <w:r/>
      <w:r/>
    </w:p>
    <w:p>
      <w:pPr>
        <w:pStyle w:val="87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量化指标评审得分最高的投标人为中标候选人。</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3"/>
        <w:gridCol w:w="1701"/>
        <w:gridCol w:w="5656"/>
      </w:tblGrid>
      <w:tr>
        <w:trPr>
          <w:trHeight w:val="571"/>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p>
        </w:tc>
        <w:tc>
          <w:tcPr>
            <w:tcW w:w="5656"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rHeight w:val="584"/>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5656" w:type="dxa"/>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76"/>
        <w:ind w:firstLine="420"/>
        <w:spacing w:line="0" w:lineRule="atLeast"/>
        <w:rPr>
          <w:rFonts w:hint="eastAsia" w:ascii="宋体" w:hAnsi="宋体"/>
          <w:b/>
        </w:rPr>
      </w:pPr>
      <w:r>
        <w:rPr>
          <w:rFonts w:hint="eastAsia" w:ascii="宋体" w:hAnsi="宋体"/>
        </w:rPr>
        <w:t xml:space="preserve">本项目按照采购包各选取1名中标候选人。</w:t>
      </w:r>
      <w:r/>
    </w:p>
    <w:p>
      <w:pPr>
        <w:pStyle w:val="876"/>
        <w:ind w:firstLine="441"/>
        <w:spacing w:line="0" w:lineRule="atLeast"/>
        <w:rPr>
          <w:rFonts w:hint="eastAsia" w:ascii="宋体" w:hAnsi="宋体"/>
          <w:b/>
        </w:rPr>
      </w:pPr>
      <w:r>
        <w:rPr>
          <w:rFonts w:hint="eastAsia" w:ascii="宋体" w:hAnsi="宋体"/>
          <w:b/>
        </w:rPr>
        <w:t xml:space="preserve">政府采购政策功能落实</w:t>
      </w:r>
      <w:r/>
    </w:p>
    <w:p>
      <w:pPr>
        <w:pStyle w:val="876"/>
        <w:spacing w:line="0" w:lineRule="atLeast"/>
        <w:rPr>
          <w:rFonts w:hint="eastAsia" w:ascii="宋体" w:hAnsi="宋体"/>
        </w:rPr>
      </w:pPr>
      <w:r>
        <w:rPr>
          <w:rFonts w:hint="eastAsia" w:ascii="宋体" w:hAnsi="宋体"/>
        </w:rPr>
        <w:t xml:space="preserve">1、小微型企业价格扣除</w:t>
      </w:r>
      <w:r/>
    </w:p>
    <w:p>
      <w:pPr>
        <w:pStyle w:val="8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7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76"/>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p>
    <w:p>
      <w:pPr>
        <w:pStyle w:val="876"/>
        <w:spacing w:line="0" w:lineRule="atLeast"/>
        <w:rPr>
          <w:rFonts w:hint="eastAsia" w:ascii="宋体" w:hAnsi="宋体"/>
        </w:rPr>
      </w:pPr>
      <w:r>
        <w:rPr>
          <w:rFonts w:hint="eastAsia" w:ascii="宋体" w:hAnsi="宋体"/>
        </w:rPr>
        <w:t xml:space="preserve">2、残疾人福利单位价格扣除</w:t>
      </w:r>
      <w:r/>
    </w:p>
    <w:p>
      <w:pPr>
        <w:pStyle w:val="8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76"/>
        <w:spacing w:line="0" w:lineRule="atLeast"/>
        <w:rPr>
          <w:rFonts w:hint="eastAsia" w:ascii="宋体" w:hAnsi="宋体"/>
        </w:rPr>
      </w:pPr>
      <w:r>
        <w:rPr>
          <w:rFonts w:hint="eastAsia" w:ascii="宋体" w:hAnsi="宋体"/>
        </w:rPr>
        <w:t xml:space="preserve">3、监狱和戒毒企业价格扣除</w:t>
      </w:r>
      <w:r/>
    </w:p>
    <w:p>
      <w:pPr>
        <w:pStyle w:val="8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7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7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本项目采用综合评分法确定中标候选人。评标委员会将按下列评分办法和标准进行评分，总分值为100分。</w:t>
      </w:r>
      <w:r/>
    </w:p>
    <w:p>
      <w:pPr>
        <w:rPr>
          <w:b/>
          <w:sz w:val="24"/>
          <w:szCs w:val="24"/>
        </w:rPr>
      </w:pPr>
      <w:r>
        <w:rPr>
          <w:rFonts w:hint="eastAsia"/>
          <w:b/>
          <w:sz w:val="24"/>
          <w:szCs w:val="24"/>
        </w:rPr>
        <w:t xml:space="preserve">评审方法与评审标准</w:t>
      </w:r>
      <w:r/>
    </w:p>
    <w:tbl>
      <w:tblPr>
        <w:tblW w:w="5000" w:type="pct"/>
        <w:tblLook w:val="04A0" w:firstRow="1" w:lastRow="0" w:firstColumn="1" w:lastColumn="0" w:noHBand="0" w:noVBand="1"/>
      </w:tblPr>
      <w:tblGrid>
        <w:gridCol w:w="1007"/>
        <w:gridCol w:w="7509"/>
        <w:gridCol w:w="653"/>
      </w:tblGrid>
      <w:tr>
        <w:trPr>
          <w:trHeight w:val="480"/>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jc w:val="center"/>
              <w:widowControl/>
              <w:rPr>
                <w:rFonts w:hint="eastAsia" w:ascii="宋体" w:hAnsi="宋体" w:cs="宋体"/>
                <w:b/>
                <w:bCs/>
                <w:color w:val="000000"/>
              </w:rPr>
            </w:pPr>
            <w:r>
              <w:rPr>
                <w:rFonts w:ascii="宋体" w:hAnsi="宋体" w:cs="宋体"/>
                <w:b/>
                <w:bCs/>
                <w:color w:val="000000"/>
              </w:rPr>
              <w:t xml:space="preserve">评标内容</w:t>
            </w:r>
            <w:r/>
          </w:p>
        </w:tc>
        <w:tc>
          <w:tcPr>
            <w:tcBorders>
              <w:top w:val="single" w:color="auto" w:sz="4" w:space="0"/>
              <w:left w:val="none" w:color="000000" w:sz="4" w:space="0"/>
              <w:bottom w:val="single" w:color="auto" w:sz="4" w:space="0"/>
              <w:right w:val="single" w:color="auto" w:sz="4" w:space="0"/>
            </w:tcBorders>
            <w:tcW w:w="4095" w:type="pct"/>
            <w:vAlign w:val="center"/>
            <w:textDirection w:val="lrTb"/>
            <w:noWrap w:val="false"/>
          </w:tcPr>
          <w:p>
            <w:pPr>
              <w:jc w:val="center"/>
              <w:widowControl/>
              <w:rPr>
                <w:rFonts w:hint="eastAsia" w:ascii="宋体" w:hAnsi="宋体" w:cs="宋体"/>
                <w:b/>
                <w:bCs/>
                <w:color w:val="000000"/>
              </w:rPr>
            </w:pPr>
            <w:r>
              <w:rPr>
                <w:rFonts w:ascii="宋体" w:hAnsi="宋体" w:cs="宋体"/>
                <w:b/>
                <w:bCs/>
                <w:color w:val="000000"/>
              </w:rPr>
              <w:t xml:space="preserve">评标标准</w:t>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b/>
                <w:bCs/>
                <w:color w:val="000000"/>
              </w:rPr>
            </w:pPr>
            <w:r>
              <w:rPr>
                <w:rFonts w:ascii="宋体" w:hAnsi="宋体" w:cs="宋体"/>
                <w:b/>
                <w:bCs/>
                <w:color w:val="000000"/>
              </w:rPr>
              <w:t xml:space="preserve">分值</w:t>
            </w:r>
            <w:r/>
          </w:p>
        </w:tc>
      </w:tr>
      <w:tr>
        <w:trPr>
          <w:trHeight w:val="48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一、报价部分（10分）</w:t>
            </w:r>
            <w:r/>
          </w:p>
        </w:tc>
      </w:tr>
      <w:tr>
        <w:trPr>
          <w:trHeight w:val="810"/>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报价部分</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价格分采用低价优先法计算，即满足采购文件要求且报价最低的投标报价为评标基准价，其价格分为满分10分，其它投标人的价格分统一按照以下公式计算：投标报价得分=（评标基准价/该投标人的投标报价）×10分。分值保留小数点后2位。</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10</w:t>
            </w:r>
            <w:r/>
          </w:p>
        </w:tc>
      </w:tr>
      <w:tr>
        <w:trPr>
          <w:trHeight w:val="48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二、技术部分（</w:t>
            </w:r>
            <w:r>
              <w:rPr>
                <w:rFonts w:hint="eastAsia" w:ascii="宋体" w:hAnsi="宋体" w:cs="宋体"/>
                <w:color w:val="000000"/>
              </w:rPr>
              <w:t xml:space="preserve">50</w:t>
            </w:r>
            <w:r>
              <w:rPr>
                <w:rFonts w:ascii="宋体" w:hAnsi="宋体" w:cs="宋体"/>
                <w:color w:val="000000"/>
              </w:rPr>
              <w:t xml:space="preserve">分）</w:t>
            </w:r>
            <w:r/>
          </w:p>
        </w:tc>
      </w:tr>
      <w:tr>
        <w:trPr>
          <w:trHeight w:val="204"/>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2.1需求理解方案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35" w:name="RANGE!B5"/>
            <w:r>
              <w:rPr>
                <w:rFonts w:hint="eastAsia" w:ascii="宋体" w:hAnsi="宋体" w:cs="宋体"/>
                <w:color w:val="000000"/>
              </w:rPr>
              <w:t xml:space="preserve">2.1.1</w:t>
            </w:r>
            <w:r>
              <w:rPr>
                <w:rFonts w:ascii="宋体" w:hAnsi="宋体" w:cs="宋体"/>
                <w:color w:val="000000"/>
              </w:rPr>
              <w:t xml:space="preserve">（1）投标文件未符合“需求理解方案”中全部条款要求的，视为不符合招标文件，本项得0分；（2）投标文件基本符合“需求理解方案”中全部条款要求的，视为基本符合招标文件，本项得3分；（3）经评委认定，</w:t>
            </w:r>
            <w:bookmarkStart w:id="236" w:name="OLE_LINK50"/>
            <w:r/>
            <w:bookmarkStart w:id="237" w:name="OLE_LINK49"/>
            <w:r>
              <w:rPr>
                <w:rFonts w:hint="eastAsia" w:ascii="宋体" w:hAnsi="宋体" w:cs="宋体"/>
                <w:color w:val="000000"/>
              </w:rPr>
              <w:t xml:space="preserve">投标文件对“需求理解方案”中</w:t>
            </w:r>
            <w:bookmarkStart w:id="238" w:name="OLE_LINK28"/>
            <w:r/>
            <w:bookmarkStart w:id="239" w:name="OLE_LINK27"/>
            <w:r>
              <w:rPr>
                <w:rFonts w:hint="eastAsia" w:ascii="宋体" w:hAnsi="宋体" w:cs="宋体"/>
                <w:color w:val="000000"/>
              </w:rPr>
              <w:t xml:space="preserve">“现状及问题分析”、“用户需求分析”</w:t>
            </w:r>
            <w:bookmarkEnd w:id="238"/>
            <w:r/>
            <w:bookmarkEnd w:id="239"/>
            <w:r>
              <w:rPr>
                <w:rFonts w:hint="eastAsia" w:ascii="宋体" w:hAnsi="宋体" w:cs="宋体"/>
                <w:color w:val="000000"/>
              </w:rPr>
              <w:t xml:space="preserve">要求的响应内容全部优于招标文件要求的（投标文件对“需求理解方案”中除“现状及问题分析”、“用户需求分析”外其它要求响应内容符合招标文件要求）</w:t>
            </w:r>
            <w:bookmarkEnd w:id="236"/>
            <w:r/>
            <w:bookmarkEnd w:id="237"/>
            <w:r>
              <w:rPr>
                <w:rFonts w:hint="eastAsia" w:ascii="宋体" w:hAnsi="宋体" w:cs="宋体"/>
                <w:color w:val="000000"/>
              </w:rPr>
              <w:t xml:space="preserve">，</w:t>
            </w:r>
            <w:r>
              <w:rPr>
                <w:rFonts w:ascii="宋体" w:hAnsi="宋体" w:cs="宋体"/>
                <w:color w:val="000000"/>
              </w:rPr>
              <w:t xml:space="preserve">本项得5分。</w:t>
            </w:r>
            <w:bookmarkEnd w:id="235"/>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771"/>
        </w:trPr>
        <w:tc>
          <w:tcPr>
            <w:tcBorders>
              <w:top w:val="none" w:color="000000" w:sz="4" w:space="0"/>
              <w:left w:val="single" w:color="auto" w:sz="4" w:space="0"/>
              <w:right w:val="single" w:color="auto" w:sz="4" w:space="0"/>
            </w:tcBorders>
            <w:tcW w:w="549" w:type="pct"/>
            <w:vAlign w:val="center"/>
            <w:vMerge w:val="restart"/>
            <w:textDirection w:val="lrTb"/>
            <w:noWrap w:val="false"/>
          </w:tcPr>
          <w:p>
            <w:pPr>
              <w:widowControl/>
              <w:rPr>
                <w:rFonts w:hint="eastAsia" w:ascii="宋体" w:hAnsi="宋体" w:cs="宋体"/>
                <w:color w:val="000000"/>
              </w:rPr>
            </w:pPr>
            <w:r/>
            <w:bookmarkStart w:id="240" w:name="RANGE!A6"/>
            <w:r>
              <w:rPr>
                <w:rFonts w:ascii="宋体" w:hAnsi="宋体" w:cs="宋体"/>
                <w:color w:val="000000"/>
              </w:rPr>
              <w:t xml:space="preserve">2.2危险废物全生命周期规范应用提升设计方案</w:t>
            </w:r>
            <w:bookmarkEnd w:id="240"/>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41" w:name="RANGE!B6"/>
            <w:r>
              <w:rPr>
                <w:rFonts w:hint="eastAsia" w:ascii="宋体" w:hAnsi="宋体" w:cs="宋体"/>
                <w:color w:val="000000"/>
              </w:rPr>
              <w:t xml:space="preserve">2.2.1</w:t>
            </w:r>
            <w:bookmarkStart w:id="242" w:name="OLE_LINK32"/>
            <w:r/>
            <w:bookmarkStart w:id="243" w:name="OLE_LINK31"/>
            <w:r>
              <w:rPr>
                <w:rFonts w:ascii="宋体" w:hAnsi="宋体" w:cs="宋体"/>
                <w:color w:val="000000"/>
              </w:rPr>
              <w:t xml:space="preserve">（1）投标文件未符合“危险废物全生命周期规范应用提升设计方案”</w:t>
            </w:r>
            <w:bookmarkStart w:id="244" w:name="OLE_LINK47"/>
            <w:r>
              <w:rPr>
                <w:rFonts w:ascii="宋体" w:hAnsi="宋体" w:cs="宋体"/>
                <w:color w:val="000000"/>
              </w:rPr>
              <w:t xml:space="preserve">的“危险废物管理优化”</w:t>
            </w:r>
            <w:bookmarkEnd w:id="244"/>
            <w:r>
              <w:rPr>
                <w:rFonts w:ascii="宋体" w:hAnsi="宋体" w:cs="宋体"/>
                <w:color w:val="000000"/>
              </w:rPr>
              <w:t xml:space="preserve">中全部条款要求的，视为不符合招标文件，本项得0分；（2）投标文件基本符合“危险废物全生命周期规范应用提升设计方案” 的“危险废物管理优化”中全部条款要求的，视为基本符合招标文件，本项得3分；（3）经评委认定，</w:t>
            </w:r>
            <w:r>
              <w:rPr>
                <w:rFonts w:hint="eastAsia" w:ascii="宋体" w:hAnsi="宋体" w:cs="宋体"/>
                <w:color w:val="000000"/>
              </w:rPr>
              <w:t xml:space="preserve">投标文件对“危险废物全生命周期规范应用提升设计方案”</w:t>
            </w:r>
            <w:r>
              <w:rPr>
                <w:rFonts w:ascii="宋体" w:hAnsi="宋体" w:cs="宋体"/>
                <w:color w:val="000000"/>
              </w:rPr>
              <w:t xml:space="preserve"> </w:t>
            </w:r>
            <w:bookmarkStart w:id="245" w:name="OLE_LINK60"/>
            <w:r/>
            <w:bookmarkStart w:id="246" w:name="OLE_LINK61"/>
            <w:r>
              <w:rPr>
                <w:rFonts w:ascii="宋体" w:hAnsi="宋体" w:cs="宋体"/>
                <w:color w:val="000000"/>
              </w:rPr>
              <w:t xml:space="preserve">的“危险废物管理优化”</w:t>
            </w:r>
            <w:r>
              <w:rPr>
                <w:rFonts w:hint="eastAsia" w:ascii="宋体" w:hAnsi="宋体" w:cs="宋体"/>
                <w:color w:val="000000"/>
              </w:rPr>
              <w:t xml:space="preserve">中</w:t>
            </w:r>
            <w:bookmarkStart w:id="247" w:name="OLE_LINK59"/>
            <w:r/>
            <w:bookmarkStart w:id="248" w:name="OLE_LINK48"/>
            <w:r>
              <w:rPr>
                <w:rFonts w:hint="eastAsia" w:ascii="宋体" w:hAnsi="宋体" w:cs="宋体"/>
                <w:color w:val="000000"/>
              </w:rPr>
              <w:t xml:space="preserve">“危险废物全过程管理功能优化（电脑端）”</w:t>
            </w:r>
            <w:bookmarkEnd w:id="245"/>
            <w:r/>
            <w:bookmarkEnd w:id="246"/>
            <w:r/>
            <w:bookmarkEnd w:id="247"/>
            <w:r/>
            <w:bookmarkEnd w:id="248"/>
            <w:r>
              <w:rPr>
                <w:rFonts w:hint="eastAsia" w:ascii="宋体" w:hAnsi="宋体" w:cs="宋体"/>
                <w:color w:val="000000"/>
              </w:rPr>
              <w:t xml:space="preserve">要求的响应内容全部优于招标文件要求的（投标文件对“危险废物全生命周期规范应用提升设计方案”</w:t>
            </w:r>
            <w:r>
              <w:rPr>
                <w:rFonts w:hint="eastAsia"/>
              </w:rPr>
              <w:t xml:space="preserve"> </w:t>
            </w:r>
            <w:r>
              <w:rPr>
                <w:rFonts w:hint="eastAsia" w:ascii="宋体" w:hAnsi="宋体" w:cs="宋体"/>
                <w:color w:val="000000"/>
              </w:rPr>
              <w:t xml:space="preserve">的“危险废物管理优化”中“危险废物全过程管理功能优化（电脑端）”外其它要求响应内容符合招标文件要求）</w:t>
            </w:r>
            <w:r>
              <w:rPr>
                <w:rFonts w:ascii="宋体" w:hAnsi="宋体" w:cs="宋体"/>
                <w:color w:val="000000"/>
              </w:rPr>
              <w:t xml:space="preserve">，本项得5分。</w:t>
            </w:r>
            <w:bookmarkEnd w:id="241"/>
            <w:r/>
            <w:bookmarkEnd w:id="242"/>
            <w:r/>
            <w:bookmarkEnd w:id="243"/>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771"/>
        </w:trPr>
        <w:tc>
          <w:tcPr>
            <w:tcBorders>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2.2.2（1）投标文件未符合“危险废物全生命周期规范应用提升设计方案”的“小量收集数据质量校验能力提升”中全部条款要求的，视为不符合招标文件，本项得0分；</w:t>
            </w:r>
            <w:r>
              <w:rPr>
                <w:rFonts w:hint="eastAsia" w:ascii="宋体" w:hAnsi="宋体" w:cs="宋体"/>
                <w:color w:val="000000"/>
              </w:rPr>
              <w:t xml:space="preserve">（2）投标文件基本符合“危险废物全生命周期规范应用提升设计方案”的“小量收集数据质量校验能力提升”中全部条款要求的，视为基本符合招标文件，本项得3分；（3）经评委认定，投标文件对“危险废物全生命周期规范应用提升设计方案”的“小量收集数据质量校验能力提升”中“危险废物小微收集数据质量校验能力提升”要求的响应内容全部优于招标文件要求的（投标文件对“危险废物全生命周期规范应用提升设计方案”的“小量收集数据质量校验能力提升”中“危险废物小微收集数据质量校验能力提升”外其它要求响应内容符合招标文件要求），本项得5分。</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204"/>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2.3危险废物数据智能化场景运用设计方案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49" w:name="RANGE!B7"/>
            <w:r>
              <w:rPr>
                <w:rFonts w:hint="eastAsia" w:ascii="宋体" w:hAnsi="宋体" w:cs="宋体"/>
                <w:color w:val="000000"/>
              </w:rPr>
              <w:t xml:space="preserve">2.3.1</w:t>
            </w:r>
            <w:r>
              <w:rPr>
                <w:rFonts w:ascii="宋体" w:hAnsi="宋体" w:cs="宋体"/>
                <w:color w:val="000000"/>
              </w:rPr>
              <w:t xml:space="preserve">（1）投标文件未符合“危险废物数据智能化场景运用设计方案”中全部条款要求的，视为不符合招标文件，本项得0分；（2）投标文件基本符合“危险废物数据智能化场景运用设计方案”中全部条款要求的，视为基本符合招标文件，本项得3分；（3）经评委认定，</w:t>
            </w:r>
            <w:r>
              <w:rPr>
                <w:rFonts w:hint="eastAsia" w:ascii="宋体" w:hAnsi="宋体" w:cs="宋体"/>
                <w:color w:val="000000"/>
              </w:rPr>
              <w:t xml:space="preserve">投标文件对“危险废物数据智能化场景运用设计方案”中“固体废物智能客服”要求的响应内容全部优于招标文件要求的（投标文件对“危险废物数据智能化场景运用设计方案”中“固体废物智能客服”外其它要求响应内容符合招标文件要求），</w:t>
            </w:r>
            <w:r>
              <w:rPr>
                <w:rFonts w:ascii="宋体" w:hAnsi="宋体" w:cs="宋体"/>
                <w:color w:val="000000"/>
              </w:rPr>
              <w:t xml:space="preserve">本项得5分。</w:t>
            </w:r>
            <w:bookmarkEnd w:id="249"/>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1350"/>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bookmarkStart w:id="250" w:name="RANGE!A8"/>
            <w:r>
              <w:rPr>
                <w:rFonts w:ascii="宋体" w:hAnsi="宋体" w:cs="宋体"/>
                <w:color w:val="000000"/>
              </w:rPr>
              <w:t xml:space="preserve">2.4一般工业固废全过程管理设计方案</w:t>
            </w:r>
            <w:bookmarkEnd w:id="250"/>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51" w:name="RANGE!B8"/>
            <w:r>
              <w:rPr>
                <w:rFonts w:hint="eastAsia" w:ascii="宋体" w:hAnsi="宋体" w:cs="宋体"/>
                <w:color w:val="000000"/>
              </w:rPr>
              <w:t xml:space="preserve">2.4.1</w:t>
            </w:r>
            <w:r>
              <w:rPr>
                <w:rFonts w:ascii="宋体" w:hAnsi="宋体" w:cs="宋体"/>
                <w:color w:val="000000"/>
              </w:rPr>
              <w:t xml:space="preserve">（1）投标文件未符合“一般工业固废全过程管理设计方案”中全部条款要求的，视为不符合招标文件，本项得0分；（2）投标文件基本符合“一般工业固废全过程管理设计方案”中全部条款要求的，视为基本符合招标文件，本项得3分；（3）经评委认定，</w:t>
            </w:r>
            <w:r>
              <w:rPr>
                <w:rFonts w:hint="eastAsia" w:ascii="宋体" w:hAnsi="宋体" w:cs="宋体"/>
                <w:color w:val="000000"/>
              </w:rPr>
              <w:t xml:space="preserve">投标文件对“一般工业固废全过程管理设计方案”中“一般工业固废转移联单管理”、“长三角一般工业固废跨省转移数据共享”要求的响应内容全部优于招标文件要求的（投标文件对“一般工业固废全过程管理设计方案”中“一般工业固废转移联单管理”、“长三角一般工业固废跨省转移数据共享”外其它要求响应内容符合招标文件要求），</w:t>
            </w:r>
            <w:r>
              <w:rPr>
                <w:rFonts w:ascii="宋体" w:hAnsi="宋体" w:cs="宋体"/>
                <w:color w:val="000000"/>
              </w:rPr>
              <w:t xml:space="preserve">本项得5分。</w:t>
            </w:r>
            <w:bookmarkEnd w:id="251"/>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1080"/>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bookmarkStart w:id="252" w:name="RANGE!A9"/>
            <w:r>
              <w:rPr>
                <w:rFonts w:ascii="宋体" w:hAnsi="宋体" w:cs="宋体"/>
                <w:color w:val="000000"/>
              </w:rPr>
              <w:t xml:space="preserve">2.5“无废城市”无废集团管理专题设计方案</w:t>
            </w:r>
            <w:bookmarkEnd w:id="252"/>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53" w:name="RANGE!B9"/>
            <w:r>
              <w:rPr>
                <w:rFonts w:hint="eastAsia" w:ascii="宋体" w:hAnsi="宋体" w:cs="宋体"/>
                <w:color w:val="000000"/>
              </w:rPr>
              <w:t xml:space="preserve">2.5.1</w:t>
            </w:r>
            <w:r>
              <w:rPr>
                <w:rFonts w:ascii="宋体" w:hAnsi="宋体" w:cs="宋体"/>
                <w:color w:val="000000"/>
              </w:rPr>
              <w:t xml:space="preserve">（1）投标文件未符合“‘无废城市’无废集团管理专题设计方案”中全部条款要求的，视为不符合招标文件，本项得0分；（2）投标文件基本符合“‘无废城市’无废集团管理专题设计方案”中全部条款要求的，视为基本符合招标文件，本项得</w:t>
            </w:r>
            <w:r>
              <w:rPr>
                <w:rFonts w:hint="eastAsia" w:ascii="宋体" w:hAnsi="宋体" w:cs="宋体"/>
                <w:color w:val="000000"/>
              </w:rPr>
              <w:t xml:space="preserve">3</w:t>
            </w:r>
            <w:r>
              <w:rPr>
                <w:rFonts w:ascii="宋体" w:hAnsi="宋体" w:cs="宋体"/>
                <w:color w:val="000000"/>
              </w:rPr>
              <w:t xml:space="preserve">分；（3）经评委认定，</w:t>
            </w:r>
            <w:r>
              <w:rPr>
                <w:rFonts w:hint="eastAsia" w:ascii="宋体" w:hAnsi="宋体" w:cs="宋体"/>
                <w:color w:val="000000"/>
              </w:rPr>
              <w:t xml:space="preserve">投标文件对“‘无废城市’无废集团管理专题设计方案”中“无废集团资质认定”、“无废集团规范化考核”</w:t>
            </w:r>
            <w:bookmarkStart w:id="254" w:name="OLE_LINK8"/>
            <w:r>
              <w:rPr>
                <w:rFonts w:hint="eastAsia" w:ascii="宋体" w:hAnsi="宋体" w:cs="宋体"/>
                <w:color w:val="000000"/>
              </w:rPr>
              <w:t xml:space="preserve">要求的响应内容全部优于招标文件要求的（投标文件对“‘无废城市’无废集团管理专题设计方案”中“无废集团资质认定”、“无废集团规范化考核”外其它要求响应内容符合招标文件要求），</w:t>
            </w:r>
            <w:bookmarkEnd w:id="254"/>
            <w:r>
              <w:rPr>
                <w:rFonts w:ascii="宋体" w:hAnsi="宋体" w:cs="宋体"/>
                <w:color w:val="000000"/>
              </w:rPr>
              <w:t xml:space="preserve">本项得</w:t>
            </w:r>
            <w:r>
              <w:rPr>
                <w:rFonts w:hint="eastAsia" w:ascii="宋体" w:hAnsi="宋体" w:cs="宋体"/>
                <w:color w:val="000000"/>
              </w:rPr>
              <w:t xml:space="preserve">5</w:t>
            </w:r>
            <w:r>
              <w:rPr>
                <w:rFonts w:ascii="宋体" w:hAnsi="宋体" w:cs="宋体"/>
                <w:color w:val="000000"/>
              </w:rPr>
              <w:t xml:space="preserve">分。</w:t>
            </w:r>
            <w:bookmarkEnd w:id="253"/>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204"/>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2.6系统安全设计方案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55" w:name="RANGE!B10"/>
            <w:r>
              <w:rPr>
                <w:rFonts w:hint="eastAsia" w:ascii="宋体" w:hAnsi="宋体" w:cs="宋体"/>
                <w:color w:val="000000"/>
              </w:rPr>
              <w:t xml:space="preserve">2.6.1</w:t>
            </w:r>
            <w:r>
              <w:rPr>
                <w:rFonts w:ascii="宋体" w:hAnsi="宋体" w:cs="宋体"/>
                <w:color w:val="000000"/>
              </w:rPr>
              <w:t xml:space="preserve">（1）投标文件未符合“系统安全设计方案”中全部条款要求的，视为不符合招标文件，本项得0分；（2）投标文件基本符合“系统安全设计方案”中全部条款要求的，视为基本符合招标文件，本项得3分；（3）经评委认定，</w:t>
            </w:r>
            <w:bookmarkStart w:id="256" w:name="OLE_LINK52"/>
            <w:r/>
            <w:bookmarkStart w:id="257" w:name="OLE_LINK51"/>
            <w:r>
              <w:rPr>
                <w:rFonts w:ascii="宋体" w:hAnsi="宋体" w:cs="宋体"/>
                <w:color w:val="000000"/>
              </w:rPr>
              <w:t xml:space="preserve">投标文件</w:t>
            </w:r>
            <w:bookmarkStart w:id="258" w:name="OLE_LINK9"/>
            <w:r>
              <w:rPr>
                <w:rFonts w:ascii="宋体" w:hAnsi="宋体" w:cs="宋体"/>
                <w:color w:val="000000"/>
              </w:rPr>
              <w:t xml:space="preserve">“系统安全设计方案”中“</w:t>
            </w:r>
            <w:r>
              <w:rPr>
                <w:rFonts w:hint="eastAsia" w:ascii="宋体" w:hAnsi="宋体" w:cs="宋体"/>
                <w:color w:val="000000"/>
              </w:rPr>
              <w:t xml:space="preserve">访问控制</w:t>
            </w:r>
            <w:r>
              <w:rPr>
                <w:rFonts w:ascii="宋体" w:hAnsi="宋体" w:cs="宋体"/>
                <w:color w:val="000000"/>
              </w:rPr>
              <w:t xml:space="preserve">”</w:t>
            </w:r>
            <w:r>
              <w:rPr>
                <w:rFonts w:hint="eastAsia" w:ascii="宋体" w:hAnsi="宋体" w:cs="宋体"/>
                <w:color w:val="000000"/>
              </w:rPr>
              <w:t xml:space="preserve">、“系统部署及跨网数据交互”、“数据传输及存储加密”</w:t>
            </w:r>
            <w:r>
              <w:rPr>
                <w:rFonts w:hint="eastAsia"/>
              </w:rPr>
              <w:t xml:space="preserve"> </w:t>
            </w:r>
            <w:bookmarkEnd w:id="258"/>
            <w:r>
              <w:rPr>
                <w:rFonts w:hint="eastAsia" w:ascii="宋体" w:hAnsi="宋体" w:cs="宋体"/>
                <w:color w:val="000000"/>
              </w:rPr>
              <w:t xml:space="preserve">要求的响应内容全部优于招标文件要求的（投标文件对“系统安全设计方案”中“访问控制”、“系统部署及跨网数据交互”、“数据传输及存储加密”外其它要求响应内容符合招标文件要求），</w:t>
            </w:r>
            <w:bookmarkEnd w:id="256"/>
            <w:r/>
            <w:bookmarkEnd w:id="257"/>
            <w:r>
              <w:rPr>
                <w:rFonts w:ascii="宋体" w:hAnsi="宋体" w:cs="宋体"/>
                <w:color w:val="000000"/>
              </w:rPr>
              <w:t xml:space="preserve">本项得5分。</w:t>
            </w:r>
            <w:bookmarkEnd w:id="255"/>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346"/>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2.7项目管理及质量保证方案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59" w:name="RANGE!B11"/>
            <w:r>
              <w:rPr>
                <w:rFonts w:hint="eastAsia" w:ascii="宋体" w:hAnsi="宋体" w:cs="宋体"/>
                <w:color w:val="000000"/>
              </w:rPr>
              <w:t xml:space="preserve">2.7.1</w:t>
            </w:r>
            <w:r>
              <w:rPr>
                <w:rFonts w:ascii="宋体" w:hAnsi="宋体" w:cs="宋体"/>
                <w:color w:val="000000"/>
              </w:rPr>
              <w:t xml:space="preserve">（1）投标文件未符合“项目管理及质量保证方案”中全部条款要求的，，视为不符合招标文件，本项得0分；（2）投标文件基本符合“项目管理及质量保证方案”中全部条款要求的，视为基本符合招标文件，本项得3分；（3）经评委认定，投标文件</w:t>
            </w:r>
            <w:bookmarkStart w:id="260" w:name="OLE_LINK22"/>
            <w:r/>
            <w:bookmarkStart w:id="261" w:name="OLE_LINK21"/>
            <w:r>
              <w:rPr>
                <w:rFonts w:ascii="宋体" w:hAnsi="宋体" w:cs="宋体"/>
                <w:color w:val="000000"/>
              </w:rPr>
              <w:t xml:space="preserve">“项目管理及质量保证方案”中“项目管理制度”、</w:t>
            </w:r>
            <w:r>
              <w:rPr>
                <w:rFonts w:hint="eastAsia" w:ascii="宋体" w:hAnsi="宋体" w:cs="宋体"/>
                <w:color w:val="000000"/>
              </w:rPr>
              <w:t xml:space="preserve">“</w:t>
            </w:r>
            <w:r>
              <w:rPr>
                <w:rFonts w:ascii="宋体" w:hAnsi="宋体" w:cs="宋体"/>
                <w:color w:val="000000"/>
              </w:rPr>
              <w:t xml:space="preserve">进度计划安排</w:t>
            </w:r>
            <w:r>
              <w:rPr>
                <w:rFonts w:hint="eastAsia" w:ascii="宋体" w:hAnsi="宋体" w:cs="宋体"/>
                <w:color w:val="000000"/>
              </w:rPr>
              <w:t xml:space="preserve">”</w:t>
            </w:r>
            <w:bookmarkEnd w:id="260"/>
            <w:r/>
            <w:bookmarkEnd w:id="261"/>
            <w:r>
              <w:rPr>
                <w:rFonts w:ascii="宋体" w:hAnsi="宋体" w:cs="宋体"/>
                <w:color w:val="000000"/>
              </w:rPr>
              <w:t xml:space="preserve">的响应内容并优于招标文件要求的，</w:t>
            </w:r>
            <w:r>
              <w:rPr>
                <w:rFonts w:hint="eastAsia" w:ascii="宋体" w:hAnsi="宋体" w:cs="宋体"/>
                <w:color w:val="000000"/>
              </w:rPr>
              <w:t xml:space="preserve">（投标文件对“项目管理及质量保证方案”中“项目管理制度”、“进度计划安排”外其它要求响应内容符合招标文件要求）</w:t>
            </w:r>
            <w:r>
              <w:rPr>
                <w:rFonts w:ascii="宋体" w:hAnsi="宋体" w:cs="宋体"/>
                <w:color w:val="000000"/>
              </w:rPr>
              <w:t xml:space="preserve">本项得5分。</w:t>
            </w:r>
            <w:bookmarkEnd w:id="259"/>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204"/>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2.8培训方案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62" w:name="RANGE!B12"/>
            <w:r>
              <w:rPr>
                <w:rFonts w:hint="eastAsia" w:ascii="宋体" w:hAnsi="宋体" w:cs="宋体"/>
                <w:color w:val="000000"/>
              </w:rPr>
              <w:t xml:space="preserve">2.8.1</w:t>
            </w:r>
            <w:r>
              <w:rPr>
                <w:rFonts w:ascii="宋体" w:hAnsi="宋体" w:cs="宋体"/>
                <w:color w:val="000000"/>
              </w:rPr>
              <w:t xml:space="preserve">（1）投标文件未符合“培训方案”中全部条款要求的，视为不符合招标文件，本项得0分；（2）投标文件基本符合“培训方案”中全部条款要求的，视为符合招标文件，本项得</w:t>
            </w:r>
            <w:r>
              <w:rPr>
                <w:rFonts w:hint="eastAsia" w:ascii="宋体" w:hAnsi="宋体" w:cs="宋体"/>
                <w:color w:val="000000"/>
              </w:rPr>
              <w:t xml:space="preserve">3</w:t>
            </w:r>
            <w:r>
              <w:rPr>
                <w:rFonts w:ascii="宋体" w:hAnsi="宋体" w:cs="宋体"/>
                <w:color w:val="000000"/>
              </w:rPr>
              <w:t xml:space="preserve">分；（3）经评委认定，</w:t>
            </w:r>
            <w:bookmarkStart w:id="263" w:name="OLE_LINK53"/>
            <w:r>
              <w:rPr>
                <w:rFonts w:hint="eastAsia" w:ascii="宋体" w:hAnsi="宋体" w:cs="宋体"/>
                <w:color w:val="000000"/>
              </w:rPr>
              <w:t xml:space="preserve">投标文件对“培训方案”中“培训人员”、“培训规模”、“培训频次”</w:t>
            </w:r>
            <w:bookmarkStart w:id="264" w:name="OLE_LINK15"/>
            <w:r/>
            <w:bookmarkStart w:id="265" w:name="OLE_LINK14"/>
            <w:r>
              <w:rPr>
                <w:rFonts w:hint="eastAsia" w:ascii="宋体" w:hAnsi="宋体" w:cs="宋体"/>
                <w:color w:val="000000"/>
              </w:rPr>
              <w:t xml:space="preserve">要求的响应内容全部优于招标文件要求的</w:t>
            </w:r>
            <w:bookmarkStart w:id="266" w:name="OLE_LINK19"/>
            <w:r/>
            <w:bookmarkStart w:id="267" w:name="OLE_LINK20"/>
            <w:r>
              <w:rPr>
                <w:rFonts w:hint="eastAsia" w:ascii="宋体" w:hAnsi="宋体" w:cs="宋体"/>
                <w:color w:val="000000"/>
              </w:rPr>
              <w:t xml:space="preserve">（投标文件对“培训方案”中“培训人员”、“培训规模”、“培训频次”外其它要求响应内容符合招标文件要求）</w:t>
            </w:r>
            <w:bookmarkEnd w:id="263"/>
            <w:r/>
            <w:bookmarkEnd w:id="264"/>
            <w:r/>
            <w:bookmarkEnd w:id="265"/>
            <w:r/>
            <w:bookmarkEnd w:id="266"/>
            <w:r/>
            <w:bookmarkEnd w:id="267"/>
            <w:r>
              <w:rPr>
                <w:rFonts w:hint="eastAsia" w:ascii="宋体" w:hAnsi="宋体" w:cs="宋体"/>
                <w:color w:val="000000"/>
              </w:rPr>
              <w:t xml:space="preserve">，</w:t>
            </w:r>
            <w:r>
              <w:rPr>
                <w:rFonts w:ascii="宋体" w:hAnsi="宋体" w:cs="宋体"/>
                <w:color w:val="000000"/>
              </w:rPr>
              <w:t xml:space="preserve">本项得5分。</w:t>
            </w:r>
            <w:bookmarkEnd w:id="262"/>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204"/>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9</w:t>
            </w:r>
            <w:r>
              <w:rPr>
                <w:rFonts w:ascii="宋体" w:hAnsi="宋体" w:cs="宋体"/>
                <w:color w:val="000000"/>
              </w:rPr>
              <w:t xml:space="preserve">售后服务方案</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bookmarkStart w:id="268" w:name="RANGE!B14"/>
            <w:r>
              <w:rPr>
                <w:rFonts w:hint="eastAsia" w:ascii="宋体" w:hAnsi="宋体" w:cs="宋体"/>
                <w:color w:val="000000"/>
              </w:rPr>
              <w:t xml:space="preserve">2.9.1</w:t>
            </w:r>
            <w:r>
              <w:rPr>
                <w:rFonts w:ascii="宋体" w:hAnsi="宋体" w:cs="宋体"/>
                <w:color w:val="000000"/>
              </w:rPr>
              <w:t xml:space="preserve">（1）投标文件未符合“售后服务方案”中全部条款要求的，视为不符合招标文件，本项得0分；（2）投标文件基本符合“售后服务方案”中全部条款要求的，视为基本符合招标文件，本项得3分；（3）</w:t>
            </w:r>
            <w:bookmarkStart w:id="269" w:name="OLE_LINK54"/>
            <w:r/>
            <w:bookmarkStart w:id="270" w:name="OLE_LINK55"/>
            <w:r>
              <w:rPr>
                <w:rFonts w:ascii="宋体" w:hAnsi="宋体" w:cs="宋体"/>
                <w:color w:val="000000"/>
              </w:rPr>
              <w:t xml:space="preserve">经评委认定，投标文件对</w:t>
            </w:r>
            <w:bookmarkStart w:id="271" w:name="OLE_LINK16"/>
            <w:r/>
            <w:bookmarkStart w:id="272" w:name="OLE_LINK17"/>
            <w:r>
              <w:rPr>
                <w:rFonts w:ascii="宋体" w:hAnsi="宋体" w:cs="宋体"/>
                <w:color w:val="000000"/>
              </w:rPr>
              <w:t xml:space="preserve">“售后服务方案”中</w:t>
            </w:r>
            <w:r>
              <w:rPr>
                <w:rFonts w:hint="eastAsia" w:ascii="宋体" w:hAnsi="宋体" w:cs="宋体"/>
                <w:color w:val="000000"/>
              </w:rPr>
              <w:t xml:space="preserve">“售后服务体系”、</w:t>
            </w:r>
            <w:r>
              <w:rPr>
                <w:rFonts w:hint="eastAsia" w:ascii="宋体" w:hAnsi="宋体" w:cs="宋体"/>
                <w:color w:val="000000"/>
              </w:rPr>
              <w:t xml:space="preserve">“</w:t>
            </w:r>
            <w:r>
              <w:rPr>
                <w:rFonts w:hint="eastAsia"/>
              </w:rPr>
              <w:t xml:space="preserve"> </w:t>
            </w:r>
            <w:r>
              <w:rPr>
                <w:rFonts w:ascii="宋体" w:hAnsi="宋体" w:cs="宋体"/>
                <w:color w:val="000000"/>
              </w:rPr>
              <w:t xml:space="preserve">服务内容</w:t>
            </w:r>
            <w:r>
              <w:rPr>
                <w:rFonts w:hint="eastAsia" w:ascii="宋体" w:hAnsi="宋体" w:cs="宋体"/>
                <w:color w:val="000000"/>
              </w:rPr>
              <w:t xml:space="preserve">”、“响应能力”</w:t>
            </w:r>
            <w:bookmarkEnd w:id="271"/>
            <w:r/>
            <w:bookmarkEnd w:id="272"/>
            <w:r>
              <w:rPr>
                <w:rFonts w:hint="eastAsia" w:ascii="宋体" w:hAnsi="宋体" w:cs="宋体"/>
                <w:color w:val="000000"/>
              </w:rPr>
              <w:t xml:space="preserve">要求的响应内容全部优于招标文件要求的（投标文件对“售后服务方案”中“售后服务体系”、“</w:t>
            </w:r>
            <w:r>
              <w:rPr>
                <w:rFonts w:ascii="宋体" w:hAnsi="宋体" w:cs="宋体"/>
                <w:color w:val="000000"/>
              </w:rPr>
              <w:t xml:space="preserve">服务内容</w:t>
            </w:r>
            <w:r>
              <w:rPr>
                <w:rFonts w:hint="eastAsia" w:ascii="宋体" w:hAnsi="宋体" w:cs="宋体"/>
                <w:color w:val="000000"/>
              </w:rPr>
              <w:t xml:space="preserve">”、“响应能力”外其它要求响应内容符合招标文件要求）</w:t>
            </w:r>
            <w:bookmarkEnd w:id="269"/>
            <w:r/>
            <w:bookmarkEnd w:id="270"/>
            <w:r>
              <w:rPr>
                <w:rFonts w:ascii="宋体" w:hAnsi="宋体" w:cs="宋体"/>
                <w:color w:val="000000"/>
              </w:rPr>
              <w:t xml:space="preserve">，本项得5分。</w:t>
            </w:r>
            <w:bookmarkEnd w:id="268"/>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5</w:t>
            </w:r>
            <w:r/>
          </w:p>
        </w:tc>
      </w:tr>
      <w:tr>
        <w:trPr>
          <w:trHeight w:val="48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三、商务部分（</w:t>
            </w:r>
            <w:r>
              <w:rPr>
                <w:rFonts w:hint="eastAsia" w:ascii="宋体" w:hAnsi="宋体" w:cs="宋体"/>
                <w:color w:val="000000"/>
              </w:rPr>
              <w:t xml:space="preserve">3</w:t>
            </w:r>
            <w:r>
              <w:rPr>
                <w:rFonts w:hint="eastAsia" w:ascii="宋体" w:hAnsi="宋体" w:cs="宋体"/>
                <w:color w:val="000000"/>
              </w:rPr>
              <w:t xml:space="preserve">0</w:t>
            </w:r>
            <w:r>
              <w:rPr>
                <w:rFonts w:ascii="宋体" w:hAnsi="宋体" w:cs="宋体"/>
                <w:color w:val="000000"/>
              </w:rPr>
              <w:t xml:space="preserve">分）</w:t>
            </w:r>
            <w:r/>
          </w:p>
        </w:tc>
      </w:tr>
      <w:tr>
        <w:trPr>
          <w:trHeight w:val="274"/>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jc w:val="left"/>
              <w:widowControl/>
              <w:rPr>
                <w:rFonts w:hint="eastAsia" w:ascii="宋体" w:hAnsi="宋体" w:cs="宋体"/>
                <w:color w:val="000000"/>
              </w:rPr>
            </w:pPr>
            <w:r>
              <w:rPr>
                <w:rFonts w:ascii="宋体" w:hAnsi="宋体" w:cs="宋体"/>
                <w:color w:val="000000"/>
              </w:rPr>
              <w:t xml:space="preserve">3.1企业资质</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rPr>
            </w:pPr>
            <w:r/>
            <w:bookmarkStart w:id="273" w:name="RANGE!B17"/>
            <w:r>
              <w:rPr>
                <w:rFonts w:ascii="宋体" w:hAnsi="宋体" w:cs="宋体"/>
              </w:rPr>
              <w:t xml:space="preserve">3.1.</w:t>
            </w:r>
            <w:bookmarkStart w:id="274" w:name="OLE_LINK2"/>
            <w:r/>
            <w:bookmarkStart w:id="275" w:name="OLE_LINK11"/>
            <w:r>
              <w:rPr>
                <w:rFonts w:hint="eastAsia" w:ascii="宋体" w:hAnsi="宋体" w:cs="宋体"/>
              </w:rPr>
              <w:t xml:space="preserve">1</w:t>
            </w:r>
            <w:r>
              <w:rPr>
                <w:rFonts w:ascii="宋体" w:hAnsi="宋体" w:cs="宋体"/>
              </w:rPr>
              <w:t xml:space="preserve">投标人具有能够接入水、气、污染源、危废等生态环境数据技术能力和</w:t>
            </w:r>
            <w:r>
              <w:rPr>
                <w:rFonts w:hint="eastAsia" w:ascii="宋体" w:hAnsi="宋体" w:cs="宋体"/>
              </w:rPr>
              <w:t xml:space="preserve">与</w:t>
            </w:r>
            <w:r>
              <w:rPr>
                <w:rFonts w:ascii="宋体" w:hAnsi="宋体" w:cs="宋体"/>
              </w:rPr>
              <w:t xml:space="preserve">省级或市级生态环境监管平台对接</w:t>
            </w:r>
            <w:r>
              <w:rPr>
                <w:rFonts w:ascii="宋体" w:hAnsi="宋体" w:cs="宋体"/>
              </w:rPr>
              <w:t xml:space="preserve">集成能力</w:t>
            </w:r>
            <w:bookmarkEnd w:id="274"/>
            <w:r/>
            <w:bookmarkEnd w:id="275"/>
            <w:r>
              <w:rPr>
                <w:rFonts w:ascii="宋体" w:hAnsi="宋体" w:cs="宋体"/>
              </w:rPr>
              <w:t xml:space="preserve">，本项得</w:t>
            </w:r>
            <w:r>
              <w:rPr>
                <w:rFonts w:hint="eastAsia" w:ascii="宋体" w:hAnsi="宋体" w:cs="宋体"/>
              </w:rPr>
              <w:t xml:space="preserve">2</w:t>
            </w:r>
            <w:r>
              <w:rPr>
                <w:rFonts w:ascii="宋体" w:hAnsi="宋体" w:cs="宋体"/>
              </w:rPr>
              <w:t xml:space="preserve">分。（投标人须提供</w:t>
            </w:r>
            <w:r>
              <w:rPr>
                <w:rFonts w:hint="eastAsia" w:ascii="宋体" w:hAnsi="宋体" w:cs="宋体"/>
              </w:rPr>
              <w:t xml:space="preserve">与省级或市级生态环境监管平台对接的通用技术方案及类似数据集成项目业绩证明</w:t>
            </w:r>
            <w:r>
              <w:rPr>
                <w:rFonts w:ascii="宋体" w:hAnsi="宋体" w:cs="宋体"/>
              </w:rPr>
              <w:t xml:space="preserve">复印件，</w:t>
            </w:r>
            <w:r>
              <w:rPr>
                <w:rFonts w:ascii="宋体" w:hAnsi="宋体" w:cs="宋体"/>
              </w:rPr>
              <w:t xml:space="preserve">业绩证明</w:t>
            </w:r>
            <w:r>
              <w:rPr>
                <w:rFonts w:ascii="宋体" w:hAnsi="宋体" w:cs="宋体"/>
              </w:rPr>
              <w:t xml:space="preserve">包括合同、验收报告</w:t>
            </w:r>
            <w:r>
              <w:rPr>
                <w:rFonts w:hint="eastAsia" w:ascii="宋体" w:hAnsi="宋体" w:cs="宋体"/>
              </w:rPr>
              <w:t xml:space="preserve">（或</w:t>
            </w:r>
            <w:r>
              <w:rPr>
                <w:rFonts w:ascii="宋体" w:hAnsi="宋体" w:cs="宋体"/>
              </w:rPr>
              <w:t xml:space="preserve">用户证明</w:t>
            </w:r>
            <w:r>
              <w:rPr>
                <w:rFonts w:hint="eastAsia" w:ascii="宋体" w:hAnsi="宋体" w:cs="宋体"/>
              </w:rPr>
              <w:t xml:space="preserve">文件）</w:t>
            </w:r>
            <w:r>
              <w:rPr>
                <w:rFonts w:ascii="宋体" w:hAnsi="宋体" w:cs="宋体"/>
              </w:rPr>
              <w:t xml:space="preserve">等材料，并加</w:t>
            </w:r>
            <w:r>
              <w:rPr>
                <w:rFonts w:ascii="宋体" w:hAnsi="宋体" w:cs="宋体"/>
              </w:rPr>
              <w:t xml:space="preserve">盖投标人公章，不提供则不得分）。</w:t>
            </w:r>
            <w:bookmarkEnd w:id="273"/>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r>
      <w:tr>
        <w:trPr>
          <w:trHeight w:val="1350"/>
        </w:trPr>
        <w:tc>
          <w:tcPr>
            <w:tcBorders>
              <w:top w:val="none" w:color="000000" w:sz="4" w:space="0"/>
              <w:left w:val="single" w:color="auto" w:sz="4" w:space="0"/>
              <w:bottom w:val="none" w:color="000000" w:sz="4" w:space="0"/>
              <w:right w:val="single" w:color="auto" w:sz="4" w:space="0"/>
            </w:tcBorders>
            <w:tcW w:w="549" w:type="pct"/>
            <w:vAlign w:val="center"/>
            <w:textDirection w:val="lrTb"/>
            <w:noWrap w:val="false"/>
          </w:tcPr>
          <w:p>
            <w:pPr>
              <w:jc w:val="left"/>
              <w:widowControl/>
              <w:rPr>
                <w:rFonts w:hint="eastAsia" w:ascii="宋体" w:hAnsi="宋体" w:cs="宋体"/>
                <w:color w:val="000000"/>
              </w:rPr>
            </w:pPr>
            <w:r>
              <w:rPr>
                <w:rFonts w:ascii="宋体" w:hAnsi="宋体" w:cs="宋体"/>
                <w:color w:val="000000"/>
              </w:rPr>
              <w:t xml:space="preserve">3.2 综合实力</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rPr>
            </w:pPr>
            <w:r>
              <w:rPr>
                <w:rFonts w:ascii="宋体" w:hAnsi="宋体" w:cs="宋体"/>
              </w:rPr>
              <w:t xml:space="preserve">3.2.1 投标人提供与本次项目相关的计算机软件著作权证书，证书包含危险废物可追溯类、小微收集管理类、固废AI类相关能力的，</w:t>
            </w:r>
            <w:bookmarkStart w:id="276" w:name="OLE_LINK39"/>
            <w:r/>
            <w:bookmarkStart w:id="277" w:name="OLE_LINK40"/>
            <w:r>
              <w:rPr>
                <w:rFonts w:ascii="宋体" w:hAnsi="宋体" w:cs="宋体"/>
              </w:rPr>
              <w:t xml:space="preserve">每提供1个类型证书得1分，本项最高得</w:t>
            </w:r>
            <w:r>
              <w:rPr>
                <w:rFonts w:hint="eastAsia" w:ascii="宋体" w:hAnsi="宋体" w:cs="宋体"/>
              </w:rPr>
              <w:t xml:space="preserve">3</w:t>
            </w:r>
            <w:r>
              <w:rPr>
                <w:rFonts w:ascii="宋体" w:hAnsi="宋体" w:cs="宋体"/>
              </w:rPr>
              <w:t xml:space="preserve">分（证书须为投标人自主研发，投标人须提供证书复印件并加盖投标人公章，不提供则不得分。</w:t>
            </w:r>
            <w:bookmarkEnd w:id="276"/>
            <w:r/>
            <w:bookmarkEnd w:id="277"/>
            <w:r>
              <w:rPr>
                <w:rFonts w:ascii="宋体" w:hAnsi="宋体" w:cs="宋体"/>
              </w:rPr>
              <w:t xml:space="preserve">如投标文件中提供的著作权名称表述与招标文件描述的</w:t>
            </w:r>
            <w:r>
              <w:rPr>
                <w:rFonts w:hint="eastAsia" w:ascii="宋体" w:hAnsi="宋体" w:cs="宋体"/>
              </w:rPr>
              <w:t xml:space="preserve">关键字样</w:t>
            </w:r>
            <w:r>
              <w:rPr>
                <w:rFonts w:ascii="宋体" w:hAnsi="宋体" w:cs="宋体"/>
              </w:rPr>
              <w:t xml:space="preserve">不一致，而该投标文件中能证明投标人拥有的软件著作权具有相同或相似功能和效果，且评标委员会认可的，视同符合要求）</w:t>
            </w:r>
            <w:r>
              <w:rPr>
                <w:rFonts w:hint="eastAsia" w:ascii="宋体" w:hAnsi="宋体" w:cs="宋体"/>
              </w:rPr>
              <w:t xml:space="preserve">。</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r>
      <w:tr>
        <w:trPr>
          <w:trHeight w:val="810"/>
        </w:trPr>
        <w:tc>
          <w:tcPr>
            <w:tcBorders>
              <w:top w:val="single" w:color="auto" w:sz="4" w:space="0"/>
              <w:left w:val="single" w:color="auto" w:sz="4" w:space="0"/>
              <w:bottom w:val="none" w:color="000000" w:sz="4" w:space="0"/>
              <w:right w:val="single" w:color="auto" w:sz="4" w:space="0"/>
            </w:tcBorders>
            <w:tcW w:w="549" w:type="pct"/>
            <w:vAlign w:val="center"/>
            <w:textDirection w:val="lrTb"/>
            <w:noWrap w:val="false"/>
          </w:tcPr>
          <w:p>
            <w:pPr>
              <w:jc w:val="left"/>
              <w:widowControl/>
              <w:rPr>
                <w:rFonts w:hint="eastAsia" w:ascii="宋体" w:hAnsi="宋体" w:cs="宋体"/>
                <w:color w:val="000000"/>
              </w:rPr>
            </w:pPr>
            <w:r>
              <w:rPr>
                <w:rFonts w:ascii="宋体" w:hAnsi="宋体" w:cs="宋体"/>
                <w:color w:val="000000"/>
              </w:rPr>
              <w:t xml:space="preserve">3.3供应商业绩</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rPr>
            </w:pPr>
            <w:r>
              <w:rPr>
                <w:rFonts w:ascii="宋体" w:hAnsi="宋体" w:cs="宋体"/>
              </w:rPr>
              <w:t xml:space="preserve">3.3.1 2023年1月1日（以合同签订日期为准）以来，投标人承担</w:t>
            </w:r>
            <w:r>
              <w:rPr>
                <w:rFonts w:hint="eastAsia" w:ascii="宋体" w:hAnsi="宋体" w:cs="宋体"/>
              </w:rPr>
              <w:t xml:space="preserve">并完成</w:t>
            </w:r>
            <w:r>
              <w:rPr>
                <w:rFonts w:ascii="宋体" w:hAnsi="宋体" w:cs="宋体"/>
              </w:rPr>
              <w:t xml:space="preserve">固体废物或危险废物全过程管理相关信息化项目，每提供1个案例合同和验收意见</w:t>
            </w:r>
            <w:r>
              <w:rPr>
                <w:rFonts w:hint="eastAsia" w:ascii="宋体" w:hAnsi="宋体" w:cs="宋体"/>
              </w:rPr>
              <w:t xml:space="preserve">(须通过验收)</w:t>
            </w:r>
            <w:r>
              <w:rPr>
                <w:rFonts w:ascii="宋体" w:hAnsi="宋体" w:cs="宋体"/>
              </w:rPr>
              <w:t xml:space="preserve">，得1分，不提供不得分，本项最高得</w:t>
            </w:r>
            <w:r>
              <w:rPr>
                <w:rFonts w:hint="eastAsia" w:ascii="宋体" w:hAnsi="宋体" w:cs="宋体"/>
              </w:rPr>
              <w:t xml:space="preserve">8</w:t>
            </w:r>
            <w:r>
              <w:rPr>
                <w:rFonts w:ascii="宋体" w:hAnsi="宋体" w:cs="宋体"/>
              </w:rPr>
              <w:t xml:space="preserve">分（投标人须提供项目合同和验收意见复印件并加盖投标人公章，不提供则不得分）。</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r>
      <w:tr>
        <w:trPr>
          <w:trHeight w:val="488"/>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3.4项目经理</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3.4.1 投标人派往本项目的项目经理，应具有系统集成项目管理工程师证书、中级及以上软件设计师证书、高级网络与信息安全工程师证书。有一个有效证书得</w:t>
            </w:r>
            <w:r>
              <w:rPr>
                <w:rFonts w:hint="eastAsia" w:ascii="宋体" w:hAnsi="宋体" w:cs="宋体"/>
                <w:color w:val="000000"/>
              </w:rPr>
              <w:t xml:space="preserve">2</w:t>
            </w:r>
            <w:r>
              <w:rPr>
                <w:rFonts w:ascii="宋体" w:hAnsi="宋体" w:cs="宋体"/>
                <w:color w:val="000000"/>
              </w:rPr>
              <w:t xml:space="preserve">分，本项最高得6分。（项目经理仅为1人，投标人须提供上述人员相关证明材料复印件并加盖投标人公章，并提供投标人为上述人员缴纳的近一个月的社保证明材料，不提供则不得分）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6</w:t>
            </w:r>
            <w:r/>
          </w:p>
        </w:tc>
      </w:tr>
      <w:tr>
        <w:trPr>
          <w:trHeight w:val="629"/>
        </w:trPr>
        <w:tc>
          <w:tcPr>
            <w:tcBorders>
              <w:top w:val="none" w:color="000000"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3.5技术负责人</w:t>
            </w:r>
            <w:r/>
          </w:p>
        </w:tc>
        <w:tc>
          <w:tcPr>
            <w:tcBorders>
              <w:top w:val="none" w:color="000000"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3.5.1 投标人派往本项目的项目技术负责人，应具有计算机</w:t>
            </w:r>
            <w:r>
              <w:rPr>
                <w:rFonts w:ascii="宋体" w:hAnsi="宋体" w:cs="宋体"/>
                <w:color w:val="000000"/>
              </w:rPr>
              <w:t xml:space="preserve">类</w:t>
            </w:r>
            <w:r>
              <w:rPr>
                <w:rFonts w:ascii="宋体" w:hAnsi="宋体" w:cs="宋体"/>
                <w:color w:val="000000"/>
              </w:rPr>
              <w:t xml:space="preserve">或环境工程类中级工程师及以上职称证书、系统集成项目管理工程师证书、高级人工智能应用工程师证书。有一个有效证书得</w:t>
            </w:r>
            <w:r>
              <w:rPr>
                <w:rFonts w:hint="eastAsia" w:ascii="宋体" w:hAnsi="宋体" w:cs="宋体"/>
                <w:color w:val="000000"/>
              </w:rPr>
              <w:t xml:space="preserve">2</w:t>
            </w:r>
            <w:r>
              <w:rPr>
                <w:rFonts w:ascii="宋体" w:hAnsi="宋体" w:cs="宋体"/>
                <w:color w:val="000000"/>
              </w:rPr>
              <w:t xml:space="preserve">分，本项最高得6分。（项目技术负责人仅为1人，投标人须提供上述人员相关证明材料复印件并加盖投标人公章，并提供投标人为上述人员缴纳的近一个月的社保证明材料，不提供则不得分）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6</w:t>
            </w:r>
            <w:r/>
          </w:p>
        </w:tc>
      </w:tr>
      <w:tr>
        <w:trPr>
          <w:trHeight w:val="1350"/>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3.6项目团队</w:t>
            </w:r>
            <w:r/>
          </w:p>
        </w:tc>
        <w:tc>
          <w:tcPr>
            <w:tcBorders>
              <w:top w:val="single" w:color="auto"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ascii="宋体" w:hAnsi="宋体" w:cs="宋体"/>
                <w:color w:val="000000"/>
              </w:rPr>
              <w:t xml:space="preserve">3.6.1 投标人派往本项目的项目团队人员（不含项目经理、项目技术负责人），应具有信息系统项目管理师证书、软件设计师证书、网络工程师证书、数据库系统工程师证书、人工智能应用工程师证书。有一个有效证书得1分（同一人员不可重复得分、同一</w:t>
            </w:r>
            <w:r>
              <w:rPr>
                <w:rFonts w:hint="eastAsia" w:ascii="宋体" w:hAnsi="宋体" w:cs="宋体"/>
                <w:color w:val="000000"/>
              </w:rPr>
              <w:t xml:space="preserve">类</w:t>
            </w:r>
            <w:r>
              <w:rPr>
                <w:rFonts w:ascii="宋体" w:hAnsi="宋体" w:cs="宋体"/>
                <w:color w:val="000000"/>
              </w:rPr>
              <w:t xml:space="preserve">证书不可重复</w:t>
            </w:r>
            <w:r>
              <w:rPr>
                <w:rFonts w:ascii="宋体" w:hAnsi="宋体" w:cs="宋体"/>
                <w:color w:val="000000"/>
              </w:rPr>
              <w:t xml:space="preserve">得分)，</w:t>
            </w:r>
            <w:r>
              <w:rPr>
                <w:rFonts w:ascii="宋体" w:hAnsi="宋体" w:cs="宋体"/>
                <w:color w:val="000000"/>
              </w:rPr>
              <w:t xml:space="preserve">本项最高得</w:t>
            </w:r>
            <w:r>
              <w:rPr>
                <w:rFonts w:hint="eastAsia" w:ascii="宋体" w:hAnsi="宋体" w:cs="宋体"/>
                <w:color w:val="000000"/>
              </w:rPr>
              <w:t xml:space="preserve">5</w:t>
            </w:r>
            <w:r>
              <w:rPr>
                <w:rFonts w:ascii="宋体" w:hAnsi="宋体" w:cs="宋体"/>
                <w:color w:val="000000"/>
              </w:rPr>
              <w:t xml:space="preserve">分。（投标人须提供上述人员相关证明材料复印件并加盖投标人公章，并提供投标人为上述人员缴纳的近一个月的社保证明材料，不提供则不得分）</w:t>
            </w:r>
            <w:r/>
          </w:p>
        </w:tc>
        <w:tc>
          <w:tcPr>
            <w:tcBorders>
              <w:top w:val="none" w:color="000000"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5</w:t>
            </w:r>
            <w:r/>
          </w:p>
        </w:tc>
      </w:tr>
      <w:tr>
        <w:trPr>
          <w:trHeight w:val="609"/>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四、系统演示部分（10分）</w:t>
            </w:r>
            <w:r/>
          </w:p>
        </w:tc>
      </w:tr>
      <w:tr>
        <w:trPr>
          <w:trHeight w:val="346"/>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4.1</w:t>
            </w:r>
            <w:r>
              <w:rPr>
                <w:rFonts w:hint="eastAsia" w:ascii="宋体" w:hAnsi="宋体" w:cs="宋体"/>
                <w:color w:val="000000"/>
              </w:rPr>
              <w:t xml:space="preserve">“危险废物全生命周期规范应用提升”</w:t>
            </w:r>
            <w:r>
              <w:rPr>
                <w:rFonts w:hint="eastAsia" w:ascii="宋体" w:hAnsi="宋体" w:cs="宋体"/>
                <w:color w:val="000000"/>
              </w:rPr>
              <w:t xml:space="preserve">演示</w:t>
            </w:r>
            <w:r/>
          </w:p>
        </w:tc>
        <w:tc>
          <w:tcPr>
            <w:tcBorders>
              <w:top w:val="single" w:color="auto"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4.1.1</w:t>
            </w:r>
            <w:r>
              <w:rPr>
                <w:rFonts w:hint="eastAsia" w:ascii="宋体" w:hAnsi="宋体" w:cs="宋体"/>
                <w:color w:val="000000"/>
              </w:rPr>
              <w:t xml:space="preserve">根据“危险废物全生命周期规范应用提升”建设要求，演示危险废物政府申报功能。</w:t>
            </w:r>
            <w:r/>
          </w:p>
          <w:p>
            <w:pPr>
              <w:widowControl/>
              <w:rPr>
                <w:rFonts w:hint="eastAsia" w:ascii="宋体" w:hAnsi="宋体" w:cs="宋体"/>
                <w:color w:val="000000"/>
              </w:rPr>
            </w:pPr>
            <w:r>
              <w:rPr>
                <w:rFonts w:hint="eastAsia" w:ascii="宋体" w:hAnsi="宋体" w:cs="宋体"/>
                <w:color w:val="000000"/>
              </w:rPr>
              <w:t xml:space="preserve">①演示创建政府申报账户，政府工作人员凭账户登录系统，依次使用基础信息申报、危废信息申报、发起转移联单、一事一授权等功能；针对查获或来源不明的危险废物场景，可在线完成危废申报、打印危废标签，并查询入库操作记录。（2分）</w:t>
            </w:r>
            <w:r/>
          </w:p>
          <w:p>
            <w:pPr>
              <w:widowControl/>
              <w:rPr>
                <w:rFonts w:hint="eastAsia" w:ascii="宋体" w:hAnsi="宋体" w:cs="宋体"/>
                <w:color w:val="000000"/>
              </w:rPr>
            </w:pPr>
            <w:r>
              <w:rPr>
                <w:rFonts w:hint="eastAsia" w:ascii="宋体" w:hAnsi="宋体" w:cs="宋体"/>
                <w:color w:val="000000"/>
              </w:rPr>
              <w:t xml:space="preserve">②演示政府用户发起危险废物转移联单，实现“五必查”留痕，动态跟踪转运状态直至联单签收；支持查询国家系统政府申报联网明细接口，完成转移联单向国家平台报送，同步查看报送结果。（2分）</w:t>
            </w:r>
            <w:r/>
          </w:p>
          <w:p>
            <w:pPr>
              <w:widowControl/>
              <w:rPr>
                <w:rFonts w:hint="eastAsia" w:ascii="宋体" w:hAnsi="宋体" w:cs="宋体"/>
                <w:color w:val="000000"/>
              </w:rPr>
            </w:pPr>
            <w:r/>
            <w:bookmarkStart w:id="278" w:name="OLE_LINK73"/>
            <w:r/>
            <w:bookmarkStart w:id="279" w:name="OLE_LINK74"/>
            <w:r>
              <w:rPr>
                <w:rFonts w:hint="eastAsia" w:ascii="宋体" w:hAnsi="宋体" w:cs="宋体"/>
                <w:color w:val="000000"/>
              </w:rPr>
              <w:t xml:space="preserve">由供应商按照招标文件规定的演示内容制作演示视频文件，综合评判供应商对本项目的理解程度及实施能力。演示形式包括但不限于真实系统或系统原型、ppt、交互原型、图片、视频、静态HTML方式等，演示时间不得超过15分钟。（采用真实系统或系统原型录屏演示最高得</w:t>
            </w:r>
            <w:r>
              <w:rPr>
                <w:rFonts w:hint="eastAsia" w:ascii="宋体" w:hAnsi="宋体" w:cs="宋体"/>
                <w:color w:val="000000"/>
              </w:rPr>
              <w:t xml:space="preserve">4</w:t>
            </w:r>
            <w:r>
              <w:rPr>
                <w:rFonts w:hint="eastAsia" w:ascii="宋体" w:hAnsi="宋体" w:cs="宋体"/>
                <w:color w:val="000000"/>
              </w:rPr>
              <w:t xml:space="preserve">分；采用除真实系统或系统原型演示以外的其他形式进行录屏演示的，需乘以系数0.5后为最终演示得分，不提供演示的不得分）</w:t>
            </w:r>
            <w:bookmarkEnd w:id="278"/>
            <w:r/>
            <w:bookmarkEnd w:id="279"/>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r>
      <w:tr>
        <w:trPr>
          <w:trHeight w:val="1350"/>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4.2</w:t>
            </w:r>
            <w:r>
              <w:rPr>
                <w:rFonts w:hint="eastAsia" w:ascii="宋体" w:hAnsi="宋体" w:cs="宋体"/>
                <w:color w:val="000000"/>
              </w:rPr>
              <w:t xml:space="preserve">“危险废物数据智能化场景运用”</w:t>
            </w:r>
            <w:r>
              <w:rPr>
                <w:rFonts w:hint="eastAsia" w:ascii="宋体" w:hAnsi="宋体" w:cs="宋体"/>
                <w:color w:val="000000"/>
              </w:rPr>
              <w:t xml:space="preserve">演</w:t>
            </w:r>
            <w:r>
              <w:rPr>
                <w:rFonts w:hint="eastAsia" w:ascii="宋体" w:hAnsi="宋体" w:cs="宋体"/>
                <w:color w:val="000000"/>
              </w:rPr>
              <w:t xml:space="preserve">示</w:t>
            </w:r>
            <w:r/>
          </w:p>
        </w:tc>
        <w:tc>
          <w:tcPr>
            <w:tcBorders>
              <w:top w:val="single" w:color="auto"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4.2.1</w:t>
            </w:r>
            <w:r>
              <w:rPr>
                <w:rFonts w:hint="eastAsia" w:ascii="宋体" w:hAnsi="宋体" w:cs="宋体"/>
                <w:color w:val="000000"/>
              </w:rPr>
              <w:t xml:space="preserve">根据</w:t>
            </w:r>
            <w:bookmarkStart w:id="280" w:name="OLE_LINK71"/>
            <w:r/>
            <w:bookmarkStart w:id="281" w:name="OLE_LINK72"/>
            <w:r>
              <w:rPr>
                <w:rFonts w:hint="eastAsia" w:ascii="宋体" w:hAnsi="宋体" w:cs="宋体"/>
                <w:color w:val="000000"/>
              </w:rPr>
              <w:t xml:space="preserve">“危险废物数据智能化场景运用”</w:t>
            </w:r>
            <w:bookmarkEnd w:id="280"/>
            <w:r/>
            <w:bookmarkEnd w:id="281"/>
            <w:r>
              <w:rPr>
                <w:rFonts w:hint="eastAsia" w:ascii="宋体" w:hAnsi="宋体" w:cs="宋体"/>
                <w:color w:val="000000"/>
              </w:rPr>
              <w:t xml:space="preserve">建设要求，演示危险废物经营许可证辅助审批、数据分析功能。</w:t>
            </w:r>
            <w:r/>
          </w:p>
          <w:p>
            <w:pPr>
              <w:widowControl/>
              <w:rPr>
                <w:rFonts w:hint="eastAsia" w:ascii="宋体" w:hAnsi="宋体" w:cs="宋体"/>
                <w:color w:val="000000"/>
              </w:rPr>
            </w:pPr>
            <w:r>
              <w:rPr>
                <w:rFonts w:hint="eastAsia" w:ascii="宋体" w:hAnsi="宋体" w:cs="宋体"/>
                <w:color w:val="000000"/>
              </w:rPr>
              <w:t xml:space="preserve">①演示对经营处置单位环评文件开展智能解析，自动提取固废相关章节有效数据，将提取内容与单位申报的固废信息比对，识别差异项，智能输出分析结论，辅助审批人员开展办件审查。（2分）</w:t>
            </w:r>
            <w:r/>
          </w:p>
          <w:p>
            <w:pPr>
              <w:widowControl/>
              <w:rPr>
                <w:rFonts w:hint="eastAsia" w:ascii="宋体" w:hAnsi="宋体" w:cs="宋体"/>
                <w:color w:val="000000"/>
              </w:rPr>
            </w:pPr>
            <w:r>
              <w:rPr>
                <w:rFonts w:hint="eastAsia" w:ascii="宋体" w:hAnsi="宋体" w:cs="宋体"/>
                <w:color w:val="000000"/>
              </w:rPr>
              <w:t xml:space="preserve">②演示基于历史业务数据实现产废量趋势预测（含模型精度对比）、处置能力</w:t>
            </w:r>
            <w:r>
              <w:rPr>
                <w:rFonts w:hint="eastAsia" w:ascii="宋体" w:hAnsi="宋体" w:cs="宋体"/>
                <w:color w:val="000000"/>
              </w:rPr>
              <w:t xml:space="preserve">与缺口分析（含产能不足预警）及典型风险识别（如“应产未产”联动预警），体现从“看数”到“用数”的辅助决策能力。（2分）</w:t>
            </w:r>
            <w:r/>
          </w:p>
          <w:p>
            <w:pPr>
              <w:widowControl/>
              <w:rPr>
                <w:rFonts w:hint="eastAsia" w:ascii="宋体" w:hAnsi="宋体" w:cs="宋体"/>
                <w:color w:val="000000"/>
              </w:rPr>
            </w:pPr>
            <w:r/>
            <w:bookmarkStart w:id="282" w:name="OLE_LINK83"/>
            <w:r/>
            <w:bookmarkStart w:id="283" w:name="OLE_LINK84"/>
            <w:r>
              <w:rPr>
                <w:rFonts w:hint="eastAsia" w:ascii="宋体" w:hAnsi="宋体" w:cs="宋体"/>
                <w:color w:val="000000"/>
              </w:rPr>
              <w:t xml:space="preserve">由供应商按照招标文件规定的演示内容制作演示视频文件，综合评判供应商对本项目的理解程度及实施能力。演示形式包括但不限于真实系统或系统原型、ppt、交互原型、图片、视频、静态HTML方式等，演示时间不得超过15分钟。（采用真实系统或系统原型录屏演示最高得4分；采用除真实系统或系统原型演示以外的其他形式进行录屏演示的，需乘以系数0.5后为最终演示得分，不提供演示的不得分）</w:t>
            </w:r>
            <w:bookmarkEnd w:id="282"/>
            <w:r/>
            <w:bookmarkEnd w:id="283"/>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r>
      <w:tr>
        <w:trPr>
          <w:trHeight w:val="1350"/>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4.3</w:t>
            </w:r>
            <w:r>
              <w:rPr>
                <w:rFonts w:hint="eastAsia" w:ascii="宋体" w:hAnsi="宋体" w:cs="宋体"/>
                <w:color w:val="000000"/>
              </w:rPr>
              <w:t xml:space="preserve">“一般工业固废全过程管理”</w:t>
            </w:r>
            <w:r>
              <w:rPr>
                <w:rFonts w:hint="eastAsia" w:ascii="宋体" w:hAnsi="宋体" w:cs="宋体"/>
                <w:color w:val="000000"/>
              </w:rPr>
              <w:t xml:space="preserve">演示</w:t>
            </w:r>
            <w:r/>
          </w:p>
        </w:tc>
        <w:tc>
          <w:tcPr>
            <w:tcBorders>
              <w:top w:val="single" w:color="auto" w:sz="4" w:space="0"/>
              <w:left w:val="none" w:color="000000" w:sz="4" w:space="0"/>
              <w:bottom w:val="single" w:color="auto" w:sz="4" w:space="0"/>
              <w:right w:val="single" w:color="auto" w:sz="4" w:space="0"/>
            </w:tcBorders>
            <w:tcW w:w="4095" w:type="pct"/>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4.3.1</w:t>
            </w:r>
            <w:r>
              <w:rPr>
                <w:rFonts w:hint="eastAsia" w:ascii="宋体" w:hAnsi="宋体" w:cs="宋体"/>
                <w:color w:val="000000"/>
              </w:rPr>
              <w:t xml:space="preserve">根据</w:t>
            </w:r>
            <w:bookmarkStart w:id="284" w:name="OLE_LINK77"/>
            <w:r/>
            <w:bookmarkStart w:id="285" w:name="OLE_LINK82"/>
            <w:r>
              <w:rPr>
                <w:rFonts w:hint="eastAsia" w:ascii="宋体" w:hAnsi="宋体" w:cs="宋体"/>
                <w:color w:val="000000"/>
              </w:rPr>
              <w:t xml:space="preserve">“一般工业固废全过程管理”</w:t>
            </w:r>
            <w:bookmarkEnd w:id="284"/>
            <w:r/>
            <w:bookmarkEnd w:id="285"/>
            <w:r>
              <w:rPr>
                <w:rFonts w:hint="eastAsia" w:ascii="宋体" w:hAnsi="宋体" w:cs="宋体"/>
                <w:color w:val="000000"/>
              </w:rPr>
              <w:t xml:space="preserve">建设要求，演示一般工业固废全过程管理功能。</w:t>
            </w:r>
            <w:r/>
          </w:p>
          <w:p>
            <w:pPr>
              <w:widowControl/>
              <w:rPr>
                <w:rFonts w:hint="eastAsia" w:ascii="宋体" w:hAnsi="宋体" w:cs="宋体"/>
                <w:color w:val="000000"/>
              </w:rPr>
            </w:pPr>
            <w:r>
              <w:rPr>
                <w:rFonts w:hint="eastAsia" w:ascii="宋体" w:hAnsi="宋体" w:cs="宋体"/>
                <w:color w:val="000000"/>
              </w:rPr>
              <w:t xml:space="preserve">演示一般工业固废跨省利用备案、跨省转移贮存处置审批线上办理，可在线发起一般工业固废转移联单并实现全流程跟踪监控；面向小量一般工业固废数据对接场景，管理人员可维护对接主体信息，创建对接接口资源凭证，对凭证可访问的数据资源进行动态授权管理。（2分）</w:t>
            </w:r>
            <w:r/>
          </w:p>
          <w:p>
            <w:pPr>
              <w:widowControl/>
              <w:rPr>
                <w:rFonts w:hint="eastAsia" w:ascii="宋体" w:hAnsi="宋体" w:cs="宋体"/>
                <w:color w:val="000000"/>
              </w:rPr>
            </w:pPr>
            <w:r>
              <w:rPr>
                <w:rFonts w:hint="eastAsia" w:ascii="宋体" w:hAnsi="宋体" w:cs="宋体"/>
                <w:color w:val="000000"/>
              </w:rPr>
              <w:t xml:space="preserve">由供应商按照招标文件规定的演示内容制作演示视频文件，综合评判供应商对本项目的理解程度及实施能力。演示形式包括但不限于真实系统或系统原型、ppt、交互原型、图片、视频、静态HTML方式等，演示时间不得超过15分钟。（采用真实系统或系统原型录屏演示最高得</w:t>
            </w:r>
            <w:r>
              <w:rPr>
                <w:rFonts w:hint="eastAsia" w:ascii="宋体" w:hAnsi="宋体" w:cs="宋体"/>
                <w:color w:val="000000"/>
              </w:rPr>
              <w:t xml:space="preserve">2</w:t>
            </w:r>
            <w:r>
              <w:rPr>
                <w:rFonts w:hint="eastAsia" w:ascii="宋体" w:hAnsi="宋体" w:cs="宋体"/>
                <w:color w:val="000000"/>
              </w:rPr>
              <w:t xml:space="preserve">分；采用除真实系统或系统原型演示以外的其他形式进行录屏演示的，需乘以系数0.5后为最终演示得分，不提供演示的不得分）</w:t>
            </w:r>
            <w:r/>
          </w:p>
        </w:tc>
        <w:tc>
          <w:tcPr>
            <w:tcBorders>
              <w:top w:val="single" w:color="auto" w:sz="4" w:space="0"/>
              <w:left w:val="none" w:color="000000" w:sz="4" w:space="0"/>
              <w:bottom w:val="single" w:color="auto" w:sz="4" w:space="0"/>
              <w:right w:val="single" w:color="auto" w:sz="4" w:space="0"/>
            </w:tcBorders>
            <w:tcW w:w="35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r>
    </w:tbl>
    <w:p>
      <w:pPr>
        <w:rPr>
          <w:b/>
          <w:sz w:val="24"/>
          <w:szCs w:val="24"/>
        </w:rPr>
      </w:pPr>
      <w:r>
        <w:rPr>
          <w:b/>
          <w:sz w:val="24"/>
          <w:szCs w:val="24"/>
        </w:rPr>
      </w:r>
      <w:r/>
    </w:p>
    <w:p>
      <w:pPr>
        <w:rPr>
          <w:b/>
          <w:sz w:val="24"/>
          <w:szCs w:val="24"/>
        </w:rPr>
      </w:pPr>
      <w:r>
        <w:rPr>
          <w:b/>
          <w:sz w:val="24"/>
          <w:szCs w:val="24"/>
        </w:rPr>
      </w:r>
      <w:r/>
    </w:p>
    <w:p>
      <w:pPr>
        <w:jc w:val="left"/>
        <w:widowControl/>
      </w:pPr>
      <w:r>
        <w:br w:type="page" w:clear="all"/>
      </w:r>
      <w:r/>
    </w:p>
    <w:p>
      <w:r/>
      <w:r/>
    </w:p>
    <w:p>
      <w:pPr>
        <w:pStyle w:val="707"/>
        <w:rPr>
          <w:rFonts w:ascii="黑体" w:eastAsia="黑体"/>
          <w:bCs/>
          <w:sz w:val="44"/>
        </w:rPr>
      </w:pPr>
      <w:r/>
      <w:bookmarkStart w:id="286" w:name="_Toc239690746"/>
      <w:r>
        <w:rPr>
          <w:rFonts w:hint="eastAsia" w:ascii="黑体" w:eastAsia="黑体"/>
          <w:bCs/>
          <w:sz w:val="44"/>
        </w:rPr>
        <w:t xml:space="preserve">第六章  投标</w:t>
      </w:r>
      <w:bookmarkEnd w:id="200"/>
      <w:r/>
      <w:bookmarkEnd w:id="201"/>
      <w:r/>
      <w:bookmarkEnd w:id="202"/>
      <w:r>
        <w:rPr>
          <w:rFonts w:hint="eastAsia" w:ascii="黑体" w:eastAsia="黑体"/>
          <w:bCs/>
          <w:sz w:val="44"/>
        </w:rPr>
        <w:t xml:space="preserve">文件格式</w:t>
      </w:r>
      <w:bookmarkEnd w:id="286"/>
      <w:r>
        <w:rPr>
          <w:rFonts w:hint="eastAsia" w:ascii="黑体" w:eastAsia="黑体"/>
          <w:bCs/>
          <w:sz w:val="44"/>
        </w:rPr>
        <w:t xml:space="preserve"> </w:t>
      </w:r>
      <w:r/>
    </w:p>
    <w:p>
      <w:pPr>
        <w:jc w:val="center"/>
        <w:rPr>
          <w:rFonts w:hint="eastAsia" w:ascii="宋体" w:hAnsi="宋体"/>
          <w:b/>
          <w:sz w:val="72"/>
        </w:rPr>
      </w:pPr>
      <w:r/>
      <w:bookmarkStart w:id="287" w:name="_Hlt26955039"/>
      <w:r/>
      <w:bookmarkStart w:id="288" w:name="_Hlt26671244"/>
      <w:r/>
      <w:bookmarkStart w:id="289" w:name="_Toc120614282"/>
      <w:r/>
      <w:bookmarkStart w:id="290" w:name="_Toc26554094"/>
      <w:r/>
      <w:bookmarkStart w:id="291" w:name="_Toc49090576"/>
      <w:r/>
      <w:bookmarkEnd w:id="287"/>
      <w:r/>
      <w:bookmarkEnd w:id="288"/>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7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w:t>
            </w:r>
            <w:r>
              <w:rPr>
                <w:rFonts w:hint="eastAsia" w:ascii="宋体" w:hAnsi="宋体" w:cs="方正魏碑_GBK"/>
                <w:sz w:val="24"/>
                <w:szCs w:val="24"/>
                <w:lang w:eastAsia="en-US"/>
              </w:rPr>
              <w:t xml:space="preserve">/</w:t>
            </w:r>
            <w:r>
              <w:rPr>
                <w:rFonts w:hint="eastAsia" w:ascii="宋体" w:hAnsi="宋体" w:cs="方正魏碑_GBK"/>
                <w:sz w:val="24"/>
                <w:szCs w:val="24"/>
                <w:lang w:eastAsia="en-US"/>
              </w:rPr>
              <w:t xml:space="preserve">服务期</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50"/>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876"/>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76"/>
        <w:ind w:left="420"/>
        <w:spacing w:before="0" w:after="0" w:line="420" w:lineRule="exact"/>
        <w:rPr>
          <w:rFonts w:hint="eastAsia" w:ascii="宋体" w:hAnsi="宋体"/>
          <w:szCs w:val="21"/>
        </w:rPr>
      </w:pPr>
      <w:r>
        <w:rPr>
          <w:rFonts w:hint="eastAsia" w:ascii="宋体" w:hAnsi="宋体"/>
          <w:szCs w:val="21"/>
        </w:rPr>
        <w:t xml:space="preserve">地          址：</w:t>
      </w:r>
      <w:r/>
    </w:p>
    <w:p>
      <w:pPr>
        <w:pStyle w:val="876"/>
        <w:ind w:left="420"/>
        <w:spacing w:before="0" w:after="0" w:line="420" w:lineRule="exact"/>
        <w:rPr>
          <w:rFonts w:hint="eastAsia" w:ascii="宋体" w:hAnsi="宋体"/>
          <w:szCs w:val="21"/>
        </w:rPr>
      </w:pPr>
      <w:r>
        <w:rPr>
          <w:rFonts w:hint="eastAsia" w:ascii="宋体" w:hAnsi="宋体"/>
          <w:szCs w:val="21"/>
        </w:rPr>
        <w:t xml:space="preserve">邮          编：</w:t>
      </w:r>
      <w:r/>
    </w:p>
    <w:p>
      <w:pPr>
        <w:pStyle w:val="876"/>
        <w:ind w:left="420"/>
        <w:spacing w:before="0" w:after="0" w:line="420" w:lineRule="exact"/>
        <w:rPr>
          <w:rFonts w:hint="eastAsia" w:ascii="宋体" w:hAnsi="宋体"/>
          <w:szCs w:val="21"/>
        </w:rPr>
      </w:pPr>
      <w:r>
        <w:rPr>
          <w:rFonts w:hint="eastAsia" w:ascii="宋体" w:hAnsi="宋体"/>
          <w:szCs w:val="21"/>
        </w:rPr>
        <w:t xml:space="preserve">电          话：</w:t>
      </w:r>
      <w:r/>
    </w:p>
    <w:p>
      <w:pPr>
        <w:pStyle w:val="876"/>
        <w:ind w:left="420"/>
        <w:spacing w:before="0" w:after="0" w:line="420" w:lineRule="exact"/>
        <w:rPr>
          <w:rFonts w:hint="eastAsia" w:ascii="宋体" w:hAnsi="宋体"/>
          <w:szCs w:val="21"/>
        </w:rPr>
      </w:pPr>
      <w:r>
        <w:rPr>
          <w:rFonts w:hint="eastAsia" w:ascii="宋体" w:hAnsi="宋体"/>
          <w:szCs w:val="21"/>
        </w:rPr>
        <w:t xml:space="preserve">传          真：</w:t>
      </w:r>
      <w:r/>
    </w:p>
    <w:p>
      <w:pPr>
        <w:pStyle w:val="87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76"/>
        <w:ind w:left="420"/>
        <w:spacing w:before="0" w:after="0" w:line="420" w:lineRule="exact"/>
        <w:rPr>
          <w:rFonts w:hint="eastAsia" w:ascii="宋体" w:hAnsi="宋体"/>
          <w:szCs w:val="21"/>
        </w:rPr>
      </w:pPr>
      <w:r>
        <w:rPr>
          <w:rFonts w:hint="eastAsia" w:ascii="宋体" w:hAnsi="宋体"/>
          <w:szCs w:val="21"/>
        </w:rPr>
        <w:t xml:space="preserve">账          号： </w:t>
      </w:r>
      <w:r/>
    </w:p>
    <w:p>
      <w:pPr>
        <w:pStyle w:val="876"/>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76"/>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92" w:name="_Toc120614284"/>
      <w:r/>
      <w:bookmarkEnd w:id="289"/>
      <w:r/>
      <w:bookmarkEnd w:id="290"/>
      <w:r/>
      <w:bookmarkEnd w:id="291"/>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750"/>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59"/>
          <w:rFonts w:hint="eastAsia" w:cs="方正魏碑_GBK"/>
          <w:i w:val="0"/>
          <w:u w:val="single"/>
          <w:shd w:val="clear" w:color="auto" w:fill="ffffff"/>
        </w:rPr>
        <w:t xml:space="preserve">（产品名称1）</w:t>
      </w:r>
      <w:r>
        <w:rPr>
          <w:rStyle w:val="759"/>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59"/>
          <w:rFonts w:hint="eastAsia" w:cs="方正魏碑_GBK"/>
          <w:i w:val="0"/>
          <w:u w:val="single"/>
          <w:shd w:val="clear" w:color="auto" w:fill="ffffff"/>
        </w:rPr>
        <w:t xml:space="preserve">（厂名）</w:t>
      </w:r>
      <w:r>
        <w:rPr>
          <w:rStyle w:val="759"/>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5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Style w:val="759"/>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Style w:val="759"/>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Style w:val="759"/>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59"/>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59"/>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5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50"/>
        <w:ind w:firstLine="480"/>
        <w:spacing w:before="30" w:beforeAutospacing="0" w:after="30" w:afterAutospacing="0" w:line="460" w:lineRule="exact"/>
        <w:rPr>
          <w:rFonts w:hint="eastAsia" w:cs="方正魏碑_GBK"/>
        </w:rPr>
      </w:pPr>
      <w:r>
        <w:rPr>
          <w:rFonts w:hint="eastAsia" w:cs="方正魏碑_GBK"/>
        </w:rPr>
      </w:r>
      <w:r/>
    </w:p>
    <w:p>
      <w:pPr>
        <w:pStyle w:val="750"/>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50"/>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50"/>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50"/>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50"/>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759"/>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bookmarkEnd w:id="195"/>
      <w:r/>
      <w:bookmarkEnd w:id="196"/>
      <w:r/>
      <w:bookmarkEnd w:id="292"/>
      <w:r/>
      <w:r/>
    </w:p>
    <w:p>
      <w:pPr>
        <w:jc w:val="left"/>
        <w:widowControl/>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方正楷体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Style w:val="757"/>
        <w:rFonts w:hint="eastAsia" w:ascii="宋体" w:hAnsi="宋体"/>
      </w:rPr>
      <w:framePr w:wrap="around" w:vAnchor="text" w:hAnchor="margin" w:xAlign="center" w:y="1"/>
    </w:pPr>
    <w:r>
      <w:rPr>
        <w:rFonts w:ascii="宋体" w:hAnsi="宋体"/>
      </w:rPr>
      <w:fldChar w:fldCharType="begin"/>
    </w:r>
    <w:r>
      <w:rPr>
        <w:rStyle w:val="757"/>
        <w:rFonts w:ascii="宋体" w:hAnsi="宋体"/>
      </w:rPr>
      <w:instrText xml:space="preserve">PAGE  </w:instrText>
    </w:r>
    <w:r>
      <w:rPr>
        <w:rFonts w:ascii="宋体" w:hAnsi="宋体"/>
      </w:rPr>
      <w:fldChar w:fldCharType="separate"/>
    </w:r>
    <w:r>
      <w:rPr>
        <w:rStyle w:val="757"/>
        <w:rFonts w:ascii="宋体" w:hAnsi="宋体"/>
      </w:rPr>
      <w:t xml:space="preserve">2</w:t>
    </w:r>
    <w:r>
      <w:rPr>
        <w:rFonts w:ascii="宋体" w:hAnsi="宋体"/>
      </w:rPr>
      <w:fldChar w:fldCharType="end"/>
    </w:r>
    <w:r/>
  </w:p>
  <w:p>
    <w:pPr>
      <w:pStyle w:val="83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fldChar w:fldCharType="begin"/>
    </w:r>
    <w:r>
      <w:instrText xml:space="preserve">PAGE   \* MERGEFORMAT</w:instrText>
    </w:r>
    <w:r>
      <w:fldChar w:fldCharType="separate"/>
    </w:r>
    <w:r>
      <w:rPr>
        <w:lang w:val="zh-CN"/>
      </w:rPr>
      <w:t xml:space="preserve">1</w:t>
    </w:r>
    <w:r>
      <w:fldChar w:fldCharType="end"/>
    </w:r>
    <w:r/>
  </w:p>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6"/>
      <w:isLgl w:val="false"/>
      <w:suff w:val="nothing"/>
      <w:lvlText w:val=""/>
      <w:lvlJc w:val="left"/>
      <w:pPr>
        <w:ind w:left="0" w:firstLine="0"/>
      </w:pPr>
      <w:rPr>
        <w:rFonts w:hint="eastAsia"/>
      </w:rPr>
    </w:lvl>
  </w:abstractNum>
  <w:abstractNum w:abstractNumId="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upperLetter"/>
      <w:pStyle w:val="8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29"/>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2"/>
      <w:isLgl w:val="false"/>
      <w:suff w:val="nothing"/>
      <w:lvlText w:val=""/>
      <w:lvlJc w:val="left"/>
      <w:pPr>
        <w:ind w:left="0" w:firstLine="0"/>
      </w:pPr>
      <w:rPr>
        <w:rFonts w:hint="eastAsia"/>
      </w:rPr>
    </w:lvl>
    <w:lvl w:ilvl="6">
      <w:start w:val="1"/>
      <w:numFmt w:val="decimal"/>
      <w:pStyle w:val="713"/>
      <w:isLgl w:val="false"/>
      <w:suff w:val="nothing"/>
      <w:lvlText w:val=""/>
      <w:lvlJc w:val="left"/>
      <w:pPr>
        <w:ind w:left="0" w:firstLine="0"/>
      </w:pPr>
      <w:rPr>
        <w:rFonts w:hint="eastAsia"/>
      </w:rPr>
    </w:lvl>
    <w:lvl w:ilvl="7">
      <w:start w:val="1"/>
      <w:numFmt w:val="decimal"/>
      <w:pStyle w:val="714"/>
      <w:isLgl w:val="false"/>
      <w:suff w:val="nothing"/>
      <w:lvlText w:val=""/>
      <w:lvlJc w:val="left"/>
      <w:pPr>
        <w:ind w:left="0" w:firstLine="0"/>
      </w:pPr>
      <w:rPr>
        <w:rFonts w:hint="eastAsia"/>
      </w:rPr>
    </w:lvl>
    <w:lvl w:ilvl="8">
      <w:start w:val="1"/>
      <w:numFmt w:val="decimal"/>
      <w:pStyle w:val="715"/>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20" w:hanging="720"/>
      </w:pPr>
    </w:lvl>
    <w:lvl w:ilvl="1">
      <w:start w:val="1"/>
      <w:numFmt w:val="decimalEnclosedCircle"/>
      <w:isLgl w:val="false"/>
      <w:suff w:val="tab"/>
      <w:lvlText w:val="%2"/>
      <w:lvlJc w:val="left"/>
      <w:pPr>
        <w:ind w:left="780" w:hanging="360"/>
      </w:pPr>
      <w:rPr>
        <w:rFonts w:ascii="宋体" w:hAnsi="宋体"/>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7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8"/>
  </w:num>
  <w:num w:numId="3">
    <w:abstractNumId w:val="2"/>
  </w:num>
  <w:num w:numId="4">
    <w:abstractNumId w:val="4"/>
  </w:num>
  <w:num w:numId="5">
    <w:abstractNumId w:val="0"/>
  </w:num>
  <w:num w:numId="6">
    <w:abstractNumId w:val="3"/>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2">
    <w:name w:val="Header Char"/>
    <w:basedOn w:val="716"/>
    <w:link w:val="738"/>
    <w:uiPriority w:val="99"/>
  </w:style>
  <w:style w:type="character" w:styleId="46">
    <w:name w:val="Caption Char"/>
    <w:basedOn w:val="722"/>
    <w:link w:val="737"/>
    <w:uiPriority w:val="99"/>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6" w:default="1">
    <w:name w:val="Normal"/>
    <w:qFormat/>
    <w:pPr>
      <w:jc w:val="both"/>
      <w:widowControl w:val="off"/>
    </w:pPr>
    <w:rPr>
      <w:rFonts w:ascii="Times New Roman" w:hAnsi="Times New Roman"/>
      <w:sz w:val="21"/>
      <w:szCs w:val="21"/>
    </w:rPr>
  </w:style>
  <w:style w:type="paragraph" w:styleId="707">
    <w:name w:val="Heading 1"/>
    <w:basedOn w:val="706"/>
    <w:next w:val="706"/>
    <w:link w:val="812"/>
    <w:uiPriority w:val="9"/>
    <w:qFormat/>
    <w:pPr>
      <w:jc w:val="center"/>
      <w:keepNext/>
      <w:outlineLvl w:val="0"/>
    </w:pPr>
    <w:rPr>
      <w:rFonts w:ascii="楷体_GB2312" w:eastAsia="楷体_GB2312"/>
      <w:sz w:val="28"/>
      <w:szCs w:val="28"/>
    </w:rPr>
  </w:style>
  <w:style w:type="paragraph" w:styleId="708">
    <w:name w:val="Heading 2"/>
    <w:basedOn w:val="706"/>
    <w:next w:val="719"/>
    <w:link w:val="813"/>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9">
    <w:name w:val="Heading 3"/>
    <w:basedOn w:val="706"/>
    <w:next w:val="719"/>
    <w:link w:val="814"/>
    <w:uiPriority w:val="9"/>
    <w:qFormat/>
    <w:pPr>
      <w:keepLines/>
      <w:keepNext/>
      <w:spacing w:before="260" w:after="260" w:line="416" w:lineRule="auto"/>
      <w:outlineLvl w:val="2"/>
    </w:pPr>
    <w:rPr>
      <w:b/>
      <w:bCs/>
      <w:sz w:val="32"/>
      <w:szCs w:val="32"/>
    </w:rPr>
  </w:style>
  <w:style w:type="paragraph" w:styleId="710">
    <w:name w:val="Heading 4"/>
    <w:basedOn w:val="706"/>
    <w:next w:val="719"/>
    <w:link w:val="815"/>
    <w:uiPriority w:val="9"/>
    <w:qFormat/>
    <w:pPr>
      <w:keepLines/>
      <w:keepNext/>
      <w:spacing w:before="280" w:after="290" w:line="376" w:lineRule="auto"/>
      <w:outlineLvl w:val="3"/>
    </w:pPr>
    <w:rPr>
      <w:rFonts w:ascii="Arial" w:hAnsi="Arial" w:eastAsia="黑体" w:cs="Arial"/>
      <w:b/>
      <w:bCs/>
      <w:sz w:val="28"/>
      <w:szCs w:val="28"/>
    </w:rPr>
  </w:style>
  <w:style w:type="paragraph" w:styleId="711">
    <w:name w:val="Heading 5"/>
    <w:basedOn w:val="706"/>
    <w:next w:val="719"/>
    <w:link w:val="816"/>
    <w:uiPriority w:val="9"/>
    <w:qFormat/>
    <w:pPr>
      <w:keepNext/>
      <w:outlineLvl w:val="4"/>
    </w:pPr>
    <w:rPr>
      <w:rFonts w:ascii="宋体"/>
      <w:color w:val="000000"/>
      <w:sz w:val="28"/>
      <w:szCs w:val="28"/>
    </w:rPr>
  </w:style>
  <w:style w:type="paragraph" w:styleId="712">
    <w:name w:val="Heading 6"/>
    <w:basedOn w:val="706"/>
    <w:next w:val="706"/>
    <w:link w:val="81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Heading 7"/>
    <w:basedOn w:val="706"/>
    <w:next w:val="706"/>
    <w:link w:val="818"/>
    <w:uiPriority w:val="9"/>
    <w:qFormat/>
    <w:pPr>
      <w:numPr>
        <w:ilvl w:val="6"/>
        <w:numId w:val="1"/>
      </w:numPr>
      <w:keepLines/>
      <w:keepNext/>
      <w:spacing w:before="240" w:after="64" w:line="320" w:lineRule="auto"/>
      <w:outlineLvl w:val="6"/>
    </w:pPr>
    <w:rPr>
      <w:b/>
      <w:bCs/>
      <w:sz w:val="24"/>
      <w:szCs w:val="24"/>
    </w:rPr>
  </w:style>
  <w:style w:type="paragraph" w:styleId="714">
    <w:name w:val="Heading 8"/>
    <w:basedOn w:val="706"/>
    <w:next w:val="706"/>
    <w:link w:val="81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Heading 9"/>
    <w:basedOn w:val="706"/>
    <w:next w:val="706"/>
    <w:link w:val="820"/>
    <w:uiPriority w:val="9"/>
    <w:qFormat/>
    <w:pPr>
      <w:numPr>
        <w:ilvl w:val="8"/>
        <w:numId w:val="1"/>
      </w:numPr>
      <w:keepLines/>
      <w:keepNext/>
      <w:spacing w:before="240" w:after="64" w:line="320" w:lineRule="auto"/>
      <w:outlineLvl w:val="8"/>
    </w:pPr>
    <w:rPr>
      <w:rFonts w:ascii="Arial" w:hAnsi="Arial" w:eastAsia="黑体"/>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link w:val="794"/>
    <w:qFormat/>
    <w:pPr>
      <w:ind w:firstLine="420"/>
    </w:pPr>
  </w:style>
  <w:style w:type="paragraph" w:styleId="720">
    <w:name w:val="List 3"/>
    <w:basedOn w:val="706"/>
    <w:qFormat/>
    <w:pPr>
      <w:ind w:left="100" w:hanging="200"/>
    </w:pPr>
  </w:style>
  <w:style w:type="paragraph" w:styleId="721">
    <w:name w:val="toc 7"/>
    <w:basedOn w:val="706"/>
    <w:next w:val="706"/>
    <w:uiPriority w:val="39"/>
    <w:unhideWhenUsed/>
    <w:qFormat/>
    <w:pPr>
      <w:ind w:left="1701"/>
      <w:spacing w:after="57"/>
    </w:pPr>
  </w:style>
  <w:style w:type="paragraph" w:styleId="722">
    <w:name w:val="Caption"/>
    <w:basedOn w:val="706"/>
    <w:next w:val="706"/>
    <w:uiPriority w:val="35"/>
    <w:semiHidden/>
    <w:unhideWhenUsed/>
    <w:qFormat/>
    <w:pPr>
      <w:spacing w:line="276" w:lineRule="auto"/>
    </w:pPr>
    <w:rPr>
      <w:b/>
      <w:bCs/>
      <w:color w:val="4f81bd"/>
      <w:sz w:val="18"/>
      <w:szCs w:val="18"/>
    </w:rPr>
  </w:style>
  <w:style w:type="paragraph" w:styleId="723">
    <w:name w:val="Document Map"/>
    <w:basedOn w:val="706"/>
    <w:link w:val="795"/>
    <w:semiHidden/>
    <w:qFormat/>
    <w:pPr>
      <w:shd w:val="clear" w:color="auto" w:fill="000080"/>
    </w:pPr>
  </w:style>
  <w:style w:type="paragraph" w:styleId="724">
    <w:name w:val="annotation text"/>
    <w:basedOn w:val="706"/>
    <w:link w:val="796"/>
    <w:qFormat/>
    <w:pPr>
      <w:jc w:val="left"/>
    </w:pPr>
  </w:style>
  <w:style w:type="paragraph" w:styleId="725">
    <w:name w:val="Body Text 3"/>
    <w:basedOn w:val="706"/>
    <w:link w:val="797"/>
    <w:qFormat/>
    <w:rPr>
      <w:rFonts w:ascii="仿宋_GB2312" w:hAnsi="Arial" w:eastAsia="仿宋_GB2312"/>
      <w:sz w:val="32"/>
      <w:szCs w:val="32"/>
    </w:rPr>
  </w:style>
  <w:style w:type="paragraph" w:styleId="726">
    <w:name w:val="Body Text"/>
    <w:basedOn w:val="706"/>
    <w:link w:val="798"/>
    <w:qFormat/>
    <w:rPr>
      <w:rFonts w:ascii="楷体_GB2312" w:hAnsi="Arial" w:eastAsia="楷体_GB2312"/>
      <w:sz w:val="28"/>
      <w:szCs w:val="28"/>
    </w:rPr>
  </w:style>
  <w:style w:type="paragraph" w:styleId="727">
    <w:name w:val="Body Text Indent"/>
    <w:basedOn w:val="706"/>
    <w:link w:val="799"/>
    <w:qFormat/>
    <w:pPr>
      <w:ind w:firstLine="645"/>
    </w:pPr>
    <w:rPr>
      <w:rFonts w:ascii="楷体_GB2312" w:eastAsia="楷体_GB2312"/>
      <w:sz w:val="32"/>
      <w:szCs w:val="32"/>
    </w:rPr>
  </w:style>
  <w:style w:type="paragraph" w:styleId="728">
    <w:name w:val="List 2"/>
    <w:basedOn w:val="706"/>
    <w:qFormat/>
    <w:pPr>
      <w:ind w:left="100" w:hanging="200"/>
    </w:pPr>
  </w:style>
  <w:style w:type="paragraph" w:styleId="729">
    <w:name w:val="toc 5"/>
    <w:basedOn w:val="706"/>
    <w:next w:val="706"/>
    <w:uiPriority w:val="39"/>
    <w:unhideWhenUsed/>
    <w:qFormat/>
    <w:pPr>
      <w:ind w:left="1134"/>
      <w:spacing w:after="57"/>
    </w:pPr>
  </w:style>
  <w:style w:type="paragraph" w:styleId="730">
    <w:name w:val="toc 3"/>
    <w:basedOn w:val="706"/>
    <w:next w:val="706"/>
    <w:uiPriority w:val="39"/>
    <w:unhideWhenUsed/>
    <w:qFormat/>
    <w:pPr>
      <w:ind w:left="567"/>
      <w:spacing w:after="57"/>
    </w:pPr>
  </w:style>
  <w:style w:type="paragraph" w:styleId="731">
    <w:name w:val="Plain Text"/>
    <w:basedOn w:val="706"/>
    <w:link w:val="800"/>
    <w:qFormat/>
    <w:rPr>
      <w:rFonts w:ascii="宋体" w:hAnsi="Courier New" w:cs="Courier New"/>
    </w:rPr>
  </w:style>
  <w:style w:type="paragraph" w:styleId="732">
    <w:name w:val="toc 8"/>
    <w:basedOn w:val="706"/>
    <w:next w:val="706"/>
    <w:uiPriority w:val="39"/>
    <w:unhideWhenUsed/>
    <w:qFormat/>
    <w:pPr>
      <w:ind w:left="1984"/>
      <w:spacing w:after="57"/>
    </w:pPr>
  </w:style>
  <w:style w:type="paragraph" w:styleId="733">
    <w:name w:val="Date"/>
    <w:basedOn w:val="706"/>
    <w:next w:val="706"/>
    <w:link w:val="801"/>
    <w:qFormat/>
    <w:rPr>
      <w:sz w:val="24"/>
      <w:szCs w:val="24"/>
    </w:rPr>
  </w:style>
  <w:style w:type="paragraph" w:styleId="734">
    <w:name w:val="Body Text Indent 2"/>
    <w:basedOn w:val="706"/>
    <w:link w:val="802"/>
    <w:qFormat/>
    <w:pPr>
      <w:ind w:left="630" w:firstLine="645"/>
    </w:pPr>
    <w:rPr>
      <w:rFonts w:ascii="Arial" w:hAnsi="Arial" w:eastAsia="仿宋_GB2312" w:cs="Arial"/>
      <w:sz w:val="32"/>
      <w:szCs w:val="32"/>
    </w:rPr>
  </w:style>
  <w:style w:type="paragraph" w:styleId="735">
    <w:name w:val="endnote text"/>
    <w:basedOn w:val="706"/>
    <w:link w:val="803"/>
    <w:uiPriority w:val="99"/>
    <w:unhideWhenUsed/>
    <w:qFormat/>
    <w:rPr>
      <w:rFonts w:ascii="等线" w:hAnsi="等线"/>
      <w:sz w:val="20"/>
      <w:szCs w:val="22"/>
    </w:rPr>
  </w:style>
  <w:style w:type="paragraph" w:styleId="736">
    <w:name w:val="Balloon Text"/>
    <w:basedOn w:val="706"/>
    <w:link w:val="804"/>
    <w:uiPriority w:val="99"/>
    <w:semiHidden/>
    <w:qFormat/>
    <w:rPr>
      <w:sz w:val="18"/>
      <w:szCs w:val="18"/>
    </w:rPr>
  </w:style>
  <w:style w:type="paragraph" w:styleId="737">
    <w:name w:val="Footer"/>
    <w:basedOn w:val="706"/>
    <w:link w:val="791"/>
    <w:uiPriority w:val="99"/>
    <w:unhideWhenUsed/>
    <w:qFormat/>
    <w:pPr>
      <w:tabs>
        <w:tab w:val="center" w:pos="7143" w:leader="none"/>
        <w:tab w:val="right" w:pos="14287" w:leader="none"/>
      </w:tabs>
    </w:pPr>
  </w:style>
  <w:style w:type="paragraph" w:styleId="738">
    <w:name w:val="Header"/>
    <w:basedOn w:val="706"/>
    <w:link w:val="836"/>
    <w:uiPriority w:val="99"/>
    <w:unhideWhenUsed/>
    <w:qFormat/>
    <w:pPr>
      <w:tabs>
        <w:tab w:val="center" w:pos="7143" w:leader="none"/>
        <w:tab w:val="right" w:pos="14287" w:leader="none"/>
      </w:tabs>
    </w:pPr>
  </w:style>
  <w:style w:type="paragraph" w:styleId="739">
    <w:name w:val="toc 1"/>
    <w:basedOn w:val="706"/>
    <w:next w:val="706"/>
    <w:uiPriority w:val="39"/>
    <w:unhideWhenUsed/>
    <w:qFormat/>
    <w:pPr>
      <w:spacing w:after="57"/>
    </w:pPr>
  </w:style>
  <w:style w:type="paragraph" w:styleId="740">
    <w:name w:val="toc 4"/>
    <w:basedOn w:val="706"/>
    <w:next w:val="706"/>
    <w:uiPriority w:val="39"/>
    <w:unhideWhenUsed/>
    <w:qFormat/>
    <w:pPr>
      <w:ind w:left="850"/>
      <w:spacing w:after="57"/>
    </w:pPr>
  </w:style>
  <w:style w:type="paragraph" w:styleId="741">
    <w:name w:val="Subtitle"/>
    <w:basedOn w:val="706"/>
    <w:next w:val="706"/>
    <w:link w:val="806"/>
    <w:uiPriority w:val="11"/>
    <w:qFormat/>
    <w:pPr>
      <w:spacing w:before="200" w:after="200"/>
    </w:pPr>
    <w:rPr>
      <w:rFonts w:ascii="等线" w:hAnsi="等线"/>
      <w:sz w:val="24"/>
      <w:szCs w:val="24"/>
    </w:rPr>
  </w:style>
  <w:style w:type="paragraph" w:styleId="742">
    <w:name w:val="List"/>
    <w:basedOn w:val="706"/>
    <w:qFormat/>
    <w:pPr>
      <w:ind w:left="200" w:hanging="200"/>
    </w:pPr>
  </w:style>
  <w:style w:type="paragraph" w:styleId="743">
    <w:name w:val="footnote text"/>
    <w:basedOn w:val="706"/>
    <w:link w:val="807"/>
    <w:uiPriority w:val="99"/>
    <w:unhideWhenUsed/>
    <w:qFormat/>
    <w:pPr>
      <w:spacing w:after="40"/>
    </w:pPr>
    <w:rPr>
      <w:rFonts w:ascii="等线" w:hAnsi="等线"/>
      <w:sz w:val="18"/>
      <w:szCs w:val="22"/>
    </w:rPr>
  </w:style>
  <w:style w:type="paragraph" w:styleId="744">
    <w:name w:val="toc 6"/>
    <w:basedOn w:val="706"/>
    <w:next w:val="706"/>
    <w:uiPriority w:val="39"/>
    <w:unhideWhenUsed/>
    <w:qFormat/>
    <w:pPr>
      <w:ind w:left="1417"/>
      <w:spacing w:after="57"/>
    </w:pPr>
  </w:style>
  <w:style w:type="paragraph" w:styleId="745">
    <w:name w:val="Body Text Indent 3"/>
    <w:basedOn w:val="706"/>
    <w:link w:val="808"/>
    <w:qFormat/>
    <w:pPr>
      <w:ind w:left="645" w:firstLine="645"/>
    </w:pPr>
    <w:rPr>
      <w:rFonts w:ascii="Arial" w:hAnsi="Arial" w:eastAsia="仿宋_GB2312" w:cs="Arial"/>
      <w:color w:val="ffff00"/>
      <w:sz w:val="32"/>
      <w:szCs w:val="32"/>
    </w:rPr>
  </w:style>
  <w:style w:type="paragraph" w:styleId="746">
    <w:name w:val="table of figures"/>
    <w:basedOn w:val="706"/>
    <w:next w:val="706"/>
    <w:uiPriority w:val="99"/>
    <w:qFormat/>
    <w:pPr>
      <w:ind w:left="840" w:hanging="420"/>
    </w:pPr>
  </w:style>
  <w:style w:type="paragraph" w:styleId="747">
    <w:name w:val="toc 2"/>
    <w:basedOn w:val="706"/>
    <w:next w:val="706"/>
    <w:uiPriority w:val="39"/>
    <w:unhideWhenUsed/>
    <w:qFormat/>
    <w:pPr>
      <w:ind w:left="283"/>
      <w:spacing w:after="57"/>
    </w:pPr>
  </w:style>
  <w:style w:type="paragraph" w:styleId="748">
    <w:name w:val="toc 9"/>
    <w:basedOn w:val="706"/>
    <w:next w:val="706"/>
    <w:uiPriority w:val="39"/>
    <w:unhideWhenUsed/>
    <w:qFormat/>
    <w:pPr>
      <w:ind w:left="2268"/>
      <w:spacing w:after="57"/>
    </w:pPr>
  </w:style>
  <w:style w:type="paragraph" w:styleId="749">
    <w:name w:val="Body Text 2"/>
    <w:basedOn w:val="706"/>
    <w:link w:val="809"/>
    <w:qFormat/>
    <w:pPr>
      <w:jc w:val="center"/>
      <w:widowControl/>
    </w:pPr>
    <w:rPr>
      <w:rFonts w:ascii="楷体_GB2312" w:eastAsia="楷体_GB2312"/>
      <w:sz w:val="28"/>
      <w:szCs w:val="28"/>
    </w:rPr>
  </w:style>
  <w:style w:type="paragraph" w:styleId="750">
    <w:name w:val="Normal (Web)"/>
    <w:basedOn w:val="706"/>
    <w:qFormat/>
    <w:pPr>
      <w:jc w:val="left"/>
      <w:spacing w:before="100" w:beforeAutospacing="1" w:after="100" w:afterAutospacing="1"/>
      <w:widowControl/>
    </w:pPr>
    <w:rPr>
      <w:rFonts w:ascii="宋体" w:hAnsi="宋体" w:cs="宋体"/>
      <w:sz w:val="24"/>
      <w:szCs w:val="24"/>
    </w:rPr>
  </w:style>
  <w:style w:type="paragraph" w:styleId="751">
    <w:name w:val="index 1"/>
    <w:basedOn w:val="706"/>
    <w:next w:val="706"/>
    <w:semiHidden/>
    <w:qFormat/>
    <w:pPr>
      <w:spacing w:line="240" w:lineRule="atLeast"/>
    </w:pPr>
    <w:rPr>
      <w:b/>
      <w:bCs/>
    </w:rPr>
  </w:style>
  <w:style w:type="paragraph" w:styleId="752">
    <w:name w:val="Title"/>
    <w:basedOn w:val="706"/>
    <w:next w:val="706"/>
    <w:link w:val="810"/>
    <w:uiPriority w:val="10"/>
    <w:qFormat/>
    <w:pPr>
      <w:contextualSpacing/>
      <w:spacing w:before="300" w:after="200"/>
    </w:pPr>
    <w:rPr>
      <w:rFonts w:ascii="等线" w:hAnsi="等线"/>
      <w:sz w:val="48"/>
      <w:szCs w:val="48"/>
    </w:rPr>
  </w:style>
  <w:style w:type="paragraph" w:styleId="753">
    <w:name w:val="annotation subject"/>
    <w:basedOn w:val="724"/>
    <w:next w:val="724"/>
    <w:link w:val="811"/>
    <w:uiPriority w:val="99"/>
    <w:semiHidden/>
    <w:qFormat/>
    <w:rPr>
      <w:b/>
      <w:bCs/>
    </w:rPr>
  </w:style>
  <w:style w:type="table" w:styleId="754">
    <w:name w:val="Table Grid"/>
    <w:basedOn w:val="717"/>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qFormat/>
    <w:rPr>
      <w:b/>
      <w:bCs/>
    </w:rPr>
  </w:style>
  <w:style w:type="character" w:styleId="756">
    <w:name w:val="endnote reference"/>
    <w:uiPriority w:val="99"/>
    <w:unhideWhenUsed/>
    <w:qFormat/>
    <w:rPr>
      <w:vertAlign w:val="superscript"/>
    </w:rPr>
  </w:style>
  <w:style w:type="character" w:styleId="757">
    <w:name w:val="page number"/>
    <w:qFormat/>
  </w:style>
  <w:style w:type="character" w:styleId="758">
    <w:name w:val="FollowedHyperlink"/>
    <w:uiPriority w:val="99"/>
    <w:qFormat/>
    <w:rPr>
      <w:color w:val="800080"/>
      <w:u w:val="single"/>
    </w:rPr>
  </w:style>
  <w:style w:type="character" w:styleId="759">
    <w:name w:val="Emphasis"/>
    <w:qFormat/>
    <w:rPr>
      <w:i/>
    </w:rPr>
  </w:style>
  <w:style w:type="character" w:styleId="760">
    <w:name w:val="Hyperlink"/>
    <w:uiPriority w:val="99"/>
    <w:qFormat/>
    <w:rPr>
      <w:color w:val="0000ff"/>
      <w:u w:val="single"/>
    </w:rPr>
  </w:style>
  <w:style w:type="character" w:styleId="761">
    <w:name w:val="annotation reference"/>
    <w:uiPriority w:val="99"/>
    <w:semiHidden/>
    <w:qFormat/>
    <w:rPr>
      <w:sz w:val="21"/>
      <w:szCs w:val="21"/>
    </w:rPr>
  </w:style>
  <w:style w:type="character" w:styleId="762">
    <w:name w:val="footnote reference"/>
    <w:uiPriority w:val="99"/>
    <w:unhideWhenUsed/>
    <w:qFormat/>
    <w:rPr>
      <w:vertAlign w:val="superscript"/>
    </w:rPr>
  </w:style>
  <w:style w:type="paragraph" w:styleId="763">
    <w:name w:val="List Paragraph"/>
    <w:basedOn w:val="706"/>
    <w:uiPriority w:val="34"/>
    <w:qFormat/>
    <w:pPr>
      <w:contextualSpacing/>
      <w:ind w:left="720"/>
    </w:pPr>
  </w:style>
  <w:style w:type="paragraph" w:styleId="764">
    <w:name w:val="No Spacing"/>
    <w:uiPriority w:val="1"/>
    <w:qFormat/>
    <w:pPr>
      <w:jc w:val="both"/>
      <w:widowControl w:val="off"/>
    </w:pPr>
    <w:rPr>
      <w:rFonts w:ascii="Times New Roman" w:hAnsi="Times New Roman"/>
      <w:sz w:val="21"/>
      <w:szCs w:val="21"/>
    </w:rPr>
  </w:style>
  <w:style w:type="paragraph" w:styleId="765">
    <w:name w:val="Quote"/>
    <w:basedOn w:val="706"/>
    <w:next w:val="706"/>
    <w:link w:val="830"/>
    <w:uiPriority w:val="29"/>
    <w:qFormat/>
    <w:pPr>
      <w:ind w:left="720" w:right="720"/>
    </w:pPr>
    <w:rPr>
      <w:rFonts w:ascii="等线" w:hAnsi="等线"/>
      <w:i/>
      <w:szCs w:val="22"/>
    </w:rPr>
  </w:style>
  <w:style w:type="paragraph" w:styleId="766">
    <w:name w:val="Intense Quote"/>
    <w:basedOn w:val="706"/>
    <w:next w:val="706"/>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67" w:customStyle="1">
    <w:name w:val="无格式表格 11"/>
    <w:basedOn w:val="717"/>
    <w:uiPriority w:val="59"/>
    <w:qFormat/>
    <w:tblPr/>
  </w:style>
  <w:style w:type="table" w:styleId="768" w:customStyle="1">
    <w:name w:val="无格式表格 21"/>
    <w:basedOn w:val="717"/>
    <w:uiPriority w:val="59"/>
    <w:qFormat/>
    <w:tblPr/>
  </w:style>
  <w:style w:type="table" w:styleId="769" w:customStyle="1">
    <w:name w:val="无格式表格 31"/>
    <w:basedOn w:val="717"/>
    <w:uiPriority w:val="99"/>
    <w:qFormat/>
    <w:tblPr/>
  </w:style>
  <w:style w:type="table" w:styleId="770" w:customStyle="1">
    <w:name w:val="无格式表格 41"/>
    <w:basedOn w:val="717"/>
    <w:uiPriority w:val="99"/>
    <w:qFormat/>
    <w:tblPr/>
  </w:style>
  <w:style w:type="table" w:styleId="771" w:customStyle="1">
    <w:name w:val="无格式表格 51"/>
    <w:basedOn w:val="717"/>
    <w:uiPriority w:val="99"/>
    <w:qFormat/>
    <w:tblPr/>
  </w:style>
  <w:style w:type="table" w:styleId="772" w:customStyle="1">
    <w:name w:val="网格表 1 浅色1"/>
    <w:basedOn w:val="717"/>
    <w:uiPriority w:val="99"/>
    <w:qFormat/>
    <w:tblPr/>
  </w:style>
  <w:style w:type="table" w:styleId="773" w:customStyle="1">
    <w:name w:val="网格表 21"/>
    <w:basedOn w:val="717"/>
    <w:uiPriority w:val="99"/>
    <w:qFormat/>
    <w:tblPr/>
  </w:style>
  <w:style w:type="table" w:styleId="774" w:customStyle="1">
    <w:name w:val="网格表 31"/>
    <w:basedOn w:val="717"/>
    <w:uiPriority w:val="99"/>
    <w:qFormat/>
    <w:tblPr/>
  </w:style>
  <w:style w:type="table" w:styleId="775" w:customStyle="1">
    <w:name w:val="网格表 41"/>
    <w:basedOn w:val="717"/>
    <w:uiPriority w:val="59"/>
    <w:qFormat/>
    <w:tblPr/>
  </w:style>
  <w:style w:type="table" w:styleId="776" w:customStyle="1">
    <w:name w:val="网格表 5 深色1"/>
    <w:basedOn w:val="717"/>
    <w:uiPriority w:val="99"/>
    <w:qFormat/>
    <w:tblPr/>
  </w:style>
  <w:style w:type="table" w:styleId="777" w:customStyle="1">
    <w:name w:val="网格表 6 彩色1"/>
    <w:basedOn w:val="717"/>
    <w:uiPriority w:val="99"/>
    <w:qFormat/>
    <w:tblPr/>
  </w:style>
  <w:style w:type="table" w:styleId="778" w:customStyle="1">
    <w:name w:val="网格表 7 彩色1"/>
    <w:basedOn w:val="717"/>
    <w:uiPriority w:val="99"/>
    <w:qFormat/>
    <w:tblPr/>
  </w:style>
  <w:style w:type="table" w:styleId="779" w:customStyle="1">
    <w:name w:val="清单表 1 浅色1"/>
    <w:basedOn w:val="717"/>
    <w:uiPriority w:val="99"/>
    <w:qFormat/>
    <w:tblPr/>
  </w:style>
  <w:style w:type="table" w:styleId="780" w:customStyle="1">
    <w:name w:val="清单表 21"/>
    <w:basedOn w:val="717"/>
    <w:uiPriority w:val="99"/>
    <w:qFormat/>
    <w:tblPr/>
  </w:style>
  <w:style w:type="table" w:styleId="781" w:customStyle="1">
    <w:name w:val="清单表 31"/>
    <w:basedOn w:val="717"/>
    <w:uiPriority w:val="99"/>
    <w:qFormat/>
    <w:tblPr/>
  </w:style>
  <w:style w:type="table" w:styleId="782" w:customStyle="1">
    <w:name w:val="清单表 41"/>
    <w:basedOn w:val="717"/>
    <w:uiPriority w:val="99"/>
    <w:qFormat/>
    <w:tblPr/>
  </w:style>
  <w:style w:type="table" w:styleId="783" w:customStyle="1">
    <w:name w:val="清单表 5 深色1"/>
    <w:basedOn w:val="717"/>
    <w:uiPriority w:val="99"/>
    <w:qFormat/>
    <w:tblPr/>
  </w:style>
  <w:style w:type="table" w:styleId="784" w:customStyle="1">
    <w:name w:val="清单表 6 彩色1"/>
    <w:basedOn w:val="717"/>
    <w:uiPriority w:val="99"/>
    <w:qFormat/>
    <w:tblPr/>
  </w:style>
  <w:style w:type="table" w:styleId="785" w:customStyle="1">
    <w:name w:val="清单表 7 彩色1"/>
    <w:basedOn w:val="717"/>
    <w:uiPriority w:val="99"/>
    <w:qFormat/>
    <w:tblPr/>
  </w:style>
  <w:style w:type="paragraph" w:styleId="786" w:customStyle="1">
    <w:name w:val="TOC 标题1"/>
    <w:uiPriority w:val="39"/>
    <w:unhideWhenUsed/>
  </w:style>
  <w:style w:type="paragraph" w:styleId="787" w:customStyle="1">
    <w:name w:val="Caption1"/>
    <w:basedOn w:val="706"/>
    <w:next w:val="706"/>
    <w:uiPriority w:val="35"/>
    <w:semiHidden/>
    <w:unhideWhenUsed/>
    <w:qFormat/>
    <w:pPr>
      <w:spacing w:line="276" w:lineRule="auto"/>
    </w:pPr>
    <w:rPr>
      <w:b/>
      <w:bCs/>
      <w:color w:val="4f81bd"/>
      <w:sz w:val="18"/>
      <w:szCs w:val="18"/>
    </w:rPr>
  </w:style>
  <w:style w:type="paragraph" w:styleId="788" w:customStyle="1">
    <w:name w:val="Footer1"/>
    <w:basedOn w:val="706"/>
    <w:link w:val="840"/>
    <w:uiPriority w:val="99"/>
    <w:unhideWhenUsed/>
    <w:qFormat/>
    <w:pPr>
      <w:tabs>
        <w:tab w:val="center" w:pos="7143" w:leader="none"/>
        <w:tab w:val="right" w:pos="14287" w:leader="none"/>
      </w:tabs>
    </w:pPr>
  </w:style>
  <w:style w:type="paragraph" w:styleId="789" w:customStyle="1">
    <w:name w:val="Header1"/>
    <w:basedOn w:val="706"/>
    <w:link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90" w:customStyle="1">
    <w:name w:val="样式1"/>
    <w:basedOn w:val="706"/>
    <w:qFormat/>
    <w:pPr>
      <w:numPr>
        <w:numId w:val="2"/>
      </w:numPr>
    </w:pPr>
    <w:rPr>
      <w:rFonts w:ascii="宋体" w:hAnsi="宋体"/>
    </w:rPr>
  </w:style>
  <w:style w:type="character" w:styleId="791" w:customStyle="1">
    <w:name w:val="页脚 字符2"/>
    <w:link w:val="737"/>
    <w:uiPriority w:val="99"/>
    <w:qFormat/>
  </w:style>
  <w:style w:type="paragraph" w:styleId="792" w:customStyle="1">
    <w:name w:val="TOC 标题111"/>
    <w:uiPriority w:val="39"/>
    <w:unhideWhenUsed/>
    <w:qFormat/>
  </w:style>
  <w:style w:type="paragraph" w:styleId="793" w:customStyle="1">
    <w:name w:val="TOC 标题11"/>
    <w:uiPriority w:val="39"/>
    <w:qFormat/>
    <w:rPr>
      <w:rFonts w:ascii="Times New Roman" w:hAnsi="Times New Roman"/>
    </w:rPr>
  </w:style>
  <w:style w:type="character" w:styleId="794" w:customStyle="1">
    <w:name w:val="正文缩进 字符"/>
    <w:link w:val="719"/>
    <w:qFormat/>
    <w:rPr>
      <w:rFonts w:ascii="Times New Roman" w:hAnsi="Times New Roman" w:eastAsia="宋体" w:cs="Times New Roman"/>
      <w:szCs w:val="21"/>
    </w:rPr>
  </w:style>
  <w:style w:type="character" w:styleId="795" w:customStyle="1">
    <w:name w:val="文档结构图 字符"/>
    <w:link w:val="723"/>
    <w:semiHidden/>
    <w:qFormat/>
    <w:rPr>
      <w:rFonts w:ascii="Times New Roman" w:hAnsi="Times New Roman" w:eastAsia="宋体" w:cs="Times New Roman"/>
      <w:szCs w:val="21"/>
      <w:shd w:val="clear" w:color="auto" w:fill="000080"/>
    </w:rPr>
  </w:style>
  <w:style w:type="character" w:styleId="796" w:customStyle="1">
    <w:name w:val="批注文字 字符"/>
    <w:link w:val="724"/>
    <w:qFormat/>
    <w:rPr>
      <w:rFonts w:ascii="Times New Roman" w:hAnsi="Times New Roman" w:eastAsia="宋体" w:cs="Times New Roman"/>
      <w:szCs w:val="21"/>
    </w:rPr>
  </w:style>
  <w:style w:type="character" w:styleId="797" w:customStyle="1">
    <w:name w:val="正文文本 3 字符"/>
    <w:link w:val="725"/>
    <w:qFormat/>
    <w:rPr>
      <w:rFonts w:ascii="仿宋_GB2312" w:hAnsi="Arial" w:eastAsia="仿宋_GB2312" w:cs="Times New Roman"/>
      <w:sz w:val="32"/>
      <w:szCs w:val="32"/>
    </w:rPr>
  </w:style>
  <w:style w:type="character" w:styleId="798" w:customStyle="1">
    <w:name w:val="正文文本 字符"/>
    <w:link w:val="726"/>
    <w:qFormat/>
    <w:rPr>
      <w:rFonts w:ascii="楷体_GB2312" w:hAnsi="Arial" w:eastAsia="楷体_GB2312" w:cs="Times New Roman"/>
      <w:sz w:val="28"/>
      <w:szCs w:val="28"/>
    </w:rPr>
  </w:style>
  <w:style w:type="character" w:styleId="799" w:customStyle="1">
    <w:name w:val="正文文本缩进 字符"/>
    <w:link w:val="727"/>
    <w:qFormat/>
    <w:rPr>
      <w:rFonts w:ascii="楷体_GB2312" w:hAnsi="Times New Roman" w:eastAsia="楷体_GB2312" w:cs="Times New Roman"/>
      <w:sz w:val="32"/>
      <w:szCs w:val="32"/>
    </w:rPr>
  </w:style>
  <w:style w:type="character" w:styleId="800" w:customStyle="1">
    <w:name w:val="纯文本 字符1"/>
    <w:link w:val="731"/>
    <w:qFormat/>
    <w:rPr>
      <w:rFonts w:ascii="宋体" w:hAnsi="Courier New" w:eastAsia="宋体" w:cs="Courier New"/>
      <w:szCs w:val="21"/>
    </w:rPr>
  </w:style>
  <w:style w:type="character" w:styleId="801" w:customStyle="1">
    <w:name w:val="日期 字符"/>
    <w:link w:val="733"/>
    <w:qFormat/>
    <w:rPr>
      <w:rFonts w:ascii="Times New Roman" w:hAnsi="Times New Roman" w:eastAsia="宋体" w:cs="Times New Roman"/>
      <w:sz w:val="24"/>
      <w:szCs w:val="24"/>
    </w:rPr>
  </w:style>
  <w:style w:type="character" w:styleId="802" w:customStyle="1">
    <w:name w:val="正文文本缩进 2 字符"/>
    <w:link w:val="734"/>
    <w:qFormat/>
    <w:rPr>
      <w:rFonts w:ascii="Arial" w:hAnsi="Arial" w:eastAsia="仿宋_GB2312" w:cs="Arial"/>
      <w:sz w:val="32"/>
      <w:szCs w:val="32"/>
    </w:rPr>
  </w:style>
  <w:style w:type="character" w:styleId="803" w:customStyle="1">
    <w:name w:val="尾注文本 字符"/>
    <w:link w:val="735"/>
    <w:uiPriority w:val="99"/>
    <w:qFormat/>
    <w:rPr>
      <w:rFonts w:ascii="等线" w:hAnsi="等线"/>
      <w:szCs w:val="22"/>
    </w:rPr>
  </w:style>
  <w:style w:type="character" w:styleId="804" w:customStyle="1">
    <w:name w:val="批注框文本 字符"/>
    <w:link w:val="736"/>
    <w:uiPriority w:val="99"/>
    <w:semiHidden/>
    <w:qFormat/>
    <w:rPr>
      <w:rFonts w:ascii="Times New Roman" w:hAnsi="Times New Roman" w:eastAsia="宋体" w:cs="Times New Roman"/>
      <w:sz w:val="18"/>
      <w:szCs w:val="18"/>
    </w:rPr>
  </w:style>
  <w:style w:type="character" w:styleId="805" w:customStyle="1">
    <w:name w:val="页眉 字符1"/>
    <w:link w:val="789"/>
    <w:uiPriority w:val="99"/>
    <w:qFormat/>
    <w:rPr>
      <w:rFonts w:ascii="Times New Roman" w:hAnsi="Times New Roman"/>
      <w:sz w:val="18"/>
      <w:szCs w:val="18"/>
    </w:rPr>
  </w:style>
  <w:style w:type="character" w:styleId="806" w:customStyle="1">
    <w:name w:val="副标题 字符"/>
    <w:link w:val="741"/>
    <w:uiPriority w:val="11"/>
    <w:qFormat/>
    <w:rPr>
      <w:rFonts w:ascii="等线" w:hAnsi="等线"/>
      <w:sz w:val="24"/>
      <w:szCs w:val="24"/>
    </w:rPr>
  </w:style>
  <w:style w:type="character" w:styleId="807" w:customStyle="1">
    <w:name w:val="脚注文本 字符"/>
    <w:link w:val="743"/>
    <w:uiPriority w:val="99"/>
    <w:qFormat/>
    <w:rPr>
      <w:rFonts w:ascii="等线" w:hAnsi="等线"/>
      <w:sz w:val="18"/>
      <w:szCs w:val="22"/>
    </w:rPr>
  </w:style>
  <w:style w:type="character" w:styleId="808" w:customStyle="1">
    <w:name w:val="正文文本缩进 3 字符"/>
    <w:link w:val="745"/>
    <w:qFormat/>
    <w:rPr>
      <w:rFonts w:ascii="Arial" w:hAnsi="Arial" w:eastAsia="仿宋_GB2312" w:cs="Arial"/>
      <w:color w:val="ffff00"/>
      <w:sz w:val="32"/>
      <w:szCs w:val="32"/>
    </w:rPr>
  </w:style>
  <w:style w:type="character" w:styleId="809" w:customStyle="1">
    <w:name w:val="正文文本 2 字符"/>
    <w:link w:val="749"/>
    <w:qFormat/>
    <w:rPr>
      <w:rFonts w:ascii="楷体_GB2312" w:hAnsi="Times New Roman" w:eastAsia="楷体_GB2312" w:cs="Times New Roman"/>
      <w:sz w:val="28"/>
      <w:szCs w:val="28"/>
    </w:rPr>
  </w:style>
  <w:style w:type="character" w:styleId="810" w:customStyle="1">
    <w:name w:val="标题 字符"/>
    <w:link w:val="752"/>
    <w:uiPriority w:val="10"/>
    <w:qFormat/>
    <w:rPr>
      <w:rFonts w:ascii="等线" w:hAnsi="等线"/>
      <w:sz w:val="48"/>
      <w:szCs w:val="48"/>
    </w:rPr>
  </w:style>
  <w:style w:type="character" w:styleId="811" w:customStyle="1">
    <w:name w:val="批注主题 字符"/>
    <w:link w:val="753"/>
    <w:uiPriority w:val="99"/>
    <w:semiHidden/>
    <w:qFormat/>
    <w:rPr>
      <w:rFonts w:ascii="Times New Roman" w:hAnsi="Times New Roman" w:eastAsia="宋体" w:cs="Times New Roman"/>
      <w:b/>
      <w:bCs/>
      <w:szCs w:val="21"/>
    </w:rPr>
  </w:style>
  <w:style w:type="character" w:styleId="812" w:customStyle="1">
    <w:name w:val="标题 1 字符"/>
    <w:link w:val="707"/>
    <w:uiPriority w:val="9"/>
    <w:qFormat/>
    <w:rPr>
      <w:rFonts w:ascii="楷体_GB2312" w:hAnsi="Times New Roman" w:eastAsia="楷体_GB2312" w:cs="Times New Roman"/>
      <w:sz w:val="28"/>
      <w:szCs w:val="28"/>
    </w:rPr>
  </w:style>
  <w:style w:type="character" w:styleId="813" w:customStyle="1">
    <w:name w:val="标题 2 字符"/>
    <w:link w:val="708"/>
    <w:uiPriority w:val="9"/>
    <w:qFormat/>
    <w:rPr>
      <w:rFonts w:ascii="Arial" w:hAnsi="Arial" w:eastAsia="幼圆" w:cs="Arial"/>
      <w:b/>
      <w:bCs/>
      <w:sz w:val="44"/>
      <w:szCs w:val="44"/>
    </w:rPr>
  </w:style>
  <w:style w:type="character" w:styleId="814" w:customStyle="1">
    <w:name w:val="标题 3 字符"/>
    <w:link w:val="709"/>
    <w:uiPriority w:val="9"/>
    <w:qFormat/>
    <w:rPr>
      <w:rFonts w:ascii="Times New Roman" w:hAnsi="Times New Roman" w:eastAsia="宋体" w:cs="Times New Roman"/>
      <w:b/>
      <w:bCs/>
      <w:sz w:val="32"/>
      <w:szCs w:val="32"/>
    </w:rPr>
  </w:style>
  <w:style w:type="character" w:styleId="815" w:customStyle="1">
    <w:name w:val="标题 4 字符"/>
    <w:link w:val="710"/>
    <w:uiPriority w:val="9"/>
    <w:qFormat/>
    <w:rPr>
      <w:rFonts w:ascii="Arial" w:hAnsi="Arial" w:eastAsia="黑体" w:cs="Arial"/>
      <w:b/>
      <w:bCs/>
      <w:sz w:val="28"/>
      <w:szCs w:val="28"/>
    </w:rPr>
  </w:style>
  <w:style w:type="character" w:styleId="816" w:customStyle="1">
    <w:name w:val="标题 5 字符"/>
    <w:link w:val="711"/>
    <w:uiPriority w:val="9"/>
    <w:qFormat/>
    <w:rPr>
      <w:rFonts w:ascii="宋体" w:hAnsi="Times New Roman" w:eastAsia="宋体" w:cs="Times New Roman"/>
      <w:color w:val="000000"/>
      <w:sz w:val="28"/>
      <w:szCs w:val="28"/>
    </w:rPr>
  </w:style>
  <w:style w:type="character" w:styleId="817" w:customStyle="1">
    <w:name w:val="标题 6 字符"/>
    <w:link w:val="712"/>
    <w:uiPriority w:val="9"/>
    <w:qFormat/>
    <w:rPr>
      <w:rFonts w:ascii="Arial" w:hAnsi="Arial" w:eastAsia="黑体"/>
      <w:b/>
      <w:bCs/>
      <w:sz w:val="24"/>
      <w:szCs w:val="24"/>
    </w:rPr>
  </w:style>
  <w:style w:type="character" w:styleId="818" w:customStyle="1">
    <w:name w:val="标题 7 字符"/>
    <w:link w:val="713"/>
    <w:uiPriority w:val="9"/>
    <w:qFormat/>
    <w:rPr>
      <w:rFonts w:ascii="Times New Roman" w:hAnsi="Times New Roman"/>
      <w:b/>
      <w:bCs/>
      <w:sz w:val="24"/>
      <w:szCs w:val="24"/>
    </w:rPr>
  </w:style>
  <w:style w:type="character" w:styleId="819" w:customStyle="1">
    <w:name w:val="标题 8 字符"/>
    <w:link w:val="714"/>
    <w:uiPriority w:val="9"/>
    <w:qFormat/>
    <w:rPr>
      <w:rFonts w:ascii="Arial" w:hAnsi="Arial" w:eastAsia="黑体"/>
      <w:sz w:val="24"/>
      <w:szCs w:val="24"/>
    </w:rPr>
  </w:style>
  <w:style w:type="character" w:styleId="820" w:customStyle="1">
    <w:name w:val="标题 9 字符"/>
    <w:link w:val="715"/>
    <w:uiPriority w:val="9"/>
    <w:qFormat/>
    <w:rPr>
      <w:rFonts w:ascii="Arial" w:hAnsi="Arial" w:eastAsia="黑体"/>
      <w:sz w:val="21"/>
      <w:szCs w:val="21"/>
    </w:rPr>
  </w:style>
  <w:style w:type="character" w:styleId="821" w:customStyle="1">
    <w:name w:val="Heading 1 Char"/>
    <w:uiPriority w:val="9"/>
    <w:qFormat/>
    <w:rPr>
      <w:rFonts w:ascii="Arial" w:hAnsi="Arial" w:eastAsia="Arial" w:cs="Arial"/>
      <w:sz w:val="40"/>
      <w:szCs w:val="40"/>
    </w:rPr>
  </w:style>
  <w:style w:type="character" w:styleId="822" w:customStyle="1">
    <w:name w:val="Heading 4 Char"/>
    <w:uiPriority w:val="9"/>
    <w:qFormat/>
    <w:rPr>
      <w:rFonts w:ascii="Arial" w:hAnsi="Arial" w:eastAsia="Arial" w:cs="Arial"/>
      <w:b/>
      <w:bCs/>
      <w:sz w:val="26"/>
      <w:szCs w:val="26"/>
    </w:rPr>
  </w:style>
  <w:style w:type="character" w:styleId="823" w:customStyle="1">
    <w:name w:val="Heading 5 Char"/>
    <w:uiPriority w:val="9"/>
    <w:qFormat/>
    <w:rPr>
      <w:rFonts w:ascii="Arial" w:hAnsi="Arial" w:eastAsia="Arial" w:cs="Arial"/>
      <w:b/>
      <w:bCs/>
      <w:sz w:val="24"/>
      <w:szCs w:val="24"/>
    </w:rPr>
  </w:style>
  <w:style w:type="character" w:styleId="824" w:customStyle="1">
    <w:name w:val="Heading 6 Char"/>
    <w:uiPriority w:val="9"/>
    <w:qFormat/>
    <w:rPr>
      <w:rFonts w:ascii="Arial" w:hAnsi="Arial" w:eastAsia="Arial" w:cs="Arial"/>
      <w:b/>
      <w:bCs/>
      <w:sz w:val="22"/>
      <w:szCs w:val="22"/>
    </w:rPr>
  </w:style>
  <w:style w:type="character" w:styleId="825" w:customStyle="1">
    <w:name w:val="Heading 7 Char"/>
    <w:uiPriority w:val="9"/>
    <w:qFormat/>
    <w:rPr>
      <w:rFonts w:ascii="Arial" w:hAnsi="Arial" w:eastAsia="Arial" w:cs="Arial"/>
      <w:b/>
      <w:bCs/>
      <w:i/>
      <w:iCs/>
      <w:sz w:val="22"/>
      <w:szCs w:val="22"/>
    </w:rPr>
  </w:style>
  <w:style w:type="character" w:styleId="826" w:customStyle="1">
    <w:name w:val="Heading 8 Char"/>
    <w:uiPriority w:val="9"/>
    <w:qFormat/>
    <w:rPr>
      <w:rFonts w:ascii="Arial" w:hAnsi="Arial" w:eastAsia="Arial" w:cs="Arial"/>
      <w:i/>
      <w:iCs/>
      <w:sz w:val="22"/>
      <w:szCs w:val="22"/>
    </w:rPr>
  </w:style>
  <w:style w:type="character" w:styleId="827" w:customStyle="1">
    <w:name w:val="Heading 9 Char"/>
    <w:uiPriority w:val="9"/>
    <w:qFormat/>
    <w:rPr>
      <w:rFonts w:ascii="Arial" w:hAnsi="Arial" w:eastAsia="Arial" w:cs="Arial"/>
      <w:i/>
      <w:iCs/>
      <w:sz w:val="21"/>
      <w:szCs w:val="21"/>
    </w:rPr>
  </w:style>
  <w:style w:type="character" w:styleId="828" w:customStyle="1">
    <w:name w:val="Title Char"/>
    <w:uiPriority w:val="10"/>
    <w:qFormat/>
    <w:rPr>
      <w:sz w:val="48"/>
      <w:szCs w:val="48"/>
    </w:rPr>
  </w:style>
  <w:style w:type="character" w:styleId="829" w:customStyle="1">
    <w:name w:val="Subtitle Char"/>
    <w:uiPriority w:val="11"/>
    <w:qFormat/>
    <w:rPr>
      <w:sz w:val="24"/>
      <w:szCs w:val="24"/>
    </w:rPr>
  </w:style>
  <w:style w:type="character" w:styleId="830" w:customStyle="1">
    <w:name w:val="引用 字符"/>
    <w:link w:val="765"/>
    <w:uiPriority w:val="29"/>
    <w:qFormat/>
    <w:rPr>
      <w:rFonts w:ascii="等线" w:hAnsi="等线"/>
      <w:i/>
      <w:sz w:val="21"/>
      <w:szCs w:val="22"/>
    </w:rPr>
  </w:style>
  <w:style w:type="character" w:styleId="831" w:customStyle="1">
    <w:name w:val="Quote Char"/>
    <w:uiPriority w:val="29"/>
    <w:qFormat/>
    <w:rPr>
      <w:i/>
    </w:rPr>
  </w:style>
  <w:style w:type="character" w:styleId="832" w:customStyle="1">
    <w:name w:val="明显引用 字符"/>
    <w:link w:val="766"/>
    <w:uiPriority w:val="30"/>
    <w:qFormat/>
    <w:rPr>
      <w:rFonts w:ascii="等线" w:hAnsi="等线"/>
      <w:i/>
      <w:sz w:val="21"/>
      <w:szCs w:val="22"/>
      <w:shd w:val="clear" w:color="auto" w:fill="f2f2f2"/>
    </w:rPr>
  </w:style>
  <w:style w:type="character" w:styleId="833" w:customStyle="1">
    <w:name w:val="Intense Quote Char"/>
    <w:uiPriority w:val="30"/>
    <w:qFormat/>
    <w:rPr>
      <w:i/>
    </w:rPr>
  </w:style>
  <w:style w:type="paragraph" w:styleId="834" w:customStyle="1">
    <w:name w:val="Header11"/>
    <w:basedOn w:val="706"/>
    <w:link w:val="835"/>
    <w:uiPriority w:val="99"/>
    <w:qFormat/>
    <w:pPr>
      <w:jc w:val="center"/>
      <w:tabs>
        <w:tab w:val="center" w:pos="4153" w:leader="none"/>
        <w:tab w:val="right" w:pos="8306" w:leader="none"/>
      </w:tabs>
      <w:pBdr>
        <w:bottom w:val="single" w:color="000000" w:sz="6" w:space="1"/>
      </w:pBdr>
    </w:pPr>
    <w:rPr>
      <w:sz w:val="18"/>
      <w:szCs w:val="18"/>
    </w:rPr>
  </w:style>
  <w:style w:type="character" w:styleId="835" w:customStyle="1">
    <w:name w:val="页眉 字符"/>
    <w:link w:val="834"/>
    <w:uiPriority w:val="99"/>
    <w:qFormat/>
    <w:rPr>
      <w:rFonts w:ascii="Times New Roman" w:hAnsi="Times New Roman" w:eastAsia="宋体" w:cs="Times New Roman"/>
      <w:sz w:val="18"/>
      <w:szCs w:val="18"/>
    </w:rPr>
  </w:style>
  <w:style w:type="character" w:styleId="836" w:customStyle="1">
    <w:name w:val="页眉 字符2"/>
    <w:link w:val="738"/>
    <w:uiPriority w:val="99"/>
    <w:qFormat/>
  </w:style>
  <w:style w:type="paragraph" w:styleId="837" w:customStyle="1">
    <w:name w:val="Footer11"/>
    <w:basedOn w:val="706"/>
    <w:link w:val="838"/>
    <w:uiPriority w:val="99"/>
    <w:qFormat/>
    <w:pPr>
      <w:jc w:val="left"/>
      <w:tabs>
        <w:tab w:val="center" w:pos="4153" w:leader="none"/>
        <w:tab w:val="right" w:pos="8306" w:leader="none"/>
      </w:tabs>
    </w:pPr>
    <w:rPr>
      <w:sz w:val="18"/>
      <w:szCs w:val="18"/>
    </w:rPr>
  </w:style>
  <w:style w:type="character" w:styleId="838" w:customStyle="1">
    <w:name w:val="页脚 字符"/>
    <w:link w:val="837"/>
    <w:uiPriority w:val="99"/>
    <w:qFormat/>
    <w:rPr>
      <w:rFonts w:ascii="Times New Roman" w:hAnsi="Times New Roman" w:eastAsia="宋体" w:cs="Times New Roman"/>
      <w:sz w:val="18"/>
      <w:szCs w:val="18"/>
    </w:rPr>
  </w:style>
  <w:style w:type="paragraph" w:styleId="839" w:customStyle="1">
    <w:name w:val="Caption11"/>
    <w:basedOn w:val="706"/>
    <w:next w:val="706"/>
    <w:uiPriority w:val="35"/>
    <w:unhideWhenUsed/>
    <w:qFormat/>
    <w:pPr>
      <w:spacing w:line="276" w:lineRule="auto"/>
    </w:pPr>
    <w:rPr>
      <w:b/>
      <w:bCs/>
      <w:color w:val="4f81bd"/>
      <w:sz w:val="18"/>
      <w:szCs w:val="18"/>
    </w:rPr>
  </w:style>
  <w:style w:type="character" w:styleId="840" w:customStyle="1">
    <w:name w:val="页脚 字符1"/>
    <w:link w:val="788"/>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character" w:styleId="843" w:customStyle="1">
    <w:name w:val="Footer Char"/>
    <w:uiPriority w:val="99"/>
    <w:qFormat/>
  </w:style>
  <w:style w:type="character" w:styleId="844" w:customStyle="1">
    <w:name w:val="Heading 2 Char"/>
    <w:uiPriority w:val="9"/>
    <w:qFormat/>
    <w:rPr>
      <w:rFonts w:ascii="Arial" w:hAnsi="Arial" w:eastAsia="Arial" w:cs="Arial"/>
      <w:sz w:val="34"/>
    </w:rPr>
  </w:style>
  <w:style w:type="character" w:styleId="845" w:customStyle="1">
    <w:name w:val="正文首行缩进 Char"/>
    <w:link w:val="846"/>
    <w:qFormat/>
    <w:rPr>
      <w:rFonts w:ascii="仿宋_GB2312" w:hAnsi="Times New Roman" w:eastAsia="仿宋_GB2312" w:cs="Times New Roman"/>
      <w:sz w:val="30"/>
      <w:szCs w:val="30"/>
    </w:rPr>
  </w:style>
  <w:style w:type="paragraph" w:styleId="846" w:customStyle="1">
    <w:name w:val="正文首行缩进1"/>
    <w:basedOn w:val="706"/>
    <w:link w:val="845"/>
    <w:qFormat/>
    <w:pPr>
      <w:ind w:firstLine="200"/>
      <w:spacing w:line="360" w:lineRule="auto"/>
    </w:pPr>
    <w:rPr>
      <w:rFonts w:ascii="仿宋_GB2312" w:eastAsia="仿宋_GB2312"/>
      <w:sz w:val="30"/>
      <w:szCs w:val="30"/>
    </w:rPr>
  </w:style>
  <w:style w:type="character" w:styleId="847" w:customStyle="1">
    <w:name w:val="二级目录 Char"/>
    <w:link w:val="848"/>
    <w:qFormat/>
    <w:rPr>
      <w:b/>
      <w:sz w:val="30"/>
      <w:szCs w:val="28"/>
    </w:rPr>
  </w:style>
  <w:style w:type="paragraph" w:styleId="848" w:customStyle="1">
    <w:name w:val="二级目录"/>
    <w:next w:val="706"/>
    <w:link w:val="847"/>
    <w:qFormat/>
    <w:pPr>
      <w:numPr>
        <w:numId w:val="3"/>
      </w:numPr>
      <w:tabs>
        <w:tab w:val="left" w:pos="1145" w:leader="none"/>
      </w:tabs>
      <w:outlineLvl w:val="1"/>
    </w:pPr>
    <w:rPr>
      <w:b/>
      <w:sz w:val="30"/>
      <w:szCs w:val="28"/>
    </w:rPr>
  </w:style>
  <w:style w:type="character" w:styleId="849" w:customStyle="1">
    <w:name w:val="Heading 3 Char"/>
    <w:uiPriority w:val="9"/>
    <w:qFormat/>
    <w:rPr>
      <w:rFonts w:ascii="Arial" w:hAnsi="Arial" w:eastAsia="Arial" w:cs="Arial"/>
      <w:sz w:val="30"/>
      <w:szCs w:val="30"/>
    </w:rPr>
  </w:style>
  <w:style w:type="character" w:styleId="850" w:customStyle="1">
    <w:name w:val="正文首行缩进 2 Char"/>
    <w:link w:val="851"/>
    <w:qFormat/>
    <w:rPr>
      <w:rFonts w:ascii="宋体" w:hAnsi="宋体" w:eastAsia="宋体" w:cs="Times New Roman"/>
      <w:sz w:val="32"/>
      <w:szCs w:val="20"/>
    </w:rPr>
  </w:style>
  <w:style w:type="paragraph" w:styleId="851" w:customStyle="1">
    <w:name w:val="正文首行缩进 21"/>
    <w:basedOn w:val="727"/>
    <w:link w:val="850"/>
    <w:qFormat/>
    <w:pPr>
      <w:ind w:firstLine="420"/>
      <w:spacing w:line="360" w:lineRule="auto"/>
    </w:pPr>
    <w:rPr>
      <w:rFonts w:ascii="宋体" w:hAnsi="宋体" w:eastAsia="宋体"/>
      <w:sz w:val="21"/>
      <w:szCs w:val="20"/>
    </w:rPr>
  </w:style>
  <w:style w:type="character" w:styleId="852" w:customStyle="1">
    <w:name w:val="font5 Char"/>
    <w:qFormat/>
    <w:rPr>
      <w:rFonts w:ascii="宋体" w:hAnsi="宋体" w:eastAsia="宋体"/>
      <w:sz w:val="28"/>
      <w:szCs w:val="28"/>
      <w:lang w:val="en-US" w:eastAsia="zh-CN" w:bidi="ar-SA"/>
    </w:rPr>
  </w:style>
  <w:style w:type="character" w:styleId="853" w:customStyle="1">
    <w:name w:val="列出段落 Char"/>
    <w:link w:val="854"/>
    <w:qFormat/>
    <w:rPr>
      <w:rFonts w:ascii="Calibri" w:hAnsi="Calibri"/>
      <w:sz w:val="24"/>
      <w:szCs w:val="24"/>
      <w:lang w:eastAsia="en-US" w:bidi="en-US"/>
    </w:rPr>
  </w:style>
  <w:style w:type="paragraph" w:styleId="854" w:customStyle="1">
    <w:name w:val="列出段落1"/>
    <w:basedOn w:val="706"/>
    <w:link w:val="853"/>
    <w:qFormat/>
    <w:pPr>
      <w:contextualSpacing/>
      <w:ind w:left="720"/>
      <w:jc w:val="left"/>
      <w:widowControl/>
    </w:pPr>
    <w:rPr>
      <w:rFonts w:ascii="Calibri" w:hAnsi="Calibri"/>
      <w:sz w:val="24"/>
      <w:szCs w:val="24"/>
      <w:lang w:eastAsia="en-US" w:bidi="en-US"/>
    </w:rPr>
  </w:style>
  <w:style w:type="character" w:styleId="855" w:customStyle="1">
    <w:name w:val="标题5 Char"/>
    <w:link w:val="856"/>
    <w:qFormat/>
    <w:rPr>
      <w:szCs w:val="24"/>
    </w:rPr>
  </w:style>
  <w:style w:type="paragraph" w:styleId="856" w:customStyle="1">
    <w:name w:val="标题5"/>
    <w:basedOn w:val="706"/>
    <w:link w:val="855"/>
    <w:qFormat/>
    <w:pPr>
      <w:ind w:left="990" w:hanging="990"/>
      <w:spacing w:before="100" w:beforeAutospacing="1" w:after="100" w:afterAutospacing="1"/>
      <w:outlineLvl w:val="4"/>
    </w:pPr>
    <w:rPr>
      <w:rFonts w:ascii="Calibri" w:hAnsi="Calibri"/>
      <w:sz w:val="20"/>
      <w:szCs w:val="24"/>
    </w:rPr>
  </w:style>
  <w:style w:type="character" w:styleId="857" w:customStyle="1">
    <w:name w:val="纯文本 字符"/>
    <w:qFormat/>
    <w:rPr>
      <w:rFonts w:ascii="宋体" w:hAnsi="Courier New" w:eastAsia="宋体" w:cs="Courier New"/>
      <w:szCs w:val="21"/>
    </w:rPr>
  </w:style>
  <w:style w:type="paragraph" w:styleId="858" w:customStyle="1">
    <w:name w:val="目录 31"/>
    <w:basedOn w:val="706"/>
    <w:next w:val="706"/>
    <w:semiHidden/>
    <w:qFormat/>
    <w:pPr>
      <w:ind w:left="420"/>
      <w:jc w:val="left"/>
    </w:pPr>
    <w:rPr>
      <w:i/>
      <w:iCs/>
      <w:szCs w:val="24"/>
    </w:rPr>
  </w:style>
  <w:style w:type="paragraph" w:styleId="859" w:customStyle="1">
    <w:name w:val="目录 21"/>
    <w:basedOn w:val="706"/>
    <w:next w:val="706"/>
    <w:semiHidden/>
    <w:qFormat/>
    <w:pPr>
      <w:ind w:left="210"/>
      <w:jc w:val="left"/>
    </w:pPr>
    <w:rPr>
      <w:smallCaps/>
      <w:szCs w:val="24"/>
    </w:rPr>
  </w:style>
  <w:style w:type="paragraph" w:styleId="860" w:customStyle="1">
    <w:name w:val="目录 81"/>
    <w:basedOn w:val="706"/>
    <w:next w:val="706"/>
    <w:semiHidden/>
    <w:qFormat/>
    <w:pPr>
      <w:ind w:left="1470"/>
      <w:jc w:val="left"/>
    </w:pPr>
  </w:style>
  <w:style w:type="paragraph" w:styleId="861" w:customStyle="1">
    <w:name w:val="目录 91"/>
    <w:basedOn w:val="706"/>
    <w:next w:val="706"/>
    <w:semiHidden/>
    <w:qFormat/>
    <w:pPr>
      <w:ind w:left="1680"/>
      <w:jc w:val="left"/>
    </w:pPr>
  </w:style>
  <w:style w:type="paragraph" w:styleId="862" w:customStyle="1">
    <w:name w:val="目录 71"/>
    <w:basedOn w:val="706"/>
    <w:next w:val="706"/>
    <w:semiHidden/>
    <w:qFormat/>
    <w:pPr>
      <w:ind w:left="1260"/>
      <w:jc w:val="left"/>
    </w:pPr>
  </w:style>
  <w:style w:type="paragraph" w:styleId="863" w:customStyle="1">
    <w:name w:val="标题3"/>
    <w:basedOn w:val="706"/>
    <w:next w:val="706"/>
    <w:qFormat/>
    <w:pPr>
      <w:ind w:firstLine="624"/>
      <w:spacing w:line="590" w:lineRule="atLeast"/>
    </w:pPr>
    <w:rPr>
      <w:rFonts w:ascii="方正黑体_GBK" w:eastAsia="方正黑体_GBK"/>
      <w:sz w:val="32"/>
      <w:szCs w:val="32"/>
    </w:rPr>
  </w:style>
  <w:style w:type="paragraph" w:styleId="864" w:customStyle="1">
    <w:name w:val="标题1"/>
    <w:basedOn w:val="706"/>
    <w:next w:val="7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5" w:customStyle="1">
    <w:name w:val="目录 11"/>
    <w:basedOn w:val="706"/>
    <w:next w:val="706"/>
    <w:semiHidden/>
    <w:qFormat/>
    <w:pPr>
      <w:jc w:val="left"/>
      <w:spacing w:before="120" w:after="120" w:line="400" w:lineRule="exact"/>
      <w:tabs>
        <w:tab w:val="right" w:pos="8720" w:leader="dot"/>
      </w:tabs>
    </w:pPr>
    <w:rPr>
      <w:rFonts w:ascii="宋体" w:hAnsi="宋体"/>
      <w:caps/>
      <w:sz w:val="24"/>
      <w:szCs w:val="24"/>
    </w:rPr>
  </w:style>
  <w:style w:type="paragraph" w:styleId="866" w:customStyle="1">
    <w:name w:val="目录 41"/>
    <w:basedOn w:val="706"/>
    <w:next w:val="706"/>
    <w:semiHidden/>
    <w:qFormat/>
    <w:pPr>
      <w:ind w:left="630"/>
      <w:jc w:val="left"/>
    </w:pPr>
  </w:style>
  <w:style w:type="paragraph" w:styleId="867" w:customStyle="1">
    <w:name w:val="目录 61"/>
    <w:basedOn w:val="706"/>
    <w:next w:val="706"/>
    <w:semiHidden/>
    <w:qFormat/>
    <w:pPr>
      <w:ind w:left="1050"/>
      <w:jc w:val="left"/>
    </w:pPr>
  </w:style>
  <w:style w:type="paragraph" w:styleId="868" w:customStyle="1">
    <w:name w:val="目录 51"/>
    <w:basedOn w:val="706"/>
    <w:next w:val="706"/>
    <w:semiHidden/>
    <w:qFormat/>
    <w:pPr>
      <w:ind w:left="840"/>
      <w:jc w:val="left"/>
    </w:pPr>
  </w:style>
  <w:style w:type="paragraph" w:styleId="869" w:customStyle="1">
    <w:name w:val="Char"/>
    <w:basedOn w:val="706"/>
    <w:qFormat/>
    <w:pPr>
      <w:ind w:firstLine="200"/>
      <w:tabs>
        <w:tab w:val="left" w:pos="360" w:leader="none"/>
      </w:tabs>
    </w:pPr>
    <w:rPr>
      <w:sz w:val="28"/>
      <w:szCs w:val="30"/>
    </w:rPr>
  </w:style>
  <w:style w:type="paragraph" w:styleId="870" w:customStyle="1">
    <w:name w:val="xl30"/>
    <w:basedOn w:val="706"/>
    <w:qFormat/>
    <w:pPr>
      <w:jc w:val="center"/>
      <w:spacing w:before="100" w:beforeAutospacing="1" w:after="100" w:afterAutospacing="1"/>
      <w:widowControl/>
    </w:pPr>
    <w:rPr>
      <w:rFonts w:ascii="宋体" w:hAnsi="宋体"/>
      <w:b/>
      <w:bCs/>
      <w:sz w:val="36"/>
      <w:szCs w:val="36"/>
    </w:rPr>
  </w:style>
  <w:style w:type="paragraph" w:styleId="871" w:customStyle="1">
    <w:name w:val="Body Text(ch)"/>
    <w:basedOn w:val="706"/>
    <w:next w:val="726"/>
    <w:qFormat/>
    <w:pPr>
      <w:spacing w:after="120"/>
    </w:pPr>
    <w:rPr>
      <w:rFonts w:ascii="宋体" w:hAnsi="Arial"/>
      <w:bCs/>
      <w:iCs/>
      <w:szCs w:val="24"/>
    </w:rPr>
  </w:style>
  <w:style w:type="paragraph" w:styleId="872" w:customStyle="1">
    <w:name w:val="xl28"/>
    <w:basedOn w:val="7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3" w:customStyle="1">
    <w:name w:val="xl27"/>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4" w:customStyle="1">
    <w:name w:val="xl26"/>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5" w:customStyle="1">
    <w:name w:val="Char_0"/>
    <w:basedOn w:val="723"/>
    <w:qFormat/>
    <w:rPr>
      <w:rFonts w:ascii="Tahoma" w:hAnsi="Tahoma"/>
      <w:sz w:val="24"/>
      <w:szCs w:val="24"/>
    </w:rPr>
  </w:style>
  <w:style w:type="paragraph" w:styleId="876" w:customStyle="1">
    <w:name w:val="普通正文"/>
    <w:basedOn w:val="706"/>
    <w:qFormat/>
    <w:pPr>
      <w:ind w:firstLine="480"/>
      <w:jc w:val="left"/>
      <w:spacing w:before="120" w:after="120" w:line="360" w:lineRule="auto"/>
    </w:pPr>
    <w:rPr>
      <w:rFonts w:ascii="Arial" w:hAnsi="Arial"/>
      <w:sz w:val="24"/>
      <w:szCs w:val="24"/>
    </w:rPr>
  </w:style>
  <w:style w:type="paragraph" w:styleId="877" w:customStyle="1">
    <w:name w:val="table_lines"/>
    <w:basedOn w:val="706"/>
    <w:qFormat/>
    <w:pPr>
      <w:jc w:val="left"/>
      <w:widowControl/>
    </w:pPr>
    <w:rPr>
      <w:sz w:val="20"/>
      <w:szCs w:val="20"/>
      <w:lang w:val="de-DE" w:eastAsia="de-DE"/>
    </w:rPr>
  </w:style>
  <w:style w:type="paragraph" w:styleId="878"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879" w:customStyle="1">
    <w:name w:val="font7"/>
    <w:basedOn w:val="706"/>
    <w:qFormat/>
    <w:pPr>
      <w:jc w:val="left"/>
      <w:spacing w:before="100" w:beforeAutospacing="1" w:after="100" w:afterAutospacing="1"/>
      <w:widowControl/>
    </w:pPr>
    <w:rPr>
      <w:rFonts w:hint="eastAsia" w:ascii="宋体" w:hAnsi="宋体"/>
      <w:sz w:val="18"/>
      <w:szCs w:val="18"/>
    </w:rPr>
  </w:style>
  <w:style w:type="paragraph" w:styleId="880" w:customStyle="1">
    <w:name w:val="Char Char Char Char"/>
    <w:basedOn w:val="723"/>
    <w:qFormat/>
    <w:pPr>
      <w:spacing w:line="360" w:lineRule="auto"/>
    </w:pPr>
    <w:rPr>
      <w:rFonts w:ascii="Tahoma" w:hAnsi="Tahoma"/>
      <w:sz w:val="24"/>
      <w:szCs w:val="24"/>
    </w:rPr>
  </w:style>
  <w:style w:type="paragraph" w:styleId="881" w:customStyle="1">
    <w:name w:val="列出段落2"/>
    <w:basedOn w:val="706"/>
    <w:qFormat/>
    <w:pPr>
      <w:contextualSpacing/>
      <w:ind w:left="720"/>
      <w:jc w:val="left"/>
      <w:widowControl/>
    </w:pPr>
    <w:rPr>
      <w:rFonts w:ascii="Calibri" w:hAnsi="Calibri"/>
      <w:sz w:val="24"/>
      <w:szCs w:val="24"/>
      <w:lang w:eastAsia="en-US" w:bidi="en-US"/>
    </w:rPr>
  </w:style>
  <w:style w:type="paragraph" w:styleId="882" w:customStyle="1">
    <w:name w:val="4"/>
    <w:basedOn w:val="706"/>
    <w:next w:val="745"/>
    <w:qFormat/>
    <w:pPr>
      <w:ind w:firstLine="420"/>
      <w:spacing w:line="360" w:lineRule="auto"/>
    </w:pPr>
    <w:rPr>
      <w:color w:val="ff0000"/>
      <w:sz w:val="24"/>
      <w:szCs w:val="24"/>
    </w:rPr>
  </w:style>
  <w:style w:type="paragraph" w:styleId="883" w:customStyle="1">
    <w:name w:val="普通 (Web)"/>
    <w:basedOn w:val="706"/>
    <w:qFormat/>
    <w:pPr>
      <w:jc w:val="left"/>
      <w:spacing w:before="100" w:beforeAutospacing="1" w:after="100" w:afterAutospacing="1"/>
      <w:widowControl/>
    </w:pPr>
    <w:rPr>
      <w:rFonts w:ascii="宋体" w:hAnsi="宋体"/>
      <w:sz w:val="24"/>
      <w:szCs w:val="24"/>
    </w:rPr>
  </w:style>
  <w:style w:type="paragraph" w:styleId="884" w:customStyle="1">
    <w:name w:val="Char Char Char Char Char Char Char Char Char Char"/>
    <w:basedOn w:val="706"/>
    <w:qFormat/>
    <w:pPr>
      <w:spacing w:line="360" w:lineRule="auto"/>
    </w:pPr>
    <w:rPr>
      <w:sz w:val="24"/>
      <w:szCs w:val="20"/>
    </w:rPr>
  </w:style>
  <w:style w:type="paragraph" w:styleId="885" w:customStyle="1">
    <w:name w:val="font6"/>
    <w:basedOn w:val="706"/>
    <w:qFormat/>
    <w:pPr>
      <w:jc w:val="left"/>
      <w:spacing w:before="100" w:beforeAutospacing="1" w:after="100" w:afterAutospacing="1"/>
      <w:widowControl/>
    </w:pPr>
    <w:rPr>
      <w:rFonts w:hint="eastAsia" w:ascii="宋体" w:hAnsi="宋体"/>
      <w:sz w:val="28"/>
      <w:szCs w:val="28"/>
      <w:u w:val="single"/>
    </w:rPr>
  </w:style>
  <w:style w:type="paragraph" w:styleId="886" w:customStyle="1">
    <w:name w:val="xl25"/>
    <w:basedOn w:val="7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7" w:customStyle="1">
    <w:name w:val="图标"/>
    <w:basedOn w:val="706"/>
    <w:next w:val="7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8" w:customStyle="1">
    <w:name w:val="xl24"/>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9" w:customStyle="1">
    <w:name w:val="xl29"/>
    <w:basedOn w:val="7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0" w:customStyle="1">
    <w:name w:val="Char Char Char Char Char Char Char Char"/>
    <w:basedOn w:val="706"/>
    <w:qFormat/>
    <w:pPr>
      <w:jc w:val="left"/>
      <w:spacing w:after="160" w:line="240" w:lineRule="exact"/>
      <w:widowControl/>
    </w:pPr>
    <w:rPr>
      <w:rFonts w:ascii="Verdana" w:hAnsi="Verdana"/>
      <w:sz w:val="20"/>
      <w:szCs w:val="20"/>
      <w:lang w:eastAsia="en-US"/>
    </w:rPr>
  </w:style>
  <w:style w:type="paragraph" w:styleId="891" w:customStyle="1">
    <w:name w:val="Char Char Char Char Char Char Char Char_0"/>
    <w:basedOn w:val="706"/>
    <w:qFormat/>
    <w:pPr>
      <w:jc w:val="left"/>
      <w:spacing w:after="160" w:line="240" w:lineRule="exact"/>
      <w:widowControl/>
    </w:pPr>
    <w:rPr>
      <w:rFonts w:ascii="Verdana" w:hAnsi="Verdana"/>
      <w:sz w:val="20"/>
      <w:szCs w:val="20"/>
      <w:lang w:eastAsia="en-US"/>
    </w:rPr>
  </w:style>
  <w:style w:type="paragraph" w:styleId="892" w:customStyle="1">
    <w:name w:val="Char Char Char Char_0"/>
    <w:basedOn w:val="723"/>
    <w:qFormat/>
    <w:pPr>
      <w:spacing w:line="360" w:lineRule="auto"/>
    </w:pPr>
    <w:rPr>
      <w:rFonts w:ascii="Tahoma" w:hAnsi="Tahoma"/>
      <w:sz w:val="24"/>
      <w:szCs w:val="24"/>
    </w:rPr>
  </w:style>
  <w:style w:type="paragraph" w:styleId="893" w:customStyle="1">
    <w:name w:val="table_1stline"/>
    <w:basedOn w:val="706"/>
    <w:qFormat/>
    <w:pPr>
      <w:jc w:val="left"/>
      <w:spacing w:before="120"/>
      <w:widowControl/>
    </w:pPr>
    <w:rPr>
      <w:bCs/>
      <w:sz w:val="20"/>
      <w:szCs w:val="20"/>
      <w:lang w:val="de-DE" w:eastAsia="de-DE"/>
    </w:rPr>
  </w:style>
  <w:style w:type="paragraph" w:styleId="894" w:customStyle="1">
    <w:name w:val="font5"/>
    <w:basedOn w:val="706"/>
    <w:qFormat/>
    <w:pPr>
      <w:jc w:val="left"/>
      <w:spacing w:before="100" w:beforeAutospacing="1" w:after="100" w:afterAutospacing="1"/>
      <w:widowControl/>
    </w:pPr>
    <w:rPr>
      <w:rFonts w:hint="eastAsia" w:ascii="宋体" w:hAnsi="宋体"/>
      <w:sz w:val="28"/>
      <w:szCs w:val="28"/>
    </w:rPr>
  </w:style>
  <w:style w:type="paragraph" w:styleId="895" w:customStyle="1">
    <w:name w:val="修订1"/>
    <w:uiPriority w:val="99"/>
    <w:semiHidden/>
    <w:qFormat/>
    <w:rPr>
      <w:rFonts w:ascii="Times New Roman" w:hAnsi="Times New Roman"/>
      <w:sz w:val="21"/>
      <w:szCs w:val="21"/>
    </w:rPr>
  </w:style>
  <w:style w:type="paragraph" w:styleId="896" w:customStyle="1">
    <w:name w:val="题注1"/>
    <w:basedOn w:val="706"/>
    <w:next w:val="706"/>
    <w:uiPriority w:val="35"/>
    <w:unhideWhenUsed/>
    <w:qFormat/>
    <w:pPr>
      <w:spacing w:line="276" w:lineRule="auto"/>
    </w:pPr>
    <w:rPr>
      <w:rFonts w:ascii="等线" w:hAnsi="等线"/>
      <w:b/>
      <w:bCs/>
      <w:color w:val="4472c4"/>
      <w:sz w:val="18"/>
      <w:szCs w:val="18"/>
    </w:rPr>
  </w:style>
  <w:style w:type="paragraph" w:styleId="897" w:customStyle="1">
    <w:name w:val="列表段落1"/>
    <w:basedOn w:val="706"/>
    <w:uiPriority w:val="34"/>
    <w:qFormat/>
    <w:pPr>
      <w:ind w:firstLine="420"/>
    </w:pPr>
    <w:rPr>
      <w:rFonts w:ascii="等线" w:hAnsi="等线"/>
      <w:szCs w:val="22"/>
    </w:rPr>
  </w:style>
  <w:style w:type="table" w:styleId="898" w:customStyle="1">
    <w:name w:val="Bordered - Accent 3"/>
    <w:basedOn w:val="717"/>
    <w:uiPriority w:val="99"/>
    <w:qFormat/>
    <w:rPr>
      <w:rFonts w:ascii="Times New Roman" w:hAnsi="Times New Roman"/>
    </w:rPr>
    <w:tblPr/>
  </w:style>
  <w:style w:type="table" w:styleId="899" w:customStyle="1">
    <w:name w:val="清单表 5 深色1_0"/>
    <w:basedOn w:val="717"/>
    <w:uiPriority w:val="99"/>
    <w:qFormat/>
    <w:rPr>
      <w:rFonts w:ascii="Times New Roman" w:hAnsi="Times New Roman"/>
    </w:rPr>
    <w:tblPr/>
  </w:style>
  <w:style w:type="table" w:styleId="900" w:customStyle="1">
    <w:name w:val="清单表 1 浅色1_0"/>
    <w:basedOn w:val="717"/>
    <w:uiPriority w:val="99"/>
    <w:qFormat/>
    <w:rPr>
      <w:rFonts w:ascii="Times New Roman" w:hAnsi="Times New Roman"/>
    </w:rPr>
    <w:tblPr/>
  </w:style>
  <w:style w:type="table" w:styleId="901" w:customStyle="1">
    <w:name w:val="Grid Table 2 - Accent 6"/>
    <w:basedOn w:val="717"/>
    <w:uiPriority w:val="99"/>
    <w:qFormat/>
    <w:rPr>
      <w:rFonts w:ascii="Times New Roman" w:hAnsi="Times New Roman"/>
    </w:rPr>
    <w:tblPr/>
  </w:style>
  <w:style w:type="table" w:styleId="902" w:customStyle="1">
    <w:name w:val="网格型1"/>
    <w:basedOn w:val="717"/>
    <w:qFormat/>
    <w:rPr>
      <w:rFonts w:ascii="Times New Roman" w:hAnsi="Times New Roman"/>
    </w:rPr>
    <w:tblPr/>
  </w:style>
  <w:style w:type="table" w:styleId="903" w:customStyle="1">
    <w:name w:val="Bordered &amp; Lined - Accent 1"/>
    <w:basedOn w:val="717"/>
    <w:uiPriority w:val="99"/>
    <w:qFormat/>
    <w:rPr>
      <w:rFonts w:ascii="Times New Roman" w:hAnsi="Times New Roman"/>
      <w:color w:val="404040"/>
    </w:rPr>
    <w:tblPr/>
  </w:style>
  <w:style w:type="table" w:styleId="904" w:customStyle="1">
    <w:name w:val="List Table 4 - Accent 2"/>
    <w:basedOn w:val="717"/>
    <w:uiPriority w:val="99"/>
    <w:qFormat/>
    <w:rPr>
      <w:rFonts w:ascii="Times New Roman" w:hAnsi="Times New Roman"/>
    </w:rPr>
    <w:tblPr/>
  </w:style>
  <w:style w:type="table" w:styleId="905" w:customStyle="1">
    <w:name w:val="网格表 7 彩色1_0"/>
    <w:basedOn w:val="717"/>
    <w:uiPriority w:val="99"/>
    <w:qFormat/>
    <w:rPr>
      <w:rFonts w:ascii="Times New Roman" w:hAnsi="Times New Roman"/>
    </w:rPr>
    <w:tblPr/>
  </w:style>
  <w:style w:type="table" w:styleId="906" w:customStyle="1">
    <w:name w:val="Grid Table 4 - Accent 3"/>
    <w:basedOn w:val="717"/>
    <w:uiPriority w:val="59"/>
    <w:qFormat/>
    <w:rPr>
      <w:rFonts w:ascii="Times New Roman" w:hAnsi="Times New Roman"/>
    </w:rPr>
    <w:tblPr/>
  </w:style>
  <w:style w:type="table" w:styleId="907" w:customStyle="1">
    <w:name w:val="Table Grid Light"/>
    <w:basedOn w:val="717"/>
    <w:uiPriority w:val="59"/>
    <w:qFormat/>
    <w:rPr>
      <w:rFonts w:ascii="Times New Roman" w:hAnsi="Times New Roman"/>
    </w:rPr>
    <w:tblPr/>
  </w:style>
  <w:style w:type="table" w:styleId="908" w:customStyle="1">
    <w:name w:val="Lined - Accent"/>
    <w:basedOn w:val="717"/>
    <w:uiPriority w:val="99"/>
    <w:qFormat/>
    <w:rPr>
      <w:rFonts w:ascii="Times New Roman" w:hAnsi="Times New Roman"/>
      <w:color w:val="404040"/>
    </w:rPr>
    <w:tblPr/>
  </w:style>
  <w:style w:type="table" w:styleId="909" w:customStyle="1">
    <w:name w:val="Grid Table 7 Colorful - Accent 5"/>
    <w:basedOn w:val="717"/>
    <w:uiPriority w:val="99"/>
    <w:qFormat/>
    <w:rPr>
      <w:rFonts w:ascii="Times New Roman" w:hAnsi="Times New Roman"/>
    </w:rPr>
    <w:tblPr/>
  </w:style>
  <w:style w:type="table" w:styleId="910" w:customStyle="1">
    <w:name w:val="Grid Table 5 Dark - Accent 3"/>
    <w:basedOn w:val="717"/>
    <w:uiPriority w:val="99"/>
    <w:qFormat/>
    <w:rPr>
      <w:rFonts w:ascii="Times New Roman" w:hAnsi="Times New Roman"/>
    </w:rPr>
    <w:tblPr/>
  </w:style>
  <w:style w:type="table" w:styleId="911" w:customStyle="1">
    <w:name w:val="无格式表格 11_0"/>
    <w:basedOn w:val="717"/>
    <w:uiPriority w:val="59"/>
    <w:qFormat/>
    <w:rPr>
      <w:rFonts w:ascii="Times New Roman" w:hAnsi="Times New Roman"/>
    </w:rPr>
    <w:tblPr/>
  </w:style>
  <w:style w:type="table" w:styleId="912" w:customStyle="1">
    <w:name w:val="Bordered - Accent 4"/>
    <w:basedOn w:val="717"/>
    <w:uiPriority w:val="99"/>
    <w:qFormat/>
    <w:rPr>
      <w:rFonts w:ascii="Times New Roman" w:hAnsi="Times New Roman"/>
    </w:rPr>
    <w:tblPr/>
  </w:style>
  <w:style w:type="table" w:styleId="913" w:customStyle="1">
    <w:name w:val="List Table 5 Dark - Accent 2"/>
    <w:basedOn w:val="717"/>
    <w:uiPriority w:val="99"/>
    <w:qFormat/>
    <w:rPr>
      <w:rFonts w:ascii="Times New Roman" w:hAnsi="Times New Roman"/>
    </w:rPr>
    <w:tblPr/>
  </w:style>
  <w:style w:type="table" w:styleId="914" w:customStyle="1">
    <w:name w:val="Grid Table 7 Colorful - Accent 1"/>
    <w:basedOn w:val="717"/>
    <w:uiPriority w:val="99"/>
    <w:qFormat/>
    <w:rPr>
      <w:rFonts w:ascii="Times New Roman" w:hAnsi="Times New Roman"/>
    </w:rPr>
    <w:tblPr/>
  </w:style>
  <w:style w:type="table" w:styleId="915" w:customStyle="1">
    <w:name w:val="Grid Table 2 - Accent 3"/>
    <w:basedOn w:val="717"/>
    <w:uiPriority w:val="99"/>
    <w:qFormat/>
    <w:rPr>
      <w:rFonts w:ascii="Times New Roman" w:hAnsi="Times New Roman"/>
    </w:rPr>
    <w:tblPr/>
  </w:style>
  <w:style w:type="table" w:styleId="916" w:customStyle="1">
    <w:name w:val="无格式表格 21_0"/>
    <w:basedOn w:val="717"/>
    <w:uiPriority w:val="59"/>
    <w:qFormat/>
    <w:rPr>
      <w:rFonts w:ascii="Times New Roman" w:hAnsi="Times New Roman"/>
    </w:rPr>
    <w:tblPr/>
  </w:style>
  <w:style w:type="table" w:styleId="917" w:customStyle="1">
    <w:name w:val="List Table 5 Dark - Accent 5"/>
    <w:basedOn w:val="717"/>
    <w:uiPriority w:val="99"/>
    <w:qFormat/>
    <w:rPr>
      <w:rFonts w:ascii="Times New Roman" w:hAnsi="Times New Roman"/>
    </w:rPr>
    <w:tblPr/>
  </w:style>
  <w:style w:type="table" w:styleId="918" w:customStyle="1">
    <w:name w:val="List Table 1 Light - Accent 1"/>
    <w:basedOn w:val="717"/>
    <w:uiPriority w:val="99"/>
    <w:qFormat/>
    <w:rPr>
      <w:rFonts w:ascii="Times New Roman" w:hAnsi="Times New Roman"/>
    </w:rPr>
    <w:tblPr/>
  </w:style>
  <w:style w:type="table" w:styleId="919" w:customStyle="1">
    <w:name w:val="Grid Table 5 Dark - Accent 2"/>
    <w:basedOn w:val="717"/>
    <w:uiPriority w:val="99"/>
    <w:qFormat/>
    <w:rPr>
      <w:rFonts w:ascii="Times New Roman" w:hAnsi="Times New Roman"/>
    </w:rPr>
    <w:tblPr/>
  </w:style>
  <w:style w:type="table" w:styleId="920" w:customStyle="1">
    <w:name w:val="无格式表格 31_0"/>
    <w:basedOn w:val="717"/>
    <w:uiPriority w:val="99"/>
    <w:qFormat/>
    <w:rPr>
      <w:rFonts w:ascii="Times New Roman" w:hAnsi="Times New Roman"/>
    </w:rPr>
    <w:tblPr/>
  </w:style>
  <w:style w:type="table" w:styleId="921" w:customStyle="1">
    <w:name w:val="清单表 41_0"/>
    <w:basedOn w:val="717"/>
    <w:uiPriority w:val="99"/>
    <w:qFormat/>
    <w:rPr>
      <w:rFonts w:ascii="Times New Roman" w:hAnsi="Times New Roman"/>
    </w:rPr>
    <w:tblPr/>
  </w:style>
  <w:style w:type="table" w:styleId="922" w:customStyle="1">
    <w:name w:val="List Table 2 - Accent 2"/>
    <w:basedOn w:val="717"/>
    <w:uiPriority w:val="99"/>
    <w:qFormat/>
    <w:rPr>
      <w:rFonts w:ascii="Times New Roman" w:hAnsi="Times New Roman"/>
    </w:rPr>
    <w:tblPr/>
  </w:style>
  <w:style w:type="table" w:styleId="923" w:customStyle="1">
    <w:name w:val="网格表 5 深色1_0"/>
    <w:basedOn w:val="717"/>
    <w:uiPriority w:val="99"/>
    <w:qFormat/>
    <w:rPr>
      <w:rFonts w:ascii="Times New Roman" w:hAnsi="Times New Roman"/>
    </w:rPr>
    <w:tblPr/>
  </w:style>
  <w:style w:type="table" w:styleId="924" w:customStyle="1">
    <w:name w:val="无格式表格 41_0"/>
    <w:basedOn w:val="717"/>
    <w:uiPriority w:val="99"/>
    <w:qFormat/>
    <w:rPr>
      <w:rFonts w:ascii="Times New Roman" w:hAnsi="Times New Roman"/>
    </w:rPr>
    <w:tblPr/>
  </w:style>
  <w:style w:type="table" w:styleId="925" w:customStyle="1">
    <w:name w:val="Bordered - Accent 6"/>
    <w:basedOn w:val="717"/>
    <w:uiPriority w:val="99"/>
    <w:qFormat/>
    <w:rPr>
      <w:rFonts w:ascii="Times New Roman" w:hAnsi="Times New Roman"/>
    </w:rPr>
    <w:tblPr/>
  </w:style>
  <w:style w:type="table" w:styleId="926" w:customStyle="1">
    <w:name w:val="List Table 7 Colorful - Accent 3"/>
    <w:basedOn w:val="717"/>
    <w:uiPriority w:val="99"/>
    <w:qFormat/>
    <w:rPr>
      <w:rFonts w:ascii="Times New Roman" w:hAnsi="Times New Roman"/>
    </w:rPr>
    <w:tblPr/>
  </w:style>
  <w:style w:type="table" w:styleId="927" w:customStyle="1">
    <w:name w:val="List Table 1 Light - Accent 2"/>
    <w:basedOn w:val="717"/>
    <w:uiPriority w:val="99"/>
    <w:qFormat/>
    <w:rPr>
      <w:rFonts w:ascii="Times New Roman" w:hAnsi="Times New Roman"/>
    </w:rPr>
    <w:tblPr/>
  </w:style>
  <w:style w:type="table" w:styleId="928" w:customStyle="1">
    <w:name w:val="Grid Table 5 Dark - Accent 5"/>
    <w:basedOn w:val="717"/>
    <w:uiPriority w:val="99"/>
    <w:qFormat/>
    <w:rPr>
      <w:rFonts w:ascii="Times New Roman" w:hAnsi="Times New Roman"/>
    </w:rPr>
    <w:tblPr/>
  </w:style>
  <w:style w:type="table" w:styleId="929" w:customStyle="1">
    <w:name w:val="无格式表格 51_0"/>
    <w:basedOn w:val="717"/>
    <w:uiPriority w:val="99"/>
    <w:qFormat/>
    <w:rPr>
      <w:rFonts w:ascii="Times New Roman" w:hAnsi="Times New Roman"/>
    </w:rPr>
    <w:tblPr/>
  </w:style>
  <w:style w:type="table" w:styleId="930" w:customStyle="1">
    <w:name w:val="List Table 7 Colorful - Accent 4"/>
    <w:basedOn w:val="717"/>
    <w:uiPriority w:val="99"/>
    <w:qFormat/>
    <w:rPr>
      <w:rFonts w:ascii="Times New Roman" w:hAnsi="Times New Roman"/>
    </w:rPr>
    <w:tblPr/>
  </w:style>
  <w:style w:type="table" w:styleId="931" w:customStyle="1">
    <w:name w:val="List Table 2 - Accent 1"/>
    <w:basedOn w:val="717"/>
    <w:uiPriority w:val="99"/>
    <w:qFormat/>
    <w:rPr>
      <w:rFonts w:ascii="Times New Roman" w:hAnsi="Times New Roman"/>
    </w:rPr>
    <w:tblPr/>
  </w:style>
  <w:style w:type="table" w:styleId="932" w:customStyle="1">
    <w:name w:val="Grid Table 5 Dark- Accent 1"/>
    <w:basedOn w:val="717"/>
    <w:uiPriority w:val="99"/>
    <w:qFormat/>
    <w:rPr>
      <w:rFonts w:ascii="Times New Roman" w:hAnsi="Times New Roman"/>
    </w:rPr>
    <w:tblPr/>
  </w:style>
  <w:style w:type="table" w:styleId="933" w:customStyle="1">
    <w:name w:val="网格表 1 浅色1_0"/>
    <w:basedOn w:val="717"/>
    <w:uiPriority w:val="99"/>
    <w:qFormat/>
    <w:rPr>
      <w:rFonts w:ascii="Times New Roman" w:hAnsi="Times New Roman"/>
    </w:rPr>
    <w:tblPr/>
  </w:style>
  <w:style w:type="table" w:styleId="934" w:customStyle="1">
    <w:name w:val="Bordered - Accent 1"/>
    <w:basedOn w:val="717"/>
    <w:uiPriority w:val="99"/>
    <w:qFormat/>
    <w:rPr>
      <w:rFonts w:ascii="Times New Roman" w:hAnsi="Times New Roman"/>
    </w:rPr>
    <w:tblPr/>
  </w:style>
  <w:style w:type="table" w:styleId="935" w:customStyle="1">
    <w:name w:val="List Table 6 Colorful - Accent 1"/>
    <w:basedOn w:val="717"/>
    <w:uiPriority w:val="99"/>
    <w:qFormat/>
    <w:rPr>
      <w:rFonts w:ascii="Times New Roman" w:hAnsi="Times New Roman"/>
    </w:rPr>
    <w:tblPr/>
  </w:style>
  <w:style w:type="table" w:styleId="936" w:customStyle="1">
    <w:name w:val="List Table 1 Light - Accent 6"/>
    <w:basedOn w:val="717"/>
    <w:uiPriority w:val="99"/>
    <w:qFormat/>
    <w:rPr>
      <w:rFonts w:ascii="Times New Roman" w:hAnsi="Times New Roman"/>
    </w:rPr>
    <w:tblPr/>
  </w:style>
  <w:style w:type="table" w:styleId="937" w:customStyle="1">
    <w:name w:val="Grid Table 2 - Accent 1"/>
    <w:basedOn w:val="717"/>
    <w:uiPriority w:val="99"/>
    <w:qFormat/>
    <w:rPr>
      <w:rFonts w:ascii="Times New Roman" w:hAnsi="Times New Roman"/>
    </w:rPr>
    <w:tblPr/>
  </w:style>
  <w:style w:type="table" w:styleId="938" w:customStyle="1">
    <w:name w:val="Grid Table 1 Light - Accent 1"/>
    <w:basedOn w:val="717"/>
    <w:uiPriority w:val="99"/>
    <w:qFormat/>
    <w:rPr>
      <w:rFonts w:ascii="Times New Roman" w:hAnsi="Times New Roman"/>
    </w:rPr>
    <w:tblPr/>
  </w:style>
  <w:style w:type="table" w:styleId="939" w:customStyle="1">
    <w:name w:val="List Table 7 Colorful - Accent 1"/>
    <w:basedOn w:val="717"/>
    <w:uiPriority w:val="99"/>
    <w:qFormat/>
    <w:rPr>
      <w:rFonts w:ascii="Times New Roman" w:hAnsi="Times New Roman"/>
    </w:rPr>
    <w:tblPr/>
  </w:style>
  <w:style w:type="table" w:styleId="940" w:customStyle="1">
    <w:name w:val="List Table 2 - Accent 5"/>
    <w:basedOn w:val="717"/>
    <w:uiPriority w:val="99"/>
    <w:qFormat/>
    <w:rPr>
      <w:rFonts w:ascii="Times New Roman" w:hAnsi="Times New Roman"/>
    </w:rPr>
    <w:tblPr/>
  </w:style>
  <w:style w:type="table" w:styleId="941" w:customStyle="1">
    <w:name w:val="Grid Table 5 Dark- Accent 4"/>
    <w:basedOn w:val="717"/>
    <w:uiPriority w:val="99"/>
    <w:qFormat/>
    <w:rPr>
      <w:rFonts w:ascii="Times New Roman" w:hAnsi="Times New Roman"/>
    </w:rPr>
    <w:tblPr/>
  </w:style>
  <w:style w:type="table" w:styleId="942" w:customStyle="1">
    <w:name w:val="Grid Table 1 Light - Accent 2"/>
    <w:basedOn w:val="717"/>
    <w:uiPriority w:val="99"/>
    <w:qFormat/>
    <w:rPr>
      <w:rFonts w:ascii="Times New Roman" w:hAnsi="Times New Roman"/>
    </w:rPr>
    <w:tblPr/>
  </w:style>
  <w:style w:type="table" w:styleId="943" w:customStyle="1">
    <w:name w:val="Bordered - Accent 5"/>
    <w:basedOn w:val="717"/>
    <w:uiPriority w:val="99"/>
    <w:qFormat/>
    <w:rPr>
      <w:rFonts w:ascii="Times New Roman" w:hAnsi="Times New Roman"/>
    </w:rPr>
    <w:tblPr/>
  </w:style>
  <w:style w:type="table" w:styleId="944" w:customStyle="1">
    <w:name w:val="List Table 7 Colorful - Accent 2"/>
    <w:basedOn w:val="717"/>
    <w:uiPriority w:val="99"/>
    <w:qFormat/>
    <w:rPr>
      <w:rFonts w:ascii="Times New Roman" w:hAnsi="Times New Roman"/>
    </w:rPr>
    <w:tblPr/>
  </w:style>
  <w:style w:type="table" w:styleId="945" w:customStyle="1">
    <w:name w:val="List Table 3 - Accent 1"/>
    <w:basedOn w:val="717"/>
    <w:uiPriority w:val="99"/>
    <w:qFormat/>
    <w:rPr>
      <w:rFonts w:ascii="Times New Roman" w:hAnsi="Times New Roman"/>
    </w:rPr>
    <w:tblPr/>
  </w:style>
  <w:style w:type="table" w:styleId="946" w:customStyle="1">
    <w:name w:val="Grid Table 1 Light - Accent 6"/>
    <w:basedOn w:val="717"/>
    <w:uiPriority w:val="99"/>
    <w:qFormat/>
    <w:rPr>
      <w:rFonts w:ascii="Times New Roman" w:hAnsi="Times New Roman"/>
    </w:rPr>
    <w:tblPr/>
  </w:style>
  <w:style w:type="table" w:styleId="947" w:customStyle="1">
    <w:name w:val="Grid Table 1 Light - Accent 3"/>
    <w:basedOn w:val="717"/>
    <w:uiPriority w:val="99"/>
    <w:qFormat/>
    <w:rPr>
      <w:rFonts w:ascii="Times New Roman" w:hAnsi="Times New Roman"/>
    </w:rPr>
    <w:tblPr/>
  </w:style>
  <w:style w:type="table" w:styleId="948" w:customStyle="1">
    <w:name w:val="Bordered &amp; Lined - Accent 2"/>
    <w:basedOn w:val="717"/>
    <w:uiPriority w:val="99"/>
    <w:qFormat/>
    <w:rPr>
      <w:rFonts w:ascii="Times New Roman" w:hAnsi="Times New Roman"/>
      <w:color w:val="404040"/>
    </w:rPr>
    <w:tblPr/>
  </w:style>
  <w:style w:type="table" w:styleId="949" w:customStyle="1">
    <w:name w:val="List Table 6 Colorful - Accent 6"/>
    <w:basedOn w:val="717"/>
    <w:uiPriority w:val="99"/>
    <w:qFormat/>
    <w:rPr>
      <w:rFonts w:ascii="Times New Roman" w:hAnsi="Times New Roman"/>
    </w:rPr>
    <w:tblPr/>
  </w:style>
  <w:style w:type="table" w:styleId="950" w:customStyle="1">
    <w:name w:val="List Table 3 - Accent 4"/>
    <w:basedOn w:val="717"/>
    <w:uiPriority w:val="99"/>
    <w:qFormat/>
    <w:rPr>
      <w:rFonts w:ascii="Times New Roman" w:hAnsi="Times New Roman"/>
    </w:rPr>
    <w:tblPr/>
  </w:style>
  <w:style w:type="table" w:styleId="951" w:customStyle="1">
    <w:name w:val="Grid Table 1 Light - Accent 4"/>
    <w:basedOn w:val="717"/>
    <w:uiPriority w:val="99"/>
    <w:qFormat/>
    <w:rPr>
      <w:rFonts w:ascii="Times New Roman" w:hAnsi="Times New Roman"/>
    </w:rPr>
    <w:tblPr/>
  </w:style>
  <w:style w:type="table" w:styleId="952" w:customStyle="1">
    <w:name w:val="Lined - Accent 2"/>
    <w:basedOn w:val="717"/>
    <w:uiPriority w:val="99"/>
    <w:qFormat/>
    <w:rPr>
      <w:rFonts w:ascii="Times New Roman" w:hAnsi="Times New Roman"/>
      <w:color w:val="404040"/>
    </w:rPr>
    <w:tblPr/>
  </w:style>
  <w:style w:type="table" w:styleId="953" w:customStyle="1">
    <w:name w:val="List Table 5 Dark - Accent 1"/>
    <w:basedOn w:val="717"/>
    <w:uiPriority w:val="99"/>
    <w:qFormat/>
    <w:rPr>
      <w:rFonts w:ascii="Times New Roman" w:hAnsi="Times New Roman"/>
    </w:rPr>
    <w:tblPr/>
  </w:style>
  <w:style w:type="table" w:styleId="954" w:customStyle="1">
    <w:name w:val="Grid Table 7 Colorful - Accent 3"/>
    <w:basedOn w:val="717"/>
    <w:uiPriority w:val="99"/>
    <w:qFormat/>
    <w:rPr>
      <w:rFonts w:ascii="Times New Roman" w:hAnsi="Times New Roman"/>
    </w:rPr>
    <w:tblPr/>
  </w:style>
  <w:style w:type="table" w:styleId="955" w:customStyle="1">
    <w:name w:val="Grid Table 1 Light - Accent 5"/>
    <w:basedOn w:val="717"/>
    <w:uiPriority w:val="99"/>
    <w:qFormat/>
    <w:rPr>
      <w:rFonts w:ascii="Times New Roman" w:hAnsi="Times New Roman"/>
    </w:rPr>
    <w:tblPr/>
  </w:style>
  <w:style w:type="table" w:styleId="956" w:customStyle="1">
    <w:name w:val="Lined - Accent 5"/>
    <w:basedOn w:val="717"/>
    <w:uiPriority w:val="99"/>
    <w:qFormat/>
    <w:rPr>
      <w:rFonts w:ascii="Times New Roman" w:hAnsi="Times New Roman"/>
      <w:color w:val="404040"/>
    </w:rPr>
    <w:tblPr/>
  </w:style>
  <w:style w:type="table" w:styleId="957" w:customStyle="1">
    <w:name w:val="List Table 4 - Accent 3"/>
    <w:basedOn w:val="717"/>
    <w:uiPriority w:val="99"/>
    <w:qFormat/>
    <w:rPr>
      <w:rFonts w:ascii="Times New Roman" w:hAnsi="Times New Roman"/>
    </w:rPr>
    <w:tblPr/>
  </w:style>
  <w:style w:type="table" w:styleId="958" w:customStyle="1">
    <w:name w:val="Grid Table 7 Colorful - Accent 4"/>
    <w:basedOn w:val="717"/>
    <w:uiPriority w:val="99"/>
    <w:qFormat/>
    <w:rPr>
      <w:rFonts w:ascii="Times New Roman" w:hAnsi="Times New Roman"/>
    </w:rPr>
    <w:tblPr/>
  </w:style>
  <w:style w:type="table" w:styleId="959" w:customStyle="1">
    <w:name w:val="网格表 21_0"/>
    <w:basedOn w:val="717"/>
    <w:uiPriority w:val="99"/>
    <w:qFormat/>
    <w:rPr>
      <w:rFonts w:ascii="Times New Roman" w:hAnsi="Times New Roman"/>
    </w:rPr>
    <w:tblPr/>
  </w:style>
  <w:style w:type="table" w:styleId="960" w:customStyle="1">
    <w:name w:val="清单表 7 彩色1_0"/>
    <w:basedOn w:val="717"/>
    <w:uiPriority w:val="99"/>
    <w:qFormat/>
    <w:rPr>
      <w:rFonts w:ascii="Times New Roman" w:hAnsi="Times New Roman"/>
    </w:rPr>
    <w:tblPr/>
  </w:style>
  <w:style w:type="table" w:styleId="961" w:customStyle="1">
    <w:name w:val="Grid Table 6 Colorful - Accent 3"/>
    <w:basedOn w:val="717"/>
    <w:uiPriority w:val="99"/>
    <w:qFormat/>
    <w:rPr>
      <w:rFonts w:ascii="Times New Roman" w:hAnsi="Times New Roman"/>
    </w:rPr>
    <w:tblPr/>
  </w:style>
  <w:style w:type="table" w:styleId="962" w:customStyle="1">
    <w:name w:val="Grid Table 2 - Accent 2"/>
    <w:basedOn w:val="717"/>
    <w:uiPriority w:val="99"/>
    <w:qFormat/>
    <w:rPr>
      <w:rFonts w:ascii="Times New Roman" w:hAnsi="Times New Roman"/>
    </w:rPr>
    <w:tblPr/>
  </w:style>
  <w:style w:type="table" w:styleId="963" w:customStyle="1">
    <w:name w:val="List Table 4 - Accent 1"/>
    <w:basedOn w:val="717"/>
    <w:uiPriority w:val="99"/>
    <w:qFormat/>
    <w:rPr>
      <w:rFonts w:ascii="Times New Roman" w:hAnsi="Times New Roman"/>
    </w:rPr>
    <w:tblPr/>
  </w:style>
  <w:style w:type="table" w:styleId="964" w:customStyle="1">
    <w:name w:val="Grid Table 6 Colorful - Accent 6"/>
    <w:basedOn w:val="717"/>
    <w:uiPriority w:val="99"/>
    <w:qFormat/>
    <w:rPr>
      <w:rFonts w:ascii="Times New Roman" w:hAnsi="Times New Roman"/>
    </w:rPr>
    <w:tblPr/>
  </w:style>
  <w:style w:type="table" w:styleId="965" w:customStyle="1">
    <w:name w:val="Grid Table 2 - Accent 4"/>
    <w:basedOn w:val="717"/>
    <w:uiPriority w:val="99"/>
    <w:qFormat/>
    <w:rPr>
      <w:rFonts w:ascii="Times New Roman" w:hAnsi="Times New Roman"/>
    </w:rPr>
    <w:tblPr/>
  </w:style>
  <w:style w:type="table" w:styleId="966" w:customStyle="1">
    <w:name w:val="Bordered &amp; Lined - Accent 5"/>
    <w:basedOn w:val="717"/>
    <w:uiPriority w:val="99"/>
    <w:qFormat/>
    <w:rPr>
      <w:rFonts w:ascii="Times New Roman" w:hAnsi="Times New Roman"/>
      <w:color w:val="404040"/>
    </w:rPr>
    <w:tblPr/>
  </w:style>
  <w:style w:type="table" w:styleId="967" w:customStyle="1">
    <w:name w:val="List Table 7 Colorful - Accent 6"/>
    <w:basedOn w:val="717"/>
    <w:uiPriority w:val="99"/>
    <w:qFormat/>
    <w:rPr>
      <w:rFonts w:ascii="Times New Roman" w:hAnsi="Times New Roman"/>
    </w:rPr>
    <w:tblPr/>
  </w:style>
  <w:style w:type="table" w:styleId="968" w:customStyle="1">
    <w:name w:val="Grid Table 6 Colorful - Accent 5"/>
    <w:basedOn w:val="717"/>
    <w:uiPriority w:val="99"/>
    <w:qFormat/>
    <w:rPr>
      <w:rFonts w:ascii="Times New Roman" w:hAnsi="Times New Roman"/>
    </w:rPr>
    <w:tblPr/>
  </w:style>
  <w:style w:type="table" w:styleId="969" w:customStyle="1">
    <w:name w:val="Grid Table 2 - Accent 5"/>
    <w:basedOn w:val="717"/>
    <w:uiPriority w:val="99"/>
    <w:qFormat/>
    <w:rPr>
      <w:rFonts w:ascii="Times New Roman" w:hAnsi="Times New Roman"/>
    </w:rPr>
    <w:tblPr/>
  </w:style>
  <w:style w:type="table" w:styleId="970" w:customStyle="1">
    <w:name w:val="Lined - Accent 4"/>
    <w:basedOn w:val="717"/>
    <w:uiPriority w:val="99"/>
    <w:qFormat/>
    <w:rPr>
      <w:rFonts w:ascii="Times New Roman" w:hAnsi="Times New Roman"/>
      <w:color w:val="404040"/>
    </w:rPr>
    <w:tblPr/>
  </w:style>
  <w:style w:type="table" w:styleId="971" w:customStyle="1">
    <w:name w:val="List Table 4 - Accent 5"/>
    <w:basedOn w:val="717"/>
    <w:uiPriority w:val="99"/>
    <w:qFormat/>
    <w:rPr>
      <w:rFonts w:ascii="Times New Roman" w:hAnsi="Times New Roman"/>
    </w:rPr>
    <w:tblPr/>
  </w:style>
  <w:style w:type="table" w:styleId="972" w:customStyle="1">
    <w:name w:val="Grid Table 6 Colorful - Accent 1"/>
    <w:basedOn w:val="717"/>
    <w:uiPriority w:val="99"/>
    <w:qFormat/>
    <w:rPr>
      <w:rFonts w:ascii="Times New Roman" w:hAnsi="Times New Roman"/>
    </w:rPr>
    <w:tblPr/>
  </w:style>
  <w:style w:type="table" w:styleId="973" w:customStyle="1">
    <w:name w:val="网格表 31_0"/>
    <w:basedOn w:val="717"/>
    <w:uiPriority w:val="99"/>
    <w:qFormat/>
    <w:rPr>
      <w:rFonts w:ascii="Times New Roman" w:hAnsi="Times New Roman"/>
    </w:rPr>
    <w:tblPr/>
  </w:style>
  <w:style w:type="table" w:styleId="974" w:customStyle="1">
    <w:name w:val="List Table 5 Dark - Accent 6"/>
    <w:basedOn w:val="717"/>
    <w:uiPriority w:val="99"/>
    <w:qFormat/>
    <w:rPr>
      <w:rFonts w:ascii="Times New Roman" w:hAnsi="Times New Roman"/>
    </w:rPr>
    <w:tblPr/>
  </w:style>
  <w:style w:type="table" w:styleId="975" w:customStyle="1">
    <w:name w:val="List Table 2 - Accent 6"/>
    <w:basedOn w:val="717"/>
    <w:uiPriority w:val="99"/>
    <w:qFormat/>
    <w:rPr>
      <w:rFonts w:ascii="Times New Roman" w:hAnsi="Times New Roman"/>
    </w:rPr>
    <w:tblPr/>
  </w:style>
  <w:style w:type="table" w:styleId="976" w:customStyle="1">
    <w:name w:val="Grid Table 3 - Accent 1"/>
    <w:basedOn w:val="717"/>
    <w:uiPriority w:val="99"/>
    <w:qFormat/>
    <w:rPr>
      <w:rFonts w:ascii="Times New Roman" w:hAnsi="Times New Roman"/>
    </w:rPr>
    <w:tblPr/>
  </w:style>
  <w:style w:type="table" w:styleId="977" w:customStyle="1">
    <w:name w:val="List Table 3 - Accent 6"/>
    <w:basedOn w:val="717"/>
    <w:uiPriority w:val="99"/>
    <w:qFormat/>
    <w:rPr>
      <w:rFonts w:ascii="Times New Roman" w:hAnsi="Times New Roman"/>
    </w:rPr>
    <w:tblPr/>
  </w:style>
  <w:style w:type="table" w:styleId="978" w:customStyle="1">
    <w:name w:val="清单表 21_0"/>
    <w:basedOn w:val="717"/>
    <w:uiPriority w:val="99"/>
    <w:qFormat/>
    <w:rPr>
      <w:rFonts w:ascii="Times New Roman" w:hAnsi="Times New Roman"/>
    </w:rPr>
    <w:tblPr/>
  </w:style>
  <w:style w:type="table" w:styleId="979" w:customStyle="1">
    <w:name w:val="Grid Table 3 - Accent 2"/>
    <w:basedOn w:val="717"/>
    <w:uiPriority w:val="99"/>
    <w:qFormat/>
    <w:rPr>
      <w:rFonts w:ascii="Times New Roman" w:hAnsi="Times New Roman"/>
    </w:rPr>
    <w:tblPr/>
  </w:style>
  <w:style w:type="table" w:styleId="980" w:customStyle="1">
    <w:name w:val="Bordered &amp; Lined - Accent 6"/>
    <w:basedOn w:val="717"/>
    <w:uiPriority w:val="99"/>
    <w:qFormat/>
    <w:rPr>
      <w:rFonts w:ascii="Times New Roman" w:hAnsi="Times New Roman"/>
      <w:color w:val="404040"/>
    </w:rPr>
    <w:tblPr/>
  </w:style>
  <w:style w:type="table" w:styleId="981" w:customStyle="1">
    <w:name w:val="List Table 5 Dark - Accent 3"/>
    <w:basedOn w:val="717"/>
    <w:uiPriority w:val="99"/>
    <w:qFormat/>
    <w:rPr>
      <w:rFonts w:ascii="Times New Roman" w:hAnsi="Times New Roman"/>
    </w:rPr>
    <w:tblPr/>
  </w:style>
  <w:style w:type="table" w:styleId="982" w:customStyle="1">
    <w:name w:val="List Table 1 Light - Accent 5"/>
    <w:basedOn w:val="717"/>
    <w:uiPriority w:val="99"/>
    <w:qFormat/>
    <w:rPr>
      <w:rFonts w:ascii="Times New Roman" w:hAnsi="Times New Roman"/>
    </w:rPr>
    <w:tblPr/>
  </w:style>
  <w:style w:type="table" w:styleId="983" w:customStyle="1">
    <w:name w:val="Grid Table 3 - Accent 3"/>
    <w:basedOn w:val="717"/>
    <w:uiPriority w:val="99"/>
    <w:qFormat/>
    <w:rPr>
      <w:rFonts w:ascii="Times New Roman" w:hAnsi="Times New Roman"/>
    </w:rPr>
    <w:tblPr/>
  </w:style>
  <w:style w:type="table" w:styleId="984" w:customStyle="1">
    <w:name w:val="Bordered &amp; Lined - Accent"/>
    <w:basedOn w:val="717"/>
    <w:uiPriority w:val="99"/>
    <w:qFormat/>
    <w:rPr>
      <w:rFonts w:ascii="Times New Roman" w:hAnsi="Times New Roman"/>
      <w:color w:val="404040"/>
    </w:rPr>
    <w:tblPr/>
  </w:style>
  <w:style w:type="table" w:styleId="985" w:customStyle="1">
    <w:name w:val="List Table 4 - Accent 6"/>
    <w:basedOn w:val="717"/>
    <w:uiPriority w:val="99"/>
    <w:qFormat/>
    <w:rPr>
      <w:rFonts w:ascii="Times New Roman" w:hAnsi="Times New Roman"/>
    </w:rPr>
    <w:tblPr/>
  </w:style>
  <w:style w:type="table" w:styleId="986" w:customStyle="1">
    <w:name w:val="List Table 3 - Accent 2"/>
    <w:basedOn w:val="717"/>
    <w:uiPriority w:val="99"/>
    <w:qFormat/>
    <w:rPr>
      <w:rFonts w:ascii="Times New Roman" w:hAnsi="Times New Roman"/>
    </w:rPr>
    <w:tblPr/>
  </w:style>
  <w:style w:type="table" w:styleId="987" w:customStyle="1">
    <w:name w:val="Grid Table 3 - Accent 4"/>
    <w:basedOn w:val="717"/>
    <w:uiPriority w:val="99"/>
    <w:qFormat/>
    <w:rPr>
      <w:rFonts w:ascii="Times New Roman" w:hAnsi="Times New Roman"/>
    </w:rPr>
    <w:tblPr/>
  </w:style>
  <w:style w:type="table" w:styleId="988" w:customStyle="1">
    <w:name w:val="Bordered - Accent 2"/>
    <w:basedOn w:val="717"/>
    <w:uiPriority w:val="99"/>
    <w:qFormat/>
    <w:rPr>
      <w:rFonts w:ascii="Times New Roman" w:hAnsi="Times New Roman"/>
    </w:rPr>
    <w:tblPr/>
  </w:style>
  <w:style w:type="table" w:styleId="989" w:customStyle="1">
    <w:name w:val="Lined - Accent 1"/>
    <w:basedOn w:val="717"/>
    <w:uiPriority w:val="99"/>
    <w:qFormat/>
    <w:rPr>
      <w:rFonts w:ascii="Times New Roman" w:hAnsi="Times New Roman"/>
      <w:color w:val="404040"/>
    </w:rPr>
    <w:tblPr/>
  </w:style>
  <w:style w:type="table" w:styleId="990" w:customStyle="1">
    <w:name w:val="List Table 2 - Accent 4"/>
    <w:basedOn w:val="717"/>
    <w:uiPriority w:val="99"/>
    <w:qFormat/>
    <w:rPr>
      <w:rFonts w:ascii="Times New Roman" w:hAnsi="Times New Roman"/>
    </w:rPr>
    <w:tblPr/>
  </w:style>
  <w:style w:type="table" w:styleId="991" w:customStyle="1">
    <w:name w:val="Grid Table 3 - Accent 5"/>
    <w:basedOn w:val="717"/>
    <w:uiPriority w:val="99"/>
    <w:qFormat/>
    <w:rPr>
      <w:rFonts w:ascii="Times New Roman" w:hAnsi="Times New Roman"/>
    </w:rPr>
    <w:tblPr/>
  </w:style>
  <w:style w:type="table" w:styleId="992" w:customStyle="1">
    <w:name w:val="List Table 6 Colorful - Accent 3"/>
    <w:basedOn w:val="717"/>
    <w:uiPriority w:val="99"/>
    <w:qFormat/>
    <w:rPr>
      <w:rFonts w:ascii="Times New Roman" w:hAnsi="Times New Roman"/>
    </w:rPr>
    <w:tblPr/>
  </w:style>
  <w:style w:type="table" w:styleId="993" w:customStyle="1">
    <w:name w:val="Grid Table 6 Colorful - Accent 4"/>
    <w:basedOn w:val="717"/>
    <w:uiPriority w:val="99"/>
    <w:qFormat/>
    <w:rPr>
      <w:rFonts w:ascii="Times New Roman" w:hAnsi="Times New Roman"/>
    </w:rPr>
    <w:tblPr/>
  </w:style>
  <w:style w:type="table" w:styleId="994" w:customStyle="1">
    <w:name w:val="Grid Table 3 - Accent 6"/>
    <w:basedOn w:val="717"/>
    <w:uiPriority w:val="99"/>
    <w:qFormat/>
    <w:rPr>
      <w:rFonts w:ascii="Times New Roman" w:hAnsi="Times New Roman"/>
    </w:rPr>
    <w:tblPr/>
  </w:style>
  <w:style w:type="table" w:styleId="995" w:customStyle="1">
    <w:name w:val="Bordered &amp; Lined - Accent 4"/>
    <w:basedOn w:val="717"/>
    <w:uiPriority w:val="99"/>
    <w:qFormat/>
    <w:rPr>
      <w:rFonts w:ascii="Times New Roman" w:hAnsi="Times New Roman"/>
      <w:color w:val="404040"/>
    </w:rPr>
    <w:tblPr/>
  </w:style>
  <w:style w:type="table" w:styleId="996" w:customStyle="1">
    <w:name w:val="List Table 3 - Accent 5"/>
    <w:basedOn w:val="717"/>
    <w:uiPriority w:val="99"/>
    <w:qFormat/>
    <w:rPr>
      <w:rFonts w:ascii="Times New Roman" w:hAnsi="Times New Roman"/>
    </w:rPr>
    <w:tblPr/>
  </w:style>
  <w:style w:type="table" w:styleId="997" w:customStyle="1">
    <w:name w:val="List Table 1 Light - Accent 4"/>
    <w:basedOn w:val="717"/>
    <w:uiPriority w:val="99"/>
    <w:qFormat/>
    <w:rPr>
      <w:rFonts w:ascii="Times New Roman" w:hAnsi="Times New Roman"/>
    </w:rPr>
    <w:tblPr/>
  </w:style>
  <w:style w:type="table" w:styleId="998" w:customStyle="1">
    <w:name w:val="网格表 41_0"/>
    <w:basedOn w:val="717"/>
    <w:uiPriority w:val="59"/>
    <w:qFormat/>
    <w:rPr>
      <w:rFonts w:ascii="Times New Roman" w:hAnsi="Times New Roman"/>
    </w:rPr>
    <w:tblPr/>
  </w:style>
  <w:style w:type="table" w:styleId="999" w:customStyle="1">
    <w:name w:val="Lined - Accent 6"/>
    <w:basedOn w:val="717"/>
    <w:uiPriority w:val="99"/>
    <w:qFormat/>
    <w:rPr>
      <w:rFonts w:ascii="Times New Roman" w:hAnsi="Times New Roman"/>
      <w:color w:val="404040"/>
    </w:rPr>
    <w:tblPr/>
  </w:style>
  <w:style w:type="table" w:styleId="1000" w:customStyle="1">
    <w:name w:val="List Table 6 Colorful - Accent 2"/>
    <w:basedOn w:val="717"/>
    <w:uiPriority w:val="99"/>
    <w:qFormat/>
    <w:rPr>
      <w:rFonts w:ascii="Times New Roman" w:hAnsi="Times New Roman"/>
    </w:rPr>
    <w:tblPr/>
  </w:style>
  <w:style w:type="table" w:styleId="1001" w:customStyle="1">
    <w:name w:val="Grid Table 7 Colorful - Accent 6"/>
    <w:basedOn w:val="717"/>
    <w:uiPriority w:val="99"/>
    <w:qFormat/>
    <w:rPr>
      <w:rFonts w:ascii="Times New Roman" w:hAnsi="Times New Roman"/>
    </w:rPr>
    <w:tblPr/>
  </w:style>
  <w:style w:type="table" w:styleId="1002" w:customStyle="1">
    <w:name w:val="Grid Table 4 - Accent 1"/>
    <w:basedOn w:val="717"/>
    <w:uiPriority w:val="59"/>
    <w:qFormat/>
    <w:rPr>
      <w:rFonts w:ascii="Times New Roman" w:hAnsi="Times New Roman"/>
    </w:rPr>
    <w:tblPr/>
  </w:style>
  <w:style w:type="table" w:styleId="1003" w:customStyle="1">
    <w:name w:val="Lined - Accent 3"/>
    <w:basedOn w:val="717"/>
    <w:uiPriority w:val="99"/>
    <w:qFormat/>
    <w:rPr>
      <w:rFonts w:ascii="Times New Roman" w:hAnsi="Times New Roman"/>
      <w:color w:val="404040"/>
    </w:rPr>
    <w:tblPr/>
  </w:style>
  <w:style w:type="table" w:styleId="1004" w:customStyle="1">
    <w:name w:val="List Table 4 - Accent 4"/>
    <w:basedOn w:val="717"/>
    <w:uiPriority w:val="99"/>
    <w:qFormat/>
    <w:rPr>
      <w:rFonts w:ascii="Times New Roman" w:hAnsi="Times New Roman"/>
    </w:rPr>
    <w:tblPr/>
  </w:style>
  <w:style w:type="table" w:styleId="1005" w:customStyle="1">
    <w:name w:val="清单表 31_0"/>
    <w:basedOn w:val="717"/>
    <w:uiPriority w:val="99"/>
    <w:qFormat/>
    <w:rPr>
      <w:rFonts w:ascii="Times New Roman" w:hAnsi="Times New Roman"/>
    </w:rPr>
    <w:tblPr/>
  </w:style>
  <w:style w:type="table" w:styleId="1006" w:customStyle="1">
    <w:name w:val="Grid Table 4 - Accent 2"/>
    <w:basedOn w:val="717"/>
    <w:uiPriority w:val="59"/>
    <w:qFormat/>
    <w:rPr>
      <w:rFonts w:ascii="Times New Roman" w:hAnsi="Times New Roman"/>
    </w:rPr>
    <w:tblPr/>
  </w:style>
  <w:style w:type="table" w:styleId="1007" w:customStyle="1">
    <w:name w:val="Bordered"/>
    <w:basedOn w:val="717"/>
    <w:uiPriority w:val="99"/>
    <w:qFormat/>
    <w:rPr>
      <w:rFonts w:ascii="Times New Roman" w:hAnsi="Times New Roman"/>
    </w:rPr>
    <w:tblPr/>
  </w:style>
  <w:style w:type="table" w:styleId="1008" w:customStyle="1">
    <w:name w:val="List Table 5 Dark - Accent 4"/>
    <w:basedOn w:val="717"/>
    <w:uiPriority w:val="99"/>
    <w:qFormat/>
    <w:rPr>
      <w:rFonts w:ascii="Times New Roman" w:hAnsi="Times New Roman"/>
    </w:rPr>
    <w:tblPr/>
  </w:style>
  <w:style w:type="table" w:styleId="1009" w:customStyle="1">
    <w:name w:val="List Table 3 - Accent 3"/>
    <w:basedOn w:val="717"/>
    <w:uiPriority w:val="99"/>
    <w:qFormat/>
    <w:rPr>
      <w:rFonts w:ascii="Times New Roman" w:hAnsi="Times New Roman"/>
    </w:rPr>
    <w:tblPr/>
  </w:style>
  <w:style w:type="table" w:styleId="1010" w:customStyle="1">
    <w:name w:val="Grid Table 4 - Accent 4"/>
    <w:basedOn w:val="717"/>
    <w:uiPriority w:val="59"/>
    <w:qFormat/>
    <w:rPr>
      <w:rFonts w:ascii="Times New Roman" w:hAnsi="Times New Roman"/>
    </w:rPr>
    <w:tblPr/>
  </w:style>
  <w:style w:type="table" w:styleId="1011" w:customStyle="1">
    <w:name w:val="List Table 6 Colorful - Accent 4"/>
    <w:basedOn w:val="717"/>
    <w:uiPriority w:val="99"/>
    <w:qFormat/>
    <w:rPr>
      <w:rFonts w:ascii="Times New Roman" w:hAnsi="Times New Roman"/>
    </w:rPr>
    <w:tblPr/>
  </w:style>
  <w:style w:type="table" w:styleId="1012" w:customStyle="1">
    <w:name w:val="Grid Table 7 Colorful - Accent 2"/>
    <w:basedOn w:val="717"/>
    <w:uiPriority w:val="99"/>
    <w:qFormat/>
    <w:rPr>
      <w:rFonts w:ascii="Times New Roman" w:hAnsi="Times New Roman"/>
    </w:rPr>
    <w:tblPr/>
  </w:style>
  <w:style w:type="table" w:styleId="1013" w:customStyle="1">
    <w:name w:val="Grid Table 4 - Accent 5"/>
    <w:basedOn w:val="717"/>
    <w:uiPriority w:val="59"/>
    <w:qFormat/>
    <w:rPr>
      <w:rFonts w:ascii="Times New Roman" w:hAnsi="Times New Roman"/>
    </w:rPr>
    <w:tblPr/>
  </w:style>
  <w:style w:type="table" w:styleId="1014" w:customStyle="1">
    <w:name w:val="List Table 6 Colorful - Accent 5"/>
    <w:basedOn w:val="717"/>
    <w:uiPriority w:val="99"/>
    <w:qFormat/>
    <w:rPr>
      <w:rFonts w:ascii="Times New Roman" w:hAnsi="Times New Roman"/>
    </w:rPr>
    <w:tblPr/>
  </w:style>
  <w:style w:type="table" w:styleId="1015" w:customStyle="1">
    <w:name w:val="List Table 1 Light - Accent 3"/>
    <w:basedOn w:val="717"/>
    <w:uiPriority w:val="99"/>
    <w:qFormat/>
    <w:rPr>
      <w:rFonts w:ascii="Times New Roman" w:hAnsi="Times New Roman"/>
    </w:rPr>
    <w:tblPr/>
  </w:style>
  <w:style w:type="table" w:styleId="1016" w:customStyle="1">
    <w:name w:val="Grid Table 4 - Accent 6"/>
    <w:basedOn w:val="717"/>
    <w:uiPriority w:val="59"/>
    <w:qFormat/>
    <w:rPr>
      <w:rFonts w:ascii="Times New Roman" w:hAnsi="Times New Roman"/>
    </w:rPr>
    <w:tblPr/>
  </w:style>
  <w:style w:type="table" w:styleId="1017" w:customStyle="1">
    <w:name w:val="List Table 7 Colorful - Accent 5"/>
    <w:basedOn w:val="717"/>
    <w:uiPriority w:val="99"/>
    <w:qFormat/>
    <w:rPr>
      <w:rFonts w:ascii="Times New Roman" w:hAnsi="Times New Roman"/>
    </w:rPr>
    <w:tblPr/>
  </w:style>
  <w:style w:type="table" w:styleId="1018" w:customStyle="1">
    <w:name w:val="List Table 2 - Accent 3"/>
    <w:basedOn w:val="717"/>
    <w:uiPriority w:val="99"/>
    <w:qFormat/>
    <w:rPr>
      <w:rFonts w:ascii="Times New Roman" w:hAnsi="Times New Roman"/>
    </w:rPr>
    <w:tblPr/>
  </w:style>
  <w:style w:type="table" w:styleId="1019" w:customStyle="1">
    <w:name w:val="Grid Table 5 Dark - Accent 6"/>
    <w:basedOn w:val="717"/>
    <w:uiPriority w:val="99"/>
    <w:qFormat/>
    <w:rPr>
      <w:rFonts w:ascii="Times New Roman" w:hAnsi="Times New Roman"/>
    </w:rPr>
    <w:tblPr/>
  </w:style>
  <w:style w:type="table" w:styleId="1020" w:customStyle="1">
    <w:name w:val="Bordered &amp; Lined - Accent 3"/>
    <w:basedOn w:val="717"/>
    <w:uiPriority w:val="99"/>
    <w:qFormat/>
    <w:rPr>
      <w:rFonts w:ascii="Times New Roman" w:hAnsi="Times New Roman"/>
      <w:color w:val="404040"/>
    </w:rPr>
    <w:tblPr/>
  </w:style>
  <w:style w:type="table" w:styleId="1021" w:customStyle="1">
    <w:name w:val="清单表 6 彩色1_0"/>
    <w:basedOn w:val="717"/>
    <w:uiPriority w:val="99"/>
    <w:qFormat/>
    <w:rPr>
      <w:rFonts w:ascii="Times New Roman" w:hAnsi="Times New Roman"/>
    </w:rPr>
    <w:tblPr/>
  </w:style>
  <w:style w:type="table" w:styleId="1022" w:customStyle="1">
    <w:name w:val="Grid Table 6 Colorful - Accent 2"/>
    <w:basedOn w:val="717"/>
    <w:uiPriority w:val="99"/>
    <w:qFormat/>
    <w:rPr>
      <w:rFonts w:ascii="Times New Roman" w:hAnsi="Times New Roman"/>
    </w:rPr>
    <w:tblPr/>
  </w:style>
  <w:style w:type="table" w:styleId="1023" w:customStyle="1">
    <w:name w:val="网格表 6 彩色1_0"/>
    <w:basedOn w:val="717"/>
    <w:uiPriority w:val="99"/>
    <w:qFormat/>
    <w:rPr>
      <w:rFonts w:ascii="Times New Roman" w:hAnsi="Times New Roman"/>
    </w:rPr>
    <w:tblPr/>
  </w:style>
  <w:style w:type="paragraph" w:styleId="1024" w:customStyle="1">
    <w:name w:val="标题 11"/>
    <w:basedOn w:val="706"/>
    <w:link w:val="1025"/>
    <w:qFormat/>
    <w:pPr>
      <w:ind w:firstLine="640"/>
      <w:jc w:val="center"/>
      <w:keepNext/>
      <w:spacing w:before="60" w:after="60" w:line="360" w:lineRule="auto"/>
      <w:outlineLvl w:val="0"/>
    </w:pPr>
    <w:rPr>
      <w:rFonts w:ascii="楷体_GB2312" w:eastAsia="楷体_GB2312"/>
      <w:color w:val="333333"/>
      <w:sz w:val="28"/>
      <w:szCs w:val="28"/>
    </w:rPr>
  </w:style>
  <w:style w:type="character" w:styleId="1025" w:customStyle="1">
    <w:name w:val="标题 1 Char"/>
    <w:link w:val="1024"/>
    <w:qFormat/>
    <w:rPr>
      <w:rFonts w:ascii="楷体_GB2312" w:hAnsi="Times New Roman" w:eastAsia="楷体_GB2312"/>
      <w:color w:val="333333"/>
      <w:sz w:val="28"/>
      <w:szCs w:val="28"/>
    </w:rPr>
  </w:style>
  <w:style w:type="paragraph" w:styleId="1026" w:customStyle="1">
    <w:name w:val="首行缩进"/>
    <w:basedOn w:val="706"/>
    <w:uiPriority w:val="99"/>
    <w:qFormat/>
    <w:pPr>
      <w:ind w:firstLine="480"/>
      <w:spacing w:line="360" w:lineRule="auto"/>
    </w:pPr>
    <w:rPr>
      <w:rFonts w:ascii="Calibri" w:hAnsi="Calibri" w:eastAsia="微软雅黑"/>
      <w:sz w:val="24"/>
      <w:szCs w:val="22"/>
      <w:lang w:val="zh-CN"/>
    </w:rPr>
  </w:style>
  <w:style w:type="paragraph" w:styleId="1027" w:customStyle="1">
    <w:name w:val="索引 411"/>
    <w:basedOn w:val="706"/>
    <w:next w:val="706"/>
    <w:uiPriority w:val="99"/>
    <w:semiHidden/>
    <w:qFormat/>
    <w:pPr>
      <w:ind w:left="1260"/>
    </w:pPr>
    <w:rPr>
      <w:szCs w:val="22"/>
    </w:rPr>
  </w:style>
  <w:style w:type="paragraph" w:styleId="1028" w:customStyle="1">
    <w:name w:val="标题 31"/>
    <w:basedOn w:val="706"/>
    <w:next w:val="706"/>
    <w:link w:val="1051"/>
    <w:qFormat/>
    <w:pPr>
      <w:keepLines/>
      <w:keepNext/>
      <w:spacing w:before="260" w:after="260" w:line="416" w:lineRule="auto"/>
      <w:outlineLvl w:val="2"/>
    </w:pPr>
    <w:rPr>
      <w:b/>
      <w:bCs/>
      <w:sz w:val="32"/>
      <w:szCs w:val="32"/>
    </w:rPr>
  </w:style>
  <w:style w:type="paragraph" w:styleId="1029" w:customStyle="1">
    <w:name w:val="标题 5（有编号）（绿盟科技）"/>
    <w:basedOn w:val="706"/>
    <w:next w:val="706"/>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30" w:customStyle="1">
    <w:name w:val="正文缩进1"/>
    <w:basedOn w:val="706"/>
    <w:link w:val="1050"/>
    <w:qFormat/>
    <w:pPr>
      <w:ind w:firstLine="420"/>
    </w:pPr>
  </w:style>
  <w:style w:type="paragraph" w:styleId="1031" w:customStyle="1">
    <w:name w:val="正文文本1"/>
    <w:basedOn w:val="706"/>
    <w:link w:val="1065"/>
    <w:qFormat/>
    <w:rPr>
      <w:rFonts w:ascii="楷体_GB2312" w:hAnsi="Arial" w:eastAsia="楷体_GB2312"/>
      <w:sz w:val="28"/>
      <w:szCs w:val="28"/>
    </w:rPr>
  </w:style>
  <w:style w:type="paragraph" w:styleId="1032" w:customStyle="1">
    <w:name w:val="4.1标准文件_字母编号列项（一级）"/>
    <w:next w:val="706"/>
    <w:qFormat/>
    <w:pPr>
      <w:jc w:val="both"/>
      <w:spacing w:line="360" w:lineRule="exact"/>
      <w:tabs>
        <w:tab w:val="left" w:pos="568" w:leader="none"/>
      </w:tabs>
    </w:pPr>
    <w:rPr>
      <w:rFonts w:ascii="Times New Roman" w:hAnsi="Times New Roman" w:cs="Times New Roman"/>
      <w:sz w:val="24"/>
      <w:szCs w:val="21"/>
    </w:rPr>
  </w:style>
  <w:style w:type="paragraph" w:styleId="1033" w:customStyle="1">
    <w:name w:val="修订2"/>
    <w:hidden/>
    <w:uiPriority w:val="99"/>
    <w:unhideWhenUsed/>
    <w:qFormat/>
    <w:rPr>
      <w:rFonts w:ascii="Times New Roman" w:hAnsi="Times New Roman"/>
      <w:sz w:val="21"/>
      <w:szCs w:val="21"/>
    </w:rPr>
  </w:style>
  <w:style w:type="paragraph" w:styleId="1034" w:customStyle="1">
    <w:name w:val="修订3"/>
    <w:hidden/>
    <w:uiPriority w:val="99"/>
    <w:unhideWhenUsed/>
    <w:qFormat/>
    <w:rPr>
      <w:rFonts w:ascii="Times New Roman" w:hAnsi="Times New Roman"/>
      <w:sz w:val="21"/>
      <w:szCs w:val="21"/>
    </w:rPr>
  </w:style>
  <w:style w:type="paragraph" w:styleId="1035" w:customStyle="1">
    <w:name w:val="纯文本1"/>
    <w:basedOn w:val="706"/>
    <w:link w:val="1036"/>
    <w:qFormat/>
    <w:rPr>
      <w:rFonts w:ascii="宋体" w:hAnsi="Courier New" w:cs="Courier New"/>
    </w:rPr>
  </w:style>
  <w:style w:type="character" w:styleId="1036" w:customStyle="1">
    <w:name w:val="纯文本 Char"/>
    <w:link w:val="1035"/>
    <w:qFormat/>
    <w:rPr>
      <w:rFonts w:ascii="宋体" w:hAnsi="Courier New" w:cs="Courier New"/>
      <w:sz w:val="21"/>
      <w:szCs w:val="21"/>
    </w:rPr>
  </w:style>
  <w:style w:type="paragraph" w:styleId="1037" w:customStyle="1">
    <w:name w:val="正文首行缩进 211"/>
    <w:basedOn w:val="1038"/>
    <w:next w:val="706"/>
    <w:qFormat/>
    <w:pPr>
      <w:ind w:left="0" w:firstLine="420"/>
      <w:spacing w:after="0" w:line="360" w:lineRule="auto"/>
    </w:pPr>
    <w:rPr>
      <w:rFonts w:ascii="宋体" w:hAnsi="宋体"/>
      <w:szCs w:val="20"/>
    </w:rPr>
  </w:style>
  <w:style w:type="paragraph" w:styleId="1038" w:customStyle="1">
    <w:name w:val="正文文本缩进11"/>
    <w:basedOn w:val="706"/>
    <w:next w:val="1039"/>
    <w:unhideWhenUsed/>
    <w:qFormat/>
    <w:pPr>
      <w:ind w:left="420"/>
      <w:spacing w:after="120"/>
    </w:pPr>
    <w:rPr>
      <w:rFonts w:cs="Times New Roman"/>
    </w:rPr>
  </w:style>
  <w:style w:type="paragraph" w:styleId="1039" w:customStyle="1">
    <w:name w:val="寄信人地址1"/>
    <w:basedOn w:val="706"/>
    <w:qFormat/>
    <w:rPr>
      <w:rFonts w:ascii="Arial" w:hAnsi="Arial" w:cs="宋体"/>
    </w:rPr>
  </w:style>
  <w:style w:type="paragraph" w:styleId="1040" w:customStyle="1">
    <w:name w:val="标题 21"/>
    <w:basedOn w:val="706"/>
    <w:next w:val="1030"/>
    <w:link w:val="1049"/>
    <w:qFormat/>
    <w:pPr>
      <w:jc w:val="center"/>
      <w:keepLines/>
      <w:keepNext/>
      <w:spacing w:before="260" w:after="260" w:line="416" w:lineRule="auto"/>
      <w:outlineLvl w:val="1"/>
    </w:pPr>
    <w:rPr>
      <w:rFonts w:ascii="Arial" w:hAnsi="Arial" w:eastAsia="幼圆" w:cs="Arial"/>
      <w:b/>
      <w:bCs/>
      <w:sz w:val="44"/>
      <w:szCs w:val="44"/>
    </w:rPr>
  </w:style>
  <w:style w:type="paragraph" w:styleId="1041" w:customStyle="1">
    <w:name w:val="标题 41"/>
    <w:basedOn w:val="706"/>
    <w:next w:val="1030"/>
    <w:link w:val="1052"/>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706"/>
    <w:next w:val="1030"/>
    <w:link w:val="1053"/>
    <w:qFormat/>
    <w:pPr>
      <w:keepNext/>
      <w:outlineLvl w:val="4"/>
    </w:pPr>
    <w:rPr>
      <w:rFonts w:ascii="宋体" w:cs="Times New Roman"/>
      <w:color w:val="000000"/>
      <w:sz w:val="28"/>
      <w:szCs w:val="28"/>
    </w:rPr>
  </w:style>
  <w:style w:type="paragraph" w:styleId="1043" w:customStyle="1">
    <w:name w:val="标题 61"/>
    <w:basedOn w:val="706"/>
    <w:next w:val="706"/>
    <w:link w:val="1054"/>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44" w:customStyle="1">
    <w:name w:val="标题 71"/>
    <w:basedOn w:val="706"/>
    <w:next w:val="706"/>
    <w:link w:val="1055"/>
    <w:qFormat/>
    <w:pPr>
      <w:numPr>
        <w:ilvl w:val="6"/>
        <w:numId w:val="5"/>
      </w:numPr>
      <w:keepLines/>
      <w:keepNext/>
      <w:spacing w:before="240" w:after="64" w:line="320" w:lineRule="auto"/>
      <w:outlineLvl w:val="6"/>
    </w:pPr>
    <w:rPr>
      <w:rFonts w:cs="Times New Roman"/>
      <w:b/>
      <w:bCs/>
      <w:sz w:val="24"/>
      <w:szCs w:val="24"/>
    </w:rPr>
  </w:style>
  <w:style w:type="paragraph" w:styleId="1045" w:customStyle="1">
    <w:name w:val="标题 81"/>
    <w:basedOn w:val="706"/>
    <w:next w:val="706"/>
    <w:link w:val="1056"/>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46" w:customStyle="1">
    <w:name w:val="标题 91"/>
    <w:basedOn w:val="706"/>
    <w:next w:val="706"/>
    <w:link w:val="1057"/>
    <w:qFormat/>
    <w:pPr>
      <w:numPr>
        <w:ilvl w:val="8"/>
        <w:numId w:val="5"/>
      </w:numPr>
      <w:keepLines/>
      <w:keepNext/>
      <w:spacing w:before="240" w:after="64" w:line="320" w:lineRule="auto"/>
      <w:outlineLvl w:val="8"/>
    </w:pPr>
    <w:rPr>
      <w:rFonts w:ascii="Arial" w:hAnsi="Arial" w:eastAsia="黑体" w:cs="Times New Roman"/>
    </w:rPr>
  </w:style>
  <w:style w:type="character" w:styleId="1047" w:customStyle="1">
    <w:name w:val="默认段落字体1"/>
    <w:uiPriority w:val="1"/>
    <w:unhideWhenUsed/>
    <w:qFormat/>
  </w:style>
  <w:style w:type="table" w:styleId="1048" w:customStyle="1">
    <w:name w:val="普通表格1"/>
    <w:uiPriority w:val="99"/>
    <w:unhideWhenUsed/>
    <w:qFormat/>
    <w:rPr>
      <w:rFonts w:ascii="Times New Roman" w:hAnsi="Times New Roman" w:cs="Times New Roman"/>
    </w:rPr>
    <w:tblPr>
      <w:tblCellMar>
        <w:left w:w="0" w:type="dxa"/>
        <w:top w:w="0" w:type="dxa"/>
        <w:right w:w="0" w:type="dxa"/>
        <w:bottom w:w="0" w:type="dxa"/>
      </w:tblCellMar>
    </w:tblPr>
  </w:style>
  <w:style w:type="character" w:styleId="1049" w:customStyle="1">
    <w:name w:val="标题 2 Char"/>
    <w:link w:val="1040"/>
    <w:qFormat/>
    <w:rPr>
      <w:rFonts w:ascii="Arial" w:hAnsi="Arial" w:eastAsia="幼圆" w:cs="Arial"/>
      <w:b/>
      <w:bCs/>
      <w:sz w:val="44"/>
      <w:szCs w:val="44"/>
    </w:rPr>
  </w:style>
  <w:style w:type="character" w:styleId="1050" w:customStyle="1">
    <w:name w:val="正文缩进 Char"/>
    <w:link w:val="1030"/>
    <w:qFormat/>
    <w:rPr>
      <w:rFonts w:ascii="Times New Roman" w:hAnsi="Times New Roman"/>
      <w:sz w:val="21"/>
      <w:szCs w:val="21"/>
    </w:rPr>
  </w:style>
  <w:style w:type="character" w:styleId="1051" w:customStyle="1">
    <w:name w:val="标题 3 Char"/>
    <w:link w:val="1028"/>
    <w:qFormat/>
    <w:rPr>
      <w:rFonts w:ascii="Times New Roman" w:hAnsi="Times New Roman"/>
      <w:b/>
      <w:bCs/>
      <w:sz w:val="32"/>
      <w:szCs w:val="32"/>
    </w:rPr>
  </w:style>
  <w:style w:type="character" w:styleId="1052" w:customStyle="1">
    <w:name w:val="标题 4 Char"/>
    <w:link w:val="1041"/>
    <w:qFormat/>
    <w:rPr>
      <w:rFonts w:ascii="Arial" w:hAnsi="Arial" w:eastAsia="黑体" w:cs="Arial"/>
      <w:b/>
      <w:bCs/>
      <w:sz w:val="28"/>
      <w:szCs w:val="28"/>
    </w:rPr>
  </w:style>
  <w:style w:type="character" w:styleId="1053" w:customStyle="1">
    <w:name w:val="标题 5 Char"/>
    <w:link w:val="1042"/>
    <w:qFormat/>
    <w:rPr>
      <w:rFonts w:ascii="宋体" w:hAnsi="Times New Roman" w:cs="Times New Roman"/>
      <w:color w:val="000000"/>
      <w:sz w:val="28"/>
      <w:szCs w:val="28"/>
    </w:rPr>
  </w:style>
  <w:style w:type="character" w:styleId="1054" w:customStyle="1">
    <w:name w:val="标题 6 Char"/>
    <w:link w:val="1043"/>
    <w:qFormat/>
    <w:rPr>
      <w:rFonts w:ascii="Arial" w:hAnsi="Arial" w:eastAsia="黑体" w:cs="Times New Roman"/>
      <w:b/>
      <w:bCs/>
      <w:sz w:val="24"/>
      <w:szCs w:val="24"/>
    </w:rPr>
  </w:style>
  <w:style w:type="character" w:styleId="1055" w:customStyle="1">
    <w:name w:val="标题 7 Char"/>
    <w:link w:val="1044"/>
    <w:qFormat/>
    <w:rPr>
      <w:rFonts w:ascii="Times New Roman" w:hAnsi="Times New Roman" w:cs="Times New Roman"/>
      <w:b/>
      <w:bCs/>
      <w:sz w:val="24"/>
      <w:szCs w:val="24"/>
    </w:rPr>
  </w:style>
  <w:style w:type="character" w:styleId="1056" w:customStyle="1">
    <w:name w:val="标题 8 Char"/>
    <w:link w:val="1045"/>
    <w:qFormat/>
    <w:rPr>
      <w:rFonts w:ascii="Arial" w:hAnsi="Arial" w:eastAsia="黑体" w:cs="Times New Roman"/>
      <w:sz w:val="24"/>
      <w:szCs w:val="24"/>
    </w:rPr>
  </w:style>
  <w:style w:type="character" w:styleId="1057" w:customStyle="1">
    <w:name w:val="标题 9 Char"/>
    <w:link w:val="1046"/>
    <w:qFormat/>
    <w:rPr>
      <w:rFonts w:ascii="Arial" w:hAnsi="Arial" w:eastAsia="黑体" w:cs="Times New Roman"/>
      <w:sz w:val="21"/>
      <w:szCs w:val="21"/>
    </w:rPr>
  </w:style>
  <w:style w:type="paragraph" w:styleId="1058" w:customStyle="1">
    <w:name w:val="列表 31"/>
    <w:basedOn w:val="706"/>
    <w:qFormat/>
    <w:pPr>
      <w:ind w:left="100" w:hanging="200"/>
    </w:pPr>
    <w:rPr>
      <w:rFonts w:cs="Times New Roman"/>
    </w:rPr>
  </w:style>
  <w:style w:type="paragraph" w:styleId="1059" w:customStyle="1">
    <w:name w:val="文档结构图1"/>
    <w:basedOn w:val="706"/>
    <w:link w:val="1060"/>
    <w:semiHidden/>
    <w:qFormat/>
    <w:pPr>
      <w:shd w:val="clear" w:color="auto" w:fill="000080"/>
    </w:pPr>
    <w:rPr>
      <w:rFonts w:cs="Times New Roman"/>
    </w:rPr>
  </w:style>
  <w:style w:type="character" w:styleId="1060" w:customStyle="1">
    <w:name w:val="文档结构图 Char"/>
    <w:link w:val="1059"/>
    <w:semiHidden/>
    <w:qFormat/>
    <w:rPr>
      <w:rFonts w:ascii="Times New Roman" w:hAnsi="Times New Roman" w:cs="Times New Roman"/>
      <w:sz w:val="21"/>
      <w:szCs w:val="21"/>
      <w:shd w:val="clear" w:color="auto" w:fill="000080"/>
    </w:rPr>
  </w:style>
  <w:style w:type="paragraph" w:styleId="1061" w:customStyle="1">
    <w:name w:val="批注文字1"/>
    <w:basedOn w:val="706"/>
    <w:link w:val="1062"/>
    <w:semiHidden/>
    <w:qFormat/>
    <w:pPr>
      <w:jc w:val="left"/>
    </w:pPr>
    <w:rPr>
      <w:rFonts w:cs="Times New Roman"/>
    </w:rPr>
  </w:style>
  <w:style w:type="character" w:styleId="1062" w:customStyle="1">
    <w:name w:val="批注文字 Char"/>
    <w:link w:val="1061"/>
    <w:semiHidden/>
    <w:qFormat/>
    <w:rPr>
      <w:rFonts w:ascii="Times New Roman" w:hAnsi="Times New Roman" w:cs="Times New Roman"/>
      <w:sz w:val="21"/>
      <w:szCs w:val="21"/>
    </w:rPr>
  </w:style>
  <w:style w:type="paragraph" w:styleId="1063" w:customStyle="1">
    <w:name w:val="正文文本 31"/>
    <w:basedOn w:val="706"/>
    <w:link w:val="1064"/>
    <w:qFormat/>
    <w:rPr>
      <w:rFonts w:ascii="仿宋_GB2312" w:hAnsi="Arial" w:eastAsia="仿宋_GB2312" w:cs="Times New Roman"/>
      <w:sz w:val="32"/>
      <w:szCs w:val="32"/>
    </w:rPr>
  </w:style>
  <w:style w:type="character" w:styleId="1064" w:customStyle="1">
    <w:name w:val="正文文本 3 Char"/>
    <w:link w:val="1063"/>
    <w:qFormat/>
    <w:rPr>
      <w:rFonts w:ascii="仿宋_GB2312" w:hAnsi="Arial" w:eastAsia="仿宋_GB2312" w:cs="Times New Roman"/>
      <w:sz w:val="32"/>
      <w:szCs w:val="32"/>
    </w:rPr>
  </w:style>
  <w:style w:type="character" w:styleId="1065" w:customStyle="1">
    <w:name w:val="正文文本 Char"/>
    <w:link w:val="1031"/>
    <w:qFormat/>
    <w:rPr>
      <w:rFonts w:ascii="楷体_GB2312" w:hAnsi="Arial" w:eastAsia="楷体_GB2312"/>
      <w:sz w:val="28"/>
      <w:szCs w:val="28"/>
    </w:rPr>
  </w:style>
  <w:style w:type="paragraph" w:styleId="1066" w:customStyle="1">
    <w:name w:val="正文文本缩进1"/>
    <w:basedOn w:val="706"/>
    <w:link w:val="1067"/>
    <w:qFormat/>
    <w:pPr>
      <w:ind w:firstLine="645"/>
    </w:pPr>
    <w:rPr>
      <w:rFonts w:ascii="楷体_GB2312" w:eastAsia="楷体_GB2312" w:cs="Times New Roman"/>
      <w:sz w:val="32"/>
      <w:szCs w:val="32"/>
    </w:rPr>
  </w:style>
  <w:style w:type="character" w:styleId="1067" w:customStyle="1">
    <w:name w:val="正文文本缩进 Char"/>
    <w:link w:val="1066"/>
    <w:qFormat/>
    <w:rPr>
      <w:rFonts w:ascii="楷体_GB2312" w:hAnsi="Times New Roman" w:eastAsia="楷体_GB2312" w:cs="Times New Roman"/>
      <w:sz w:val="32"/>
      <w:szCs w:val="32"/>
    </w:rPr>
  </w:style>
  <w:style w:type="paragraph" w:styleId="1068" w:customStyle="1">
    <w:name w:val="列表 21"/>
    <w:basedOn w:val="706"/>
    <w:qFormat/>
    <w:pPr>
      <w:ind w:left="100" w:hanging="200"/>
    </w:pPr>
    <w:rPr>
      <w:rFonts w:cs="Times New Roman"/>
    </w:rPr>
  </w:style>
  <w:style w:type="paragraph" w:styleId="1069" w:customStyle="1">
    <w:name w:val="日期1"/>
    <w:basedOn w:val="706"/>
    <w:next w:val="706"/>
    <w:link w:val="1070"/>
    <w:qFormat/>
    <w:rPr>
      <w:rFonts w:cs="Times New Roman"/>
      <w:sz w:val="24"/>
      <w:szCs w:val="24"/>
    </w:rPr>
  </w:style>
  <w:style w:type="character" w:styleId="1070" w:customStyle="1">
    <w:name w:val="日期 Char"/>
    <w:link w:val="1069"/>
    <w:qFormat/>
    <w:rPr>
      <w:rFonts w:ascii="Times New Roman" w:hAnsi="Times New Roman" w:cs="Times New Roman"/>
      <w:sz w:val="24"/>
      <w:szCs w:val="24"/>
    </w:rPr>
  </w:style>
  <w:style w:type="paragraph" w:styleId="1071" w:customStyle="1">
    <w:name w:val="正文文本缩进 21"/>
    <w:basedOn w:val="706"/>
    <w:link w:val="1072"/>
    <w:qFormat/>
    <w:pPr>
      <w:ind w:left="630" w:firstLine="645"/>
    </w:pPr>
    <w:rPr>
      <w:rFonts w:ascii="Arial" w:hAnsi="Arial" w:eastAsia="仿宋_GB2312" w:cs="Arial"/>
      <w:sz w:val="32"/>
      <w:szCs w:val="32"/>
    </w:rPr>
  </w:style>
  <w:style w:type="character" w:styleId="1072" w:customStyle="1">
    <w:name w:val="正文文本缩进 2 Char"/>
    <w:link w:val="1071"/>
    <w:qFormat/>
    <w:rPr>
      <w:rFonts w:ascii="Arial" w:hAnsi="Arial" w:eastAsia="仿宋_GB2312" w:cs="Arial"/>
      <w:sz w:val="32"/>
      <w:szCs w:val="32"/>
    </w:rPr>
  </w:style>
  <w:style w:type="paragraph" w:styleId="1073" w:customStyle="1">
    <w:name w:val="批注框文本1"/>
    <w:basedOn w:val="706"/>
    <w:link w:val="1074"/>
    <w:semiHidden/>
    <w:qFormat/>
    <w:rPr>
      <w:rFonts w:cs="Times New Roman"/>
      <w:sz w:val="18"/>
      <w:szCs w:val="18"/>
    </w:rPr>
  </w:style>
  <w:style w:type="character" w:styleId="1074" w:customStyle="1">
    <w:name w:val="批注框文本 Char"/>
    <w:link w:val="1073"/>
    <w:semiHidden/>
    <w:qFormat/>
    <w:rPr>
      <w:rFonts w:ascii="Times New Roman" w:hAnsi="Times New Roman" w:cs="Times New Roman"/>
      <w:sz w:val="18"/>
      <w:szCs w:val="18"/>
    </w:rPr>
  </w:style>
  <w:style w:type="paragraph" w:styleId="1075" w:customStyle="1">
    <w:name w:val="页脚1"/>
    <w:basedOn w:val="706"/>
    <w:link w:val="1076"/>
    <w:uiPriority w:val="99"/>
    <w:qFormat/>
    <w:pPr>
      <w:jc w:val="left"/>
      <w:tabs>
        <w:tab w:val="center" w:pos="4153" w:leader="none"/>
        <w:tab w:val="right" w:pos="8306" w:leader="none"/>
      </w:tabs>
    </w:pPr>
    <w:rPr>
      <w:rFonts w:cs="Times New Roman"/>
      <w:sz w:val="18"/>
      <w:szCs w:val="18"/>
    </w:rPr>
  </w:style>
  <w:style w:type="character" w:styleId="1076" w:customStyle="1">
    <w:name w:val="页脚 Char"/>
    <w:link w:val="1075"/>
    <w:uiPriority w:val="99"/>
    <w:qFormat/>
    <w:rPr>
      <w:rFonts w:ascii="Times New Roman" w:hAnsi="Times New Roman" w:cs="Times New Roman"/>
      <w:sz w:val="18"/>
      <w:szCs w:val="18"/>
    </w:rPr>
  </w:style>
  <w:style w:type="paragraph" w:styleId="1077" w:customStyle="1">
    <w:name w:val="页眉1"/>
    <w:basedOn w:val="706"/>
    <w:link w:val="1078"/>
    <w:qFormat/>
    <w:pPr>
      <w:jc w:val="center"/>
      <w:tabs>
        <w:tab w:val="center" w:pos="4153" w:leader="none"/>
        <w:tab w:val="right" w:pos="8306" w:leader="none"/>
      </w:tabs>
      <w:pBdr>
        <w:bottom w:val="single" w:color="000000" w:sz="6" w:space="1"/>
      </w:pBdr>
    </w:pPr>
    <w:rPr>
      <w:rFonts w:cs="Times New Roman"/>
      <w:sz w:val="18"/>
      <w:szCs w:val="18"/>
    </w:rPr>
  </w:style>
  <w:style w:type="character" w:styleId="1078" w:customStyle="1">
    <w:name w:val="页眉 Char"/>
    <w:link w:val="1077"/>
    <w:qFormat/>
    <w:rPr>
      <w:rFonts w:ascii="Times New Roman" w:hAnsi="Times New Roman" w:cs="Times New Roman"/>
      <w:sz w:val="18"/>
      <w:szCs w:val="18"/>
    </w:rPr>
  </w:style>
  <w:style w:type="paragraph" w:styleId="1079" w:customStyle="1">
    <w:name w:val="列表1"/>
    <w:basedOn w:val="706"/>
    <w:qFormat/>
    <w:pPr>
      <w:ind w:left="200" w:hanging="200"/>
    </w:pPr>
    <w:rPr>
      <w:rFonts w:cs="Times New Roman"/>
    </w:rPr>
  </w:style>
  <w:style w:type="paragraph" w:styleId="1080" w:customStyle="1">
    <w:name w:val="正文文本缩进 31"/>
    <w:basedOn w:val="706"/>
    <w:link w:val="1081"/>
    <w:qFormat/>
    <w:pPr>
      <w:ind w:left="645" w:firstLine="645"/>
    </w:pPr>
    <w:rPr>
      <w:rFonts w:ascii="Arial" w:hAnsi="Arial" w:eastAsia="仿宋_GB2312" w:cs="Arial"/>
      <w:color w:val="ffff00"/>
      <w:sz w:val="32"/>
      <w:szCs w:val="32"/>
    </w:rPr>
  </w:style>
  <w:style w:type="character" w:styleId="1081" w:customStyle="1">
    <w:name w:val="正文文本缩进 3 Char"/>
    <w:link w:val="1080"/>
    <w:qFormat/>
    <w:rPr>
      <w:rFonts w:ascii="Arial" w:hAnsi="Arial" w:eastAsia="仿宋_GB2312" w:cs="Arial"/>
      <w:color w:val="ffff00"/>
      <w:sz w:val="32"/>
      <w:szCs w:val="32"/>
    </w:rPr>
  </w:style>
  <w:style w:type="paragraph" w:styleId="1082" w:customStyle="1">
    <w:name w:val="图表目录1"/>
    <w:basedOn w:val="706"/>
    <w:next w:val="706"/>
    <w:semiHidden/>
    <w:qFormat/>
    <w:pPr>
      <w:ind w:left="840" w:hanging="420"/>
    </w:pPr>
    <w:rPr>
      <w:rFonts w:cs="Times New Roman"/>
    </w:rPr>
  </w:style>
  <w:style w:type="paragraph" w:styleId="1083" w:customStyle="1">
    <w:name w:val="正文文本 21"/>
    <w:basedOn w:val="706"/>
    <w:link w:val="1084"/>
    <w:qFormat/>
    <w:pPr>
      <w:jc w:val="center"/>
      <w:widowControl/>
    </w:pPr>
    <w:rPr>
      <w:rFonts w:ascii="楷体_GB2312" w:eastAsia="楷体_GB2312" w:cs="Times New Roman"/>
      <w:sz w:val="28"/>
      <w:szCs w:val="28"/>
    </w:rPr>
  </w:style>
  <w:style w:type="character" w:styleId="1084" w:customStyle="1">
    <w:name w:val="正文文本 2 Char"/>
    <w:link w:val="1083"/>
    <w:qFormat/>
    <w:rPr>
      <w:rFonts w:ascii="楷体_GB2312" w:hAnsi="Times New Roman" w:eastAsia="楷体_GB2312" w:cs="Times New Roman"/>
      <w:sz w:val="28"/>
      <w:szCs w:val="28"/>
    </w:rPr>
  </w:style>
  <w:style w:type="paragraph" w:styleId="1085"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86" w:customStyle="1">
    <w:name w:val="索引 11"/>
    <w:basedOn w:val="706"/>
    <w:next w:val="706"/>
    <w:semiHidden/>
    <w:qFormat/>
    <w:pPr>
      <w:spacing w:line="240" w:lineRule="atLeast"/>
    </w:pPr>
    <w:rPr>
      <w:rFonts w:cs="Times New Roman"/>
      <w:b/>
      <w:bCs/>
    </w:rPr>
  </w:style>
  <w:style w:type="paragraph" w:styleId="1087" w:customStyle="1">
    <w:name w:val="批注主题1"/>
    <w:basedOn w:val="1061"/>
    <w:next w:val="1061"/>
    <w:link w:val="1088"/>
    <w:semiHidden/>
    <w:qFormat/>
    <w:rPr>
      <w:b/>
      <w:bCs/>
    </w:rPr>
  </w:style>
  <w:style w:type="character" w:styleId="1088" w:customStyle="1">
    <w:name w:val="批注主题 Char"/>
    <w:link w:val="1087"/>
    <w:semiHidden/>
    <w:qFormat/>
    <w:rPr>
      <w:rFonts w:ascii="Times New Roman" w:hAnsi="Times New Roman" w:cs="Times New Roman"/>
      <w:b/>
      <w:bCs/>
      <w:sz w:val="21"/>
      <w:szCs w:val="21"/>
    </w:rPr>
  </w:style>
  <w:style w:type="character" w:styleId="1089" w:customStyle="1">
    <w:name w:val="要点1"/>
    <w:qFormat/>
    <w:rPr>
      <w:b/>
      <w:bCs/>
    </w:rPr>
  </w:style>
  <w:style w:type="character" w:styleId="1090" w:customStyle="1">
    <w:name w:val="页码1"/>
    <w:qFormat/>
  </w:style>
  <w:style w:type="character" w:styleId="1091" w:customStyle="1">
    <w:name w:val="已访问的超链接1"/>
    <w:qFormat/>
    <w:rPr>
      <w:color w:val="800080"/>
      <w:u w:val="single"/>
    </w:rPr>
  </w:style>
  <w:style w:type="character" w:styleId="1092" w:customStyle="1">
    <w:name w:val="超链接1"/>
    <w:qFormat/>
    <w:rPr>
      <w:color w:val="0000ff"/>
      <w:u w:val="single"/>
    </w:rPr>
  </w:style>
  <w:style w:type="character" w:styleId="1093" w:customStyle="1">
    <w:name w:val="批注引用1"/>
    <w:semiHidden/>
    <w:qFormat/>
    <w:rPr>
      <w:sz w:val="21"/>
      <w:szCs w:val="21"/>
    </w:rPr>
  </w:style>
  <w:style w:type="paragraph" w:styleId="1094" w:customStyle="1">
    <w:name w:val="Char1"/>
    <w:basedOn w:val="1059"/>
    <w:qFormat/>
    <w:rPr>
      <w:rFonts w:ascii="Tahoma" w:hAnsi="Tahoma"/>
      <w:sz w:val="24"/>
      <w:szCs w:val="24"/>
    </w:rPr>
  </w:style>
  <w:style w:type="paragraph" w:styleId="1095" w:customStyle="1">
    <w:name w:val="Char Char Char Char Char Char Char Char1"/>
    <w:basedOn w:val="706"/>
    <w:qFormat/>
    <w:pPr>
      <w:jc w:val="left"/>
      <w:spacing w:after="160" w:line="240" w:lineRule="exact"/>
      <w:widowControl/>
    </w:pPr>
    <w:rPr>
      <w:rFonts w:ascii="Verdana" w:hAnsi="Verdana" w:cs="Times New Roman"/>
      <w:sz w:val="20"/>
      <w:szCs w:val="20"/>
      <w:lang w:eastAsia="en-US"/>
    </w:rPr>
  </w:style>
  <w:style w:type="paragraph" w:styleId="1096" w:customStyle="1">
    <w:name w:val="Char Char Char Char1"/>
    <w:basedOn w:val="1059"/>
    <w:qFormat/>
    <w:pPr>
      <w:spacing w:line="360" w:lineRule="auto"/>
    </w:pPr>
    <w:rPr>
      <w:rFonts w:ascii="Tahoma" w:hAnsi="Tahoma"/>
      <w:sz w:val="24"/>
      <w:szCs w:val="24"/>
    </w:rPr>
  </w:style>
  <w:style w:type="paragraph" w:styleId="1097" w:customStyle="1">
    <w:name w:val="无间隔1"/>
    <w:uiPriority w:val="99"/>
    <w:qFormat/>
    <w:pPr>
      <w:jc w:val="both"/>
      <w:widowControl w:val="off"/>
    </w:pPr>
    <w:rPr>
      <w:rFonts w:ascii="Times New Roman" w:hAnsi="Times New Roman" w:cs="Times New Roman"/>
      <w:sz w:val="21"/>
      <w:szCs w:val="21"/>
    </w:rPr>
  </w:style>
  <w:style w:type="character" w:styleId="1098" w:customStyle="1">
    <w:name w:val="font31"/>
    <w:qFormat/>
    <w:rPr>
      <w:rFonts w:ascii="Times New Roman" w:hAnsi="Times New Roman" w:cs="Times New Roman"/>
      <w:color w:val="000000"/>
      <w:sz w:val="21"/>
      <w:szCs w:val="21"/>
      <w:u w:val="none"/>
    </w:rPr>
  </w:style>
  <w:style w:type="paragraph" w:styleId="1099" w:customStyle="1">
    <w:name w:val="xl71"/>
    <w:basedOn w:val="706"/>
    <w:qFormat/>
    <w:pPr>
      <w:jc w:val="center"/>
      <w:spacing w:before="100" w:beforeAutospacing="1" w:after="100" w:afterAutospacing="1"/>
      <w:widowControl/>
    </w:pPr>
    <w:rPr>
      <w:rFonts w:ascii="宋体" w:hAnsi="宋体" w:cs="宋体"/>
      <w:sz w:val="24"/>
      <w:szCs w:val="24"/>
    </w:rPr>
  </w:style>
  <w:style w:type="paragraph" w:styleId="1100" w:customStyle="1">
    <w:name w:val="xl72"/>
    <w:basedOn w:val="706"/>
    <w:qFormat/>
    <w:pPr>
      <w:jc w:val="left"/>
      <w:spacing w:before="100" w:beforeAutospacing="1" w:after="100" w:afterAutospacing="1"/>
      <w:widowControl/>
    </w:pPr>
    <w:rPr>
      <w:rFonts w:ascii="宋体" w:hAnsi="宋体" w:cs="宋体"/>
      <w:sz w:val="24"/>
      <w:szCs w:val="24"/>
    </w:rPr>
  </w:style>
  <w:style w:type="paragraph" w:styleId="1101" w:customStyle="1">
    <w:name w:val="xl73"/>
    <w:basedOn w:val="706"/>
    <w:qFormat/>
    <w:pPr>
      <w:jc w:val="center"/>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2" w:customStyle="1">
    <w:name w:val="xl74"/>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3" w:customStyle="1">
    <w:name w:val="xl75"/>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4" w:customStyle="1">
    <w:name w:val="xl76"/>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5" w:customStyle="1">
    <w:name w:val="xl77"/>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6" w:customStyle="1">
    <w:name w:val="xl78"/>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7" w:customStyle="1">
    <w:name w:val="xl79"/>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8" w:customStyle="1">
    <w:name w:val="xl80"/>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9" w:customStyle="1">
    <w:name w:val="xl81"/>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0" w:customStyle="1">
    <w:name w:val="xl82"/>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11" w:customStyle="1">
    <w:name w:val="xl83"/>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2" w:customStyle="1">
    <w:name w:val="xl84"/>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3" w:customStyle="1">
    <w:name w:val="修订4"/>
    <w:hidden/>
    <w:uiPriority w:val="99"/>
    <w:unhideWhenUsed/>
    <w:qFormat/>
    <w:rPr>
      <w:rFonts w:ascii="Times New Roman" w:hAnsi="Times New Roman"/>
      <w:sz w:val="21"/>
      <w:szCs w:val="21"/>
    </w:rPr>
  </w:style>
  <w:style w:type="paragraph" w:styleId="1114" w:customStyle="1">
    <w:name w:val="修订5"/>
    <w:hidden/>
    <w:uiPriority w:val="99"/>
    <w:unhideWhenUsed/>
    <w:qFormat/>
    <w:rPr>
      <w:rFonts w:ascii="Times New Roman" w:hAnsi="Times New Roman"/>
      <w:sz w:val="21"/>
      <w:szCs w:val="21"/>
    </w:rPr>
  </w:style>
  <w:style w:type="table" w:styleId="1115" w:customStyle="1">
    <w:name w:val="Table Normal_0"/>
    <w:semiHidden/>
    <w:unhideWhenUsed/>
    <w:qFormat/>
    <w:rPr>
      <w:rFonts w:ascii="Times New Roman" w:hAnsi="Times New Roman" w:cs="Times New Roman"/>
    </w:rPr>
    <w:tblPr>
      <w:tblCellMar>
        <w:left w:w="0" w:type="dxa"/>
        <w:top w:w="0" w:type="dxa"/>
        <w:right w:w="0" w:type="dxa"/>
        <w:bottom w:w="0" w:type="dxa"/>
      </w:tblCellMar>
    </w:tblPr>
  </w:style>
  <w:style w:type="character" w:styleId="1116" w:customStyle="1">
    <w:name w:val="标题 3 字符1"/>
    <w:uiPriority w:val="9"/>
    <w:qFormat/>
    <w:rPr>
      <w:rFonts w:ascii="Times New Roman" w:hAnsi="Times New Roman" w:eastAsia="方正楷体_GBK" w:cs="Arial"/>
      <w:szCs w:val="24"/>
    </w:rPr>
  </w:style>
  <w:style w:type="paragraph" w:styleId="1117" w:customStyle="1">
    <w:name w:val="修订6"/>
    <w:hidden/>
    <w:uiPriority w:val="99"/>
    <w:unhideWhenUsed/>
    <w:qFormat/>
    <w:rPr>
      <w:rFonts w:ascii="Times New Roman" w:hAnsi="Times New Roman"/>
      <w:sz w:val="21"/>
      <w:szCs w:val="21"/>
    </w:rPr>
  </w:style>
  <w:style w:type="paragraph" w:styleId="1118" w:customStyle="1">
    <w:name w:val="修订7"/>
    <w:hidden/>
    <w:uiPriority w:val="99"/>
    <w:semiHidden/>
    <w:qFormat/>
    <w:rPr>
      <w:rFonts w:ascii="Times New Roman" w:hAnsi="Times New Roman"/>
      <w:sz w:val="21"/>
      <w:szCs w:val="21"/>
    </w:rPr>
  </w:style>
  <w:style w:type="paragraph" w:styleId="1119">
    <w:name w:val="Revision"/>
    <w:hidden/>
    <w:uiPriority w:val="99"/>
    <w:unhideWhenUsed/>
    <w:rPr>
      <w:rFonts w:ascii="Times New Roman" w:hAnsi="Times New Roman"/>
      <w:sz w:val="21"/>
      <w:szCs w:val="21"/>
    </w:rPr>
  </w:style>
  <w:style w:type="character" w:styleId="1120" w:customStyle="1">
    <w:name w:val="未处理的提及1"/>
    <w:basedOn w:val="71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docs.cswm.org.cn/htt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9</cp:revision>
  <dcterms:created xsi:type="dcterms:W3CDTF">2026-10-27T05:53:00Z</dcterms:created>
  <dcterms:modified xsi:type="dcterms:W3CDTF">2026-10-28T07:47:09Z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eyJoZGlkIjoiMWM5NTZjNDEzMjViZjhkMjlmZjY5MWQ5MGJmZTUwZDYiLCJ1c2VySWQiOiIzMzU2MDk3MDUifQ==</vt:lpwstr>
  </property>
  <property fmtid="{D5CDD505-2E9C-101B-9397-08002B2CF9AE}" pid="3" name="KSOProductBuildVer">
    <vt:lpwstr>2052-12.1.0.29161</vt:lpwstr>
  </property>
  <property fmtid="{D5CDD505-2E9C-101B-9397-08002B2CF9AE}" pid="4" name="ICV">
    <vt:lpwstr>EA14B9AA7D054D84BB7A921E805115BF_12</vt:lpwstr>
  </property>
</Properties>
</file>