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竞争性磋商文件</w:t>
      </w:r>
      <w:r/>
    </w:p>
    <w:p>
      <w:pPr>
        <w:ind w:left="0" w:right="0" w:firstLine="1606"/>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年度自然资源宿迁市卫星技术应用中心运营保障项目</w:t>
      </w:r>
      <w:r/>
    </w:p>
    <w:p>
      <w:pPr>
        <w:ind w:left="0" w:right="0" w:firstLine="1606"/>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JSZC-321300-JYGS-C2026-0025              </w:t>
      </w:r>
      <w:r/>
    </w:p>
    <w:p>
      <w:pPr>
        <w:ind w:left="0" w:right="0" w:firstLine="1606"/>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w:t>
      </w:r>
      <w:r>
        <w:rPr>
          <w:rFonts w:ascii="SimSun" w:hAnsi="SimSun" w:eastAsia="SimSun" w:cs="SimSun"/>
          <w:b/>
          <w:color w:val="000000"/>
          <w:sz w:val="32"/>
          <w:u w:val="single"/>
        </w:rPr>
        <w:t xml:space="preserve">服务</w:t>
      </w:r>
      <w:r>
        <w:rPr>
          <w:rFonts w:ascii="SimSun" w:hAnsi="SimSun" w:eastAsia="SimSun" w:cs="SimSun"/>
          <w:b/>
          <w:color w:val="000000"/>
          <w:sz w:val="32"/>
        </w:rPr>
        <w:t xml:space="preserve">类项目，</w:t>
      </w:r>
      <w:r>
        <w:rPr>
          <w:rFonts w:ascii="SimSun" w:hAnsi="SimSun" w:eastAsia="SimSun" w:cs="SimSun"/>
          <w:b/>
          <w:color w:val="000000"/>
          <w:sz w:val="32"/>
          <w:u w:val="single"/>
        </w:rPr>
        <w:t xml:space="preserve"> 是</w:t>
      </w:r>
      <w:r>
        <w:rPr>
          <w:rFonts w:ascii="Times New Roman" w:hAnsi="Times New Roman" w:eastAsia="Times New Roman" w:cs="Times New Roman"/>
          <w:b/>
          <w:color w:val="000000"/>
          <w:sz w:val="32"/>
          <w:u w:val="single"/>
        </w:rPr>
        <w:t xml:space="preserve"> </w:t>
      </w:r>
      <w:r>
        <w:rPr>
          <w:rFonts w:ascii="SimSun" w:hAnsi="SimSun" w:eastAsia="SimSun" w:cs="SimSun"/>
          <w:b/>
          <w:color w:val="000000"/>
          <w:sz w:val="32"/>
        </w:rPr>
        <w:t xml:space="preserve">专门面向中小企业）</w:t>
      </w:r>
      <w:r>
        <w:rPr>
          <w:rFonts w:ascii="SimSun" w:hAnsi="SimSun" w:eastAsia="SimSun" w:cs="SimSun"/>
          <w:color w:val="000000"/>
          <w:sz w:val="21"/>
        </w:rPr>
        <w:t xml:space="preserve">           </w:t>
      </w: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169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宿迁市自然资源和规划局</w:t>
      </w:r>
      <w:r/>
    </w:p>
    <w:p>
      <w:pPr>
        <w:ind w:left="0" w:right="0" w:firstLine="1606"/>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z w:val="32"/>
          <w:u w:val="single"/>
        </w:rPr>
        <w:t xml:space="preserve">建银工程咨询有限责任公司</w:t>
      </w:r>
      <w:r/>
    </w:p>
    <w:p>
      <w:pPr>
        <w:ind w:left="0" w:right="0" w:firstLine="257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10</w:t>
      </w:r>
      <w:r>
        <w:rPr>
          <w:rFonts w:ascii="SimSun" w:hAnsi="SimSun" w:eastAsia="SimSun" w:cs="SimSun"/>
          <w:b/>
          <w:color w:val="000000"/>
          <w:sz w:val="32"/>
        </w:rPr>
        <w:t xml:space="preserve">月</w:t>
      </w:r>
      <w:r>
        <w:rPr>
          <w:rFonts w:ascii="Times New Roman" w:hAnsi="Times New Roman" w:eastAsia="Times New Roman" w:cs="Times New Roman"/>
          <w:b/>
          <w:color w:val="000000"/>
          <w:sz w:val="32"/>
        </w:rPr>
        <w:t xml:space="preserve">16</w:t>
      </w:r>
      <w:r>
        <w:rPr>
          <w:rFonts w:ascii="SimSun" w:hAnsi="SimSun" w:eastAsia="SimSun" w:cs="SimSun"/>
          <w:b/>
          <w:color w:val="000000"/>
          <w:sz w:val="32"/>
        </w:rPr>
        <w:t xml:space="preserve">日</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numPr>
          <w:ilvl w:val="0"/>
          <w:numId w:val="1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磋商邀请……………………………………</w:t>
      </w:r>
      <w:r>
        <w:rPr>
          <w:rFonts w:ascii="Times New Roman" w:hAnsi="Times New Roman" w:eastAsia="Times New Roman" w:cs="Times New Roman"/>
          <w:color w:val="000000"/>
          <w:sz w:val="36"/>
        </w:rPr>
        <w:t xml:space="preserve">2</w:t>
      </w:r>
      <w:r/>
    </w:p>
    <w:p>
      <w:pPr>
        <w:numPr>
          <w:ilvl w:val="0"/>
          <w:numId w:val="1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w:t>
      </w:r>
      <w:r>
        <w:rPr>
          <w:rFonts w:ascii="Times New Roman" w:hAnsi="Times New Roman" w:eastAsia="Times New Roman" w:cs="Times New Roman"/>
          <w:color w:val="000000"/>
          <w:sz w:val="36"/>
        </w:rPr>
        <w:t xml:space="preserve">5</w:t>
      </w:r>
      <w:r/>
    </w:p>
    <w:p>
      <w:pPr>
        <w:numPr>
          <w:ilvl w:val="0"/>
          <w:numId w:val="1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rPr>
          <w:rFonts w:ascii="Times New Roman" w:hAnsi="Times New Roman" w:eastAsia="Times New Roman" w:cs="Times New Roman"/>
          <w:color w:val="000000"/>
          <w:sz w:val="36"/>
        </w:rPr>
        <w:t xml:space="preserve">22</w:t>
      </w:r>
      <w:r/>
    </w:p>
    <w:p>
      <w:pPr>
        <w:numPr>
          <w:ilvl w:val="0"/>
          <w:numId w:val="1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rPr>
          <w:rFonts w:ascii="Times New Roman" w:hAnsi="Times New Roman" w:eastAsia="Times New Roman" w:cs="Times New Roman"/>
          <w:color w:val="000000"/>
          <w:sz w:val="36"/>
        </w:rPr>
        <w:t xml:space="preserve">30</w:t>
      </w:r>
      <w:r/>
    </w:p>
    <w:p>
      <w:pPr>
        <w:numPr>
          <w:ilvl w:val="0"/>
          <w:numId w:val="1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评审方法与评审标准………………………</w:t>
      </w:r>
      <w:r>
        <w:rPr>
          <w:rFonts w:ascii="Times New Roman" w:hAnsi="Times New Roman" w:eastAsia="Times New Roman" w:cs="Times New Roman"/>
          <w:color w:val="000000"/>
          <w:sz w:val="36"/>
        </w:rPr>
        <w:t xml:space="preserve">33</w:t>
      </w:r>
      <w:r/>
    </w:p>
    <w:p>
      <w:pPr>
        <w:numPr>
          <w:ilvl w:val="0"/>
          <w:numId w:val="1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w:t>
      </w:r>
      <w:r>
        <w:rPr>
          <w:rFonts w:ascii="Times New Roman" w:hAnsi="Times New Roman" w:eastAsia="Times New Roman" w:cs="Times New Roman"/>
          <w:color w:val="000000"/>
          <w:sz w:val="36"/>
        </w:rPr>
        <w:t xml:space="preserve">37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第一章磋商邀请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受[宿迁市自然资源和规划局]的委托，[建银工程咨询有限责任公司]就[2026年度自然资源宿迁市卫星技术应用中心运营保障项目]([JSZC-321300-JYGS-C2026-0025])项目进行竞争性磋商采购，欢迎符合条件的供应商参加磋商。</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(2026年度自然资源宿迁市卫星技术应用中心运营保障项目)</w:t>
      </w:r>
      <w:r>
        <w:rPr>
          <w:rFonts w:ascii="SimSun" w:hAnsi="SimSun" w:eastAsia="SimSun" w:cs="SimSun"/>
          <w:color w:val="000000"/>
          <w:sz w:val="24"/>
        </w:rPr>
        <w:t xml:space="preserve">竞争性磋商项目的潜在供应商可在</w:t>
      </w:r>
      <w:r>
        <w:rPr>
          <w:rFonts w:ascii="SimSun" w:hAnsi="SimSun" w:eastAsia="SimSun" w:cs="SimSun"/>
          <w:color w:val="000000"/>
          <w:sz w:val="24"/>
          <w:u w:val="single"/>
        </w:rPr>
        <w:t xml:space="preserve">“苏采云“系统（网址: http://jszfcg.jsczt.cn/）”自行免费下载</w:t>
      </w:r>
      <w:r>
        <w:rPr>
          <w:rFonts w:ascii="SimSun" w:hAnsi="SimSun" w:eastAsia="SimSun" w:cs="SimSun"/>
          <w:color w:val="000000"/>
          <w:sz w:val="24"/>
        </w:rPr>
        <w:t xml:space="preserve">磋商文件，并于</w:t>
      </w:r>
      <w:r>
        <w:rPr>
          <w:rFonts w:ascii="SimSun" w:hAnsi="SimSun" w:eastAsia="SimSun" w:cs="SimSun"/>
          <w:color w:val="000000"/>
          <w:sz w:val="24"/>
          <w:u w:val="single"/>
        </w:rPr>
        <w:t xml:space="preserve">2026年10月29日9点30分（</w:t>
      </w:r>
      <w:r>
        <w:rPr>
          <w:rFonts w:ascii="SimSun" w:hAnsi="SimSun" w:eastAsia="SimSun" w:cs="SimSun"/>
          <w:color w:val="000000"/>
          <w:sz w:val="24"/>
        </w:rPr>
        <w:t xml:space="preserve">北京时间）前递交响应文件。</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1.项目编号：JSZC-321300-JYGS-C2026-0025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2.项目名称：2026年度自然资源宿迁市卫星技术应用中心运营保障项目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3.预算金额：120万元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4.本项目设定最高限价，最高限价为117.6万元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5.采购需求：2026年度自然资源宿迁市卫星技术应用中心运营保障项目（详细内容见本招标文件第四章）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6.合同履行期限：一年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联合体参与磋商。</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1.具备《中华人民共和国政府采购法》第二十二条第一款规定的6项条件（按要求提供响应声明及承诺函）；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3.落实政府采购政策需满足的资格要求：本项目为专门面向中小企业采购的项目（按要求提供中小企业声明函或残疾人福利性单位声明函或监狱企业证明文件）。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供应商须具有有效的乙级及以上测绘资质证书，专业范围包括：摄影测量与遥感、地理信息工程。</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1.时间：2026年10月19日至2026年10月26日17：30。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3.本项目共分一个包。供应商参与多个包磋商的，应按包分别获取磋商文件。供应商未按要求获取竞争性磋商文件导致无法磋商的，后果自负（其响应文件不予接受）。</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1.提交响应文件截止时间、磋商时间：</w:t>
      </w:r>
      <w:r>
        <w:rPr>
          <w:rFonts w:ascii="SimSun" w:hAnsi="SimSun" w:eastAsia="SimSun" w:cs="SimSun"/>
          <w:color w:val="000000"/>
          <w:sz w:val="24"/>
          <w:u w:val="single"/>
        </w:rPr>
        <w:t xml:space="preserve">2026年10月29日9点30分</w:t>
      </w:r>
      <w:r>
        <w:rPr>
          <w:rFonts w:ascii="SimSun" w:hAnsi="SimSun" w:eastAsia="SimSun" w:cs="SimSun"/>
          <w:color w:val="000000"/>
          <w:sz w:val="24"/>
        </w:rPr>
        <w:t xml:space="preserve">（北京时间）。</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磋商公告及磋商文件公告期限为自本公告发布之日起5个工作日。采购公告发布媒体：宿迁市政府采购网、江苏省财政部门指定的媒体。</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1.财政部门监督电话：0527-84363063。</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2.“CA”数字证书办理：“苏采云”系统目前仅支持“苏采云”系统下的政务CA。省内各地区办理的“苏采云”系统下的政务CA全省通用。宿迁地区CA数字证书办理联系方式：18351098172。</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3.宿迁地区“苏采云”技术支持客服电话：0527-84225125、0519-86722806。</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4.如果供应商通过苏采云系统参与政府采购项目，相关操作手册详见链接：</w:t>
      </w:r>
      <w:r>
        <w:rPr>
          <w:rFonts w:ascii="SimSun" w:hAnsi="SimSun" w:eastAsia="SimSun" w:cs="SimSun"/>
          <w:color w:val="000000"/>
          <w:spacing w:val="-6"/>
          <w:sz w:val="24"/>
        </w:rPr>
        <w:t xml:space="preserve">http://www.ccgp-jiangsu.gov.cn/jiangsu/zlxz/ee/ee3a4bc5a3454aa2b0d9312230633ce9.html。</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5.现场勘察及答疑：本项目不组织集中勘察及答疑，供应商如对采购需求有疑问，请咨询采购单位联系人。</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七、本次磋商联系方式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称：宿迁市自然资源和规划局</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地址：江苏省宿迁市宿城区洪泽湖路887号（便民方舟3号楼）</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联系人：袁景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联系方式：0527-84359612</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称：建银工程咨询有限责任公司</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地址：宿迁市宿城区黄河路28号（建行院内东附属楼三楼）</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联系人：杜萍</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联系方式：13732685015</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1.有关本次采购的事项若存在变动或修改，敬请及时关注“宿迁市政府采购网”等平台更正公告。</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本次磋商不收取磋商保证金。</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0"/>
          <w:numId w:val="17"/>
        </w:numPr>
        <w:jc w:val="center"/>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numPr>
          <w:ilvl w:val="0"/>
          <w:numId w:val="17"/>
        </w:numPr>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供应商须知</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供应商须知前附表：</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8"/>
        <w:gridCol w:w="1772"/>
        <w:gridCol w:w="6579"/>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本项目属性按以下第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种确定：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1.货物采购；2.服务采购；</w:t>
            </w:r>
            <w:r>
              <w:rPr>
                <w:rFonts w:ascii="SimSun" w:hAnsi="SimSun" w:eastAsia="SimSun" w:cs="SimSun"/>
                <w:color w:val="000000"/>
                <w:sz w:val="24"/>
                <w:u w:val="none"/>
              </w:rPr>
              <w:t xml:space="preserve">3.</w:t>
            </w:r>
            <w:r>
              <w:rPr>
                <w:rFonts w:ascii="SimSun" w:hAnsi="SimSun" w:eastAsia="SimSun" w:cs="SimSun"/>
                <w:color w:val="000000"/>
                <w:sz w:val="24"/>
              </w:rPr>
              <w:t xml:space="preserve">工程采购。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90日（从提交投标文件截止之日起算）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提交加密电子投标文件</w:t>
            </w:r>
            <w:r>
              <w:rPr>
                <w:rFonts w:ascii="SimSun" w:hAnsi="SimSun" w:eastAsia="SimSun" w:cs="SimSun"/>
                <w:color w:val="000000"/>
                <w:sz w:val="24"/>
                <w:u w:val="single"/>
              </w:rPr>
              <w:t xml:space="preserve">1</w:t>
            </w:r>
            <w:r>
              <w:rPr>
                <w:rFonts w:ascii="SimSun" w:hAnsi="SimSun" w:eastAsia="SimSun" w:cs="SimSun"/>
                <w:color w:val="000000"/>
                <w:sz w:val="24"/>
              </w:rPr>
              <w:t xml:space="preserve">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“苏采云”政府采购交易系统网上开标大厅进行不见面开标。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具体评标办法详见招标文件第三章。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评标委员会依据招标文件规定的评标办法和标准推荐</w:t>
            </w:r>
            <w:r>
              <w:rPr>
                <w:rFonts w:ascii="SimSun" w:hAnsi="SimSun" w:eastAsia="SimSun" w:cs="SimSun"/>
                <w:color w:val="000000"/>
                <w:sz w:val="24"/>
                <w:u w:val="single"/>
              </w:rPr>
              <w:t xml:space="preserve">3</w:t>
            </w:r>
            <w:r>
              <w:rPr>
                <w:rFonts w:ascii="SimSun" w:hAnsi="SimSun" w:eastAsia="SimSun" w:cs="SimSun"/>
                <w:color w:val="000000"/>
                <w:sz w:val="24"/>
              </w:rPr>
              <w:t xml:space="preserve">名中标候选人。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采购人按规定在评标委员会推荐的中标候选人中确定中标人。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本项目的非主体、非关键性工作是否允许分包</w:t>
            </w:r>
            <w:r>
              <w:rPr>
                <w:rFonts w:ascii="SimSun" w:hAnsi="SimSun" w:eastAsia="SimSun" w:cs="SimSun"/>
                <w:color w:val="000000"/>
                <w:sz w:val="24"/>
              </w:rPr>
              <w:t xml:space="preserve">按以下第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种方式确定：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1.允许分包，允许大中型企业向一家或者多家小微企业分包，分包具体内容、金额或比例：无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2.不允许分包。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代理费用收取方式及标准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由采购人按采购代理合同标准支付招标代理服务费。</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Hei" w:hAnsi="SimHei" w:eastAsia="SimHei" w:cs="SimHei"/>
          <w:color w:val="000000"/>
          <w:sz w:val="28"/>
        </w:rPr>
        <w:t xml:space="preserve">、采购方式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本次政府采购活动采取竞争性磋商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以下简称磋商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方式，本磋商文件仅适用于磋商公告中所述项目。</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满足磋商公告中供应商资格要求的规定。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满足本磋商文件实质性要求和条件的规定。</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Hei" w:hAnsi="SimHei" w:eastAsia="SimHei" w:cs="SimHei"/>
          <w:color w:val="000000"/>
          <w:sz w:val="28"/>
        </w:rPr>
        <w:t xml:space="preserve">、适用法律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本次磋商及由此产生的合同受中华人民共和国有关的法律法规制约和保护。</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Hei" w:hAnsi="SimHei" w:eastAsia="SimHei" w:cs="SimHei"/>
          <w:color w:val="000000"/>
          <w:sz w:val="28"/>
        </w:rPr>
        <w:t xml:space="preserve">、磋商费用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供应商应自行承担所有与参加本次磋商有关的费用，无论磋商过程中的做法和结果如何，采购代理机构在任何情况下均无义务和责任承担这些费用。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代理费用收取方式及标准：采购人支付，具体方式及标准为：按采购代理合同标准支付招标代理服务费。</w:t>
      </w:r>
      <w:r/>
    </w:p>
    <w:p>
      <w:pPr>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磋商文件的约束力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供应商一旦参加本项目采购活动，即被认为接受了本磋商文件的规定和约束。</w:t>
      </w:r>
      <w:r/>
    </w:p>
    <w:p>
      <w:pPr>
        <w:ind w:left="0" w:right="0" w:firstLine="32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Hei" w:hAnsi="SimHei" w:eastAsia="SimHei" w:cs="SimHei"/>
          <w:color w:val="000000"/>
          <w:sz w:val="28"/>
        </w:rPr>
        <w:t xml:space="preserve">、磋商文件构成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磋商文件由以下部分组成：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）磋商邀请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）供应商须知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）合同文本</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）评审方法与评审标准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）响应文件格式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请仔细检查磋商文件是否齐全，如有缺漏请立即与采购代理机构联系解决。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Hei" w:hAnsi="SimHei" w:eastAsia="SimHei" w:cs="SimHei"/>
          <w:color w:val="000000"/>
          <w:sz w:val="28"/>
        </w:rPr>
        <w:t xml:space="preserve">、磋商文件的澄清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任何要求对磋商文件进行澄清的供应商，应在磋商截止期</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日前按磋商公告中的通讯地址，以书面形式通知采购代理机构。</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Hei" w:hAnsi="SimHei" w:eastAsia="SimHei" w:cs="SimHei"/>
          <w:color w:val="000000"/>
          <w:sz w:val="28"/>
        </w:rPr>
        <w:t xml:space="preserve">、磋商文件的澄清和修改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采购代理机构可以以更正公告的形式，对已发出的磋商文件进行必要的澄清或者修改。澄清或者修改的内容可能影响响应文件编制的，更正公告应在提交首次响应文件截止时间至少</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日的，采购代理机构应当顺延提交首次响应文件截止时间。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在响应文件提交截止时间前，采购代理机构可以对磋商文件进行修改。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采购代理机构有权按照法定的要求推迟响应文件递交截止日期和磋商日期。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磋商文件的修改将在原公告媒体上发布更正公告，更正公告内容将作为磋商文件的组成部分，并对供应商具有约束力，发布的更正公告视同为以书面形式通知所有获取招标文件的潜在供应商。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供应商应及时登录“苏采云”系统获取澄清答疑文件（修改后磋商文件），如因供应商原因未能及时下载澄清和修改后的磋商文件，由此造成的相关责任，由供应商承担。</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供应商提交的响应文件以及供应商与采购代理机构就有关磋商的所有来往通知、函件和文件均应使用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 除技术性能另有规定外，响应文件所使用的度量衡单位，均须采用国家法定计量单位。</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各供应商在编制响应文件时请按照磋商文件第六章规定的格式进行，混乱的编排导致响应文件被误读或磋商小组查找不到有效文件是供应商的风险。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供应商编写的响应文件应包括资格证明文件、分项报价表、响应及偏离表、其他证明文件、响应声明及承诺函、开标一览表等部分。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响应文件须加盖电子签章之处，应按要求加盖供应商数字证书的电子签章。其他需要盖章但未明确要求电子签章的，供应商可按要求加盖公章后上传材料电子件或直接加盖电子签章。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因“苏采云”系统导致解密失败的除外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color w:val="000000"/>
          <w:sz w:val="24"/>
        </w:rPr>
        <w:t xml:space="preserve">如标书制作工具中格式和内容与“宿迁市政府采购网”发布的磋商文件不一致，请以“宿迁市政府采购网”发布的磋商文件为准。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成交后按相关要求提供与电子响应文件一致的纸质打印响应文件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份。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）响应文件构成资料为非中文时应提供中文译版；（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）磋商文件要求提供证书证件等原件电子件的，供应商提供的电子件应是对证书证件等原件通过扫描、拍照等方式进行数字化的可被“苏采云”系统识别的数字文件，否则磋商小组可以视其未提供。（</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）无论何种原因，即使供应商磋商时携带了证书证明资料的原件，但电子响应文件中未包含相关资料电子件的，磋商小组可以视同其未提供。</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SimHei" w:hAnsi="SimHei" w:eastAsia="SimHei" w:cs="SimHei"/>
          <w:color w:val="000000"/>
          <w:sz w:val="28"/>
        </w:rPr>
        <w:t xml:space="preserve">、证明磋商响应标的符合磋商文件规定的文件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供应商应按照磋商文件要求提交证明文件，证明其及磋商响应标的符合磋商文件规定。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磋商文件对证明文件无明确形式要求的，证明文件可以以文字资料、图纸和数据等形式提交。</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供应商应按照磋商文件规定格式填报分项报价表。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磋商货币。响应文件中的单价和总价无特殊规定的采用人民币报价，以元为单位标注。磋商文件中另有规定的按规定执行。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本项目不接受备选的投标方案或有选择的报价，只允许有一个报价。供应商响应文件中的报价作为首次报价，不公开；以最后报价作为评审价。投标报价内容包括：完成该项目的成本、利润、税金、前期工作费、技术措施费、资料增加成本费、后续服务的全部费用、风险费、政策性文件规定费用等完成本项目所涉及到的一切相关费用。</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供应商需对磋商文件中的技术要求与商务要求逐项作出响应或偏离，并说明原因。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供应商可在响应文件中提供认为需要的其他技术文件或说明。</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供应商需根据磋商文件要求提供培训计划。</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w:t>
      </w:r>
      <w:r>
        <w:rPr>
          <w:rFonts w:ascii="SimSun" w:hAnsi="SimSun" w:eastAsia="SimSun" w:cs="SimSun"/>
          <w:color w:val="000000"/>
          <w:sz w:val="24"/>
        </w:rPr>
        <w:t xml:space="preserve">供应商需根据磋商文件要求提供磋商响应标的的主要组成部分、功能设计、实现思路及关键技术等。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SimHei" w:hAnsi="SimHei" w:eastAsia="SimHei" w:cs="SimHei"/>
          <w:color w:val="000000"/>
          <w:sz w:val="28"/>
        </w:rPr>
        <w:t xml:space="preserve">、磋商响应函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供应商应按照磋商文件中提供的格式完整、正确填写磋商响应函。</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rPr>
          <w:rFonts w:ascii="SimHei" w:hAnsi="SimHei" w:eastAsia="SimHei" w:cs="SimHei"/>
          <w:color w:val="000000"/>
          <w:sz w:val="28"/>
        </w:rPr>
        <w:t xml:space="preserve">、磋商有效期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磋商有效期为提交响应文件截止之日后</w:t>
      </w:r>
      <w:r>
        <w:rPr>
          <w:rFonts w:ascii="SimSun" w:hAnsi="SimSun" w:eastAsia="SimSun" w:cs="SimSun"/>
          <w:b/>
          <w:color w:val="000000"/>
          <w:sz w:val="24"/>
          <w:u w:val="single"/>
        </w:rPr>
        <w:t xml:space="preserve">六十（</w:t>
      </w:r>
      <w:r>
        <w:rPr>
          <w:rFonts w:ascii="Times New Roman" w:hAnsi="Times New Roman" w:eastAsia="Times New Roman" w:cs="Times New Roman"/>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rPr>
          <w:rFonts w:ascii="SimHei" w:hAnsi="SimHei" w:eastAsia="SimHei" w:cs="SimHei"/>
          <w:color w:val="000000"/>
          <w:sz w:val="28"/>
        </w:rPr>
        <w:t xml:space="preserve">、磋商有效期的延长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成交人的响应文件作为项目合同的附件，其有效期至成交人全部合同义务履行完毕为止。</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rPr>
          <w:rFonts w:ascii="SimHei" w:hAnsi="SimHei" w:eastAsia="SimHei" w:cs="SimHei"/>
          <w:color w:val="000000"/>
          <w:sz w:val="28"/>
        </w:rPr>
        <w:t xml:space="preserve">、电子磋商响应文件的递交</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供应商应当按照《操作手册》规定，在提交响应文件截止时间前制作并上传电子响应文件。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供应商通过“苏采云”系统不见面开标大厅在线参与开标活动。（具体操作详见《“苏采云”系统投标人操作手册》，网址链接</w:t>
      </w:r>
      <w:r>
        <w:rPr>
          <w:rFonts w:ascii="Times New Roman" w:hAnsi="Times New Roman" w:eastAsia="Times New Roman" w:cs="Times New Roman"/>
          <w:color w:val="000000"/>
          <w:sz w:val="24"/>
        </w:rPr>
        <w:t xml:space="preserve">http://www.ccgp-jiangsu.gov.cn//webfile/jiangsu/202311/1699268553318052447.pdf</w:t>
      </w:r>
      <w:r>
        <w:rPr>
          <w:rFonts w:ascii="SimSun" w:hAnsi="SimSun" w:eastAsia="SimSun" w:cs="SimSun"/>
          <w:color w:val="000000"/>
          <w:sz w:val="24"/>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供应商上传电子响应文件的时间不得迟于磋商公告中规定的提交响应文件截止时间。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w:t>
      </w:r>
      <w:r>
        <w:rPr>
          <w:rFonts w:ascii="SimSun" w:hAnsi="SimSun" w:eastAsia="SimSun" w:cs="SimSun"/>
          <w:color w:val="000000"/>
          <w:sz w:val="24"/>
        </w:rPr>
        <w:t xml:space="preserve">采购代理机构可以按照规定，通过修改磋商文件酌情延长提交响应文件截止日期，在此情况下，供应商的所有权利和义务以及供应商受制的截止日期均应以延长后新的截止日期为准。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 </w:t>
      </w:r>
      <w:r>
        <w:rPr>
          <w:rFonts w:ascii="SimSun" w:hAnsi="SimSun" w:eastAsia="SimSun" w:cs="SimSun"/>
          <w:color w:val="000000"/>
          <w:sz w:val="24"/>
        </w:rPr>
        <w:t xml:space="preserve">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响应文件的撤回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w:t>
      </w:r>
      <w:r>
        <w:rPr>
          <w:rFonts w:ascii="SimSun" w:hAnsi="SimSun" w:eastAsia="SimSun" w:cs="SimSun"/>
          <w:color w:val="000000"/>
          <w:sz w:val="24"/>
        </w:rPr>
        <w:t xml:space="preserve">电子响应文件的撤回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21.1.2</w:t>
      </w:r>
      <w:r>
        <w:rPr>
          <w:rFonts w:ascii="SimSun" w:hAnsi="SimSun" w:eastAsia="SimSun" w:cs="SimSun"/>
          <w:color w:val="000000"/>
          <w:sz w:val="24"/>
        </w:rPr>
        <w:t xml:space="preserve">供应商撤回电子响应文件，则认为其不再参与本项目磋商活动。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响应文件的修改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21.2.1</w:t>
      </w: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21.2.2</w:t>
      </w:r>
      <w:r>
        <w:rPr>
          <w:rFonts w:ascii="SimSun" w:hAnsi="SimSun" w:eastAsia="SimSun" w:cs="SimSun"/>
          <w:color w:val="000000"/>
          <w:sz w:val="24"/>
        </w:rPr>
        <w:t xml:space="preserve">在提交响应文件截止时间之后，供应商不得对其电子响应文件作任何修改。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在提交响应文件截止时间至磋商文件中规定的磋商有效期满之间的这段时间内，供应商不得撤回其响应文件。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SimHei" w:hAnsi="SimHei" w:eastAsia="SimHei" w:cs="SimHei"/>
          <w:color w:val="000000"/>
          <w:sz w:val="28"/>
        </w:rPr>
        <w:t xml:space="preserve">、响应文件解密</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供应商应当按照《“苏采云”系统供应商操作手册》规定，参加磋商活动和在苏采云系统规定的时间内对磋商响应文件进行解密。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SimHei" w:hAnsi="SimHei" w:eastAsia="SimHei" w:cs="SimHei"/>
          <w:color w:val="000000"/>
          <w:sz w:val="28"/>
        </w:rPr>
        <w:t xml:space="preserve">、磋商小组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采购代理机构将组织磋商小组对响应文件进行评审。磋商小组由采购人代表和有关技术、经济等方面的专家组成，且人员构成符合政府采购有关规定。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磋商小组独立工作，负责评审所有响应文件并确定成交候选人。</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SimHei" w:hAnsi="SimHei" w:eastAsia="SimHei" w:cs="SimHei"/>
          <w:color w:val="000000"/>
          <w:sz w:val="28"/>
        </w:rPr>
        <w:t xml:space="preserve">、评审过程的保密与公正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磋商小组、采购人和采购代理机构工作人员、相关监督人员等与评审工作有关的人员，对评审情况以及在评审过程中获悉的国家秘密、商业秘密负有保密责任。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在评审过程中，供应商不得以任何行为影响磋商评审过程，否则其响应文件将被作为无效响应文件。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rPr>
          <w:rFonts w:ascii="SimSun" w:hAnsi="SimSun" w:eastAsia="SimSun" w:cs="SimSun"/>
          <w:color w:val="000000"/>
          <w:sz w:val="24"/>
        </w:rPr>
        <w:t xml:space="preserve">在项目评审期间，采购代理机构将设专门人员与供应商联系。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24.4 </w:t>
      </w:r>
      <w:r>
        <w:rPr>
          <w:rFonts w:ascii="SimSun" w:hAnsi="SimSun" w:eastAsia="SimSun" w:cs="SimSun"/>
          <w:color w:val="000000"/>
          <w:sz w:val="24"/>
        </w:rPr>
        <w:t xml:space="preserve">采购代理机构和磋商小组不向未成交的供应商解释未成交原因，也不公布评审过程中的相关细节。</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SimHei" w:hAnsi="SimHei" w:eastAsia="SimHei" w:cs="SimHei"/>
          <w:color w:val="000000"/>
          <w:sz w:val="28"/>
        </w:rPr>
        <w:t xml:space="preserve">、评审过程中的澄清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电子公章。澄清、说明和更正的内容作为响应文件的补充部分，具体操作方式见《操作手册》。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接到磋商小组澄清、说明和更正要求的供应商如未按规定做出澄清、说明和 更正，其风险由供应商自行承担。</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响应文件审查分为资格审查和符合性审查。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 </w:t>
      </w:r>
      <w:r>
        <w:rPr>
          <w:rFonts w:ascii="SimSun" w:hAnsi="SimSun" w:eastAsia="SimSun" w:cs="SimSun"/>
          <w:color w:val="000000"/>
          <w:sz w:val="24"/>
        </w:rPr>
        <w:t xml:space="preserve">资格审查：由磋商小组依据法律法规和磋商文件的规定，对响应文件中的资格证明文件进行审查，以确定供应商是否具备参加磋商的资格。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）查询供应商的信用记录，以确定供应商是否具备磋商资格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26.1.2 </w:t>
      </w:r>
      <w:r>
        <w:rPr>
          <w:rFonts w:ascii="SimSun" w:hAnsi="SimSun" w:eastAsia="SimSun" w:cs="SimSun"/>
          <w:color w:val="000000"/>
          <w:sz w:val="24"/>
        </w:rPr>
        <w:t xml:space="preserve">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26.1.3 </w:t>
      </w:r>
      <w:r>
        <w:rPr>
          <w:rFonts w:ascii="SimSun" w:hAnsi="SimSun" w:eastAsia="SimSun" w:cs="SimSun"/>
          <w:color w:val="000000"/>
          <w:sz w:val="24"/>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rPr>
          <w:rFonts w:ascii="SimSun" w:hAnsi="SimSun" w:eastAsia="SimSun" w:cs="SimSun"/>
          <w:color w:val="000000"/>
          <w:sz w:val="24"/>
        </w:rPr>
        <w:t xml:space="preserve">未实质性响应磋商文件的情形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26.3.1</w:t>
      </w:r>
      <w:r>
        <w:rPr>
          <w:rFonts w:ascii="SimSun" w:hAnsi="SimSun" w:eastAsia="SimSun" w:cs="SimSun"/>
          <w:color w:val="000000"/>
          <w:sz w:val="24"/>
        </w:rPr>
        <w:t xml:space="preserve">供应商在苏采云系统规定的时间内未成功解密电子响应文件的。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26.3.2</w:t>
      </w:r>
      <w:r>
        <w:rPr>
          <w:rFonts w:ascii="SimSun" w:hAnsi="SimSun" w:eastAsia="SimSun" w:cs="SimSun"/>
          <w:color w:val="000000"/>
          <w:sz w:val="24"/>
        </w:rPr>
        <w:t xml:space="preserve">供应商未按照磋商文件要求上传电子响应文件的。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26.3.3</w:t>
      </w:r>
      <w:r>
        <w:rPr>
          <w:rFonts w:ascii="SimSun" w:hAnsi="SimSun" w:eastAsia="SimSun" w:cs="SimSun"/>
          <w:color w:val="000000"/>
          <w:sz w:val="24"/>
        </w:rPr>
        <w:t xml:space="preserve">同一供应商提交两个（含两个）以上不同的响应文件或者最后报价的。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26.3.4</w:t>
      </w:r>
      <w:r>
        <w:rPr>
          <w:rFonts w:ascii="SimSun" w:hAnsi="SimSun" w:eastAsia="SimSun" w:cs="SimSun"/>
          <w:color w:val="000000"/>
          <w:sz w:val="24"/>
        </w:rPr>
        <w:t xml:space="preserve">供应商不具备磋商文件中规定资格要求的。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26.3.5</w:t>
      </w:r>
      <w:r>
        <w:rPr>
          <w:rFonts w:ascii="SimSun" w:hAnsi="SimSun" w:eastAsia="SimSun" w:cs="SimSun"/>
          <w:color w:val="000000"/>
          <w:sz w:val="24"/>
        </w:rPr>
        <w:t xml:space="preserve">供应商的最后报价超过了采购预算。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26.3.6</w:t>
      </w:r>
      <w:r>
        <w:rPr>
          <w:rFonts w:ascii="SimSun" w:hAnsi="SimSun" w:eastAsia="SimSun" w:cs="SimSun"/>
          <w:color w:val="000000"/>
          <w:sz w:val="24"/>
        </w:rPr>
        <w:t xml:space="preserve">不符合磋商文件中规定的实质性要求和条件的（</w:t>
      </w:r>
      <w:r>
        <w:rPr>
          <w:rFonts w:ascii="SimSun" w:hAnsi="SimSun" w:eastAsia="SimSun" w:cs="SimSun"/>
          <w:i/>
          <w:color w:val="000000"/>
          <w:sz w:val="24"/>
          <w:u w:val="single"/>
        </w:rPr>
        <w:t xml:space="preserve">加斜体下划线内容或打“★”内容为实质性要求和条件）。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26.3.7</w:t>
      </w:r>
      <w:r>
        <w:rPr>
          <w:rFonts w:ascii="SimSun" w:hAnsi="SimSun" w:eastAsia="SimSun" w:cs="SimSun"/>
          <w:color w:val="000000"/>
          <w:sz w:val="24"/>
        </w:rPr>
        <w:t xml:space="preserve">供应商被 “信用中国”网站（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26.3.8</w:t>
      </w:r>
      <w:r>
        <w:rPr>
          <w:rFonts w:ascii="SimSun" w:hAnsi="SimSun" w:eastAsia="SimSun" w:cs="SimSun"/>
          <w:color w:val="000000"/>
          <w:sz w:val="24"/>
        </w:rPr>
        <w:t xml:space="preserve">响应文件含有采购人不能接受的附加条件的。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26.3.9</w:t>
      </w:r>
      <w:r>
        <w:rPr>
          <w:rFonts w:ascii="SimSun" w:hAnsi="SimSun" w:eastAsia="SimSun" w:cs="SimSun"/>
          <w:color w:val="000000"/>
          <w:sz w:val="24"/>
        </w:rPr>
        <w:t xml:space="preserve">异常低价投标审查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26.3.9.1 </w:t>
      </w:r>
      <w:r>
        <w:rPr>
          <w:rFonts w:ascii="SimSun" w:hAnsi="SimSun" w:eastAsia="SimSun" w:cs="SimSun"/>
          <w:color w:val="000000"/>
          <w:sz w:val="24"/>
        </w:rPr>
        <w:t xml:space="preserve">评标过程中出现下列情形之一的，评标委员会应当启动异常低价投标审查程序：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）投标报价低于全部通过符合性审查供应商投标报价平均值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）投标报价低于通过符合性审查的次低报价供应商投标报价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）评标委员会基于专业判断，认为供应商报价过低，有可能影响产品质量或者不能诚信履约的其他情形。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26.3.9.2 </w:t>
      </w:r>
      <w:r>
        <w:rPr>
          <w:rFonts w:ascii="SimSun" w:hAnsi="SimSun" w:eastAsia="SimSun" w:cs="SimSun"/>
          <w:color w:val="000000"/>
          <w:sz w:val="24"/>
        </w:rPr>
        <w:t xml:space="preserve">评标委员会启动异常低价投标审查后，属于前述第（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）项情形，供应商已随投标文件一并提交相关书面说明及必要的证明材料的，在评标现场可不再重复提交。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26.3.10</w:t>
      </w:r>
      <w:r>
        <w:rPr>
          <w:rFonts w:ascii="SimSun" w:hAnsi="SimSun" w:eastAsia="SimSun" w:cs="SimSun"/>
          <w:color w:val="000000"/>
          <w:sz w:val="24"/>
        </w:rPr>
        <w:t xml:space="preserve">响应文件未按照磋商文件要求加盖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26.4</w:t>
      </w:r>
      <w:r>
        <w:rPr>
          <w:rFonts w:ascii="SimSun" w:hAnsi="SimSun" w:eastAsia="SimSun" w:cs="SimSun"/>
          <w:color w:val="000000"/>
          <w:sz w:val="24"/>
        </w:rPr>
        <w:t xml:space="preserve">未实质性响应磋商文件的响应文件按无效响应处理。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26.6</w:t>
      </w:r>
      <w:r>
        <w:rPr>
          <w:rFonts w:ascii="SimSun" w:hAnsi="SimSun" w:eastAsia="SimSun" w:cs="SimSun"/>
          <w:color w:val="000000"/>
          <w:sz w:val="24"/>
        </w:rPr>
        <w:t xml:space="preserve">供应商在项目评审全过程中应保持通讯畅通，并安排专人与采购代理机构及磋商小组联系。</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w:t>
      </w:r>
      <w:r>
        <w:rPr>
          <w:rFonts w:ascii="SimHei" w:hAnsi="SimHei" w:eastAsia="SimHei" w:cs="SimHei"/>
          <w:color w:val="000000"/>
          <w:sz w:val="28"/>
        </w:rPr>
        <w:t xml:space="preserve">、磋商程序及评审方法和评审标准</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w:t>
      </w:r>
      <w:r>
        <w:rPr>
          <w:rFonts w:ascii="SimSun" w:hAnsi="SimSun" w:eastAsia="SimSun" w:cs="SimSun"/>
          <w:color w:val="000000"/>
          <w:sz w:val="24"/>
        </w:rPr>
        <w:t xml:space="preserve">磋商程序</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w:t>
      </w:r>
      <w:r>
        <w:rPr>
          <w:rFonts w:ascii="SimSun" w:hAnsi="SimSun" w:eastAsia="SimSun" w:cs="SimSun"/>
          <w:color w:val="000000"/>
          <w:sz w:val="24"/>
        </w:rPr>
        <w:t xml:space="preserve">对于通过资格审查和符合性审查的供应商，磋商小组将集中与单一供应商分别进行磋商。磋商小组通过苏采云系统向供应商发布“磋商函”，供应商应当按照要求在苏采云系统提交“磋商响应函”并加盖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27.1.2</w:t>
      </w:r>
      <w:r>
        <w:rPr>
          <w:rFonts w:ascii="SimSun" w:hAnsi="SimSun" w:eastAsia="SimSun" w:cs="SimSun"/>
          <w:color w:val="000000"/>
          <w:sz w:val="24"/>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家以上供应商的设计方案或者解决方案，在苏采云系统中向其发布“最后报价要求函”及最后报价格式表，要求其在规定时间内提交最后报价。</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ascii="Times New Roman" w:hAnsi="Times New Roman" w:eastAsia="Times New Roman" w:cs="Times New Roman"/>
          <w:color w:val="000000"/>
          <w:sz w:val="24"/>
        </w:rPr>
        <w:t xml:space="preserve">[2015]124</w:t>
      </w:r>
      <w:r>
        <w:rPr>
          <w:rFonts w:ascii="SimSun" w:hAnsi="SimSun" w:eastAsia="SimSun" w:cs="SimSun"/>
          <w:color w:val="000000"/>
          <w:sz w:val="24"/>
        </w:rPr>
        <w:t xml:space="preserve">号）规定情形的，提交最后报价的供应商可以为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27.1.3</w:t>
      </w:r>
      <w:r>
        <w:rPr>
          <w:rFonts w:ascii="SimSun" w:hAnsi="SimSun" w:eastAsia="SimSun" w:cs="SimSun"/>
          <w:color w:val="000000"/>
          <w:sz w:val="24"/>
        </w:rPr>
        <w:t xml:space="preserve">供应商未在磋商小组规定的时间内在苏采云系统中提交最后报价的视为放弃磋商，其响应文件按无效响应处理，最后报价格式表须加盖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否则视为未提交最后报价。已提交响应文件的供应商，在提交最后报价之前，可以根据磋商情况退出磋商，并在苏采云系统中提交“退出磋商函”并加盖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 </w:t>
      </w:r>
      <w:r>
        <w:rPr>
          <w:rFonts w:ascii="SimSun" w:hAnsi="SimSun" w:eastAsia="SimSun" w:cs="SimSun"/>
          <w:color w:val="000000"/>
          <w:sz w:val="24"/>
        </w:rPr>
        <w:t xml:space="preserve">评审方法和评审标准</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27.2.1</w:t>
      </w:r>
      <w:r>
        <w:rPr>
          <w:rFonts w:ascii="SimSun" w:hAnsi="SimSun" w:eastAsia="SimSun" w:cs="SimSun"/>
          <w:color w:val="000000"/>
          <w:sz w:val="24"/>
        </w:rPr>
        <w:t xml:space="preserve">评审方法。经磋商确定最终采购需求和提交最后报价的供应商后，由磋商小组采用综合评分法对提交最后报价的供应商的响应文件和最后报价进行综合评分。</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27.2.2</w:t>
      </w:r>
      <w:r>
        <w:rPr>
          <w:rFonts w:ascii="SimSun" w:hAnsi="SimSun" w:eastAsia="SimSun" w:cs="SimSun"/>
          <w:color w:val="000000"/>
          <w:sz w:val="24"/>
        </w:rPr>
        <w:t xml:space="preserve">评审标准</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w:t>
      </w:r>
      <w:r>
        <w:rPr>
          <w:rFonts w:ascii="SimSun" w:hAnsi="SimSun" w:eastAsia="SimSun" w:cs="SimSun"/>
          <w:color w:val="000000"/>
          <w:sz w:val="24"/>
        </w:rPr>
        <w:t xml:space="preserve">采购活动终止的情况</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27.3.1</w:t>
      </w:r>
      <w:r>
        <w:rPr>
          <w:rFonts w:ascii="SimSun" w:hAnsi="SimSun" w:eastAsia="SimSun" w:cs="SimSun"/>
          <w:color w:val="000000"/>
          <w:sz w:val="24"/>
        </w:rPr>
        <w:t xml:space="preserve">因情况变化，不再符合规定的竞争性磋商采购方式适用情形的。</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27.3.2</w:t>
      </w:r>
      <w:r>
        <w:rPr>
          <w:rFonts w:ascii="SimSun" w:hAnsi="SimSun" w:eastAsia="SimSun" w:cs="SimSun"/>
          <w:color w:val="000000"/>
          <w:sz w:val="24"/>
        </w:rPr>
        <w:t xml:space="preserve">出现影响采购公正的违法、违规行为的。</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27.3.3</w:t>
      </w:r>
      <w:r>
        <w:rPr>
          <w:rFonts w:ascii="SimSun" w:hAnsi="SimSun" w:eastAsia="SimSun" w:cs="SimSun"/>
          <w:color w:val="000000"/>
          <w:sz w:val="24"/>
        </w:rPr>
        <w:t xml:space="preserve">除本磋商文件第二章第</w:t>
      </w:r>
      <w:r>
        <w:rPr>
          <w:rFonts w:ascii="Times New Roman" w:hAnsi="Times New Roman" w:eastAsia="Times New Roman" w:cs="Times New Roman"/>
          <w:color w:val="000000"/>
          <w:sz w:val="24"/>
        </w:rPr>
        <w:t xml:space="preserve">27.1.2</w:t>
      </w:r>
      <w:r>
        <w:rPr>
          <w:rFonts w:ascii="SimSun" w:hAnsi="SimSun" w:eastAsia="SimSun" w:cs="SimSun"/>
          <w:color w:val="000000"/>
          <w:sz w:val="24"/>
        </w:rPr>
        <w:t xml:space="preserve">条第三款规定的情形外，在采购过程中符合要求的供应商或者最后报价未超过采购预算的供应商不足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27.3.4</w:t>
      </w:r>
      <w:r>
        <w:rPr>
          <w:rFonts w:ascii="SimSun" w:hAnsi="SimSun" w:eastAsia="SimSun" w:cs="SimSun"/>
          <w:color w:val="000000"/>
          <w:sz w:val="24"/>
        </w:rPr>
        <w:t xml:space="preserve">在苏采云系统规定时间内成功解密电子响应文件的供应商不足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28</w:t>
      </w:r>
      <w:r>
        <w:rPr>
          <w:rFonts w:ascii="SimHei" w:hAnsi="SimHei" w:eastAsia="SimHei" w:cs="SimHei"/>
          <w:color w:val="000000"/>
          <w:sz w:val="30"/>
        </w:rPr>
        <w:t xml:space="preserve">、确定成交单位</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磋商小组根据综合评分情况，按照评审得分由高到低顺序推荐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名成交候选供应商，并编写评审报告。符合本磋商文件第二章第</w:t>
      </w:r>
      <w:r>
        <w:rPr>
          <w:rFonts w:ascii="Times New Roman" w:hAnsi="Times New Roman" w:eastAsia="Times New Roman" w:cs="Times New Roman"/>
          <w:color w:val="000000"/>
          <w:sz w:val="24"/>
        </w:rPr>
        <w:t xml:space="preserve">27.1.2</w:t>
      </w:r>
      <w:r>
        <w:rPr>
          <w:rFonts w:ascii="SimSun" w:hAnsi="SimSun" w:eastAsia="SimSun" w:cs="SimSun"/>
          <w:color w:val="000000"/>
          <w:sz w:val="24"/>
        </w:rPr>
        <w:t xml:space="preserve">条情形的，可以推荐</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名成交候选供应商。评审得分相同的，按照最后报价由低到高的顺序推荐。评审得分且最后报价相同的，按照技术指标优劣顺序推荐。</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采购人从评审报告提出的成交候选供应商中，按照排序由高到低的原则确定成交供应商。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w:t>
      </w:r>
      <w:r>
        <w:rPr>
          <w:rFonts w:ascii="SimSun" w:hAnsi="SimSun" w:eastAsia="SimSun" w:cs="SimSun"/>
          <w:color w:val="000000"/>
          <w:sz w:val="24"/>
        </w:rPr>
        <w:t xml:space="preserve">种方式确定成交供应商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）磋商小组直接确定排名第一的成交候选供应商为成交供应商；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）采购人从评审报告提出的成交候选供应商中按顺序确定成交供应商。</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w:t>
      </w:r>
      <w:r>
        <w:rPr>
          <w:rFonts w:ascii="SimSun" w:hAnsi="SimSun" w:eastAsia="SimSun" w:cs="SimSun"/>
          <w:color w:val="000000"/>
          <w:sz w:val="24"/>
        </w:rPr>
        <w:t xml:space="preserve">成交供应商确定后，采购代理机构将在“宿迁市政府采购网”发布成交结果公告，公告期限为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w:t>
      </w:r>
      <w:r>
        <w:rPr>
          <w:rFonts w:ascii="SimSun" w:hAnsi="SimSun" w:eastAsia="SimSun" w:cs="SimSun"/>
          <w:color w:val="000000"/>
          <w:sz w:val="24"/>
        </w:rPr>
        <w:t xml:space="preserve">若有充分证据证明，成交供应商出现下列情况之一的，一经查实，将被取消成交资格：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28.4.1</w:t>
      </w:r>
      <w:r>
        <w:rPr>
          <w:rFonts w:ascii="SimSun" w:hAnsi="SimSun" w:eastAsia="SimSun" w:cs="SimSun"/>
          <w:color w:val="000000"/>
          <w:sz w:val="24"/>
        </w:rPr>
        <w:t xml:space="preserve">提供虚假材料谋取成交的。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28.4.2</w:t>
      </w:r>
      <w:r>
        <w:rPr>
          <w:rFonts w:ascii="SimSun" w:hAnsi="SimSun" w:eastAsia="SimSun" w:cs="SimSun"/>
          <w:color w:val="000000"/>
          <w:sz w:val="24"/>
        </w:rPr>
        <w:t xml:space="preserve">与评审专家、采购人、其他供应商或者采购代理机构工作人员恶意串通的。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28.4.3</w:t>
      </w:r>
      <w:r>
        <w:rPr>
          <w:rFonts w:ascii="SimSun" w:hAnsi="SimSun" w:eastAsia="SimSun" w:cs="SimSun"/>
          <w:color w:val="000000"/>
          <w:sz w:val="24"/>
        </w:rPr>
        <w:t xml:space="preserve">向评审专家、采购人或采购代理机构工作人员行贿或者提供其他不正当利益的。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28.4.4</w:t>
      </w:r>
      <w:r>
        <w:rPr>
          <w:rFonts w:ascii="SimSun" w:hAnsi="SimSun" w:eastAsia="SimSun" w:cs="SimSun"/>
          <w:color w:val="000000"/>
          <w:sz w:val="24"/>
        </w:rPr>
        <w:t xml:space="preserve">恶意竞争，最后报价明显低于其自身合理成本且又无法提供证明的。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28.4.5</w:t>
      </w:r>
      <w:r>
        <w:rPr>
          <w:rFonts w:ascii="SimSun" w:hAnsi="SimSun" w:eastAsia="SimSun" w:cs="SimSun"/>
          <w:color w:val="000000"/>
          <w:sz w:val="24"/>
        </w:rPr>
        <w:t xml:space="preserve">不满足本磋商文件规定的实质性要求，但在评审过程中又未被磋商小组发现的。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28.4.6</w:t>
      </w:r>
      <w:r>
        <w:rPr>
          <w:rFonts w:ascii="SimSun" w:hAnsi="SimSun" w:eastAsia="SimSun" w:cs="SimSun"/>
          <w:color w:val="000000"/>
          <w:sz w:val="24"/>
        </w:rPr>
        <w:t xml:space="preserve">成交后无正当理由拒不与采购人签订政府采购合同或者未按照磋商文件确定的事项签订政府采购合同的。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28.4.7</w:t>
      </w:r>
      <w:r>
        <w:rPr>
          <w:rFonts w:ascii="SimSun" w:hAnsi="SimSun" w:eastAsia="SimSun" w:cs="SimSun"/>
          <w:color w:val="000000"/>
          <w:sz w:val="24"/>
        </w:rPr>
        <w:t xml:space="preserve">将政府采购合同转包的。</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29</w:t>
      </w:r>
      <w:r>
        <w:rPr>
          <w:rFonts w:ascii="SimHei" w:hAnsi="SimHei" w:eastAsia="SimHei" w:cs="SimHei"/>
          <w:color w:val="000000"/>
          <w:sz w:val="30"/>
        </w:rPr>
        <w:t xml:space="preserve">、质疑处理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w:t>
      </w:r>
      <w:r>
        <w:rPr>
          <w:rFonts w:ascii="SimSun" w:hAnsi="SimSun" w:eastAsia="SimSun" w:cs="SimSun"/>
          <w:color w:val="000000"/>
          <w:sz w:val="24"/>
        </w:rPr>
        <w:t xml:space="preserve">提出质疑的供应商应当是参与所质疑项目采购活动的供应商。潜在供应商依法获取其可质疑的采购文件的，可以对采购文件提出质疑。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供应商认为采购文件、采购过程和采购结果使自己的权益受到损害的，可以在知道或应知其权益受到损害之日起七个工作日内，以书面形式根据下述</w:t>
      </w:r>
      <w:r>
        <w:rPr>
          <w:rFonts w:ascii="Times New Roman" w:hAnsi="Times New Roman" w:eastAsia="Times New Roman" w:cs="Times New Roman"/>
          <w:color w:val="000000"/>
          <w:sz w:val="24"/>
        </w:rPr>
        <w:t xml:space="preserve">29.4</w:t>
      </w:r>
      <w:r>
        <w:rPr>
          <w:rFonts w:ascii="SimSun" w:hAnsi="SimSun" w:eastAsia="SimSun" w:cs="SimSun"/>
          <w:color w:val="000000"/>
          <w:sz w:val="24"/>
        </w:rPr>
        <w:t xml:space="preserve">条款的规定向采购代理机构或采购人提出质疑。上述应知其权益受到损害之日，是指：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29.2.3</w:t>
      </w:r>
      <w:r>
        <w:rPr>
          <w:rFonts w:ascii="SimSun" w:hAnsi="SimSun" w:eastAsia="SimSun" w:cs="SimSun"/>
          <w:color w:val="000000"/>
          <w:sz w:val="24"/>
        </w:rPr>
        <w:t xml:space="preserve">对成交结果提出质疑的，为成交结果公告期限届满之日。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w:t>
      </w:r>
      <w:r>
        <w:rPr>
          <w:rFonts w:ascii="SimSun" w:hAnsi="SimSun" w:eastAsia="SimSun" w:cs="SimSun"/>
          <w:color w:val="000000"/>
          <w:sz w:val="24"/>
        </w:rPr>
        <w:t xml:space="preserve">质疑函必须按照本磋商文件中《质疑函范本》要求的格式和内容进行填写。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29.4 </w:t>
      </w:r>
      <w:r>
        <w:rPr>
          <w:rFonts w:ascii="SimSun" w:hAnsi="SimSun" w:eastAsia="SimSun" w:cs="SimSun"/>
          <w:color w:val="000000"/>
          <w:sz w:val="24"/>
        </w:rPr>
        <w:t xml:space="preserve">供应商应以书面形式向采购人或者其委托的采购代理机构提出质疑。质疑超出采购机构代理范围的，供应商应当向采购人提出。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建银工程咨询有限责任公司</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杜萍或宿迁市自然资源和规划局</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袁景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0527-84357101</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13732685015</w:t>
      </w:r>
      <w:r>
        <w:rPr>
          <w:rFonts w:ascii="SimSun" w:hAnsi="SimSun" w:eastAsia="SimSun" w:cs="SimSun"/>
          <w:color w:val="000000"/>
          <w:sz w:val="24"/>
          <w:u w:val="single"/>
        </w:rPr>
        <w:t xml:space="preserve">或</w:t>
      </w:r>
      <w:r>
        <w:rPr>
          <w:rFonts w:ascii="Times New Roman" w:hAnsi="Times New Roman" w:eastAsia="Times New Roman" w:cs="Times New Roman"/>
          <w:color w:val="000000"/>
          <w:sz w:val="24"/>
          <w:u w:val="single"/>
        </w:rPr>
        <w:t xml:space="preserve">0527-84359612</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宿迁市宿城区黄河路</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号（建行院内东附属楼三楼）或江苏省宿迁市宿城区洪泽湖路</w:t>
      </w:r>
      <w:r>
        <w:rPr>
          <w:rFonts w:ascii="Times New Roman" w:hAnsi="Times New Roman" w:eastAsia="Times New Roman" w:cs="Times New Roman"/>
          <w:color w:val="000000"/>
          <w:sz w:val="24"/>
          <w:u w:val="single"/>
        </w:rPr>
        <w:t xml:space="preserve">887</w:t>
      </w:r>
      <w:r>
        <w:rPr>
          <w:rFonts w:ascii="SimSun" w:hAnsi="SimSun" w:eastAsia="SimSun" w:cs="SimSun"/>
          <w:color w:val="000000"/>
          <w:sz w:val="24"/>
          <w:u w:val="single"/>
        </w:rPr>
        <w:t xml:space="preserve">号（便民方舟</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号楼）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 </w:t>
      </w:r>
      <w:r>
        <w:rPr>
          <w:rFonts w:ascii="SimSun" w:hAnsi="SimSun" w:eastAsia="SimSun" w:cs="SimSun"/>
          <w:color w:val="000000"/>
          <w:sz w:val="24"/>
        </w:rPr>
        <w:t xml:space="preserve">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29.5.1 </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29.5.2 </w:t>
      </w:r>
      <w:r>
        <w:rPr>
          <w:rFonts w:ascii="SimSun" w:hAnsi="SimSun" w:eastAsia="SimSun" w:cs="SimSun"/>
          <w:color w:val="000000"/>
          <w:sz w:val="24"/>
        </w:rPr>
        <w:t xml:space="preserve">超出政府采购法定期限的质疑。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29.5.3 </w:t>
      </w:r>
      <w:r>
        <w:rPr>
          <w:rFonts w:ascii="SimSun" w:hAnsi="SimSun" w:eastAsia="SimSun" w:cs="SimSun"/>
          <w:color w:val="000000"/>
          <w:sz w:val="24"/>
        </w:rPr>
        <w:t xml:space="preserve">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29.5.4 </w:t>
      </w:r>
      <w:r>
        <w:rPr>
          <w:rFonts w:ascii="SimSun" w:hAnsi="SimSun" w:eastAsia="SimSun" w:cs="SimSun"/>
          <w:color w:val="000000"/>
          <w:sz w:val="24"/>
        </w:rPr>
        <w:t xml:space="preserve">未参加磋商活动的供应商或在磋商活动中自身权益未受到损害的供应商所提出的质疑。</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29.6  </w:t>
      </w:r>
      <w:r>
        <w:rPr>
          <w:rFonts w:ascii="SimSun" w:hAnsi="SimSun" w:eastAsia="SimSun" w:cs="SimSun"/>
          <w:color w:val="000000"/>
          <w:sz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29.7</w:t>
      </w:r>
      <w:r>
        <w:rPr>
          <w:rFonts w:ascii="SimSun" w:hAnsi="SimSun" w:eastAsia="SimSun" w:cs="SimSun"/>
          <w:color w:val="000000"/>
          <w:sz w:val="24"/>
        </w:rPr>
        <w:t xml:space="preserve">质疑供应商对采购人、采购代理机构的答复不满意，或者采购人、采购代理机构未在规定时间内作出答复的，可以在答复期满后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30</w:t>
      </w:r>
      <w:r>
        <w:rPr>
          <w:rFonts w:ascii="SimHei" w:hAnsi="SimHei" w:eastAsia="SimHei" w:cs="SimHei"/>
          <w:color w:val="000000"/>
          <w:sz w:val="30"/>
        </w:rPr>
        <w:t xml:space="preserve">、成交通知书</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30.1</w:t>
      </w:r>
      <w:r>
        <w:rPr>
          <w:rFonts w:ascii="SimSun" w:hAnsi="SimSun" w:eastAsia="SimSun" w:cs="SimSun"/>
          <w:color w:val="000000"/>
          <w:sz w:val="24"/>
        </w:rPr>
        <w:t xml:space="preserve">成交结果确定后，采购代理机构将向成交供应商发出成交通知书。请成交供应商使用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数字证书登录“苏采云系统”及时下载成交通知书。成交供应商可自行下载打印《成交通知书》，《成交通知书》将作为授予合同资格的唯一合法依据。</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31. </w:t>
      </w:r>
      <w:r>
        <w:rPr>
          <w:rFonts w:ascii="SimHei" w:hAnsi="SimHei" w:eastAsia="SimHei" w:cs="SimHei"/>
          <w:color w:val="000000"/>
          <w:sz w:val="30"/>
        </w:rPr>
        <w:t xml:space="preserve">签订合同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w:t>
      </w:r>
      <w:r>
        <w:rPr>
          <w:rFonts w:ascii="SimSun" w:hAnsi="SimSun" w:eastAsia="SimSun" w:cs="SimSun"/>
          <w:color w:val="000000"/>
          <w:sz w:val="24"/>
        </w:rPr>
        <w:t xml:space="preserve">成交供应商应当在成交通知书发出之日起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日内，按照磋商文件确定的事项与采购人签订政府采购合同。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color w:val="000000"/>
          <w:sz w:val="24"/>
        </w:rPr>
        <w:t xml:space="preserve">磋商文件、成交供应商的响应文件及磋商过程中有关澄清、承诺文件均应作为合同附件。</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31.3 </w:t>
      </w:r>
      <w:r>
        <w:rPr>
          <w:rFonts w:ascii="SimSun" w:hAnsi="SimSun" w:eastAsia="SimSun" w:cs="SimSun"/>
          <w:color w:val="000000"/>
          <w:sz w:val="24"/>
        </w:rPr>
        <w:t xml:space="preserve">签订合同后，成交供应商不得将合同标的进行转包。未经采购人同意，成交供应商也不得采用分包形式履行合同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否则采购人有权终止合同。转包或分包造成采购人损失的，成交供应商应承担相应赔偿责任。</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本项目的非主体、非关键性工作是否允许分包按以下第</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种方式确定：</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不允许分包。未经采购人同意，成交供应商也不得采用分包形式履行合同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否则采购人有权终止合同。转包或分包造成采购人损失的，成交供应商应承担相应赔偿责任。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31.5</w:t>
      </w:r>
      <w:r>
        <w:rPr>
          <w:rFonts w:ascii="SimSun" w:hAnsi="SimSun" w:eastAsia="SimSun" w:cs="SimSun"/>
          <w:color w:val="000000"/>
          <w:sz w:val="24"/>
        </w:rPr>
        <w:t xml:space="preserve">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不收取履约保证金。</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32</w:t>
      </w:r>
      <w:r>
        <w:rPr>
          <w:rFonts w:ascii="SimHei" w:hAnsi="SimHei" w:eastAsia="SimHei" w:cs="SimHei"/>
          <w:color w:val="000000"/>
          <w:sz w:val="30"/>
        </w:rPr>
        <w:t xml:space="preserve">、标的物的追加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w:t>
      </w:r>
      <w:r>
        <w:rPr>
          <w:rFonts w:ascii="SimSun" w:hAnsi="SimSun" w:eastAsia="SimSun" w:cs="SimSun"/>
          <w:color w:val="000000"/>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33</w:t>
      </w:r>
      <w:r>
        <w:rPr>
          <w:rFonts w:ascii="SimHei" w:hAnsi="SimHei" w:eastAsia="SimHei" w:cs="SimHei"/>
          <w:color w:val="000000"/>
          <w:sz w:val="30"/>
        </w:rPr>
        <w:t xml:space="preserve">、政府采购履约资金扶持政策</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根据江苏省财政厅</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中国人民银行南京分行《关于深入推进政府采购线上合同信用融资工作的通知》（苏财购〔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670"/>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34</w:t>
      </w:r>
      <w:r>
        <w:rPr>
          <w:rFonts w:ascii="SimHei" w:hAnsi="SimHei" w:eastAsia="SimHei" w:cs="SimHei"/>
          <w:b/>
          <w:color w:val="000000"/>
          <w:sz w:val="30"/>
        </w:rPr>
        <w:t xml:space="preserve">、验收及付款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34.1</w:t>
      </w:r>
      <w:r>
        <w:rPr>
          <w:rFonts w:ascii="SimSun" w:hAnsi="SimSun" w:eastAsia="SimSun" w:cs="SimSun"/>
          <w:color w:val="000000"/>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34.2</w:t>
      </w:r>
      <w:r>
        <w:rPr>
          <w:rFonts w:ascii="SimSun" w:hAnsi="SimSun" w:eastAsia="SimSun" w:cs="SimSun"/>
          <w:color w:val="000000"/>
          <w:sz w:val="24"/>
        </w:rPr>
        <w:t xml:space="preserve">采购人可以邀请参加本项目的其他供应商或者第三方机构参与验收。参与验收的供应商或者第三方机构的意见作为验收书的参考资料一并存档。</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34.3</w:t>
      </w:r>
      <w:r>
        <w:rPr>
          <w:rFonts w:ascii="SimSun" w:hAnsi="SimSun" w:eastAsia="SimSun" w:cs="SimSun"/>
          <w:color w:val="000000"/>
          <w:sz w:val="24"/>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34.4</w:t>
      </w:r>
      <w:r>
        <w:rPr>
          <w:rFonts w:ascii="SimSun" w:hAnsi="SimSun" w:eastAsia="SimSun" w:cs="SimSun"/>
          <w:color w:val="000000"/>
          <w:sz w:val="24"/>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w:t>
      </w:r>
      <w:r>
        <w:rPr>
          <w:rFonts w:ascii="SimSun" w:hAnsi="SimSun" w:eastAsia="SimSun" w:cs="SimSun"/>
          <w:b/>
          <w:color w:val="000000"/>
          <w:sz w:val="24"/>
        </w:rPr>
        <w:t xml:space="preserve">、付款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按照以下</w:t>
      </w:r>
      <w:r>
        <w:rPr>
          <w:rFonts w:ascii="SimSun" w:hAnsi="SimSun" w:eastAsia="SimSun" w:cs="SimSun"/>
          <w:color w:val="000000"/>
          <w:sz w:val="24"/>
          <w:u w:val="single"/>
        </w:rPr>
        <w:t xml:space="preserve">服务</w:t>
      </w:r>
      <w:r>
        <w:rPr>
          <w:rFonts w:ascii="SimSun" w:hAnsi="SimSun" w:eastAsia="SimSun" w:cs="SimSun"/>
          <w:color w:val="000000"/>
          <w:sz w:val="24"/>
        </w:rPr>
        <w:t xml:space="preserve">类项目确定的付款方式，采购人及时办理付款手续。对于满足合同约定支付条件的，自收到发票后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个工作日内将资金支付到合同约定的供应商账户或供应商数字人民币账户。</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服务类项目</w:t>
      </w:r>
      <w:r/>
    </w:p>
    <w:p>
      <w:pPr>
        <w:ind w:left="0" w:right="0" w:firstLine="481"/>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预付款：合同签订且在收到乙方发票后10个工作日内，支付合同总价款的15%。</w:t>
      </w:r>
      <w:r/>
    </w:p>
    <w:p>
      <w:pPr>
        <w:ind w:left="0" w:right="0" w:firstLine="481"/>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进度款：提交最终成果并验收合格且收到乙方发票后的10个工作日内，付清余款。</w:t>
      </w:r>
      <w:r/>
    </w:p>
    <w:p>
      <w:pPr>
        <w:ind w:left="0" w:right="0" w:firstLine="480"/>
        <w:jc w:val="both"/>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注：在签订合同时，成交人明确表示无需预付款或者主动要求降低预付款比例的金额，采购人可不适用预付款规定。</w:t>
      </w:r>
      <w:r/>
    </w:p>
    <w:p>
      <w:pPr>
        <w:ind w:left="0" w:right="0" w:firstLine="264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以下为成交后签订本项目合同的通用条款，成交供应商不得提出实质性的修改。</w:t>
      </w:r>
      <w:r/>
    </w:p>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2026年度自然资源宿迁市卫星技术应用中心运营保障项目</w:t>
      </w:r>
      <w:r/>
    </w:p>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采</w:t>
      </w:r>
      <w:r/>
    </w:p>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购</w:t>
      </w:r>
      <w:r/>
    </w:p>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合</w:t>
      </w:r>
      <w:r/>
    </w:p>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同</w:t>
      </w:r>
      <w:r/>
    </w:p>
    <w:p>
      <w:pPr>
        <w:ind w:left="0" w:right="0" w:firstLine="720"/>
        <w:jc w:val="center"/>
        <w:spacing w:before="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36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36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36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spacing w:before="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采购单位（全称）：</w:t>
      </w:r>
      <w:r>
        <w:rPr>
          <w:rFonts w:ascii="Times New Roman" w:hAnsi="Times New Roman" w:eastAsia="Times New Roman" w:cs="Times New Roman"/>
          <w:b/>
          <w:color w:val="000000"/>
          <w:sz w:val="24"/>
          <w:u w:val="single"/>
        </w:rPr>
        <w:t xml:space="preserve">宿迁市自然资源和规划局</w:t>
      </w:r>
      <w:r>
        <w:rPr>
          <w:rFonts w:ascii="Times New Roman" w:hAnsi="Times New Roman" w:eastAsia="Times New Roman" w:cs="Times New Roman"/>
          <w:b/>
          <w:color w:val="000000"/>
          <w:sz w:val="24"/>
        </w:rPr>
        <w:t xml:space="preserve">（简称甲方）</w:t>
      </w:r>
      <w:r/>
    </w:p>
    <w:p>
      <w:pPr>
        <w:ind w:left="0" w:right="0" w:firstLine="0"/>
        <w:spacing w:before="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成交</w:t>
      </w:r>
      <w:r>
        <w:rPr>
          <w:rFonts w:ascii="SimSun" w:hAnsi="SimSun" w:eastAsia="SimSun" w:cs="SimSun"/>
          <w:b/>
          <w:color w:val="000000"/>
          <w:sz w:val="24"/>
        </w:rPr>
        <w:t xml:space="preserve">供应商</w:t>
      </w:r>
      <w:r>
        <w:rPr>
          <w:rFonts w:ascii="Times New Roman" w:hAnsi="Times New Roman" w:eastAsia="Times New Roman" w:cs="Times New Roman"/>
          <w:b/>
          <w:color w:val="000000"/>
          <w:sz w:val="24"/>
        </w:rPr>
        <w:t xml:space="preserve">（全称）：</w:t>
      </w:r>
      <w:r>
        <w:rPr>
          <w:rFonts w:ascii="SimSun" w:hAnsi="SimSun" w:eastAsia="SimSun" w:cs="SimSun"/>
          <w:b/>
          <w:color w:val="000000"/>
          <w:sz w:val="24"/>
          <w:u w:val="single"/>
        </w:rPr>
        <w:t xml:space="preserve">                     </w:t>
      </w:r>
      <w:r>
        <w:rPr>
          <w:rFonts w:ascii="Times New Roman" w:hAnsi="Times New Roman" w:eastAsia="Times New Roman" w:cs="Times New Roman"/>
          <w:b/>
          <w:color w:val="000000"/>
          <w:sz w:val="24"/>
        </w:rPr>
        <w:t xml:space="preserve">（简称乙方）</w:t>
      </w:r>
      <w:r/>
    </w:p>
    <w:p>
      <w:pPr>
        <w:ind w:left="0" w:right="0" w:firstLine="3362"/>
        <w:jc w:val="both"/>
        <w:spacing w:before="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年月</w:t>
      </w:r>
      <w:r>
        <w:rPr>
          <w:rFonts w:ascii="SimSun" w:hAnsi="SimSun" w:eastAsia="SimSun" w:cs="SimSun"/>
          <w:b/>
          <w:color w:val="000000"/>
          <w:sz w:val="24"/>
        </w:rPr>
        <w:t xml:space="preserve">   日</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373"/>
        <w:jc w:val="both"/>
        <w:spacing w:before="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 专用条款</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采购单位（全称）：</w:t>
      </w:r>
      <w:r>
        <w:rPr>
          <w:rFonts w:ascii="SimSun" w:hAnsi="SimSun" w:eastAsia="SimSun" w:cs="SimSun"/>
          <w:color w:val="000000"/>
          <w:sz w:val="24"/>
          <w:u w:val="single"/>
        </w:rPr>
        <w:t xml:space="preserve">宿迁市自然资源和规划局</w:t>
      </w:r>
      <w:r>
        <w:rPr>
          <w:rFonts w:ascii="SimSun" w:hAnsi="SimSun" w:eastAsia="SimSun" w:cs="SimSun"/>
          <w:color w:val="000000"/>
          <w:sz w:val="24"/>
        </w:rPr>
        <w:t xml:space="preserve">（简称甲方）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成交供应商（全称）：</w:t>
      </w:r>
      <w:r>
        <w:rPr>
          <w:rFonts w:ascii="SimSun" w:hAnsi="SimSun" w:eastAsia="SimSun" w:cs="SimSun"/>
          <w:color w:val="000000"/>
          <w:sz w:val="24"/>
          <w:u w:val="single"/>
        </w:rPr>
        <w:t xml:space="preserve">                       </w:t>
      </w:r>
      <w:r>
        <w:rPr>
          <w:rFonts w:ascii="SimSun" w:hAnsi="SimSun" w:eastAsia="SimSun" w:cs="SimSun"/>
          <w:color w:val="000000"/>
          <w:sz w:val="24"/>
        </w:rPr>
        <w:t xml:space="preserve">（简称乙方）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依照《中华人民共和国政府采购法》《中华人民共和国政府采购法实施条例》《中华人民共和国民法典（第三编合同）》及其他有关法律、行政法规，遵循平等、自愿、公平和诚实信用的原则，双方就</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2026年度自然资源宿迁市卫星技术应用中心运营保障项目</w:t>
      </w:r>
      <w:r>
        <w:rPr>
          <w:rFonts w:ascii="SimSun" w:hAnsi="SimSun" w:eastAsia="SimSun" w:cs="SimSun"/>
          <w:color w:val="000000"/>
          <w:sz w:val="24"/>
        </w:rPr>
        <w:t xml:space="preserve">相关事项协商一致，达成如下合同条款。</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一、乙方向甲方提供总价值为</w:t>
      </w:r>
      <w:r>
        <w:rPr>
          <w:rFonts w:ascii="SimSun" w:hAnsi="SimSun" w:eastAsia="SimSun" w:cs="SimSun"/>
          <w:b/>
          <w:color w:val="000000"/>
          <w:sz w:val="24"/>
          <w:u w:val="single"/>
        </w:rPr>
        <w:t xml:space="preserve">      </w:t>
      </w:r>
      <w:r>
        <w:rPr>
          <w:rFonts w:ascii="SimSun" w:hAnsi="SimSun" w:eastAsia="SimSun" w:cs="SimSun"/>
          <w:b/>
          <w:color w:val="000000"/>
          <w:sz w:val="24"/>
        </w:rPr>
        <w:t xml:space="preserve">元的标的服务</w:t>
      </w:r>
      <w:r>
        <w:rPr>
          <w:rFonts w:ascii="SimSun" w:hAnsi="SimSun" w:eastAsia="SimSun" w:cs="SimSun"/>
          <w:color w:val="000000"/>
          <w:sz w:val="24"/>
        </w:rPr>
        <w:t xml:space="preserve">。</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二、服务时间、地点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（一）服务期：</w:t>
      </w:r>
      <w:r>
        <w:rPr>
          <w:rFonts w:ascii="SimSun" w:hAnsi="SimSun" w:eastAsia="SimSun" w:cs="SimSun"/>
          <w:color w:val="000000"/>
          <w:sz w:val="24"/>
          <w:u w:val="single"/>
        </w:rPr>
        <w:t xml:space="preserve">自合同签订之日起一年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（二）服务地点：</w:t>
      </w:r>
      <w:r>
        <w:rPr>
          <w:rFonts w:ascii="SimSun" w:hAnsi="SimSun" w:eastAsia="SimSun" w:cs="SimSun"/>
          <w:color w:val="000000"/>
          <w:sz w:val="24"/>
          <w:u w:val="single"/>
        </w:rPr>
        <w:t xml:space="preserve">甲方指定地点</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1、影像获取与处理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合自然资源业务，开展遥感影像数据获取与处理工作。结合自然资源卫星遥感云服务平台资源系列、高分系列等遥感卫星有效覆盖情况，获取相关卫星遥感影像数据，经过影像纠正、影像融合、影像镶嵌、数字图像处理、影像裁切和元数据生产等处理步骤，宿迁全市域（含三县两区）2027年3期亚米级和1期2米级高分辨率季度遥感影像成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2、自然资源遥感监测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根据影像收集与处理获取的正射影像成果，开展宿迁市自然资源遥感监测，具体包含以下工作内容：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（1）土地要素监测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采用数据库对比遥感影像的方式，提取监测时点遥感影像特征与国土变更调查数据库地类不一致的图斑，为开展年度国土变更调查、土地利用现状数据库更新及动态监管提供数据支撑。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（2）人工建（构）筑物与道路监测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有成果数据，结合高分辨率遥感影像，监测建设用地范围外新增建设情况与建设用地范围内建设拆除情况，开展道路变化监测，统计道路增加或减少的情况，为监管建设用地规划许可执行、调整市政基础设施规划及优化交通空间布局、处置闲置土地及管控城市空间形态提供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（3）国土空间格局监测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用高分辨率遥感影像、国土空间总体规划和控制性详细规划数据，开展规划分区现状监测、三条控制线现状监测和控制性详细规划现状监测，及时掌握宿迁市的开发状况及动态情况，为监督国土空间规划分区管控、三条控制线落地及开发强度调控提供数据支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（4）地理空间变化监测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利用两期高分辨率遥感卫星影像提取全市地类发生变化的图斑，图斑类型设置参考地形图要素，包括疑似新增居民地、疑似新增交通、疑似新增水系、疑似新增植被、疑似施工区等，为地形图更新提供目标图斑。</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 自然资源监测内容及频次表</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0"/>
        <w:gridCol w:w="3035"/>
        <w:gridCol w:w="1355"/>
        <w:gridCol w:w="127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应用内容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影像分辨率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监测频次</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土地要素监测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亚米级影像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国土空间格局监测</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地理空间变化监测</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人工建（构）筑物与道路监测</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人工建（构）筑物与道路监测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2米影像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3、资源监管服务数据更新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在自然资源监测的基础上，利用市局国土空间基础信息平台，通过业务数据整理、数据库更新，提升自然资源监测、预警和监管能力。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（1）业务数据整理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完成征地、供地等相关自然资源和规划业务数据的字段规范处理、镶嵌裁切、赋县镇区划和入库替换，根据系统运行情况不定期收集其它业务数据并进行处理。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（2）数据库更新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根据已建成的国土空间基础数据库标准，对形成的遥感影像、自然资源监测成果和整理的业务数据进行数据库更新，实现数据互联互通、共享交换和服务。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（3）数据发布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对监测成果进行切片并发布服务，发布时需要根据已建成的国土空间基础信息平台进行规范数据处理并配图，配图后进行服务发布。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4、开展卫星遥感等相关数据整理工作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运用遥感影像相关数据，融合宿迁市全域主要道路、河流、行政机关、单位住宅等基础地名地址数据及有关基础测绘成果，服务宿迁市“一张图”地理底图建设。</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四、付款方式</w:t>
      </w:r>
      <w:r/>
    </w:p>
    <w:p>
      <w:pPr>
        <w:ind w:left="0" w:right="0" w:firstLine="481"/>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预付款：合同签订且在收到乙方发票后10个工作日内，支付合同总价款的15%。</w:t>
      </w:r>
      <w:r/>
    </w:p>
    <w:p>
      <w:pPr>
        <w:ind w:left="0" w:right="0" w:firstLine="481"/>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进度款：提交最终成果并验收合格且收到乙方发票后的10个工作日内，付清余款。</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六、知识产权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甲方在使用、接受本合同标的或其任何一部分时不受第三方提出侵犯其专利权、版权、商标权和工业设计权等知识产权的起诉。一旦出现侵权，由乙方负全部责任并承担费用及赔偿（包括但不限于诉讼费、第三方索赔款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条款另有约定外，甲方提供给乙方基础技术材料与政策文件以及反映甲方要求的或其他类似性质的文件的著作权属于甲方，乙方可以为实现合同目的而复制、使用此类文件，但不能用于与合同无关的其他事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3.除合同条款另有约定外，乙方为实施合同所编制的文件的著作权属于甲方，乙方可因实施合同目的需要而复制、使用此类文件，但不能用于与合同无关的其他事项。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4.合同当事人保证在履行合同过程中不侵犯对方及第三方的知识产权。乙方在实施合同时侵犯他人的专利权或其他知识产权所引起的责任，由乙方承担。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5.合同当事人双方均有权在不损害对方利益和保密约定的前提下，在自己宣传用的印刷品或其他出版物上，或申报奖项时等情形下公布有关文件的文字和图片材料。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6.除合同条款另有约定外，乙方在合同签订前和签订时已确定采用的专利、专有技术的使用费应包含在签约合同价中。</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七、验收 </w:t>
      </w:r>
      <w:r/>
    </w:p>
    <w:p>
      <w:pPr>
        <w:ind w:left="0" w:right="0" w:firstLine="481"/>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（1）甲方依法组织履约验收工作。</w:t>
      </w:r>
      <w:r/>
    </w:p>
    <w:p>
      <w:pPr>
        <w:ind w:left="0" w:right="0" w:firstLine="481"/>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（2）甲方在组织履约验收前，根据项目特点制定验收方案，明确履约验收的时间、方式、程序等内容，乙方根据验收方案内容做好相应配合工作。</w:t>
      </w:r>
      <w:r/>
    </w:p>
    <w:p>
      <w:pPr>
        <w:ind w:left="0" w:right="0" w:firstLine="481"/>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（3）对于实际使用人和甲方分离的项目，甲方邀请实际使用人参与验收。</w:t>
      </w:r>
      <w:r/>
    </w:p>
    <w:p>
      <w:pPr>
        <w:ind w:left="0" w:right="0" w:firstLine="481"/>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（4）如有必要，甲方邀请参与本项目的其他供应商或者第三方专业机构或专家参与验收。</w:t>
      </w:r>
      <w:r/>
    </w:p>
    <w:p>
      <w:pPr>
        <w:ind w:left="0" w:right="0" w:firstLine="481"/>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（5）甲方成立验收小组，按照采购合同的约定对乙方的履约情况进行验收。</w:t>
      </w:r>
      <w:r/>
    </w:p>
    <w:p>
      <w:pPr>
        <w:ind w:left="0" w:right="0" w:firstLine="481"/>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验收合格的项目，甲方根据采购合同的约定及时向乙方支付合同款项。验收不合格的项目，甲方依法及时处理。采购合同的履约、违约责任和解决争议的方式等适用《民法典》。乙方在履约过程中有政府采购法律法规的违法违规情形的，甲方将及时报告本级财政部门。</w:t>
      </w:r>
      <w:r/>
    </w:p>
    <w:p>
      <w:pPr>
        <w:numPr>
          <w:ilvl w:val="0"/>
          <w:numId w:val="18"/>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违约条款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不得转包或未经甲方书面同意分包，如有发生，甲方有权单方解除合同，要求乙方无条件清场，因此产生的全部损失和法律责任由乙方自行承担，乙方应退还甲方全部已支付的全部合同款项外，还应支付合同价款总额</w:t>
      </w:r>
      <w:r>
        <w:rPr>
          <w:rFonts w:ascii="SimSun" w:hAnsi="SimSun" w:eastAsia="SimSun" w:cs="SimSun"/>
          <w:color w:val="000000"/>
          <w:sz w:val="24"/>
          <w:u w:val="single"/>
        </w:rPr>
        <w:t xml:space="preserve"> 10% </w:t>
      </w:r>
      <w:r>
        <w:rPr>
          <w:rFonts w:ascii="SimSun" w:hAnsi="SimSun" w:eastAsia="SimSun" w:cs="SimSun"/>
          <w:color w:val="000000"/>
          <w:sz w:val="24"/>
        </w:rPr>
        <w:t xml:space="preserve">的违约金。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2.乙方未按照合同约定期限交付服务成果的（包括计划书、中间成果、最终成果及相关配套资料等），乙方应承担逾期交付的违约责任，按逾期每日</w:t>
      </w:r>
      <w:r>
        <w:rPr>
          <w:rFonts w:ascii="SimSun" w:hAnsi="SimSun" w:eastAsia="SimSun" w:cs="SimSun"/>
          <w:color w:val="000000"/>
          <w:sz w:val="24"/>
          <w:u w:val="single"/>
        </w:rPr>
        <w:t xml:space="preserve"> 5‰ </w:t>
      </w:r>
      <w:r>
        <w:rPr>
          <w:rFonts w:ascii="SimSun" w:hAnsi="SimSun" w:eastAsia="SimSun" w:cs="SimSun"/>
          <w:color w:val="000000"/>
          <w:sz w:val="24"/>
        </w:rPr>
        <w:t xml:space="preserve">向甲方支付相应违约金（最高限额为合同价款总额的10%），甲方有权从应付合同款项直接抵扣相应费用。乙方逾期交付达到</w:t>
      </w:r>
      <w:r>
        <w:rPr>
          <w:rFonts w:ascii="SimSun" w:hAnsi="SimSun" w:eastAsia="SimSun" w:cs="SimSun"/>
          <w:color w:val="000000"/>
          <w:sz w:val="24"/>
          <w:u w:val="single"/>
        </w:rPr>
        <w:t xml:space="preserve">20</w:t>
      </w:r>
      <w:r>
        <w:rPr>
          <w:rFonts w:ascii="SimSun" w:hAnsi="SimSun" w:eastAsia="SimSun" w:cs="SimSun"/>
          <w:color w:val="000000"/>
          <w:sz w:val="24"/>
        </w:rPr>
        <w:t xml:space="preserve">日仍未能完成交付的，甲方可解除合同，相关损失和责任由乙方承担。因甲方原因导致逾期交付的，不视为乙方违约，交付期限可相应顺延。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交付的服务成果、服务标准不符合合同约定的，甲方有权要求乙方无偿整改直至符合合同约定，因此造成逾期交付的，乙方应按逾期交付相关约定承担违约责任。乙方拒绝整改或者经整改后仍然无法达到合同要求的，甲方有权拒绝接收成果并解除合同，乙方应赔偿甲方因此造成的相关损失，并承担合同价款总额</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4.乙方未经甲方同意，擅自调整、更换项目组负责人、成员的，甲方有权要求乙方限期整改，乙方拒不整改或者在</w:t>
      </w:r>
      <w:r>
        <w:rPr>
          <w:rFonts w:ascii="SimSun" w:hAnsi="SimSun" w:eastAsia="SimSun" w:cs="SimSun"/>
          <w:color w:val="000000"/>
          <w:sz w:val="24"/>
          <w:u w:val="single"/>
        </w:rPr>
        <w:t xml:space="preserve"> 3 </w:t>
      </w:r>
      <w:r>
        <w:rPr>
          <w:rFonts w:ascii="SimSun" w:hAnsi="SimSun" w:eastAsia="SimSun" w:cs="SimSun"/>
          <w:color w:val="000000"/>
          <w:sz w:val="24"/>
        </w:rPr>
        <w:t xml:space="preserve">日整改后仍不符合合同及服务承诺要求的，甲方有权解除合同，乙方应赔偿甲方因此造成的相关损失，并承担合同价款总额</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5.乙方违反合同约定的保密、知识产权等规定，侵害甲方或者第三方合法权益的，乙方应自行承担全部法律责任，全额赔偿甲方因此产生的所有损失，并支付合同价款总额</w:t>
      </w:r>
      <w:r>
        <w:rPr>
          <w:rFonts w:ascii="SimSun" w:hAnsi="SimSun" w:eastAsia="SimSun" w:cs="SimSun"/>
          <w:color w:val="000000"/>
          <w:sz w:val="24"/>
          <w:u w:val="single"/>
        </w:rPr>
        <w:t xml:space="preserve"> 10% </w:t>
      </w:r>
      <w:r>
        <w:rPr>
          <w:rFonts w:ascii="SimSun" w:hAnsi="SimSun" w:eastAsia="SimSun" w:cs="SimSun"/>
          <w:color w:val="000000"/>
          <w:sz w:val="24"/>
        </w:rPr>
        <w:t xml:space="preserve">的违约金。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无正当理由拒绝接收乙方已按照约定完成并符合标准的服务成果（包括计划书、中间成果、最终成果及相关配套资料等），逾期超过合理期限的，乙方可以解除合同，并要求甲方支付已完成合格工作量相应的合同款项，并承担合同价款总额</w:t>
      </w:r>
      <w:r>
        <w:rPr>
          <w:rFonts w:ascii="SimSun" w:hAnsi="SimSun" w:eastAsia="SimSun" w:cs="SimSun"/>
          <w:color w:val="000000"/>
          <w:sz w:val="24"/>
          <w:u w:val="single"/>
        </w:rPr>
        <w:t xml:space="preserve">1%   </w:t>
      </w:r>
      <w:r>
        <w:rPr>
          <w:rFonts w:ascii="SimSun" w:hAnsi="SimSun" w:eastAsia="SimSun" w:cs="SimSun"/>
          <w:color w:val="000000"/>
          <w:sz w:val="24"/>
        </w:rPr>
        <w:t xml:space="preserve">的违约金。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未按照合同约定支付款项，逾期超过合理期限的，乙方有权暂停相关服务且不承担违约责任；逾期时间较长已影响合同正常履行的，乙方有权解除合同，并要求甲方足额支付已完成合格工作相应的合同款项及按同期全国银行间同业拆借中心公布的贷款市场报价利率(LPR)计付的利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因本项目条件发生重大变化或者国家政策变更或者甲方上级工作要求变化，导致部分或全部迟延履行或履行不能的，甲方可以解除或者变更合同，双方按照乙方已实际完成且验收合格的工作量据实结算费用，互不承担违约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9.如果出现政府采购监督管理部门在处理投诉该项目事项期间，书面通知甲方暂停采购活动的情形，或者询问或质疑事项可能影响中标结果的，导致甲方中止或终止履行合同的情形，均不视为甲方违约。</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除不可抗力外，任何一方未能履行本合同约定的其他主要义务，经催告后在合理期限内仍未履行的，或者任何一方有其他违约行为致使不能实现合同目的的，或者任何一方有腐败、欺诈行为影响合同签订、履行的，守约方有权单方面解除合同，违约方应当赔偿守约方全部实际损失，并承担合同价款总额</w:t>
      </w:r>
      <w:r>
        <w:rPr>
          <w:rFonts w:ascii="SimSun" w:hAnsi="SimSun" w:eastAsia="SimSun" w:cs="SimSun"/>
          <w:color w:val="000000"/>
          <w:sz w:val="24"/>
          <w:u w:val="single"/>
        </w:rPr>
        <w:t xml:space="preserve">5%的</w:t>
      </w:r>
      <w:r>
        <w:rPr>
          <w:rFonts w:ascii="SimSun" w:hAnsi="SimSun" w:eastAsia="SimSun" w:cs="SimSun"/>
          <w:color w:val="000000"/>
          <w:sz w:val="24"/>
        </w:rPr>
        <w:t xml:space="preserve">违约金。</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九、合同生效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本合同经甲方、乙方签字盖章后生效，合同签订的内容不能超出招标文件和投标文件的实质性内容。</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十、合同的组成部分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本合同条款、中标通知书、比选文件、投标文件及供应商在开标时的书面承诺等构成合同的组成部分。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十一、合同份数</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本合同一式肆份，以中文书写，甲方、乙方各执贰份。</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十二、本合同一切未尽事宜，按民法典有关规定执行，无相关规定的，由甲乙双方协商解决。</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第二部分通用条款</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十三、词语涵义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（一）合同：甲乙双方签署的、合同格式中载明的甲方与乙方所达成的协议，包括所有的附件、附录和构成合同的所有文件。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（二）合同价：根据合同规定，乙方在正确地完全履行合同义务后甲方应支付给乙方的价格。</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（三）甲方：采购单位，即</w:t>
      </w:r>
      <w:r>
        <w:rPr>
          <w:rFonts w:ascii="SimSun" w:hAnsi="SimSun" w:eastAsia="SimSun" w:cs="SimSun"/>
          <w:color w:val="000000"/>
          <w:sz w:val="24"/>
          <w:u w:val="single"/>
        </w:rPr>
        <w:t xml:space="preserve">宿迁市自然资源和规划局</w:t>
      </w: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（四）乙方：提供服务的公司或实体，即</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（五）不可抗力：指</w:t>
      </w:r>
      <w:r>
        <w:rPr>
          <w:rFonts w:ascii="SimSun" w:hAnsi="SimSun" w:eastAsia="SimSun" w:cs="SimSun"/>
          <w:color w:val="000000"/>
          <w:spacing w:val="8"/>
          <w:sz w:val="24"/>
        </w:rPr>
        <w:t xml:space="preserve">不能预见、不能避免和不能克服的客观情况，</w:t>
      </w:r>
      <w:r>
        <w:rPr>
          <w:rFonts w:ascii="SimSun" w:hAnsi="SimSun" w:eastAsia="SimSun" w:cs="SimSun"/>
          <w:color w:val="000000"/>
          <w:sz w:val="24"/>
        </w:rPr>
        <w:t xml:space="preserve">如战争、动乱、空中飞行物体坠落或其它非甲乙方责任造成的爆炸、火灾，以及协议条款约定等级以上的风、雨、雪、地震等。</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十四、技术规格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乙方所提服务物的技术规格应与招标文件规定的技术规格以及所附的技术规格响应表相一致。</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十五、付款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本合同以人民币付款。</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十六、误期赔偿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合同规定外，如果乙方没有按照合同规定的时间服务和提供服务，甲方将从货款中扣除误期赔偿费而不影响合同项目的其他补救方法，每延迟交付一天，按合同总价款的5‰支付违约金；延期超过20日，甲方有权强制解除合同，乙方承担责任，并赔偿因延期交付造成的损失。</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十七、不可抗力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十八、税费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中国政府根据现行税法规定对甲方征收的与本合同有关的一切税费由甲方负担；规定对乙方征收的与本合同有关的一切税费由乙方负担。</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十九、合同争议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甲乙双方应通过友好协商，解决在执行本合同中所发生的或与本合同有关的一切争议。如果协商仍得不到解决，任何一方均可按“中华人民共和国民法典”规定提交调解和仲裁。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二十、适用法律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本合同应按照中华人民共和国的现行法律进行解释。</w:t>
      </w:r>
      <w:r/>
    </w:p>
    <w:p>
      <w:pPr>
        <w:ind w:left="5280" w:right="0" w:hanging="52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宿迁市自然资源和规划局</w:t>
      </w:r>
      <w:r>
        <w:rPr>
          <w:rFonts w:ascii="SimSun" w:hAnsi="SimSun" w:eastAsia="SimSun" w:cs="SimSun"/>
          <w:color w:val="000000"/>
          <w:sz w:val="24"/>
        </w:rPr>
        <w:t xml:space="preserve">（盖章）乙方：</w:t>
      </w:r>
      <w:r>
        <w:rPr>
          <w:rFonts w:ascii="SimSun" w:hAnsi="SimSun" w:eastAsia="SimSun" w:cs="SimSun"/>
          <w:color w:val="000000"/>
          <w:sz w:val="24"/>
          <w:u w:val="single"/>
        </w:rPr>
        <w:t xml:space="preserve">                </w:t>
      </w:r>
      <w:r>
        <w:rPr>
          <w:rFonts w:ascii="SimSun" w:hAnsi="SimSun" w:eastAsia="SimSun" w:cs="SimSun"/>
          <w:color w:val="000000"/>
          <w:sz w:val="24"/>
        </w:rPr>
        <w:t xml:space="preserve">（盖章） </w:t>
      </w:r>
      <w:r/>
    </w:p>
    <w:p>
      <w:pPr>
        <w:ind w:left="5280" w:right="0" w:hanging="52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宿迁市宿城区洪泽湖路887号</w:t>
      </w:r>
      <w:r>
        <w:rPr>
          <w:rFonts w:ascii="SimSun" w:hAnsi="SimSun" w:eastAsia="SimSun" w:cs="SimSun"/>
          <w:color w:val="000000"/>
          <w:sz w:val="24"/>
        </w:rPr>
        <w:t xml:space="preserve">     地址：</w:t>
      </w:r>
      <w:r>
        <w:rPr>
          <w:rFonts w:ascii="SimSun" w:hAnsi="SimSun" w:eastAsia="SimSun" w:cs="SimSun"/>
          <w:color w:val="000000"/>
          <w:sz w:val="24"/>
          <w:u w:val="single"/>
        </w:rPr>
        <w:t xml:space="preserve">                  </w:t>
      </w:r>
      <w:r/>
    </w:p>
    <w:p>
      <w:pPr>
        <w:ind w:left="5278" w:right="0" w:hanging="4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便民方舟3号楼   </w:t>
      </w: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w:t>
      </w:r>
      <w:r>
        <w:rPr>
          <w:rFonts w:ascii="SimSun" w:hAnsi="SimSun" w:eastAsia="SimSun" w:cs="SimSun"/>
          <w:color w:val="000000"/>
          <w:sz w:val="24"/>
          <w:u w:val="single"/>
        </w:rPr>
        <w:t xml:space="preserve">            </w:t>
      </w:r>
      <w:r>
        <w:rPr>
          <w:rFonts w:ascii="SimSun" w:hAnsi="SimSun" w:eastAsia="SimSun" w:cs="SimSun"/>
          <w:color w:val="000000"/>
          <w:sz w:val="24"/>
        </w:rPr>
        <w:t xml:space="preserve">      法定（授权）代表人：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                联系人：</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              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日2026年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264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其他未列明行业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进口产品。</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推进省级卫星应用技术中心建设工作的通知》（自然资办函〔2019〕874号）、《关于推进江苏省自然资源卫星应用技术体系建设工作的通知》（苏自然资函（2021）1232号）、《国务院关于加强数字政府建设的指导意见》（国发〔2022〕14号）、《自然资源部信息化建设总体方案》（自然资发〔2019〕170号）等文件，为落实国家关于构建贯通“部省市县”四级卫星应用技术体系的部署，即时掌握宿迁市自然资源变化情况，开展2026年度自然资源宿迁市卫星技术应用中心运营保障项目。</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二、工作内容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1、影像获取与处理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合自然资源业务，开展遥感影像数据获取与处理工作。结合自然资源卫星遥感云服务平台资源系列、高分系列等遥感卫星有效覆盖情况，获取相关卫星遥感影像数据，经过影像纠正、影像融合、影像镶嵌、数字图像处理、影像裁切和元数据生产等处理步骤，形成宿迁全市域（含三县两区）2027年3期亚米级和1期2米级高分辨率季度遥感影像成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2、自然资源遥感监测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根据影像收集与处理获取的正射影像成果，开展宿迁市自然资源遥感监测，具体包含以下工作内容：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（1）土地要素监测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采用数据库对比遥感影像的方式，提取监测时点遥感影像特征与国土变更调查数据库地类不一致的图斑，为开展年度国土变更调查、土地利用现状数据库更新及动态监管提供数据支撑。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（2）人工建（构）筑物与道路监测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有成果数据，结合高分辨率遥感影像，监测建设用地范围外新增建设情况与建设用地范围内建设拆除情况，开展道路变化监测，统计道路增加或减少的情况，为监管建设用地规划许可执行、调整市政基础设施规划及优化交通空间布局、处置闲置土地及管控城市空间形态提供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（3）国土空间格局监测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用高分辨率遥感影像、国土空间总体规划和控制性详细规划数据，开展规划分区现状监测、三条控制线现状监测和控制性详细规划现状监测，及时掌握宿迁市的开发状况及动态情况，为监督国土空间规划分区管控、三条控制线落地及开发强度调控提供数据支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（4）地理空间变化监测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利用两期高分辨率遥感卫星影像提取全市地类发生变化的图斑，图斑类型设置参考地形图要素，包括疑似新增居民地、疑似新增交通、疑似新增水系、疑似新增植被、疑似施工区等，为地形图更新提供目标图斑。</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 自然资源监测内容及频次表</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0"/>
        <w:gridCol w:w="3035"/>
        <w:gridCol w:w="1355"/>
        <w:gridCol w:w="127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应用内容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影像分辨率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监测频次</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土地要素监测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亚米级影像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国土空间格局监测</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地理空间变化监测</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人工建（构）筑物与道路监测</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人工建（构）筑物与道路监测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2米影像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3、资源监管服务数据更新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在自然资源监测的基础上，利用市局国土空间基础信息平台，通过业务数据整理、数据库更新，提升自然资源监测、预警和监管能力。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（1）业务数据整理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完成征地、供地等相关自然资源和规划业务数据的字段规范处理、镶嵌裁切、赋县镇区划和入库替换，根据系统运行情况不定期收集其它业务数据并进行处理。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（2）数据库更新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根据已建成的国土空间基础数据库标准，对形成的遥感影像、自然资源监测成果和整理的业务数据进行数据库更新，实现数据互联互通、共享交换和服务。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（3）数据发布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对监测成果进行切片并发布服务，发布时需要根据已建成的国土空间基础信息平台进行规范数据处理并配图，配图后进行服务发布。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4、开展卫星遥感等相关数据整理工作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运用遥感影像相关数据，融合宿迁市全域主要道路、河流、行政机关、单位住宅等基础地名地址数据及有关基础测绘成果，服务宿迁市“一张图”地理底图建设。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三、预期成果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（1）高分辨率遥感影像；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（2）自然资源遥感监测成果；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（3）宿迁市基础地名地址数据库；</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（4）资源监管服务数据更新。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合同履行期限：自合同签订之日起一年。</w:t>
      </w:r>
      <w:r/>
    </w:p>
    <w:p>
      <w:pPr>
        <w:numPr>
          <w:ilvl w:val="0"/>
          <w:numId w:val="19"/>
        </w:numPr>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p>
      <w:pPr>
        <w:ind w:left="0" w:right="0" w:firstLine="481"/>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预付款：合同签订且在收到乙方发票后10个工作日内，支付合同总价款的15%。</w:t>
      </w:r>
      <w:r/>
    </w:p>
    <w:p>
      <w:pPr>
        <w:ind w:left="0" w:right="0" w:firstLine="481"/>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余款：提交最终成果并验收合格且收到乙方发票后的10个工作日内，付清余款。</w:t>
      </w:r>
      <w:r/>
    </w:p>
    <w:p>
      <w:pPr>
        <w:numPr>
          <w:ilvl w:val="0"/>
          <w:numId w:val="19"/>
        </w:numPr>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甲方指定地点。</w:t>
      </w:r>
      <w:r/>
    </w:p>
    <w:p>
      <w:pPr>
        <w:numPr>
          <w:ilvl w:val="0"/>
          <w:numId w:val="19"/>
        </w:numPr>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供应商拟派的项目所有成员须具有国家地理信息安全保密培训合格证书。</w:t>
      </w:r>
      <w:r/>
    </w:p>
    <w:p>
      <w:pPr>
        <w:numPr>
          <w:ilvl w:val="0"/>
          <w:numId w:val="19"/>
        </w:numPr>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验收程序及要求</w:t>
      </w:r>
      <w:r/>
    </w:p>
    <w:p>
      <w:pPr>
        <w:ind w:left="0" w:right="0" w:firstLine="481"/>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（1）甲方依法组织履约验收工作。</w:t>
      </w:r>
      <w:r/>
    </w:p>
    <w:p>
      <w:pPr>
        <w:ind w:left="0" w:right="0" w:firstLine="481"/>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（2）甲方在组织履约验收前，根据项目特点制定验收方案，明确履约验收的时间、方式、程序等内容，乙方根据验收方案内容做好相应配合工作。</w:t>
      </w:r>
      <w:r/>
    </w:p>
    <w:p>
      <w:pPr>
        <w:ind w:left="0" w:right="0" w:firstLine="481"/>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（3）对于实际使用人和甲方分离的项目，甲方邀请实际使用人参与验收。</w:t>
      </w:r>
      <w:r/>
    </w:p>
    <w:p>
      <w:pPr>
        <w:ind w:left="0" w:right="0" w:firstLine="481"/>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（4）如有必要，甲方邀请参与本项目的其他供应商或者第三方专业机构或专家参与验收。</w:t>
      </w:r>
      <w:r/>
    </w:p>
    <w:p>
      <w:pPr>
        <w:ind w:left="0" w:right="0" w:firstLine="481"/>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（5）甲方成立验收小组，按照采购合同的约定对乙方的履约情况进行验收。</w:t>
      </w:r>
      <w:r/>
    </w:p>
    <w:p>
      <w:pPr>
        <w:ind w:left="0" w:right="0" w:firstLine="481"/>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验收合格的项目，甲方根据采购合同的约定及时向乙方支付合同款项。验收不合格的项目，甲方依法及时处理。采购合同的履约、违约责任和解决争议的方式等适用《民法典》。乙方在履约过程中有政府采购法律法规的违法违规情形的，甲方将及时报告本级财政部门。</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评审方法与评审标准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2"/>
        <w:spacing w:before="0" w:after="145"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一、资格审查。</w:t>
      </w:r>
      <w:r>
        <w:rPr>
          <w:rFonts w:ascii="SimSun" w:hAnsi="SimSun" w:eastAsia="SimSun" w:cs="SimSun"/>
          <w:color w:val="000000"/>
          <w:sz w:val="24"/>
        </w:rPr>
        <w:t xml:space="preserve">资格审查人员按照下列指标对各供应商的资格进行审查，未通过审查的为无效标，不参与评审。</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8"/>
        <w:gridCol w:w="443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特定资格要求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bl>
    <w:p>
      <w:pPr>
        <w:ind w:left="0" w:right="0" w:firstLine="562"/>
        <w:spacing w:before="145" w:after="145"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二、符合性审查。</w:t>
      </w:r>
      <w:r>
        <w:rPr>
          <w:rFonts w:ascii="SimSun" w:hAnsi="SimSun" w:eastAsia="SimSun" w:cs="SimSun"/>
          <w:color w:val="000000"/>
          <w:sz w:val="24"/>
        </w:rPr>
        <w:t xml:space="preserve">磋商小组首先按照下列指标对各供应商进行初步评审，未通过评审的为无效标，不再参与评审。</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56"/>
        <w:gridCol w:w="533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技术标准及要求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bl>
    <w:p>
      <w:pPr>
        <w:ind w:left="0" w:right="0" w:firstLine="562"/>
        <w:jc w:val="both"/>
        <w:spacing w:before="145"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三、评分办法—综合评分法</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（一）评标办法：</w:t>
      </w:r>
      <w:r>
        <w:rPr>
          <w:rFonts w:ascii="SimSun" w:hAnsi="SimSun" w:eastAsia="SimSun" w:cs="SimSun"/>
          <w:color w:val="000000"/>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磋商小组根据评审后供应商排序推荐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名成交候选人。响应文件满足磋商文件全部实质性要求，且评审后排序第一的供应商为第一成交候选人，依次类推。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 </w:t>
      </w:r>
      <w:r/>
    </w:p>
    <w:p>
      <w:pPr>
        <w:ind w:left="0" w:right="0" w:firstLine="482"/>
        <w:spacing w:before="0" w:after="145"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（二）详细评审。</w:t>
      </w:r>
      <w:r>
        <w:rPr>
          <w:rFonts w:ascii="SimSun" w:hAnsi="SimSun" w:eastAsia="SimSun" w:cs="SimSun"/>
          <w:color w:val="000000"/>
          <w:sz w:val="24"/>
        </w:rPr>
        <w:t xml:space="preserve">磋商小组按照竞争性磋商文件规定的评分标准，对各响应文件进行详细评审打分。磋商小组组长对各评审专家的打分情况进行复核无误后汇总。</w:t>
      </w:r>
      <w:r/>
    </w:p>
    <w:p>
      <w:pPr>
        <w:ind w:left="0" w:right="0" w:firstLine="6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0"/>
        <w:gridCol w:w="1421"/>
        <w:gridCol w:w="1268"/>
        <w:gridCol w:w="5220"/>
      </w:tblGrid>
      <w:tr>
        <w:trPr>
          <w:trHeight w:val="547"/>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25.00分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220"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以满足磋商文件要求且最终磋商报价最低的供应商报价为磋商基准价，其价格分为满分。其他供应商报价得分=（磋商基准价/最终磋商报价）*25。</w:t>
            </w:r>
            <w:r>
              <w:rPr>
                <w:rFonts w:ascii="SimSun" w:hAnsi="SimSun" w:eastAsia="SimSun" w:cs="SimSun"/>
                <w:color w:val="000000"/>
                <w:sz w:val="21"/>
              </w:rPr>
              <w:t xml:space="preserve">注：最终结果四舍五入保留至小数点后两位。</w:t>
            </w:r>
            <w:r/>
          </w:p>
        </w:tc>
      </w:tr>
      <w:tr>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企业经营业绩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20"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日以来（以合同签订时间为准），承担过类似业绩的（类似业绩指证明材料中含卫星遥感影像获取或遥感监测等相关内容），每提供一个得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注：须提供中标（成交）通知书、采购合同等证明材料的电子件，未同时提供以上各项证明材料的不得分。</w:t>
            </w:r>
            <w:r/>
          </w:p>
        </w:tc>
      </w:tr>
      <w:tr>
        <w:trPr/>
        <w:tc>
          <w:tcPr>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10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人员投入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拟派的项目负责人具有注册测绘师资格证书的，得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拟派的项目负责人具有测绘相关专业高级及以上职称得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）须提供证书证明材料以及</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月以来供应商为其缴纳的任意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个月的社保证明材料（以社保主管部门出具的为准），不提供或提供不全不予计分；（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）如职称证书无法体现专业的，需提供职称评审表证明。</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拟派的技术负责人具有注册测绘师资格证书的，得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拟派的技术负责人具有测绘相关专业高级及以上职称得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）须提供证书证明材料以及</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月以来供应商为其缴纳的任意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个月的社保证明材料（以社保主管部门出具的为准），不提供或提供不全不予计分；（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）如职称证书无法体现专业的，需提供职称评审表证明。</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质量负责人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拟派的质量负责人具有注册测绘师资格证书的，得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拟派的质量负责人具有测绘相关专业高级及以上职称得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）须提供证书证明材料以及</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月以来供应商为其缴纳的任意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个月的社保证明材料（以社保主管部门出具的为准），不提供或提供不全不予计分；（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）如职称证书无法体现专业的，需提供职称评审表证明。</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20" w:type="dxa"/>
            <w:vAlign w:val="center"/>
            <w:textDirection w:val="lrTb"/>
            <w:noWrap w:val="false"/>
          </w:tcPr>
          <w:p>
            <w:pPr>
              <w:ind w:left="0" w:right="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拟派的项目组成员具有测绘相关专业中级及以上职称，</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人（含）以上得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（含）</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人以下得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）须提供证书证明材料以及</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月以来供应商为其缴纳的任意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个月的社保证明材料（以社保主管部门出具的为准），不提供或提供不全不予计分；（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）如职称证书无法体现专业的，需提供职称评审表证明。</w:t>
            </w:r>
            <w:r/>
          </w:p>
        </w:tc>
      </w:tr>
      <w:tr>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0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项目整体实施方案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项目背景及需求的理解</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20"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根据供应商针对本项目的背景及需求的理解进行打分。项目背景理解准确，对国家、省相关政策法规理解透彻的，表述完整且优于采购需求的，得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分；项目背景理解较准确，对国家、省相关政策法规理解较透彻的，能够满足采购需求的，得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分；对项目背景理解不足，对国家、省相关政策法规理解浅显的，基本满足采购需求的，得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分；对项目背景理解片面，对国家、省相关政策法规理解欠缺的，但经过后期优化能满足采购需求，得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分；没有内容或其情况不满足采购需求不得分。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技术服务方案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20"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根据供应商针对正射影像生产、变化图斑信息提取和监测监管系统建设的技术服务方案进行打分。方案详细完整、科学合理，且优于采购需求的，得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分；方案内容基本完整，能够满足采购需求的，得</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分；方案内容笼统但不影响实质性意思表达，基本满足采购需求，得</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分；方案内容片面，但经过后期优化能满足采购需求，得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分；没有内容或其情况不满足采购需求不得分。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质量保障措施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20"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根据供应商针对本项目提供的质量保障措施的科学合理性，完备性等进行打分。对可能产生的质量问题分析归纳条理清楚，采取的质量保障措施具体、有效且优于采购需求的，得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分；对可能产生的质量问题分析归纳较详细、质量保证措施较完整，能够满足本项目采购需求的，得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分；对可能产生的质量问题分析归纳不详细，措施有欠缺但不影响实质性质量保障，基本满足采购需求，得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分；方案内容一般，可行性差的，但经过后期优化能满足采购需求，得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分；没有内容或其情况不满足采购需求的不得分。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1" w:type="dxa"/>
            <w:vAlign w:val="center"/>
            <w:textDirection w:val="lrTb"/>
            <w:noWrap w:val="false"/>
          </w:tcPr>
          <w:p>
            <w:pPr>
              <w:ind w:left="0" w:right="0" w:firstLine="1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进度安排</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20"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根据供应商针对本项目提供的进度安排进行打分。总体进度安排涵盖重要环节、管理措施得当、对于进度落后环节有详细的针对措施且优于采购需求的，得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分；总体安排相对完整、制定的措施较齐全、对于进度落后环节有基本应对措施，能满足采购需求的，得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分；总体进度安排内容笼统但不影响实质性意思表达，基本满足采购需求，得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分；没有针对本项目主要工作内容制定，内容不全面的，进度无法保障的，但经过后期优化能满足采购需求，得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分；没有内容或其情况不满足采购需求的不得分。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安全保密措施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20"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根据供应商针对本项目的保密措施处理方案进行打分，含涉密成果管理、涉密人员培训等。方案完整、合理、科学且便于执行且优于采购需求的，得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分；方案内容基本完整，较为合理科学性能执行，能满足采购需求的，得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分；方案内容笼统但不影响实质性意思表达，基本满足采购需求，得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分；没有内容或其情况不满足采购需求不得分。</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（三）</w:t>
      </w:r>
      <w:r>
        <w:rPr>
          <w:rFonts w:ascii="FangSong" w:hAnsi="FangSong" w:eastAsia="FangSong" w:cs="FangSong"/>
          <w:b/>
          <w:color w:val="000000"/>
          <w:sz w:val="24"/>
        </w:rPr>
        <w:t xml:space="preserve">评标结果。</w:t>
      </w:r>
      <w:r>
        <w:rPr>
          <w:rFonts w:ascii="SimSun" w:hAnsi="SimSun" w:eastAsia="SimSun" w:cs="SimSun"/>
          <w:color w:val="000000"/>
          <w:sz w:val="24"/>
        </w:rPr>
        <w:t xml:space="preserve">磋商小组按照本办法规定推荐成交候选人，并形成评标报告。</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（四）政府采购政策功能落实</w:t>
      </w:r>
      <w:r/>
    </w:p>
    <w:p>
      <w:pPr>
        <w:ind w:left="0" w:right="0" w:firstLine="241"/>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本项目落实的政府采购政策对应以下序号为</w:t>
      </w:r>
      <w:r>
        <w:rPr>
          <w:rFonts w:ascii="Times New Roman" w:hAnsi="Times New Roman" w:eastAsia="Times New Roman" w:cs="Times New Roman"/>
          <w:b/>
          <w:color w:val="000000"/>
          <w:sz w:val="24"/>
          <w:u w:val="single"/>
        </w:rPr>
        <w:t xml:space="preserve">1</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2</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采购本国货物、工程和服务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中小企业政策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w:t>
      </w:r>
      <w:r>
        <w:rPr>
          <w:rFonts w:ascii="SimSun" w:hAnsi="SimSun" w:eastAsia="SimSun" w:cs="SimSun"/>
          <w:color w:val="000000"/>
          <w:sz w:val="24"/>
        </w:rPr>
        <w:t xml:space="preserve">种政策确定本项目落实的中小企业政策：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）本项目专门面向中小企业（含监狱企业、残疾人福利企业）采购。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）供应商提供的货物、工程或者服务符合下列情形的，对小微企业报价给予</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（工程项目为</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numPr>
          <w:ilvl w:val="0"/>
          <w:numId w:val="20"/>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响应声明及承诺函</w:t>
      </w:r>
      <w:r/>
    </w:p>
    <w:p>
      <w:pPr>
        <w:numPr>
          <w:ilvl w:val="0"/>
          <w:numId w:val="20"/>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供应商基本信息</w:t>
      </w:r>
      <w:r/>
    </w:p>
    <w:p>
      <w:pPr>
        <w:numPr>
          <w:ilvl w:val="0"/>
          <w:numId w:val="20"/>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特定资格要求的证明文件</w:t>
      </w:r>
      <w:r/>
    </w:p>
    <w:p>
      <w:pPr>
        <w:numPr>
          <w:ilvl w:val="0"/>
          <w:numId w:val="20"/>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法人授权书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五、中小企业声明函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八、项目组人员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九、企业业绩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十、磋商所需其他材料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w:t>
      </w:r>
      <w:r>
        <w:rPr>
          <w:rFonts w:ascii="SimSun" w:hAnsi="SimSun" w:eastAsia="SimSun" w:cs="SimSun"/>
          <w:b/>
          <w:color w:val="000000"/>
          <w:sz w:val="32"/>
        </w:rPr>
        <w:t xml:space="preserve">响应声明及承诺函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响应声明及承诺函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（采购单位名称）：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根据已收到的项目编号为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项目的竞争性磋商文件，我单位在参加本项目竞争性磋商活动中，特做出如下承诺：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一、我方具备《中华人民共和国政府采购法》第二十二条第一款规定的</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三、我方按磋商文件要求提交响应文件，响应磋商文件规定的响应有效期；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四、如果我方的响应文件被接受，我方将按《中华人民共和国民法典（第三编合同） 》及其他有关法律、法规的规定，按期、按质、按量交付采购单位，全面做到履约守信；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六、我方同意采购人、采购代理机构将本声明及承诺函上网公开。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电子公章）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二、供应商基本信息</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供应商基本情况表</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30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top"/>
            <w:textDirection w:val="lrTb"/>
            <w:noWrap w:val="false"/>
          </w:tcPr>
          <w:p>
            <w:pPr>
              <w:ind w:left="0" w:right="0" w:firstLine="1433"/>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无需提供营业执照等资料，填表即可</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41"/>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五、中小（微）企业声明函（服务）</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59" w:firstLine="624"/>
        <w:jc w:val="right"/>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供应商全称（加盖CA电子公章）：</w:t>
      </w:r>
      <w:r/>
    </w:p>
    <w:p>
      <w:pPr>
        <w:ind w:left="0" w:right="1560" w:firstLine="480"/>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六、分项报价表（分包号：</w:t>
      </w:r>
      <w:r>
        <w:rPr>
          <w:rFonts w:ascii="Times New Roman" w:hAnsi="Times New Roman" w:eastAsia="Times New Roman" w:cs="Times New Roman"/>
          <w:b/>
          <w:color w:val="000000"/>
          <w:sz w:val="32"/>
        </w:rPr>
        <w:t xml:space="preserve">**</w:t>
      </w:r>
      <w:r>
        <w:rPr>
          <w:rFonts w:ascii="SimHei" w:hAnsi="SimHei" w:eastAsia="SimHei" w:cs="SimHei"/>
          <w:b/>
          <w:color w:val="000000"/>
          <w:sz w:val="32"/>
        </w:rPr>
        <w:t xml:space="preserve">）（服务类）</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9"/>
        <w:gridCol w:w="1168"/>
        <w:gridCol w:w="1181"/>
        <w:gridCol w:w="847"/>
        <w:gridCol w:w="1103"/>
        <w:gridCol w:w="1483"/>
        <w:gridCol w:w="164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磋商报价采用总承包方式，供应商的“总报价”应包括采购人需求的服务（包含与服务相关的产品）价格、培训费用及售后服务费用，项目在指定地点、环境交付、安装、调试、验收所需费用和所有相关税金费用及为完成整个项目所产生的其它所有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七、技术要求响应及偏离表（分包号：</w:t>
      </w:r>
      <w:r>
        <w:rPr>
          <w:rFonts w:ascii="Times New Roman" w:hAnsi="Times New Roman" w:eastAsia="Times New Roman" w:cs="Times New Roman"/>
          <w:b/>
          <w:color w:val="000000"/>
          <w:sz w:val="32"/>
        </w:rPr>
        <w:t xml:space="preserve">**</w:t>
      </w:r>
      <w:r>
        <w:rPr>
          <w:rFonts w:ascii="SimHei" w:hAnsi="SimHei" w:eastAsia="SimHei" w:cs="SimHei"/>
          <w:b/>
          <w:color w:val="000000"/>
          <w:sz w:val="32"/>
        </w:rPr>
        <w:t xml:space="preserve">）</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偏离（填报“正偏离、符合或负偏离”）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供应商必须对技术要求和商务要求中的实质性要求（打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内容）做出明确响应，否则作无效响应处理。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如果采购文件要求提供证明材料，供应商必须将证明材料列于该表之下。</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供应商未对实质性要求作出明确响应的，或未按采购文件要求提供证明材料的，该分包作无效响应处理。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八、项目组人员</w:t>
      </w:r>
      <w:r/>
    </w:p>
    <w:p>
      <w:pPr>
        <w:ind w:left="0" w:right="0" w:firstLine="0"/>
        <w:jc w:val="center"/>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398"/>
        <w:spacing w:before="100" w:after="10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注：如供应商成交，项目组成员必须按本表承诺人员操作，不得随意更换。按磋商文件要求附相关人员证书。</w:t>
      </w:r>
      <w:r/>
    </w:p>
    <w:p>
      <w:pPr>
        <w:ind w:left="0" w:right="0" w:firstLine="280"/>
        <w:spacing w:before="100" w:after="1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九、企业业绩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供应商承担类似项目业绩一览表</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十、磋商所需其他材料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请在此文档中增加磋商所需其他相关内容（包括资格要求、评分办法、采购需求中涉及的证件证明及其它供应商认为有必要提供的资料），如没有请将此空文档上传。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name w:val="Heading 1"/>
    <w:link w:val="665"/>
    <w:uiPriority w:val="9"/>
    <w:qFormat/>
    <w:pPr>
      <w:keepLines/>
      <w:keepNext/>
      <w:spacing w:before="480" w:after="200"/>
      <w:outlineLvl w:val="0"/>
    </w:pPr>
    <w:rPr>
      <w:rFonts w:ascii="Arial" w:hAnsi="Arial" w:eastAsia="Arial" w:cs="Arial"/>
      <w:sz w:val="40"/>
      <w:szCs w:val="40"/>
    </w:rPr>
  </w:style>
  <w:style w:type="character" w:styleId="665">
    <w:name w:val="Heading 1 Char"/>
    <w:link w:val="664"/>
    <w:uiPriority w:val="9"/>
    <w:rPr>
      <w:rFonts w:ascii="Arial" w:hAnsi="Arial" w:eastAsia="Arial" w:cs="Arial"/>
      <w:sz w:val="40"/>
      <w:szCs w:val="40"/>
    </w:rPr>
  </w:style>
  <w:style w:type="paragraph" w:styleId="666">
    <w:name w:val="Heading 2"/>
    <w:link w:val="667"/>
    <w:uiPriority w:val="9"/>
    <w:unhideWhenUsed/>
    <w:qFormat/>
    <w:pPr>
      <w:keepLines/>
      <w:keepNext/>
      <w:spacing w:before="360" w:after="200"/>
      <w:outlineLvl w:val="1"/>
    </w:pPr>
    <w:rPr>
      <w:rFonts w:ascii="Arial" w:hAnsi="Arial" w:eastAsia="Arial" w:cs="Arial"/>
      <w:sz w:val="34"/>
    </w:rPr>
  </w:style>
  <w:style w:type="character" w:styleId="667">
    <w:name w:val="Heading 2 Char"/>
    <w:link w:val="666"/>
    <w:uiPriority w:val="9"/>
    <w:rPr>
      <w:rFonts w:ascii="Arial" w:hAnsi="Arial" w:eastAsia="Arial" w:cs="Arial"/>
      <w:sz w:val="34"/>
    </w:rPr>
  </w:style>
  <w:style w:type="paragraph" w:styleId="668">
    <w:name w:val="Heading 3"/>
    <w:link w:val="669"/>
    <w:uiPriority w:val="9"/>
    <w:unhideWhenUsed/>
    <w:qFormat/>
    <w:pPr>
      <w:keepLines/>
      <w:keepNext/>
      <w:spacing w:before="320" w:after="200"/>
      <w:outlineLvl w:val="2"/>
    </w:pPr>
    <w:rPr>
      <w:rFonts w:ascii="Arial" w:hAnsi="Arial" w:eastAsia="Arial" w:cs="Arial"/>
      <w:sz w:val="30"/>
      <w:szCs w:val="30"/>
    </w:rPr>
  </w:style>
  <w:style w:type="character" w:styleId="669">
    <w:name w:val="Heading 3 Char"/>
    <w:link w:val="668"/>
    <w:uiPriority w:val="9"/>
    <w:rPr>
      <w:rFonts w:ascii="Arial" w:hAnsi="Arial" w:eastAsia="Arial" w:cs="Arial"/>
      <w:sz w:val="30"/>
      <w:szCs w:val="30"/>
    </w:rPr>
  </w:style>
  <w:style w:type="paragraph" w:styleId="670">
    <w:name w:val="Heading 4"/>
    <w:link w:val="671"/>
    <w:uiPriority w:val="9"/>
    <w:unhideWhenUsed/>
    <w:qFormat/>
    <w:pPr>
      <w:keepLines/>
      <w:keepNext/>
      <w:spacing w:before="320" w:after="200"/>
      <w:outlineLvl w:val="3"/>
    </w:pPr>
    <w:rPr>
      <w:rFonts w:ascii="Arial" w:hAnsi="Arial" w:eastAsia="Arial" w:cs="Arial"/>
      <w:b/>
      <w:bCs/>
      <w:sz w:val="26"/>
      <w:szCs w:val="26"/>
    </w:rPr>
  </w:style>
  <w:style w:type="character" w:styleId="671">
    <w:name w:val="Heading 4 Char"/>
    <w:link w:val="670"/>
    <w:uiPriority w:val="9"/>
    <w:rPr>
      <w:rFonts w:ascii="Arial" w:hAnsi="Arial" w:eastAsia="Arial" w:cs="Arial"/>
      <w:b/>
      <w:bCs/>
      <w:sz w:val="26"/>
      <w:szCs w:val="26"/>
    </w:rPr>
  </w:style>
  <w:style w:type="paragraph" w:styleId="672">
    <w:name w:val="Heading 5"/>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link w:val="672"/>
    <w:uiPriority w:val="9"/>
    <w:rPr>
      <w:rFonts w:ascii="Arial" w:hAnsi="Arial" w:eastAsia="Arial" w:cs="Arial"/>
      <w:b/>
      <w:bCs/>
      <w:sz w:val="24"/>
      <w:szCs w:val="24"/>
    </w:rPr>
  </w:style>
  <w:style w:type="paragraph" w:styleId="674">
    <w:name w:val="Heading 6"/>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link w:val="674"/>
    <w:uiPriority w:val="9"/>
    <w:rPr>
      <w:rFonts w:ascii="Arial" w:hAnsi="Arial" w:eastAsia="Arial" w:cs="Arial"/>
      <w:b/>
      <w:bCs/>
      <w:sz w:val="22"/>
      <w:szCs w:val="22"/>
    </w:rPr>
  </w:style>
  <w:style w:type="paragraph" w:styleId="676">
    <w:name w:val="Heading 7"/>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link w:val="676"/>
    <w:uiPriority w:val="9"/>
    <w:rPr>
      <w:rFonts w:ascii="Arial" w:hAnsi="Arial" w:eastAsia="Arial" w:cs="Arial"/>
      <w:b/>
      <w:bCs/>
      <w:i/>
      <w:iCs/>
      <w:sz w:val="22"/>
      <w:szCs w:val="22"/>
    </w:rPr>
  </w:style>
  <w:style w:type="paragraph" w:styleId="678">
    <w:name w:val="Heading 8"/>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link w:val="678"/>
    <w:uiPriority w:val="9"/>
    <w:rPr>
      <w:rFonts w:ascii="Arial" w:hAnsi="Arial" w:eastAsia="Arial" w:cs="Arial"/>
      <w:i/>
      <w:iCs/>
      <w:sz w:val="22"/>
      <w:szCs w:val="22"/>
    </w:rPr>
  </w:style>
  <w:style w:type="paragraph" w:styleId="680">
    <w:name w:val="Heading 9"/>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link w:val="680"/>
    <w:uiPriority w:val="9"/>
    <w:rPr>
      <w:rFonts w:ascii="Arial" w:hAnsi="Arial" w:eastAsia="Arial" w:cs="Arial"/>
      <w:i/>
      <w:iCs/>
      <w:sz w:val="21"/>
      <w:szCs w:val="21"/>
    </w:rPr>
  </w:style>
  <w:style w:type="paragraph" w:styleId="682">
    <w:name w:val="List Paragraph"/>
    <w:uiPriority w:val="34"/>
    <w:qFormat/>
    <w:pPr>
      <w:contextualSpacing/>
      <w:ind w:left="720"/>
    </w:pPr>
  </w:style>
  <w:style w:type="paragraph" w:styleId="683">
    <w:name w:val="No Spacing"/>
    <w:uiPriority w:val="1"/>
    <w:qFormat/>
    <w:pPr>
      <w:spacing w:before="0" w:after="0" w:line="240" w:lineRule="auto"/>
    </w:pPr>
  </w:style>
  <w:style w:type="paragraph" w:styleId="684">
    <w:name w:val="Title"/>
    <w:link w:val="685"/>
    <w:uiPriority w:val="10"/>
    <w:qFormat/>
    <w:pPr>
      <w:contextualSpacing/>
      <w:spacing w:before="300" w:after="200"/>
    </w:pPr>
    <w:rPr>
      <w:sz w:val="48"/>
      <w:szCs w:val="48"/>
    </w:rPr>
  </w:style>
  <w:style w:type="character" w:styleId="685">
    <w:name w:val="Title Char"/>
    <w:link w:val="684"/>
    <w:uiPriority w:val="10"/>
    <w:rPr>
      <w:sz w:val="48"/>
      <w:szCs w:val="48"/>
    </w:rPr>
  </w:style>
  <w:style w:type="paragraph" w:styleId="686">
    <w:name w:val="Subtitle"/>
    <w:link w:val="687"/>
    <w:uiPriority w:val="11"/>
    <w:qFormat/>
    <w:pPr>
      <w:spacing w:before="200" w:after="200"/>
    </w:pPr>
    <w:rPr>
      <w:sz w:val="24"/>
      <w:szCs w:val="24"/>
    </w:rPr>
  </w:style>
  <w:style w:type="character" w:styleId="687">
    <w:name w:val="Subtitle Char"/>
    <w:link w:val="686"/>
    <w:uiPriority w:val="11"/>
    <w:rPr>
      <w:sz w:val="24"/>
      <w:szCs w:val="24"/>
    </w:rPr>
  </w:style>
  <w:style w:type="paragraph" w:styleId="688">
    <w:name w:val="Quote"/>
    <w:link w:val="689"/>
    <w:uiPriority w:val="29"/>
    <w:qFormat/>
    <w:pPr>
      <w:ind w:left="720" w:right="720"/>
    </w:pPr>
    <w:rPr>
      <w:i/>
    </w:rPr>
  </w:style>
  <w:style w:type="character" w:styleId="689">
    <w:name w:val="Quote Char"/>
    <w:link w:val="688"/>
    <w:uiPriority w:val="29"/>
    <w:rPr>
      <w:i/>
    </w:rPr>
  </w:style>
  <w:style w:type="paragraph" w:styleId="690">
    <w:name w:val="Intense Quote"/>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name w:val="Intense Quote Char"/>
    <w:link w:val="690"/>
    <w:uiPriority w:val="30"/>
    <w:rPr>
      <w:i/>
    </w:rPr>
  </w:style>
  <w:style w:type="paragraph" w:styleId="692">
    <w:name w:val="Header"/>
    <w:link w:val="693"/>
    <w:uiPriority w:val="99"/>
    <w:unhideWhenUsed/>
    <w:pPr>
      <w:spacing w:after="0" w:line="240" w:lineRule="auto"/>
      <w:tabs>
        <w:tab w:val="center" w:pos="7143" w:leader="none"/>
        <w:tab w:val="right" w:pos="14287" w:leader="none"/>
      </w:tabs>
    </w:pPr>
  </w:style>
  <w:style w:type="character" w:styleId="693">
    <w:name w:val="Header Char"/>
    <w:link w:val="692"/>
    <w:uiPriority w:val="99"/>
  </w:style>
  <w:style w:type="paragraph" w:styleId="694">
    <w:name w:val="Footer"/>
    <w:link w:val="697"/>
    <w:uiPriority w:val="99"/>
    <w:unhideWhenUsed/>
    <w:pPr>
      <w:spacing w:after="0" w:line="240" w:lineRule="auto"/>
      <w:tabs>
        <w:tab w:val="center" w:pos="7143" w:leader="none"/>
        <w:tab w:val="right" w:pos="14287" w:leader="none"/>
      </w:tabs>
    </w:pPr>
  </w:style>
  <w:style w:type="character" w:styleId="695">
    <w:name w:val="Footer Char"/>
    <w:link w:val="694"/>
    <w:uiPriority w:val="99"/>
  </w:style>
  <w:style w:type="paragraph" w:styleId="696">
    <w:name w:val="Caption"/>
    <w:uiPriority w:val="35"/>
    <w:semiHidden/>
    <w:unhideWhenUsed/>
    <w:qFormat/>
    <w:pPr>
      <w:spacing w:line="276" w:lineRule="auto"/>
    </w:pPr>
    <w:rPr>
      <w:b/>
      <w:bCs/>
      <w:color w:val="4f81bd" w:themeColor="accent1"/>
      <w:sz w:val="18"/>
      <w:szCs w:val="18"/>
    </w:rPr>
  </w:style>
  <w:style w:type="character" w:styleId="697">
    <w:name w:val="Caption Char"/>
    <w:basedOn w:val="696"/>
    <w:link w:val="694"/>
    <w:uiPriority w:val="99"/>
  </w:style>
  <w:style w:type="table" w:styleId="6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4">
    <w:name w:val="Hyperlink"/>
    <w:uiPriority w:val="99"/>
    <w:unhideWhenUsed/>
    <w:rPr>
      <w:color w:val="0000ff" w:themeColor="hyperlink"/>
      <w:u w:val="single"/>
    </w:rPr>
  </w:style>
  <w:style w:type="paragraph" w:styleId="825">
    <w:name w:val="footnote text"/>
    <w:link w:val="826"/>
    <w:uiPriority w:val="99"/>
    <w:semiHidden/>
    <w:unhideWhenUsed/>
    <w:pPr>
      <w:spacing w:after="40" w:line="240" w:lineRule="auto"/>
    </w:pPr>
    <w:rPr>
      <w:sz w:val="18"/>
    </w:rPr>
  </w:style>
  <w:style w:type="character" w:styleId="826">
    <w:name w:val="Footnote Text Char"/>
    <w:link w:val="825"/>
    <w:uiPriority w:val="99"/>
    <w:rPr>
      <w:sz w:val="18"/>
    </w:rPr>
  </w:style>
  <w:style w:type="character" w:styleId="827">
    <w:name w:val="footnote reference"/>
    <w:uiPriority w:val="99"/>
    <w:unhideWhenUsed/>
    <w:rPr>
      <w:vertAlign w:val="superscript"/>
    </w:rPr>
  </w:style>
  <w:style w:type="paragraph" w:styleId="828">
    <w:name w:val="endnote text"/>
    <w:link w:val="829"/>
    <w:uiPriority w:val="99"/>
    <w:semiHidden/>
    <w:unhideWhenUsed/>
    <w:pPr>
      <w:spacing w:after="0" w:line="240" w:lineRule="auto"/>
    </w:pPr>
    <w:rPr>
      <w:sz w:val="20"/>
    </w:rPr>
  </w:style>
  <w:style w:type="character" w:styleId="829">
    <w:name w:val="Endnote Text Char"/>
    <w:link w:val="828"/>
    <w:uiPriority w:val="99"/>
    <w:rPr>
      <w:sz w:val="20"/>
    </w:rPr>
  </w:style>
  <w:style w:type="character" w:styleId="830">
    <w:name w:val="endnote reference"/>
    <w:uiPriority w:val="99"/>
    <w:semiHidden/>
    <w:unhideWhenUsed/>
    <w:rPr>
      <w:vertAlign w:val="superscript"/>
    </w:rPr>
  </w:style>
  <w:style w:type="paragraph" w:styleId="831">
    <w:name w:val="toc 1"/>
    <w:uiPriority w:val="39"/>
    <w:unhideWhenUsed/>
    <w:pPr>
      <w:ind w:left="0" w:right="0" w:firstLine="0"/>
      <w:spacing w:after="57"/>
    </w:pPr>
  </w:style>
  <w:style w:type="paragraph" w:styleId="832">
    <w:name w:val="toc 2"/>
    <w:uiPriority w:val="39"/>
    <w:unhideWhenUsed/>
    <w:pPr>
      <w:ind w:left="283" w:right="0" w:firstLine="0"/>
      <w:spacing w:after="57"/>
    </w:pPr>
  </w:style>
  <w:style w:type="paragraph" w:styleId="833">
    <w:name w:val="toc 3"/>
    <w:uiPriority w:val="39"/>
    <w:unhideWhenUsed/>
    <w:pPr>
      <w:ind w:left="567" w:right="0" w:firstLine="0"/>
      <w:spacing w:after="57"/>
    </w:pPr>
  </w:style>
  <w:style w:type="paragraph" w:styleId="834">
    <w:name w:val="toc 4"/>
    <w:uiPriority w:val="39"/>
    <w:unhideWhenUsed/>
    <w:pPr>
      <w:ind w:left="850" w:right="0" w:firstLine="0"/>
      <w:spacing w:after="57"/>
    </w:pPr>
  </w:style>
  <w:style w:type="paragraph" w:styleId="835">
    <w:name w:val="toc 5"/>
    <w:uiPriority w:val="39"/>
    <w:unhideWhenUsed/>
    <w:pPr>
      <w:ind w:left="1134" w:right="0" w:firstLine="0"/>
      <w:spacing w:after="57"/>
    </w:pPr>
  </w:style>
  <w:style w:type="paragraph" w:styleId="836">
    <w:name w:val="toc 6"/>
    <w:uiPriority w:val="39"/>
    <w:unhideWhenUsed/>
    <w:pPr>
      <w:ind w:left="1417" w:right="0" w:firstLine="0"/>
      <w:spacing w:after="57"/>
    </w:pPr>
  </w:style>
  <w:style w:type="paragraph" w:styleId="837">
    <w:name w:val="toc 7"/>
    <w:uiPriority w:val="39"/>
    <w:unhideWhenUsed/>
    <w:pPr>
      <w:ind w:left="1701" w:right="0" w:firstLine="0"/>
      <w:spacing w:after="57"/>
    </w:pPr>
  </w:style>
  <w:style w:type="paragraph" w:styleId="838">
    <w:name w:val="toc 8"/>
    <w:uiPriority w:val="39"/>
    <w:unhideWhenUsed/>
    <w:pPr>
      <w:ind w:left="1984" w:right="0" w:firstLine="0"/>
      <w:spacing w:after="57"/>
    </w:pPr>
  </w:style>
  <w:style w:type="paragraph" w:styleId="839">
    <w:name w:val="toc 9"/>
    <w:uiPriority w:val="39"/>
    <w:unhideWhenUsed/>
    <w:pPr>
      <w:ind w:left="2268" w:right="0" w:firstLine="0"/>
      <w:spacing w:after="57"/>
    </w:pPr>
  </w:style>
  <w:style w:type="paragraph" w:styleId="840">
    <w:name w:val="TOC Heading"/>
    <w:uiPriority w:val="39"/>
    <w:unhideWhenUsed/>
  </w:style>
  <w:style w:type="paragraph" w:styleId="841">
    <w:name w:val="table of figures"/>
    <w:uiPriority w:val="99"/>
    <w:unhideWhenUsed/>
    <w:pPr>
      <w:spacing w:after="0" w:afterAutospacing="0"/>
    </w:pPr>
  </w:style>
  <w:style w:type="character" w:styleId="842" w:default="1">
    <w:name w:val="Default Paragraph Font"/>
    <w:uiPriority w:val="1"/>
    <w:semiHidden/>
    <w:unhideWhenUsed/>
  </w:style>
  <w:style w:type="numbering" w:styleId="843" w:default="1">
    <w:name w:val="No List"/>
    <w:uiPriority w:val="99"/>
    <w:semiHidden/>
    <w:unhideWhenUsed/>
  </w:style>
  <w:style w:type="paragraph" w:styleId="844" w:default="1">
    <w:name w:val="Normal"/>
    <w:qFormat/>
  </w:style>
  <w:style w:type="table" w:styleId="8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沈鹏程</cp:lastModifiedBy>
  <cp:revision>4</cp:revision>
  <dcterms:created xsi:type="dcterms:W3CDTF">2026-10-15T10:15:24Z</dcterms:created>
  <dcterms:modified xsi:type="dcterms:W3CDTF">2026-10-16T04:59:39Z</dcterms:modified>
</cp:coreProperties>
</file>