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ind w:firstLine="0"/>
        <w:jc w:val="center"/>
        <w:spacing w:line="480" w:lineRule="exact"/>
        <w:rPr>
          <w:sz w:val="28"/>
          <w:highlight w:val="none"/>
        </w:rPr>
      </w:pPr>
      <w:r>
        <w:rPr>
          <w:sz w:val="28"/>
          <w:highlight w:val="none"/>
        </w:rPr>
      </w:r>
      <w:r/>
    </w:p>
    <w:p>
      <w:pPr>
        <w:pStyle w:val="747"/>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7"/>
        <w:ind w:firstLine="0"/>
        <w:jc w:val="center"/>
        <w:spacing w:line="480" w:lineRule="exact"/>
        <w:rPr>
          <w:sz w:val="28"/>
          <w:highlight w:val="none"/>
        </w:rPr>
      </w:pPr>
      <w:r>
        <w:rPr>
          <w:sz w:val="28"/>
          <w:highlight w:val="none"/>
        </w:rPr>
      </w:r>
      <w:r/>
    </w:p>
    <w:p>
      <w:pPr>
        <w:pStyle w:val="747"/>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南通市启秀中学滨江校区舞蹈房设备采购项目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149</w:t>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pStyle w:val="747"/>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7"/>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10</w:t>
      </w:r>
      <w:r>
        <w:rPr>
          <w:rFonts w:hint="eastAsia" w:ascii="宋体" w:hAnsi="宋体"/>
          <w:color w:val="000000"/>
          <w:sz w:val="32"/>
          <w:highlight w:val="none"/>
        </w:rPr>
        <w:t xml:space="preserve">月</w:t>
      </w:r>
      <w:r/>
    </w:p>
    <w:p>
      <w:pPr>
        <w:pStyle w:val="747"/>
        <w:ind w:firstLine="0"/>
        <w:jc w:val="center"/>
        <w:spacing w:line="480" w:lineRule="exact"/>
        <w:rPr>
          <w:sz w:val="28"/>
          <w:highlight w:val="none"/>
        </w:rPr>
      </w:pPr>
      <w:r>
        <w:rPr>
          <w:highlight w:val="none"/>
          <w:lang w:eastAsia="zh-CN"/>
        </w:rPr>
        <w:br w:type="page" w:clear="all"/>
      </w:r>
      <w:r/>
    </w:p>
    <w:p>
      <w:pPr>
        <w:pStyle w:val="747"/>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3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rFonts w:hint="eastAsia"/>
              <w:sz w:val="36"/>
              <w:szCs w:val="32"/>
              <w:highlight w:val="none"/>
              <w:lang w:val="en-US" w:eastAsia="zh-CN"/>
            </w:rPr>
            <w:t xml:space="preserve">6</w:t>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rFonts w:hint="default"/>
              <w:sz w:val="36"/>
              <w:szCs w:val="32"/>
              <w:highlight w:val="none"/>
              <w:lang w:val="en-US"/>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rFonts w:hint="eastAsia"/>
              <w:sz w:val="36"/>
              <w:szCs w:val="32"/>
              <w:highlight w:val="none"/>
              <w:lang w:val="en-US" w:eastAsia="zh-CN"/>
            </w:rPr>
            <w:t xml:space="preserve">1</w:t>
          </w:r>
          <w:r>
            <w:rPr>
              <w:sz w:val="36"/>
              <w:szCs w:val="32"/>
              <w:highlight w:val="none"/>
              <w:lang w:eastAsia="zh-CN"/>
            </w:rPr>
            <w:fldChar w:fldCharType="end"/>
          </w:r>
          <w:r>
            <w:rPr>
              <w:rFonts w:hint="eastAsia"/>
              <w:sz w:val="36"/>
              <w:szCs w:val="32"/>
              <w:highlight w:val="none"/>
              <w:lang w:val="en-US" w:eastAsia="zh-CN"/>
            </w:rPr>
            <w:t xml:space="preserve">9</w:t>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w:t>
          </w:r>
          <w:r>
            <w:rPr>
              <w:rFonts w:hint="eastAsia"/>
              <w:sz w:val="36"/>
              <w:szCs w:val="32"/>
              <w:highlight w:val="none"/>
              <w:lang w:val="en-US" w:eastAsia="zh-CN"/>
            </w:rPr>
            <w:t xml:space="preserve">5</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w:t>
          </w:r>
          <w:r>
            <w:rPr>
              <w:rFonts w:hint="eastAsia"/>
              <w:sz w:val="36"/>
              <w:szCs w:val="32"/>
              <w:highlight w:val="none"/>
              <w:lang w:val="en-US" w:eastAsia="zh-CN"/>
            </w:rPr>
            <w:t xml:space="preserve">4</w:t>
          </w:r>
          <w:r>
            <w:rPr>
              <w:sz w:val="36"/>
              <w:szCs w:val="32"/>
              <w:highlight w:val="none"/>
            </w:rPr>
            <w:fldChar w:fldCharType="end"/>
          </w:r>
          <w:r>
            <w:rPr>
              <w:sz w:val="36"/>
              <w:szCs w:val="32"/>
              <w:highlight w:val="none"/>
              <w:lang w:eastAsia="zh-CN"/>
            </w:rPr>
            <w:fldChar w:fldCharType="end"/>
          </w:r>
          <w:r/>
        </w:p>
        <w:p>
          <w:pPr>
            <w:pStyle w:val="747"/>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7"/>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南通市启秀中学滨江校区舞蹈房设备采购项目</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7"/>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149</w:t>
      </w:r>
      <w:r/>
    </w:p>
    <w:p>
      <w:pPr>
        <w:pStyle w:val="747"/>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szCs w:val="28"/>
          <w:highlight w:val="none"/>
        </w:rPr>
        <w:t xml:space="preserve">南通市启秀中学滨江校区舞蹈房设备采购项目</w:t>
      </w:r>
      <w:r/>
    </w:p>
    <w:p>
      <w:pPr>
        <w:pStyle w:val="747"/>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6</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6</w:t>
      </w:r>
      <w:bookmarkStart w:id="14" w:name="_GoBack"/>
      <w:r/>
      <w:bookmarkEnd w:id="14"/>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highlight w:val="none"/>
          <w:lang w:val="en-US" w:eastAsia="zh-CN"/>
        </w:rPr>
        <w:t xml:space="preserve">音乐、舞蹈</w:t>
      </w:r>
      <w:r>
        <w:rPr>
          <w:rFonts w:hint="eastAsia" w:ascii="仿宋" w:hAnsi="仿宋" w:eastAsia="仿宋" w:cs="仿宋"/>
          <w:sz w:val="28"/>
          <w:highlight w:val="none"/>
          <w:lang w:eastAsia="zh-CN"/>
        </w:rPr>
        <w:t xml:space="preserve">教学设备</w:t>
      </w:r>
      <w:r>
        <w:rPr>
          <w:rFonts w:hint="eastAsia" w:ascii="仿宋" w:hAnsi="仿宋" w:eastAsia="仿宋" w:cs="仿宋"/>
          <w:sz w:val="28"/>
          <w:szCs w:val="28"/>
          <w:highlight w:val="none"/>
        </w:rPr>
        <w:t xml:space="preserve">。</w:t>
      </w:r>
      <w:r/>
    </w:p>
    <w:p>
      <w:pPr>
        <w:ind w:firstLine="560"/>
        <w:keepLines w:val="0"/>
        <w:keepNext w:val="0"/>
        <w:pageBreakBefore w:val="0"/>
        <w:spacing w:after="62"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szCs w:val="28"/>
          <w:highlight w:val="none"/>
          <w:lang w:val="en-US" w:eastAsia="en-US" w:bidi="ar-SA"/>
        </w:rPr>
        <w:t xml:space="preserve">合同签订后，</w:t>
      </w:r>
      <w:r>
        <w:rPr>
          <w:rFonts w:hint="eastAsia" w:ascii="仿宋" w:hAnsi="仿宋" w:eastAsia="仿宋" w:cs="仿宋"/>
          <w:sz w:val="28"/>
          <w:szCs w:val="28"/>
          <w:highlight w:val="none"/>
          <w:lang w:val="en-US" w:eastAsia="zh-CN" w:bidi="ar-SA"/>
        </w:rPr>
        <w:t xml:space="preserve">25</w:t>
      </w:r>
      <w:r>
        <w:rPr>
          <w:rFonts w:hint="eastAsia" w:ascii="仿宋" w:hAnsi="仿宋" w:eastAsia="仿宋" w:cs="仿宋"/>
          <w:sz w:val="28"/>
          <w:szCs w:val="28"/>
          <w:highlight w:val="none"/>
          <w:lang w:val="en-US" w:eastAsia="en-US" w:bidi="ar-SA"/>
        </w:rPr>
        <w:t xml:space="preserve">个日历天内完成供货、安装</w:t>
      </w:r>
      <w:r>
        <w:rPr>
          <w:rFonts w:hint="eastAsia" w:ascii="仿宋" w:hAnsi="仿宋" w:eastAsia="仿宋" w:cs="仿宋"/>
          <w:sz w:val="28"/>
          <w:szCs w:val="28"/>
          <w:highlight w:val="none"/>
          <w:lang w:val="en-US" w:eastAsia="zh-CN" w:bidi="ar-SA"/>
        </w:rPr>
        <w:t xml:space="preserve">。</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2"/>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2"/>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15</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月15</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2"/>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2"/>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2"/>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7"/>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南通市启秀中学</w:t>
      </w:r>
      <w:r/>
    </w:p>
    <w:p>
      <w:pPr>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南通市跃龙路74号</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殷老师</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0513-81125570</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2"/>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2"/>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7"/>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7"/>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7"/>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7"/>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7"/>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7"/>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7"/>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7"/>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7"/>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7"/>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7"/>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47"/>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7"/>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7"/>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7"/>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7"/>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7"/>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7"/>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2"/>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color w:val="000000"/>
          <w:sz w:val="28"/>
          <w:szCs w:val="28"/>
          <w:highlight w:val="none"/>
        </w:rPr>
      </w:pPr>
      <w:r>
        <w:rPr>
          <w:color w:val="000000"/>
          <w:sz w:val="28"/>
          <w:szCs w:val="28"/>
          <w:highlight w:val="none"/>
        </w:rPr>
      </w:r>
      <w:r/>
    </w:p>
    <w:p>
      <w:pPr>
        <w:pStyle w:val="747"/>
        <w:ind w:firstLine="0"/>
        <w:jc w:val="center"/>
        <w:rPr>
          <w:rFonts w:hint="eastAsia"/>
          <w:highlight w:val="none"/>
        </w:rPr>
      </w:pPr>
      <w:r>
        <w:rPr>
          <w:rFonts w:hint="eastAsia"/>
          <w:highlight w:val="none"/>
        </w:rPr>
      </w:r>
      <w:r/>
    </w:p>
    <w:p>
      <w:pPr>
        <w:pStyle w:val="906"/>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6"/>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7"/>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7"/>
        <w:ind w:left="0" w:firstLine="420"/>
        <w:spacing w:after="0" w:line="400" w:lineRule="exact"/>
        <w:rPr>
          <w:rFonts w:ascii="宋体" w:hAnsi="宋体"/>
          <w:szCs w:val="21"/>
          <w:highlight w:val="none"/>
        </w:rPr>
      </w:pPr>
      <w:r>
        <w:rPr>
          <w:rFonts w:ascii="宋体" w:hAnsi="宋体"/>
          <w:szCs w:val="21"/>
          <w:highlight w:val="none"/>
        </w:rPr>
      </w:r>
      <w:r/>
    </w:p>
    <w:p>
      <w:pPr>
        <w:pStyle w:val="907"/>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7"/>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7"/>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7"/>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2"/>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2"/>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2"/>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2"/>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2"/>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2"/>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2"/>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2"/>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2"/>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3"/>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2"/>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2"/>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2"/>
        <w:rPr>
          <w:rFonts w:ascii="宋体" w:hAnsi="宋体" w:eastAsia="宋体" w:cs="宋体"/>
          <w:color w:val="000000"/>
          <w:sz w:val="21"/>
          <w:highlight w:val="none"/>
        </w:rPr>
      </w:pPr>
      <w:r>
        <w:rPr>
          <w:highlight w:val="none"/>
        </w:rPr>
        <w:br w:type="page" w:clear="all"/>
      </w:r>
      <w:r/>
    </w:p>
    <w:p>
      <w:pPr>
        <w:pStyle w:val="94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7"/>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2"/>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2"/>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7"/>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2"/>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11"/>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1"/>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2"/>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2"/>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2"/>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2"/>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2"/>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2"/>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2"/>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2"/>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7"/>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7"/>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keepLines w:val="0"/>
        <w:keepNext w:val="0"/>
        <w:pageBreakBefore w:val="0"/>
        <w:spacing w:after="62" w:line="440" w:lineRule="exact"/>
        <w:widowControl w:val="off"/>
        <w:rPr>
          <w:rFonts w:hint="eastAsia" w:eastAsia="仿宋" w:cs="Times New Roman"/>
          <w:b/>
          <w:bCs/>
          <w:color w:val="auto"/>
          <w:sz w:val="24"/>
          <w:highlight w:val="none"/>
          <w:lang w:val="en-US" w:eastAsia="zh-CN"/>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钢琴</w:t>
      </w:r>
      <w:r/>
    </w:p>
    <w:p>
      <w:pPr>
        <w:keepLines w:val="0"/>
        <w:keepNext w:val="0"/>
        <w:pageBreakBefore w:val="0"/>
        <w:spacing w:after="62" w:line="44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项目最高限价：6万元</w:t>
      </w:r>
      <w:r>
        <w:rPr>
          <w:rFonts w:hint="eastAsia" w:ascii="Times New Roman" w:hAnsi="Times New Roman" w:eastAsia="仿宋" w:cs="Times New Roman"/>
          <w:b/>
          <w:sz w:val="28"/>
          <w:szCs w:val="28"/>
          <w:highlight w:val="none"/>
          <w:lang w:val="en-US" w:eastAsia="zh-CN"/>
        </w:rPr>
      </w:r>
    </w:p>
    <w:p>
      <w:pPr>
        <w:keepLines w:val="0"/>
        <w:keepNext w:val="0"/>
        <w:pageBreakBefore w:val="0"/>
        <w:spacing w:after="62" w:line="440" w:lineRule="exact"/>
        <w:widowControl w:val="off"/>
        <w:rPr>
          <w:rFonts w:hint="eastAsia" w:ascii="Times New Roman" w:hAnsi="Times New Roman" w:eastAsia="仿宋" w:cs="Times New Roman"/>
          <w:b/>
          <w:bCs/>
          <w:sz w:val="28"/>
          <w:szCs w:val="28"/>
          <w:highlight w:val="none"/>
          <w:lang w:val="en-US" w:eastAsia="zh-CN"/>
        </w:rPr>
      </w:pPr>
      <w:r>
        <w:rPr>
          <w:rFonts w:hint="eastAsia" w:ascii="仿宋" w:hAnsi="仿宋" w:eastAsia="仿宋" w:cs="仿宋"/>
          <w:b/>
          <w:color w:val="000000"/>
          <w:sz w:val="24"/>
          <w:szCs w:val="24"/>
          <w:highlight w:val="none"/>
          <w:lang w:val="en-US" w:eastAsia="zh-CN" w:bidi="ar-SA"/>
        </w:rPr>
      </w:r>
      <w:r>
        <w:rPr>
          <w:rFonts w:ascii="FangSong" w:hAnsi="FangSong" w:eastAsia="FangSong" w:cs="FangSong"/>
          <w:b/>
          <w:color w:val="000000"/>
          <w:sz w:val="24"/>
        </w:rPr>
        <w:t xml:space="preserve">本项目产品所属行业：工业</w:t>
      </w:r>
      <w:r>
        <w:rPr>
          <w:rFonts w:hint="eastAsia" w:ascii="仿宋" w:hAnsi="仿宋" w:eastAsia="仿宋" w:cs="仿宋"/>
          <w:b/>
          <w:color w:val="000000"/>
          <w:sz w:val="24"/>
          <w:szCs w:val="24"/>
          <w:highlight w:val="none"/>
          <w:lang w:val="en-US" w:eastAsia="zh-CN" w:bidi="ar-SA"/>
        </w:rPr>
      </w:r>
      <w:r>
        <w:rPr>
          <w:rFonts w:hint="eastAsia" w:ascii="Times New Roman" w:hAnsi="Times New Roman" w:eastAsia="仿宋" w:cs="Times New Roman"/>
          <w:b/>
          <w:sz w:val="28"/>
          <w:szCs w:val="28"/>
          <w:highlight w:val="none"/>
          <w:lang w:val="en-US" w:eastAsia="zh-CN"/>
        </w:rPr>
        <w:t xml:space="preserve">  </w:t>
      </w:r>
      <w:r/>
      <w:r/>
    </w:p>
    <w:p>
      <w:pPr>
        <w:keepLines w:val="0"/>
        <w:keepNext w:val="0"/>
        <w:pageBreakBefore w:val="0"/>
        <w:spacing w:after="62" w:line="440" w:lineRule="exact"/>
        <w:widowControl w:val="off"/>
        <w:rPr>
          <w:rFonts w:hint="default" w:ascii="Times New Roman" w:hAnsi="Times New Roman" w:eastAsia="仿宋" w:cs="Times New Roman"/>
          <w:b/>
          <w:sz w:val="28"/>
          <w:szCs w:val="28"/>
          <w:highlight w:val="none"/>
          <w:lang w:val="en-US" w:eastAsia="zh-CN"/>
        </w:rPr>
      </w:pPr>
      <w:r>
        <w:rPr>
          <w:rFonts w:hint="eastAsia" w:ascii="Times New Roman" w:hAnsi="Times New Roman" w:eastAsia="仿宋" w:cs="Times New Roman"/>
          <w:b/>
          <w:sz w:val="28"/>
          <w:szCs w:val="28"/>
          <w:highlight w:val="none"/>
          <w:lang w:val="en-US" w:eastAsia="zh-CN"/>
        </w:rPr>
        <w:t xml:space="preserve">一、项目概况及采购标的清单</w:t>
      </w:r>
      <w:r/>
    </w:p>
    <w:p>
      <w:pPr>
        <w:ind w:firstLine="442"/>
        <w:keepLines w:val="0"/>
        <w:keepNext w:val="0"/>
        <w:pageBreakBefore w:val="0"/>
        <w:spacing w:line="360" w:lineRule="auto"/>
        <w:widowControl w:val="off"/>
        <w:rPr>
          <w:rFonts w:hint="default" w:ascii="宋体" w:hAnsi="宋体" w:eastAsia="宋体" w:cs="宋体"/>
          <w:b/>
          <w:bCs/>
          <w:spacing w:val="-10"/>
          <w:sz w:val="24"/>
          <w:szCs w:val="24"/>
          <w:lang w:val="en-US" w:eastAsia="zh-CN"/>
        </w:rPr>
      </w:pPr>
      <w:r>
        <w:rPr>
          <w:rFonts w:hint="eastAsia" w:ascii="宋体" w:hAnsi="宋体" w:eastAsia="宋体" w:cs="宋体"/>
          <w:b/>
          <w:bCs/>
          <w:spacing w:val="-10"/>
          <w:sz w:val="24"/>
          <w:szCs w:val="24"/>
          <w:lang w:val="en-US" w:eastAsia="zh-CN"/>
        </w:rPr>
        <w:t xml:space="preserve">1.项目概况</w:t>
      </w:r>
      <w:r/>
    </w:p>
    <w:p>
      <w:pPr>
        <w:ind w:firstLine="560"/>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南通市启秀中学滨江校区现有1间舞蹈教室，位于综合信息楼四层。</w:t>
      </w:r>
      <w:r/>
    </w:p>
    <w:p>
      <w:pPr>
        <w:ind w:firstLine="560"/>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目前教室内地板及墙面吸音装修已由土建建设完成。本次需在原有装修的基础上增设舞蹈教室教学专业设备：</w:t>
      </w:r>
      <w:r/>
    </w:p>
    <w:p>
      <w:pPr>
        <w:ind w:firstLine="560"/>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在舞蹈教室内配置：</w:t>
      </w:r>
      <w:r/>
    </w:p>
    <w:p>
      <w:pPr>
        <w:ind w:firstLine="560"/>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①、1套教师专用钢琴；</w:t>
      </w:r>
      <w:r/>
    </w:p>
    <w:p>
      <w:pPr>
        <w:ind w:firstLine="560"/>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②、1套专业音响扩声系统，包括：1套吸顶式教学大功率音箱（自带功放，可与电脑、手机等设备进行蓝牙连接）、1套头戴式无线话筒、1套手持式无线话筒、2套移动便携式音箱，满足舞蹈老师日常教学所需的音箱扩声需求。</w:t>
      </w:r>
      <w:r/>
    </w:p>
    <w:p>
      <w:pPr>
        <w:ind w:firstLine="560"/>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③、舞蹈专业器材，包括：在舞蹈教室北侧和东侧墙面增设舞蹈把杆共18米；40套舞蹈器材（舞蹈古风团扇、舞蹈伞、舞蹈护膝）；40张练功垫；2张舞蹈凳；4张办公椅。</w:t>
      </w:r>
      <w:r/>
    </w:p>
    <w:p>
      <w:pPr>
        <w:ind w:firstLine="560"/>
        <w:keepLines w:val="0"/>
        <w:keepNext w:val="0"/>
        <w:pageBreakBefore w:val="0"/>
        <w:spacing w:after="62"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④、在不破坏现有装修环境的情况下，配套布设相应设备管线。</w:t>
      </w:r>
      <w:r/>
    </w:p>
    <w:p>
      <w:pPr>
        <w:ind w:left="33" w:hanging="33"/>
        <w:spacing w:line="360" w:lineRule="auto"/>
        <w:rPr>
          <w:rFonts w:hint="default"/>
          <w:sz w:val="24"/>
          <w:szCs w:val="24"/>
          <w:lang w:val="en-US" w:eastAsia="zh-CN"/>
        </w:rPr>
      </w:pPr>
      <w:r>
        <w:rPr>
          <w:rFonts w:hint="default"/>
          <w:sz w:val="24"/>
          <w:szCs w:val="24"/>
          <w:lang w:val="en-US" w:eastAsia="zh-CN"/>
        </w:rPr>
        <mc:AlternateContent>
          <mc:Choice Requires="wpg">
            <w:drawing>
              <wp:inline xmlns:wp="http://schemas.openxmlformats.org/drawingml/2006/wordprocessingDrawing" distT="0" distB="0" distL="0" distR="0">
                <wp:extent cx="5272405" cy="2313940"/>
                <wp:effectExtent l="0" t="0" r="4445" b="10160"/>
                <wp:docPr id="3" name="图片 3" descr="f7bab75f-0240-4d4d-a5ac-b037abe9b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7bab75f-0240-4d4d-a5ac-b037abe9b319"/>
                        <pic:cNvPicPr>
                          <a:picLocks noChangeAspect="1"/>
                        </pic:cNvPicPr>
                        <pic:nvPr/>
                      </pic:nvPicPr>
                      <pic:blipFill>
                        <a:blip r:embed="rId13"/>
                        <a:stretch/>
                      </pic:blipFill>
                      <pic:spPr bwMode="auto">
                        <a:xfrm>
                          <a:off x="0" y="0"/>
                          <a:ext cx="5272405" cy="2313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182.2pt;mso-wrap-distance-left:0.0pt;mso-wrap-distance-top:0.0pt;mso-wrap-distance-right:0.0pt;mso-wrap-distance-bottom:0.0pt;" stroked="false">
                <v:path textboxrect="0,0,0,0"/>
                <v:imagedata r:id="rId13" o:title=""/>
              </v:shape>
            </w:pict>
          </mc:Fallback>
        </mc:AlternateContent>
      </w:r>
      <w:r/>
    </w:p>
    <w:p>
      <w:pPr>
        <w:ind w:firstLine="442"/>
        <w:keepLines w:val="0"/>
        <w:keepNext w:val="0"/>
        <w:pageBreakBefore w:val="0"/>
        <w:spacing w:line="360" w:lineRule="auto"/>
        <w:widowControl w:val="off"/>
        <w:rPr>
          <w:rFonts w:hint="default" w:ascii="宋体" w:hAnsi="宋体" w:eastAsia="宋体" w:cs="宋体"/>
          <w:b/>
          <w:bCs/>
          <w:spacing w:val="-10"/>
          <w:sz w:val="24"/>
          <w:szCs w:val="24"/>
          <w:lang w:val="en-US" w:eastAsia="zh-CN"/>
        </w:rPr>
      </w:pPr>
      <w:r>
        <w:rPr>
          <w:rFonts w:hint="eastAsia" w:ascii="宋体" w:hAnsi="宋体" w:eastAsia="宋体" w:cs="宋体"/>
          <w:b/>
          <w:bCs/>
          <w:spacing w:val="-10"/>
          <w:sz w:val="24"/>
          <w:szCs w:val="24"/>
          <w:lang w:val="en-US" w:eastAsia="zh-CN"/>
        </w:rPr>
        <w:t xml:space="preserve">2.采购标的清单</w:t>
      </w:r>
      <w:r/>
    </w:p>
    <w:tbl>
      <w:tblPr>
        <w:tblStyle w:val="719"/>
        <w:tblW w:w="7774" w:type="dxa"/>
        <w:tblInd w:w="4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4"/>
        <w:gridCol w:w="2505"/>
        <w:gridCol w:w="1095"/>
        <w:gridCol w:w="1200"/>
        <w:gridCol w:w="2310"/>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对应中小企业划分标准所属行业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non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教学设备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钢琴</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吸顶式教学大功率音箱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无线头戴式麦克风</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无线手持式麦克风</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移动便携式音箱</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舞蹈专业器材</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舞蹈器材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舞蹈凳</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实木把杆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练功垫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bl>
    <w:p>
      <w:pPr>
        <w:pStyle w:val="747"/>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480"/>
        <w:keepLines w:val="0"/>
        <w:keepNext w:val="0"/>
        <w:pageBreakBefore w:val="0"/>
        <w:spacing w:after="62" w:line="440" w:lineRule="exact"/>
        <w:widowControl w:val="off"/>
        <w:rPr>
          <w:color w:val="auto"/>
        </w:rPr>
      </w:pPr>
      <w:r>
        <w:rPr>
          <w:rFonts w:hint="eastAsia" w:ascii="Times New Roman" w:hAnsi="Times New Roman" w:eastAsia="仿宋" w:cs="Times New Roman"/>
          <w:sz w:val="24"/>
          <w:szCs w:val="24"/>
          <w:highlight w:val="none"/>
        </w:rPr>
        <w:t xml:space="preserve">响应供应商报价中包</w:t>
      </w:r>
      <w:r>
        <w:rPr>
          <w:rFonts w:hint="eastAsia" w:ascii="Times New Roman" w:hAnsi="Times New Roman" w:eastAsia="仿宋" w:cs="Times New Roman"/>
          <w:sz w:val="24"/>
          <w:szCs w:val="24"/>
          <w:highlight w:val="none"/>
        </w:rPr>
        <w:t xml:space="preserve">括完成本项目所需的全部材料费、加工制作费、包装费、运输保险费、安装费、调试费、检测费、力支费、利润、税费、合同包含的所有风险、责任等及响应供应商认为需要的其他费用等，且该价格不因市场价格因素及政策性调整的变化而调整。响应供应商可以自行咨询、踏勘现场，充分了解现场任何影响响应报价之情况，根据现场情况考虑相应的运输、上楼搬运等工作实际，并将相关费用考虑在报价中，任何忽视、猜测、或误解现场情况而导致的成本增加或工期延长等，采购方一律不予认可。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480"/>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响应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80"/>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2.项目提供的技术要求(规格)只是对产品的一些原则性要求，并不是最详尽的描述和要求，响应供应商有责任依据相关设计技术规范和有关行业国家标准执行。</w:t>
      </w:r>
      <w:r/>
    </w:p>
    <w:p>
      <w:pPr>
        <w:ind w:firstLine="480"/>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3.响应供应商应保证提供的产品不得侵犯第三方专利权、商标权和设计权、版权等。否则，响应供应商应负全部责任，并承担由此引起的一切后果。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t xml:space="preserve">1.产品技术参数 </w:t>
      </w:r>
      <w:r/>
    </w:p>
    <w:tbl>
      <w:tblPr>
        <w:tblStyle w:val="719"/>
        <w:tblW w:w="49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1"/>
        <w:gridCol w:w="1294"/>
        <w:gridCol w:w="4576"/>
        <w:gridCol w:w="852"/>
        <w:gridCol w:w="942"/>
      </w:tblGrid>
      <w:tr>
        <w:trPr>
          <w:trHeight w:val="360"/>
        </w:trPr>
        <w:tc>
          <w:tcPr>
            <w:shd w:val="clear" w:color="auto" w:fill="auto"/>
            <w:tcW w:w="440" w:type="pct"/>
            <w:vAlign w:val="center"/>
            <w:textDirection w:val="lrTb"/>
            <w:noWrap/>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序号</w:t>
            </w:r>
            <w:r/>
          </w:p>
        </w:tc>
        <w:tc>
          <w:tcPr>
            <w:shd w:val="clear" w:color="auto" w:fill="auto"/>
            <w:tcW w:w="769" w:type="pct"/>
            <w:vAlign w:val="center"/>
            <w:textDirection w:val="lrTb"/>
            <w:noWrap/>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设备名称</w:t>
            </w:r>
            <w:r/>
          </w:p>
        </w:tc>
        <w:tc>
          <w:tcPr>
            <w:shd w:val="clear" w:color="auto" w:fill="auto"/>
            <w:tcW w:w="2722"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技术参数要求</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数量</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单位</w:t>
            </w:r>
            <w:r/>
          </w:p>
        </w:tc>
      </w:tr>
      <w:tr>
        <w:trPr>
          <w:trHeight w:val="360"/>
        </w:trPr>
        <w:tc>
          <w:tcPr>
            <w:shd w:val="clear" w:color="auto" w:fill="auto"/>
            <w:tcW w:w="440"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一</w:t>
            </w:r>
            <w:r/>
          </w:p>
        </w:tc>
        <w:tc>
          <w:tcPr>
            <w:gridSpan w:val="2"/>
            <w:shd w:val="clear" w:color="auto" w:fill="auto"/>
            <w:tcW w:w="3492" w:type="pct"/>
            <w:vAlign w:val="center"/>
            <w:textDirection w:val="lrTb"/>
            <w:noWrap w:val="false"/>
          </w:tcPr>
          <w:p>
            <w:pPr>
              <w:jc w:val="left"/>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教学设备</w:t>
            </w:r>
            <w:r/>
          </w:p>
        </w:tc>
        <w:tc>
          <w:tcPr>
            <w:shd w:val="clear" w:color="auto" w:fill="auto"/>
            <w:tcW w:w="506"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tc>
        <w:tc>
          <w:tcPr>
            <w:shd w:val="clear" w:color="auto" w:fill="auto"/>
            <w:tcW w:w="560"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tc>
      </w:tr>
      <w:tr>
        <w:trPr>
          <w:trHeight w:val="360"/>
        </w:trPr>
        <w:tc>
          <w:tcPr>
            <w:shd w:val="clear" w:color="auto" w:fill="auto"/>
            <w:tcW w:w="440"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1</w:t>
            </w:r>
            <w:r/>
          </w:p>
        </w:tc>
        <w:tc>
          <w:tcPr>
            <w:shd w:val="clear" w:color="auto" w:fill="auto"/>
            <w:tcW w:w="769"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钢琴</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1、规格：125型或以上立式钢琴</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2、外观尺寸：长≥151cm，宽≥63cm，高≥125cm；</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3、五金件：钢琴外观可见的五金件采用不易氧化的银色合金类金属；顶盖铰链有加强筋的结构，能更稳定安全支撑顶盖。外壳：光亮黑色；板面粘贴防火板；使用不饱和环保树脂油漆，表面平整光亮；键盖商标使用镍片材质材料并封在油漆里。</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4、铁板：翻砂工艺铸铁板。铁板高度：≥116.5cm</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5、琴弦：圆形弦（截面为正圆形），镀锡防锈钢线；1#音有效弦长不小于123cm，30#音有效弦长不小于95.5cm。</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6、音板：采用寒带地区缓慢生长的鱼鳞松制作的不等厚加强实木音板；音板须有防开裂防变形的特殊工艺或结构。</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7、键盘：有机玻璃白键片，仿乌木黑键键顶；键板采用不易变形的杨木层积材制作，含水率要求：6-12%；中座板采用椴木或杨木，含水率要求6-14%；使用铁粒代替传统铅粒配重，减少重金属使用，保证环保无污染。</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★8、声学品质：根据《钢琴》GB/T 10159-2023标准的要求做检测：标准音a1为438-447Hz范围内；音准稳定性（c1-b1）≤7音分。（送货前须提供具有CMA标识的权威第三方检测机构出具的检测报告复印件并加盖投标人公章）</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★9、演奏性能：根据《钢琴》GB/T 10159-2023标准的要求做检测：白键下沉深度9.5-11.5mm范围内；琴键负荷0.39-0.74N范围内；回升负荷0.10-0.39N范围内；（送货前须提供具有CMA标识的权威第三方检测机构出具的检测报告复印件并加盖投标人公章）</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★10、安全性要求 符合GB28489-2022《乐器有害物质限量》标准。（送货前须提供具有CMA标识的权威第三方检测机构出具的检测报告复印件并加盖投标人公章）</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配套乐理教具：</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键盘：采用高质量迷你键盘</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键位：圆形黑色按键，数量16个，每个按键对应具有升降号调节按键，可临时升降半个调。</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节拍速度：可在40－280/每分钟范围可调；节拍选择：具有节拍快捷选择键四个，包含：2/4、3/4、4/4、6/8拍型。复音数：16</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音符升降：音符升半音、降半音、原音三级可调</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音量控制：电子电位器控制、音量加减1-10级智能调节</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五线谱表：一组可书写的高音谱表，谱表占硬件面积不低于3/4。</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尺寸：≥460mmX180mmX25mm±10mm</w:t>
            </w:r>
            <w:r/>
          </w:p>
        </w:tc>
        <w:tc>
          <w:tcPr>
            <w:shd w:val="clear" w:color="auto" w:fill="auto"/>
            <w:tcW w:w="506"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1</w:t>
            </w:r>
            <w:r/>
          </w:p>
        </w:tc>
        <w:tc>
          <w:tcPr>
            <w:shd w:val="clear" w:color="auto" w:fill="auto"/>
            <w:tcW w:w="560"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r>
            <w:r/>
          </w:p>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架</w:t>
            </w:r>
            <w:r/>
          </w:p>
        </w:tc>
      </w:tr>
      <w:tr>
        <w:trPr>
          <w:trHeight w:val="360"/>
        </w:trPr>
        <w:tc>
          <w:tcPr>
            <w:shd w:val="clear" w:color="auto" w:fill="auto"/>
            <w:tcW w:w="4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2</w:t>
            </w:r>
            <w:r/>
          </w:p>
        </w:tc>
        <w:tc>
          <w:tcPr>
            <w:shd w:val="clear" w:color="auto" w:fill="auto"/>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吸顶式教学大功率音箱</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基本参数</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1.扬声器单元：4*4寸≥25芯航天磁体</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2.阻抗：≥4*8欧姆</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3.灵敏度：≥96DB±3DB</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4.失真度：THD＜0.1%；</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5.谐振频率（F0）：≥75Hz</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6.功率通道：≥4*20W（独立通道）</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7.DSP芯片：两进四出音频DSP处理</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8.系统噪声功率级：系统噪声功率级应不大于30 dB(A)</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9.输入通道：3.5/无线蓝牙</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10.蓝牙功能：蓝牙5.0 版本，支持蓝牙无线接收</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二、功能要求：</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1.扬声器指向性：360度等声压均匀全指向覆盖。</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可与电脑、手机等设备进行蓝牙连接，播放电脑和操控音响各种功能手机上的音频。</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3.无线鹅颈麦、吊麦、无线耳麦、无线手持麦、领夹麦可直连音响，无需外加其他设备，操作简单。</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4.麦克风内嵌OLED显示屏，直观显示各种工作信息，包括：ID、电量、通道、音量以及话筒开关状态。</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5.双频连接方式：话筒开机自动搜索干净信道并自动配对，保证产品不串频、抗干扰性强以及传输的稳定性；可通过红外对频，确保配对设备的唯一性，杜绝串频（送货前须提供具备资质的第三方检测机构出具的检测报告复印件并加盖投标人公章）。</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1</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套</w:t>
            </w:r>
            <w:r/>
          </w:p>
        </w:tc>
      </w:tr>
      <w:tr>
        <w:trPr>
          <w:trHeight w:val="360"/>
        </w:trPr>
        <w:tc>
          <w:tcPr>
            <w:shd w:val="clear" w:color="auto" w:fill="auto"/>
            <w:tcW w:w="4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3</w:t>
            </w:r>
            <w:r/>
          </w:p>
        </w:tc>
        <w:tc>
          <w:tcPr>
            <w:shd w:val="clear" w:color="auto" w:fill="auto"/>
            <w:tcW w:w="76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无线头戴式麦克风</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低功耗设计，单次充电后可使用至少6小时；</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2、节能模式支持无发言60分钟自动关机；</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3、带有显示屏，屏显内容包括：静音显示、连接状态、电量显示、音量级显示、无线讯道显示；</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4、双频连接：话筒开机后自动搜索干扰少的信道并自动红外配对，配对后传输音频，确保配对设备的唯一性，杜绝串频</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5、考虑到教师长期佩戴的舒适性，产品整体重量需≤22g。</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1</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只</w:t>
            </w:r>
            <w:r/>
          </w:p>
        </w:tc>
      </w:tr>
      <w:tr>
        <w:trPr>
          <w:trHeight w:val="360"/>
        </w:trPr>
        <w:tc>
          <w:tcPr>
            <w:shd w:val="clear" w:color="auto" w:fill="auto"/>
            <w:tcW w:w="4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4</w:t>
            </w:r>
            <w:r/>
          </w:p>
        </w:tc>
        <w:tc>
          <w:tcPr>
            <w:shd w:val="clear" w:color="auto" w:fill="auto"/>
            <w:tcW w:w="769"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无线手持式麦克风</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1、开机即可自动连接音响系统</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2、红外对频方式：开机自动搜索干净信道并自动配对，保证产品不串频，且抗干扰性强，传输稳定性高</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3、话筒内置锂电池，可充电使用；</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4、具有≥100个通道可选择；</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5、频率响应：40Hz~18KHz；</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6、频率：639-740MHz。</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1</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只</w:t>
            </w:r>
            <w:r/>
          </w:p>
        </w:tc>
      </w:tr>
      <w:tr>
        <w:trPr>
          <w:trHeight w:val="360"/>
        </w:trPr>
        <w:tc>
          <w:tcPr>
            <w:shd w:val="clear" w:color="auto" w:fill="auto"/>
            <w:tcW w:w="4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5</w:t>
            </w:r>
            <w:r/>
          </w:p>
        </w:tc>
        <w:tc>
          <w:tcPr>
            <w:shd w:val="clear" w:color="auto" w:fill="auto"/>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移动便携式音箱</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1、ABS工程塑料注塑箱体，防水防潮，高强度、高耐磨，经久耐用</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2、内置数字功率放大器，主音量、高低音、话筒1/2音量、话筒混响等独立可调</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3、标配一支调频U段手持无线话筒，可选配双无线话筒</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4、配置MP3播放器，智能数字显示屏，USB/SD/TF卡接口，配置遥控板，操作简便</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5、金属拉杆和橡胶脚轮设计，美观大方，方便移动</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6、一组莲花音频输入，两路话筒输入，一组莲花音频输出</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7、内置12V免维护铅酸电池，智能型交直两用供电系统，具有充放电保护电路</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8、配置话筒优先功能、蓝牙功能、语音提示功能、录音功能、FM收音功能、伴唱功能、蓝牙互联功能</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9、适用范围：促销活动、户外演出、晨练、教学等</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技术参数：</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1、最大功率：≥80W</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2、外接电源：交流AC：160V-220V 50Hz，直流DC：12V，蓄电池：12V/4.5AH×1只（可连续使用3-4小时）</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3、喇叭单元：LF：≥10"×1，HF：≥25芯远程号角×1</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2</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套</w:t>
            </w:r>
            <w:r/>
          </w:p>
        </w:tc>
      </w:tr>
      <w:tr>
        <w:trPr>
          <w:trHeight w:val="360"/>
        </w:trPr>
        <w:tc>
          <w:tcPr>
            <w:shd w:val="clear" w:color="auto" w:fill="auto"/>
            <w:tcW w:w="44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二</w:t>
            </w:r>
            <w:r/>
          </w:p>
        </w:tc>
        <w:tc>
          <w:tcPr>
            <w:gridSpan w:val="2"/>
            <w:shd w:val="clear" w:color="auto" w:fill="auto"/>
            <w:tcW w:w="3492"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舞蹈专业器材</w:t>
            </w:r>
            <w:r/>
          </w:p>
        </w:tc>
        <w:tc>
          <w:tcPr>
            <w:shd w:val="clear" w:color="auto" w:fill="auto"/>
            <w:tcW w:w="50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shd w:val="clear" w:color="auto" w:fill="auto"/>
            <w:tcW w:w="56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360"/>
        </w:trPr>
        <w:tc>
          <w:tcPr>
            <w:shd w:val="clear" w:color="auto" w:fill="auto"/>
            <w:tcW w:w="44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1</w:t>
            </w:r>
            <w:r/>
          </w:p>
        </w:tc>
        <w:tc>
          <w:tcPr>
            <w:shd w:val="clear" w:color="auto" w:fill="auto"/>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舞蹈器材</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每套包含：舞蹈古风团扇、舞蹈伞各1个；舞蹈护膝1双。</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舞蹈古风团扇</w:t>
            </w:r>
            <w:r>
              <w:rPr>
                <w:rFonts w:hint="eastAsia" w:ascii="仿宋" w:hAnsi="仿宋" w:eastAsia="仿宋" w:cs="仿宋"/>
                <w:i w:val="0"/>
                <w:iCs w:val="0"/>
                <w:color w:val="auto"/>
                <w:sz w:val="21"/>
                <w:szCs w:val="21"/>
                <w:u w:val="none"/>
                <w:lang w:val="en-US" w:eastAsia="zh-CN" w:bidi="ar"/>
              </w:rPr>
              <w:t xml:space="preserve">：</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扇面：直径20–24cm；材质优选仿真丝、半透纱，不透硬塑料，舞蹈转身不挡视线；图案素雅，不易掉粉掉色。</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扇柄：长度15–18cm，实木 / 竹柄，打磨光滑无毛刺，握感适中；尾部可带小流苏（长度≤10cm，避免缠绕）。</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重量：单把 80–120g，不宜过重，长时间排练手腕不累。</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安全要求：扇面边缘包边，无尖锐边角；禁止易碎硬板材扇面。</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舞蹈伞</w:t>
            </w:r>
            <w:r>
              <w:rPr>
                <w:rFonts w:hint="eastAsia" w:ascii="仿宋" w:hAnsi="仿宋" w:eastAsia="仿宋" w:cs="仿宋"/>
                <w:i w:val="0"/>
                <w:iCs w:val="0"/>
                <w:color w:val="auto"/>
                <w:sz w:val="21"/>
                <w:szCs w:val="21"/>
                <w:u w:val="none"/>
                <w:lang w:val="en-US" w:eastAsia="zh-CN" w:bidi="ar"/>
              </w:rPr>
              <w:t xml:space="preserve">：</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伞面直径：70-82cm；面料选用轻薄防水绸 / 雪纺，优先半透款。</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伞骨：玻纤骨 / 细竹骨，拒绝金属硬伞骨（摔倒容易戳伤）；伞骨韧性好，弯折不易断裂。</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伞柄：长度50–55cm。</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重量：单把≤300g；开合顺滑，伞面边缘无尖锐线头。</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舞蹈护膝（排练通用）</w:t>
            </w:r>
            <w:r>
              <w:rPr>
                <w:rFonts w:hint="eastAsia" w:ascii="仿宋" w:hAnsi="仿宋" w:eastAsia="仿宋" w:cs="仿宋"/>
                <w:i w:val="0"/>
                <w:iCs w:val="0"/>
                <w:color w:val="auto"/>
                <w:sz w:val="21"/>
                <w:szCs w:val="21"/>
                <w:u w:val="none"/>
                <w:lang w:val="en-US" w:eastAsia="zh-CN" w:bidi="ar"/>
              </w:rPr>
              <w:t xml:space="preserve">：</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款式：推荐薄款针织海绵护膝（不要厚运动防撞款，太厚影响屈膝、跪姿动作）。</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尺寸：分 S/M/L 码；贴合膝关节，不下滑，不紧绷勒腿 S：腿围 30–34cm；M：腿围 34–38cm；L：腿围 38–42cm。</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厚度：海绵垫 3–5mm，重点保护膝盖骨位置</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材质：外层弹力透气面料，吸汗；跪、跪地动作不移位。</w:t>
            </w:r>
            <w:r/>
          </w:p>
          <w:p>
            <w:pPr>
              <w:jc w:val="left"/>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安全：无硬质塑料凸起；可水洗，不易起球。</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40</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套</w:t>
            </w:r>
            <w:r/>
          </w:p>
        </w:tc>
      </w:tr>
      <w:tr>
        <w:trPr>
          <w:trHeight w:val="360"/>
        </w:trPr>
        <w:tc>
          <w:tcPr>
            <w:shd w:val="clear" w:color="auto" w:fill="auto"/>
            <w:tcW w:w="440"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2</w:t>
            </w:r>
            <w:r/>
          </w:p>
        </w:tc>
        <w:tc>
          <w:tcPr>
            <w:shd w:val="clear" w:color="auto" w:fill="auto"/>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舞蹈凳</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实木整根无拼接，表面pu皮包裹+海绵。高度大于40cm，长度大于160cm</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2</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张</w:t>
            </w:r>
            <w:r/>
          </w:p>
        </w:tc>
      </w:tr>
      <w:tr>
        <w:trPr>
          <w:trHeight w:val="360"/>
        </w:trPr>
        <w:tc>
          <w:tcPr>
            <w:shd w:val="clear" w:color="auto" w:fill="auto"/>
            <w:tcW w:w="440" w:type="pct"/>
            <w:vAlign w:val="center"/>
            <w:textDirection w:val="lrTb"/>
            <w:noWrap/>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3</w:t>
            </w:r>
            <w:r/>
          </w:p>
        </w:tc>
        <w:tc>
          <w:tcPr>
            <w:shd w:val="clear" w:color="auto" w:fill="auto"/>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实木把杆</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把杆直径约55mm，内有约20mm直径钢材（Q235），带弹性，水曲柳木材质。</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18</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米</w:t>
            </w:r>
            <w:r/>
          </w:p>
        </w:tc>
      </w:tr>
      <w:tr>
        <w:trPr>
          <w:trHeight w:val="665"/>
        </w:trPr>
        <w:tc>
          <w:tcPr>
            <w:shd w:val="clear" w:color="auto" w:fill="auto"/>
            <w:tcW w:w="440" w:type="pct"/>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4</w:t>
            </w:r>
            <w:r/>
          </w:p>
        </w:tc>
        <w:tc>
          <w:tcPr>
            <w:shd w:val="clear" w:color="auto" w:fill="auto"/>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练功垫</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高密度NBR，厚度≥15mm,尺寸≥183/61cm。</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40</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张</w:t>
            </w:r>
            <w:r/>
          </w:p>
        </w:tc>
      </w:tr>
      <w:tr>
        <w:trPr>
          <w:trHeight w:val="360"/>
        </w:trPr>
        <w:tc>
          <w:tcPr>
            <w:shd w:val="clear" w:color="auto" w:fill="auto"/>
            <w:tcW w:w="440" w:type="pct"/>
            <w:vAlign w:val="center"/>
            <w:textDirection w:val="lrTb"/>
            <w:noWrap/>
          </w:tcPr>
          <w:p>
            <w:pPr>
              <w:jc w:val="center"/>
              <w:keepLines w:val="0"/>
              <w:keepNext w:val="0"/>
              <w:widowControl/>
              <w:rPr>
                <w:rFonts w:hint="eastAsia"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5</w:t>
            </w:r>
            <w:r/>
          </w:p>
        </w:tc>
        <w:tc>
          <w:tcPr>
            <w:shd w:val="clear" w:color="auto" w:fill="auto"/>
            <w:tcW w:w="76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仿宋" w:hAnsi="仿宋" w:eastAsia="仿宋" w:cs="仿宋"/>
                <w:b/>
                <w:bCs/>
                <w:i w:val="0"/>
                <w:iCs w:val="0"/>
                <w:color w:val="auto"/>
                <w:sz w:val="21"/>
                <w:szCs w:val="21"/>
                <w:u w:val="none"/>
                <w:lang w:val="en-US" w:eastAsia="zh-CN" w:bidi="ar"/>
              </w:rPr>
              <w:t xml:space="preserve">办公椅</w:t>
            </w:r>
            <w:r/>
          </w:p>
        </w:tc>
        <w:tc>
          <w:tcPr>
            <w:shd w:val="clear" w:color="auto" w:fill="auto"/>
            <w:tcW w:w="2722" w:type="pct"/>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黑色中背职员椅</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椅背：黑色PP+玻纤背框。</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腰靠：自适应弹力腰枕。</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扶手：黑色独立固定扶手。</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椅座：45D高回弹海绵填充，12mm厚多层板。</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底盘：2.5mm厚中班蝴蝶底盘。</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气杆：100#沉口5mm黑色气杆。</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椅脚：≥320mm黑色五星脚。</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椅轮：φ50mm黑色PU耐磨轮。</w:t>
            </w:r>
            <w:r/>
          </w:p>
        </w:tc>
        <w:tc>
          <w:tcPr>
            <w:shd w:val="clear" w:color="auto" w:fill="auto"/>
            <w:tcW w:w="506"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4</w:t>
            </w:r>
            <w:r/>
          </w:p>
        </w:tc>
        <w:tc>
          <w:tcPr>
            <w:shd w:val="clear" w:color="auto" w:fill="auto"/>
            <w:tcW w:w="560" w:type="pct"/>
            <w:vAlign w:val="center"/>
            <w:textDirection w:val="lrTb"/>
            <w:noWrap w:val="false"/>
          </w:tcPr>
          <w:p>
            <w:pPr>
              <w:jc w:val="center"/>
              <w:keepLines w:val="0"/>
              <w:keepNext w:val="0"/>
              <w:widowControl/>
              <w:rPr>
                <w:rFonts w:hint="default" w:ascii="仿宋" w:hAnsi="仿宋" w:eastAsia="仿宋" w:cs="仿宋"/>
                <w:b/>
                <w:bCs/>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张</w:t>
            </w:r>
            <w:r/>
          </w:p>
        </w:tc>
      </w:tr>
    </w:tbl>
    <w:p>
      <w:pPr>
        <w:numPr>
          <w:ilvl w:val="0"/>
          <w:numId w:val="1"/>
        </w:num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采购标的需满足的服务标准、期限、效率等要求</w:t>
      </w:r>
      <w:r/>
    </w:p>
    <w:p>
      <w:pPr>
        <w:ind w:firstLine="480"/>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1.成交供应商</w:t>
      </w:r>
      <w:r>
        <w:rPr>
          <w:rFonts w:hint="default" w:ascii="Times New Roman" w:hAnsi="Times New Roman" w:eastAsia="仿宋" w:cs="Times New Roman"/>
          <w:sz w:val="24"/>
          <w:szCs w:val="24"/>
          <w:highlight w:val="none"/>
          <w:lang w:val="en-US" w:eastAsia="zh-CN"/>
        </w:rPr>
        <w:t xml:space="preserve">必须负责所采购产品的运输，并派有经验的技术人员到现场进行卸货、安装，经调试、检测合格后交付使用，其费用由</w:t>
      </w:r>
      <w:r>
        <w:rPr>
          <w:rFonts w:hint="eastAsia" w:ascii="Times New Roman" w:hAnsi="Times New Roman" w:eastAsia="仿宋" w:cs="Times New Roman"/>
          <w:sz w:val="24"/>
          <w:szCs w:val="24"/>
          <w:highlight w:val="none"/>
          <w:lang w:val="en-US" w:eastAsia="zh-CN"/>
        </w:rPr>
        <w:t xml:space="preserve">成交供应商</w:t>
      </w:r>
      <w:r>
        <w:rPr>
          <w:rFonts w:hint="default" w:ascii="Times New Roman" w:hAnsi="Times New Roman" w:eastAsia="仿宋" w:cs="Times New Roman"/>
          <w:sz w:val="24"/>
          <w:szCs w:val="24"/>
          <w:highlight w:val="none"/>
          <w:lang w:val="en-US" w:eastAsia="zh-CN"/>
        </w:rPr>
        <w:t xml:space="preserve">承担，包含在报价中。</w:t>
      </w:r>
      <w:r/>
    </w:p>
    <w:p>
      <w:pPr>
        <w:ind w:firstLine="480"/>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2.成交供应商</w:t>
      </w:r>
      <w:r>
        <w:rPr>
          <w:rFonts w:hint="default" w:ascii="Times New Roman" w:hAnsi="Times New Roman" w:eastAsia="仿宋" w:cs="Times New Roman"/>
          <w:sz w:val="24"/>
          <w:szCs w:val="24"/>
          <w:highlight w:val="none"/>
          <w:lang w:val="en-US" w:eastAsia="zh-CN"/>
        </w:rPr>
        <w:t xml:space="preserve">应保证货物是全新、未使用过的原厂合格产品，并完全符合</w:t>
      </w:r>
      <w:r>
        <w:rPr>
          <w:rFonts w:hint="eastAsia" w:ascii="Times New Roman" w:hAnsi="Times New Roman" w:eastAsia="仿宋" w:cs="Times New Roman"/>
          <w:sz w:val="24"/>
          <w:szCs w:val="24"/>
          <w:highlight w:val="none"/>
          <w:lang w:val="en-US" w:eastAsia="zh-CN"/>
        </w:rPr>
        <w:t xml:space="preserve">采购</w:t>
      </w:r>
      <w:r>
        <w:rPr>
          <w:rFonts w:hint="default" w:ascii="Times New Roman" w:hAnsi="Times New Roman" w:eastAsia="仿宋" w:cs="Times New Roman"/>
          <w:sz w:val="24"/>
          <w:szCs w:val="24"/>
          <w:highlight w:val="none"/>
          <w:lang w:val="en-US" w:eastAsia="zh-CN"/>
        </w:rPr>
        <w:t xml:space="preserve">文件的质量、规格和参数的要求</w:t>
      </w:r>
      <w:r>
        <w:rPr>
          <w:rFonts w:hint="eastAsia" w:ascii="Times New Roman" w:hAnsi="Times New Roman" w:eastAsia="仿宋" w:cs="Times New Roman"/>
          <w:sz w:val="24"/>
          <w:szCs w:val="24"/>
          <w:highlight w:val="none"/>
          <w:lang w:val="en-US" w:eastAsia="zh-CN"/>
        </w:rPr>
        <w:t xml:space="preserve">。成交供应商</w:t>
      </w:r>
      <w:r>
        <w:rPr>
          <w:rFonts w:hint="default" w:ascii="Times New Roman" w:hAnsi="Times New Roman" w:eastAsia="仿宋" w:cs="Times New Roman"/>
          <w:sz w:val="24"/>
          <w:szCs w:val="24"/>
          <w:highlight w:val="none"/>
          <w:lang w:val="en-US" w:eastAsia="zh-CN"/>
        </w:rPr>
        <w:t xml:space="preserve">应保证货物在正确安装、正常使用下，在其使用寿命期内应具有满意的性能。</w:t>
      </w:r>
      <w:r/>
    </w:p>
    <w:p>
      <w:pPr>
        <w:ind w:firstLine="480"/>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3.</w:t>
      </w:r>
      <w:r>
        <w:rPr>
          <w:rFonts w:hint="default" w:ascii="Times New Roman" w:hAnsi="Times New Roman" w:eastAsia="仿宋" w:cs="Times New Roman"/>
          <w:sz w:val="24"/>
          <w:szCs w:val="24"/>
          <w:highlight w:val="none"/>
          <w:lang w:val="en-US" w:eastAsia="zh-CN"/>
        </w:rPr>
        <w:t xml:space="preserve">所供产品交付使用时，</w:t>
      </w:r>
      <w:r>
        <w:rPr>
          <w:rFonts w:hint="eastAsia" w:ascii="Times New Roman" w:hAnsi="Times New Roman" w:eastAsia="仿宋" w:cs="Times New Roman"/>
          <w:sz w:val="24"/>
          <w:szCs w:val="24"/>
          <w:highlight w:val="none"/>
          <w:lang w:val="en-US" w:eastAsia="zh-CN"/>
        </w:rPr>
        <w:t xml:space="preserve">成交</w:t>
      </w:r>
      <w:r>
        <w:rPr>
          <w:rFonts w:hint="default" w:ascii="Times New Roman" w:hAnsi="Times New Roman" w:eastAsia="仿宋" w:cs="Times New Roman"/>
          <w:sz w:val="24"/>
          <w:szCs w:val="24"/>
          <w:highlight w:val="none"/>
          <w:lang w:val="en-US" w:eastAsia="zh-CN"/>
        </w:rPr>
        <w:t xml:space="preserve">供应商必须向</w:t>
      </w:r>
      <w:r>
        <w:rPr>
          <w:rFonts w:hint="eastAsia" w:ascii="Times New Roman" w:hAnsi="Times New Roman" w:eastAsia="仿宋" w:cs="Times New Roman"/>
          <w:sz w:val="24"/>
          <w:szCs w:val="24"/>
          <w:highlight w:val="none"/>
          <w:lang w:val="en-US" w:eastAsia="zh-CN"/>
        </w:rPr>
        <w:t xml:space="preserve">学校</w:t>
      </w:r>
      <w:r>
        <w:rPr>
          <w:rFonts w:hint="default" w:ascii="Times New Roman" w:hAnsi="Times New Roman" w:eastAsia="仿宋" w:cs="Times New Roman"/>
          <w:sz w:val="24"/>
          <w:szCs w:val="24"/>
          <w:highlight w:val="none"/>
          <w:lang w:val="en-US" w:eastAsia="zh-CN"/>
        </w:rPr>
        <w:t xml:space="preserve">提供产品说明书、质量保证书、保修卡、合格证等必须具备的相关资料和必备的附件。</w:t>
      </w:r>
      <w:r/>
    </w:p>
    <w:p>
      <w:pPr>
        <w:ind w:firstLine="480"/>
        <w:keepLines w:val="0"/>
        <w:keepNext w:val="0"/>
        <w:pageBreakBefore w:val="0"/>
        <w:spacing w:after="62" w:line="440" w:lineRule="exact"/>
        <w:widowControl w:val="off"/>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val="en-US" w:eastAsia="zh-CN"/>
        </w:rPr>
        <w:t xml:space="preserve">4.</w:t>
      </w:r>
      <w:r>
        <w:rPr>
          <w:rFonts w:hint="default" w:ascii="Times New Roman" w:hAnsi="Times New Roman" w:eastAsia="仿宋" w:cs="Times New Roman"/>
          <w:sz w:val="24"/>
          <w:szCs w:val="24"/>
          <w:highlight w:val="none"/>
          <w:lang w:val="en-US" w:eastAsia="zh-CN"/>
        </w:rPr>
        <w:t xml:space="preserve">在接到供应商以书面形式提出验收申请后，</w:t>
      </w:r>
      <w:r>
        <w:rPr>
          <w:rFonts w:hint="eastAsia" w:ascii="Times New Roman" w:hAnsi="Times New Roman" w:eastAsia="仿宋" w:cs="Times New Roman"/>
          <w:sz w:val="24"/>
          <w:szCs w:val="24"/>
          <w:highlight w:val="none"/>
          <w:lang w:val="en-US" w:eastAsia="zh-CN"/>
        </w:rPr>
        <w:t xml:space="preserve">相关学校</w:t>
      </w:r>
      <w:r>
        <w:rPr>
          <w:rFonts w:hint="default" w:ascii="Times New Roman" w:hAnsi="Times New Roman" w:eastAsia="仿宋" w:cs="Times New Roman"/>
          <w:sz w:val="24"/>
          <w:szCs w:val="24"/>
          <w:highlight w:val="none"/>
          <w:lang w:val="en-US" w:eastAsia="zh-CN"/>
        </w:rPr>
        <w:t xml:space="preserve">在5个工作日内及时组织相关专业技术人员，按国家制造和安装的标准要求执行，必要时</w:t>
      </w:r>
      <w:r>
        <w:rPr>
          <w:rFonts w:hint="eastAsia" w:ascii="Times New Roman" w:hAnsi="Times New Roman" w:eastAsia="仿宋" w:cs="Times New Roman"/>
          <w:sz w:val="24"/>
          <w:szCs w:val="24"/>
          <w:highlight w:val="none"/>
          <w:lang w:val="en-US" w:eastAsia="zh-CN"/>
        </w:rPr>
        <w:t xml:space="preserve">邀请</w:t>
      </w:r>
      <w:r>
        <w:rPr>
          <w:rFonts w:hint="default" w:ascii="Times New Roman" w:hAnsi="Times New Roman" w:eastAsia="仿宋" w:cs="Times New Roman"/>
          <w:sz w:val="24"/>
          <w:szCs w:val="24"/>
          <w:highlight w:val="none"/>
          <w:lang w:val="en-US" w:eastAsia="zh-CN"/>
        </w:rPr>
        <w:t xml:space="preserve">第三方质检等部门共同参与验收，并出具验收报告，作为支付货款的依据。 </w:t>
      </w:r>
      <w:r/>
    </w:p>
    <w:p>
      <w:pPr>
        <w:ind w:firstLine="480"/>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5</w:t>
      </w:r>
      <w:r>
        <w:rPr>
          <w:rFonts w:hint="eastAsia" w:ascii="Times New Roman" w:hAnsi="Times New Roman" w:eastAsia="仿宋" w:cs="Times New Roman"/>
          <w:sz w:val="24"/>
          <w:szCs w:val="24"/>
          <w:highlight w:val="none"/>
        </w:rPr>
        <w:t xml:space="preserve">.</w:t>
      </w:r>
      <w:r>
        <w:rPr>
          <w:rFonts w:hint="eastAsia" w:ascii="Times New Roman" w:hAnsi="Times New Roman" w:eastAsia="仿宋" w:cs="Times New Roman"/>
          <w:sz w:val="24"/>
          <w:szCs w:val="24"/>
          <w:highlight w:val="none"/>
          <w:lang w:val="en-US" w:eastAsia="zh-CN"/>
        </w:rPr>
        <w:t xml:space="preserve">为保障项目后续部署达到预期效果，中标人送货安装前须提供吸顶式教学大功率音箱、无线头戴式麦克风等演示产品至采购人指定地点并对技术参数进行逐条核查，技术指标功能参数必须完全满足相应的参数要求。一经发现所提供演示产品与采购方需求不一致或达不到采购方要求的取消其中标资格，并报监管部门，列入诚信黑名单。给采购单位造成损失的,依法承担法律责任。</w:t>
      </w:r>
      <w:r/>
    </w:p>
    <w:p>
      <w:pPr>
        <w:numPr>
          <w:ilvl w:val="0"/>
          <w:numId w:val="2"/>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ind w:firstLine="480"/>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（1）交货时间：合同签订后，</w:t>
      </w:r>
      <w:r>
        <w:rPr>
          <w:rFonts w:hint="eastAsia" w:ascii="Times New Roman" w:hAnsi="Times New Roman" w:eastAsia="仿宋" w:cs="Times New Roman"/>
          <w:b/>
          <w:bCs/>
          <w:sz w:val="24"/>
          <w:szCs w:val="24"/>
          <w:highlight w:val="none"/>
          <w:lang w:val="en-US" w:eastAsia="zh-CN"/>
        </w:rPr>
        <w:t xml:space="preserve">25个日历天</w:t>
      </w:r>
      <w:r>
        <w:rPr>
          <w:rFonts w:hint="eastAsia" w:ascii="Times New Roman" w:hAnsi="Times New Roman" w:eastAsia="仿宋" w:cs="Times New Roman"/>
          <w:sz w:val="24"/>
          <w:szCs w:val="24"/>
          <w:highlight w:val="none"/>
          <w:lang w:val="en-US" w:eastAsia="zh-CN"/>
        </w:rPr>
        <w:t xml:space="preserve">内完成供货、安装。</w:t>
      </w:r>
      <w:r/>
    </w:p>
    <w:p>
      <w:pPr>
        <w:ind w:firstLine="480"/>
        <w:keepLines w:val="0"/>
        <w:keepNext w:val="0"/>
        <w:pageBreakBefore w:val="0"/>
        <w:spacing w:after="62" w:line="440" w:lineRule="exact"/>
        <w:widowControl w:val="off"/>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（2）交付地点：采购人指定位置。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本项目免费质保三年，时间自验收合格之日起算。</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（1）成交供应商负责标的物的现场安装指导、启动、调试、监督；</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（2）成交供应商免费提供标的物组装和一般维修所必需的工具；</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（3）成交供应商在合同规定的期限内对所提供的标的物实行现场维护，随时处理存在的故障，如现场不能维修解决的故障问题，须提供故障不能排除时的解决方案。</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（4）成交供应商接到使用方通知后1小时内响应，2小时内上门服务，24小时内解决好问题。</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（5）成交供应商须承诺质保期满后提供终身维修服务，保证零配件供应，维修费用按照材料成本收取。</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（6）成交供应商应对采购人技术人员进行维护、维修、培训，确保使用者了解维护方法和进行简单的维修操作。</w:t>
      </w:r>
      <w:r/>
    </w:p>
    <w:p>
      <w:pPr>
        <w:ind w:firstLine="560"/>
        <w:keepLines w:val="0"/>
        <w:keepNext w:val="0"/>
        <w:pageBreakBefore w:val="0"/>
        <w:spacing w:after="62" w:line="44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（7）成交供应商提供现场技术培训，保证采购人使用人员能够正常操作产品的各种功能。</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3.验收标准</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（1）招标文件技术规格书中明确的标准和技术要求；</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（2）与合同货物有关的最新版本的中华人民共和国国家/国际标准和部颁标准；</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（3）货物合格证书技术资料中的精度、质量要求；</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（4）供应商在澄清响应文件时作出的承诺，经采购单位确认后，将作为对货物的验收依据之一；</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（5）双方签订的合同技术附件所规定的条款。</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6）成交供应商提供的货物必须达到或优于采购文件“采购清单”技术需求中各项指标参数。采购人有权随机抽检货物原材料、成品，检验机构为通过国家计量认证的第三方检测机构。对于产品的任何技术及质量不合格，成交供应商承担检测费用，采购人有权拒收、部分拒收、退货、部分退货直至解除本合同，同时采购人有权保留使用该产品直至供应商提供合格产品替换，并要求成交供应商支付因此造成的所有损失。破拆部件由成交供应商负责补齐且采购人不支付任何补偿费用。</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4.付款方式</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按照采购人实际要求供货，货物到场、安装调试完毕，并经采购人验收合格确认签字后收到成交供应商正规发票付货款的100%。</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5.履约保证金</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1.本项目成交后的</w:t>
      </w:r>
      <w:r>
        <w:rPr>
          <w:rFonts w:hint="eastAsia" w:ascii="仿宋" w:hAnsi="仿宋" w:eastAsia="仿宋" w:cs="仿宋"/>
          <w:b/>
          <w:bCs/>
          <w:caps/>
          <w:color w:val="auto"/>
          <w:sz w:val="24"/>
          <w:szCs w:val="24"/>
          <w:highlight w:val="none"/>
          <w:lang w:val="en-US" w:eastAsia="zh-CN" w:bidi="ar-SA"/>
        </w:rPr>
        <w:t xml:space="preserve">履约保证金为项目成交价的10%</w:t>
      </w:r>
      <w:r>
        <w:rPr>
          <w:rFonts w:hint="eastAsia" w:ascii="仿宋" w:hAnsi="仿宋" w:eastAsia="仿宋" w:cs="仿宋"/>
          <w:caps/>
          <w:color w:val="auto"/>
          <w:sz w:val="24"/>
          <w:szCs w:val="24"/>
          <w:highlight w:val="none"/>
          <w:lang w:val="en-US" w:eastAsia="zh-CN" w:bidi="ar-SA"/>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2.成交供应商全部履行合同义务，经采购人验收合格无质量、进度等问题的，采购人在验收合格后一次性退还履约保证金，采购人若逾期退还履约保证金的，按照逾期部分的每日0.05%支付违约金；</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3.发生以下情况的，履约保证金不予退还或部分退还：</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olor w:val="000000"/>
          <w:sz w:val="24"/>
          <w:szCs w:val="24"/>
          <w:highlight w:val="none"/>
        </w:rPr>
        <w:t xml:space="preserve">a</w:t>
      </w:r>
      <w:r>
        <w:rPr>
          <w:rFonts w:hint="eastAsia" w:ascii="仿宋" w:hAnsi="仿宋" w:eastAsia="仿宋" w:cs="仿宋"/>
          <w:caps/>
          <w:color w:val="auto"/>
          <w:sz w:val="24"/>
          <w:szCs w:val="24"/>
          <w:highlight w:val="none"/>
          <w:lang w:val="en-US" w:eastAsia="zh-CN" w:bidi="ar-SA"/>
        </w:rPr>
        <w:t xml:space="preserve">.签订合同后，成交供应商不履行合同义务的，采购人有权全额扣除履约保证金，全额不予退还，同时采购人亦有权终止合同，中标人还须承担相应的法律赔偿责任。</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olor w:val="000000"/>
          <w:sz w:val="24"/>
          <w:szCs w:val="24"/>
          <w:highlight w:val="none"/>
        </w:rPr>
        <w:t xml:space="preserve">b</w:t>
      </w:r>
      <w:r>
        <w:rPr>
          <w:rFonts w:hint="eastAsia" w:ascii="仿宋" w:hAnsi="仿宋" w:eastAsia="仿宋" w:cs="仿宋"/>
          <w:caps/>
          <w:color w:val="auto"/>
          <w:sz w:val="24"/>
          <w:szCs w:val="24"/>
          <w:highlight w:val="none"/>
          <w:lang w:val="en-US" w:eastAsia="zh-CN" w:bidi="ar-SA"/>
        </w:rPr>
        <w:t xml:space="preserve">.成交供应商在履约过程中发生违约行为，给采购人造成损失的，采购人有权在成交供应商缴纳的履约保证金中予以扣款，以弥补采购人经济损失，不足的部分成交供应商另外补齐。</w:t>
      </w:r>
      <w:r/>
    </w:p>
    <w:p>
      <w:pPr>
        <w:ind w:firstLine="480"/>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spacing w:line="480" w:lineRule="exact"/>
        <w:rPr>
          <w:rFonts w:hint="eastAsia" w:ascii="仿宋" w:hAnsi="仿宋" w:eastAsia="仿宋" w:cs="Times New Roman"/>
          <w:i/>
          <w:color w:val="auto"/>
          <w:sz w:val="21"/>
          <w:szCs w:val="21"/>
          <w:highlight w:val="none"/>
          <w:u w:val="single"/>
          <w:lang w:val="en-US" w:eastAsia="zh-CN" w:bidi="ar-SA"/>
        </w:rPr>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Times New Roman"/>
          <w:i/>
          <w:color w:val="auto"/>
          <w:sz w:val="21"/>
          <w:szCs w:val="21"/>
          <w:highlight w:val="none"/>
          <w:u w:val="single"/>
          <w:lang w:val="en-US" w:eastAsia="zh-CN" w:bidi="ar-SA"/>
        </w:rPr>
        <w:t xml:space="preserve">1.1本项目所列全部技术参数均为实质性要求，供应商须完全响应，不接受任何负偏离。标注 “★”的内容为重要技术功能参数要求，需在供货前提供设备配置参数要求中对应的相关证明材料（检测报告），并加盖投标人公章。（投标时提供承诺函，格式自拟。）</w:t>
      </w:r>
      <w:r/>
    </w:p>
    <w:p>
      <w:pPr>
        <w:spacing w:line="480" w:lineRule="exact"/>
        <w:rPr>
          <w:rFonts w:hint="eastAsia" w:ascii="仿宋" w:hAnsi="仿宋" w:eastAsia="仿宋" w:cs="Times New Roman"/>
          <w:i/>
          <w:color w:val="auto"/>
          <w:sz w:val="21"/>
          <w:szCs w:val="21"/>
          <w:highlight w:val="none"/>
          <w:u w:val="single"/>
          <w:lang w:val="en-US" w:eastAsia="zh-CN" w:bidi="ar-SA"/>
        </w:rPr>
      </w:pPr>
      <w:r>
        <w:rPr>
          <w:rFonts w:hint="eastAsia" w:ascii="仿宋" w:hAnsi="仿宋" w:eastAsia="仿宋" w:cs="Times New Roman"/>
          <w:i/>
          <w:color w:val="auto"/>
          <w:sz w:val="21"/>
          <w:szCs w:val="21"/>
          <w:highlight w:val="none"/>
          <w:u w:val="single"/>
          <w:lang w:val="en-US" w:eastAsia="zh-CN" w:bidi="ar-SA"/>
        </w:rPr>
        <w:t xml:space="preserve">1.2为保障项目后续部署达到预期效果，中标人送货安装前须提供吸顶式教学大功率音箱、无线头戴式麦克风等演示产品至采购人指定地点并对技术参数进行逐条核查，技术指标功能参数必须完全满足相应的参数要求。一经发现所提供演示产品与采购方需求不一致或达不到采购方要求的取消其中标资格，并报监管部门，列入诚信黑名单。给采购单位造成损失的,依法承担法律责任。（投标时提供承诺函，格式自拟。）</w:t>
      </w:r>
      <w:r/>
    </w:p>
    <w:p>
      <w:pPr>
        <w:rPr>
          <w:rFonts w:hint="eastAsia" w:ascii="仿宋" w:hAnsi="仿宋" w:eastAsia="仿宋" w:cs="Times New Roman"/>
          <w:i/>
          <w:color w:val="auto"/>
          <w:sz w:val="24"/>
          <w:szCs w:val="24"/>
          <w:highlight w:val="none"/>
          <w:u w:val="single"/>
          <w:lang w:val="en-US" w:eastAsia="zh-CN" w:bidi="ar-SA"/>
        </w:rPr>
      </w:pPr>
      <w:r>
        <w:rPr>
          <w:rFonts w:hint="eastAsia" w:ascii="仿宋" w:hAnsi="仿宋" w:eastAsia="仿宋" w:cs="Times New Roman"/>
          <w:i/>
          <w:color w:val="auto"/>
          <w:sz w:val="24"/>
          <w:szCs w:val="24"/>
          <w:highlight w:val="none"/>
          <w:u w:val="single"/>
          <w:lang w:val="en-US" w:eastAsia="zh-CN" w:bidi="ar-SA"/>
        </w:rPr>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spacing w:line="480" w:lineRule="exact"/>
        <w:rPr>
          <w:rFonts w:hint="default" w:ascii="仿宋" w:hAnsi="仿宋" w:eastAsia="仿宋" w:cs="Times New Roman"/>
          <w:i/>
          <w:color w:val="auto"/>
          <w:sz w:val="21"/>
          <w:szCs w:val="21"/>
          <w:highlight w:val="none"/>
          <w:u w:val="single"/>
          <w:lang w:val="en-US" w:eastAsia="zh-CN" w:bidi="ar-SA"/>
        </w:rPr>
      </w:pPr>
      <w:r>
        <w:rPr>
          <w:rFonts w:hint="eastAsia" w:ascii="仿宋" w:hAnsi="仿宋" w:eastAsia="仿宋" w:cs="Times New Roman"/>
          <w:i/>
          <w:color w:val="auto"/>
          <w:sz w:val="21"/>
          <w:szCs w:val="21"/>
          <w:highlight w:val="none"/>
          <w:u w:val="single"/>
          <w:lang w:val="en-US" w:eastAsia="zh-CN" w:bidi="ar-SA"/>
        </w:rPr>
        <w:t xml:space="preserve">2.1本项目须在合同签订后25个日历天内完成全部货物的供货、安装、调试并通过验收。供应商须在响应文件中提供书面承诺函，并加盖供应商单位公章，格式自拟。</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7"/>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4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7"/>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7"/>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8"/>
        <w:rPr>
          <w:highlight w:val="none"/>
        </w:rPr>
      </w:pPr>
      <w:r>
        <w:rPr>
          <w:highlight w:val="none"/>
        </w:rPr>
      </w:r>
      <w:r/>
    </w:p>
    <w:p>
      <w:pPr>
        <w:pStyle w:val="907"/>
        <w:ind w:left="0"/>
        <w:jc w:val="center"/>
        <w:spacing w:after="0" w:line="400" w:lineRule="exact"/>
        <w:rPr>
          <w:rFonts w:ascii="宋体" w:hAnsi="宋体"/>
          <w:szCs w:val="21"/>
          <w:highlight w:val="none"/>
        </w:rPr>
      </w:pPr>
      <w:r>
        <w:rPr>
          <w:rFonts w:ascii="宋体" w:hAnsi="宋体"/>
          <w:szCs w:val="21"/>
          <w:highlight w:val="none"/>
        </w:rPr>
      </w:r>
      <w:r/>
    </w:p>
    <w:p>
      <w:pPr>
        <w:pStyle w:val="907"/>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7"/>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7"/>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7"/>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907"/>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907"/>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07"/>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7"/>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7"/>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7"/>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7"/>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7"/>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9"/>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7"/>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7"/>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7"/>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7"/>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7"/>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7"/>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7"/>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7"/>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7"/>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7"/>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07"/>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9"/>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941"/>
    <w:uiPriority w:val="0"/>
    <w:qFormat/>
    <w:pPr>
      <w:jc w:val="both"/>
      <w:widowControl w:val="off"/>
    </w:pPr>
    <w:rPr>
      <w:rFonts w:hint="default" w:ascii="Times New Roman" w:hAnsi="Times New Roman" w:eastAsia="宋体" w:cs="Times New Roman"/>
      <w:sz w:val="21"/>
      <w:lang w:val="en-US" w:eastAsia="zh-CN" w:bidi="ar-SA"/>
    </w:rPr>
  </w:style>
  <w:style w:type="paragraph" w:styleId="709">
    <w:name w:val="Heading 1"/>
    <w:basedOn w:val="708"/>
    <w:next w:val="708"/>
    <w:link w:val="749"/>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0"/>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1"/>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2"/>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3"/>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4"/>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6"/>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7"/>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8"/>
    <w:next w:val="723"/>
    <w:uiPriority w:val="99"/>
    <w:qFormat/>
    <w:rPr>
      <w:rFonts w:ascii="楷体_GB2312" w:hAnsi="Arial" w:eastAsia="楷体_GB2312"/>
      <w:sz w:val="28"/>
      <w:szCs w:val="28"/>
    </w:rPr>
  </w:style>
  <w:style w:type="paragraph" w:styleId="723" w:customStyle="1">
    <w:name w:val="Default"/>
    <w:next w:val="708"/>
    <w:uiPriority w:val="0"/>
    <w:qFormat/>
    <w:pPr>
      <w:widowControl w:val="off"/>
    </w:pPr>
    <w:rPr>
      <w:rFonts w:hint="default" w:ascii="宋体" w:hAnsi="宋体" w:eastAsia="宋体" w:cs="宋体"/>
      <w:color w:val="000000"/>
      <w:sz w:val="24"/>
      <w:szCs w:val="24"/>
      <w:lang w:val="en-US" w:eastAsia="zh-CN" w:bidi="ar-SA"/>
    </w:rPr>
  </w:style>
  <w:style w:type="paragraph" w:styleId="724">
    <w:name w:val="Body Text Indent"/>
    <w:basedOn w:val="708"/>
    <w:next w:val="708"/>
    <w:uiPriority w:val="0"/>
    <w:qFormat/>
    <w:pPr>
      <w:ind w:firstLine="403"/>
      <w:spacing w:line="440" w:lineRule="exact"/>
    </w:pPr>
    <w:rPr>
      <w:rFonts w:ascii="宋体" w:hAnsi="宋体"/>
      <w:sz w:val="20"/>
      <w:szCs w:val="21"/>
    </w:r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95"/>
    <w:uiPriority w:val="99"/>
    <w:semiHidden/>
    <w:unhideWhenUsed/>
    <w:qFormat/>
    <w:pPr>
      <w:spacing w:after="0" w:line="240" w:lineRule="auto"/>
    </w:pPr>
    <w:rPr>
      <w:sz w:val="20"/>
    </w:rPr>
  </w:style>
  <w:style w:type="paragraph" w:styleId="729">
    <w:name w:val="Footer"/>
    <w:basedOn w:val="708"/>
    <w:link w:val="768"/>
    <w:uiPriority w:val="99"/>
    <w:unhideWhenUsed/>
    <w:qFormat/>
    <w:pPr>
      <w:spacing w:after="0" w:line="240" w:lineRule="auto"/>
      <w:tabs>
        <w:tab w:val="center" w:pos="7143" w:leader="none"/>
        <w:tab w:val="right" w:pos="14287" w:leader="none"/>
      </w:tabs>
    </w:pPr>
  </w:style>
  <w:style w:type="paragraph" w:styleId="730">
    <w:name w:val="Header"/>
    <w:basedOn w:val="708"/>
    <w:link w:val="766"/>
    <w:uiPriority w:val="99"/>
    <w:unhideWhenUsed/>
    <w:qFormat/>
    <w:pPr>
      <w:spacing w:after="0" w:line="240" w:lineRule="auto"/>
      <w:tabs>
        <w:tab w:val="center" w:pos="7143" w:leader="none"/>
        <w:tab w:val="right" w:pos="14287" w:leader="none"/>
      </w:tabs>
    </w:pPr>
  </w:style>
  <w:style w:type="paragraph" w:styleId="731">
    <w:name w:val="toc 1"/>
    <w:basedOn w:val="708"/>
    <w:next w:val="708"/>
    <w:uiPriority w:val="39"/>
    <w:unhideWhenUsed/>
    <w:qFormat/>
    <w:pPr>
      <w:ind w:left="0" w:right="0" w:firstLine="0"/>
      <w:spacing w:after="57"/>
    </w:pPr>
  </w:style>
  <w:style w:type="paragraph" w:styleId="732">
    <w:name w:val="toc 4"/>
    <w:basedOn w:val="708"/>
    <w:next w:val="708"/>
    <w:uiPriority w:val="39"/>
    <w:unhideWhenUsed/>
    <w:qFormat/>
    <w:pPr>
      <w:ind w:left="850" w:right="0" w:firstLine="0"/>
      <w:spacing w:after="57"/>
    </w:pPr>
  </w:style>
  <w:style w:type="paragraph" w:styleId="733">
    <w:name w:val="Subtitle"/>
    <w:basedOn w:val="708"/>
    <w:next w:val="708"/>
    <w:link w:val="761"/>
    <w:uiPriority w:val="11"/>
    <w:qFormat/>
    <w:pPr>
      <w:spacing w:before="200" w:after="200"/>
    </w:pPr>
    <w:rPr>
      <w:sz w:val="24"/>
      <w:szCs w:val="24"/>
    </w:rPr>
  </w:style>
  <w:style w:type="paragraph" w:styleId="734">
    <w:name w:val="footnote text"/>
    <w:basedOn w:val="708"/>
    <w:link w:val="894"/>
    <w:uiPriority w:val="99"/>
    <w:semiHidden/>
    <w:unhideWhenUsed/>
    <w:qFormat/>
    <w:pPr>
      <w:spacing w:after="40" w:line="240" w:lineRule="auto"/>
    </w:pPr>
    <w:rPr>
      <w:sz w:val="18"/>
    </w:rPr>
  </w:style>
  <w:style w:type="paragraph" w:styleId="735">
    <w:name w:val="toc 6"/>
    <w:basedOn w:val="708"/>
    <w:next w:val="708"/>
    <w:uiPriority w:val="39"/>
    <w:unhideWhenUsed/>
    <w:qFormat/>
    <w:pPr>
      <w:ind w:left="1417" w:right="0" w:firstLine="0"/>
      <w:spacing w:after="57"/>
    </w:pPr>
  </w:style>
  <w:style w:type="paragraph" w:styleId="736">
    <w:name w:val="table of figures"/>
    <w:basedOn w:val="708"/>
    <w:next w:val="708"/>
    <w:uiPriority w:val="99"/>
    <w:unhideWhenUsed/>
    <w:qFormat/>
    <w:pPr>
      <w:spacing w:after="0" w:afterAutospacing="0"/>
    </w:pPr>
  </w:style>
  <w:style w:type="paragraph" w:styleId="737">
    <w:name w:val="toc 2"/>
    <w:basedOn w:val="708"/>
    <w:next w:val="708"/>
    <w:uiPriority w:val="39"/>
    <w:unhideWhenUsed/>
    <w:qFormat/>
    <w:pPr>
      <w:ind w:left="283" w:right="0" w:firstLine="0"/>
      <w:spacing w:after="57"/>
    </w:pPr>
  </w:style>
  <w:style w:type="paragraph" w:styleId="738">
    <w:name w:val="toc 9"/>
    <w:basedOn w:val="708"/>
    <w:next w:val="708"/>
    <w:uiPriority w:val="39"/>
    <w:unhideWhenUsed/>
    <w:qFormat/>
    <w:pPr>
      <w:ind w:left="2268" w:right="0" w:firstLine="0"/>
      <w:spacing w:after="57"/>
    </w:pPr>
  </w:style>
  <w:style w:type="paragraph" w:styleId="739">
    <w:name w:val="Normal (Web)"/>
    <w:basedOn w:val="708"/>
    <w:uiPriority w:val="0"/>
    <w:qFormat/>
    <w:pPr>
      <w:jc w:val="left"/>
      <w:spacing w:beforeAutospacing="1" w:afterAutospacing="1"/>
    </w:pPr>
    <w:rPr>
      <w:sz w:val="24"/>
    </w:rPr>
  </w:style>
  <w:style w:type="paragraph" w:styleId="740">
    <w:name w:val="Title"/>
    <w:basedOn w:val="708"/>
    <w:next w:val="708"/>
    <w:link w:val="760"/>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8"/>
    <w:uiPriority w:val="22"/>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正文首行缩进 21"/>
    <w:basedOn w:val="748"/>
    <w:uiPriority w:val="0"/>
    <w:qFormat/>
    <w:pPr>
      <w:ind w:left="0" w:firstLine="420"/>
      <w:spacing w:after="0" w:line="360" w:lineRule="auto"/>
    </w:pPr>
    <w:rPr>
      <w:rFonts w:ascii="宋体" w:hAnsi="宋体"/>
      <w:sz w:val="20"/>
      <w:szCs w:val="20"/>
      <w:lang w:val="en-US" w:eastAsia="en-US"/>
    </w:rPr>
  </w:style>
  <w:style w:type="paragraph" w:styleId="748" w:customStyle="1">
    <w:name w:val="正文文本缩进1"/>
    <w:basedOn w:val="708"/>
    <w:next w:val="747"/>
    <w:uiPriority w:val="0"/>
    <w:unhideWhenUsed/>
    <w:qFormat/>
    <w:pPr>
      <w:ind w:left="420"/>
      <w:spacing w:after="120"/>
    </w:pPr>
  </w:style>
  <w:style w:type="character" w:styleId="749" w:customStyle="1">
    <w:name w:val="Heading 1 Char"/>
    <w:link w:val="709"/>
    <w:uiPriority w:val="9"/>
    <w:qFormat/>
    <w:rPr>
      <w:rFonts w:ascii="Arial" w:hAnsi="Arial" w:eastAsia="Arial" w:cs="Arial"/>
      <w:sz w:val="40"/>
      <w:szCs w:val="40"/>
    </w:rPr>
  </w:style>
  <w:style w:type="character" w:styleId="750" w:customStyle="1">
    <w:name w:val="Heading 2 Char"/>
    <w:link w:val="710"/>
    <w:uiPriority w:val="9"/>
    <w:qFormat/>
    <w:rPr>
      <w:rFonts w:ascii="Arial" w:hAnsi="Arial" w:eastAsia="Arial" w:cs="Arial"/>
      <w:sz w:val="34"/>
    </w:rPr>
  </w:style>
  <w:style w:type="character" w:styleId="751" w:customStyle="1">
    <w:name w:val="Heading 3 Char"/>
    <w:link w:val="711"/>
    <w:uiPriority w:val="9"/>
    <w:qFormat/>
    <w:rPr>
      <w:rFonts w:ascii="Arial" w:hAnsi="Arial" w:eastAsia="Arial" w:cs="Arial"/>
      <w:sz w:val="30"/>
      <w:szCs w:val="30"/>
    </w:rPr>
  </w:style>
  <w:style w:type="character" w:styleId="752" w:customStyle="1">
    <w:name w:val="Heading 4 Char"/>
    <w:link w:val="712"/>
    <w:uiPriority w:val="9"/>
    <w:qFormat/>
    <w:rPr>
      <w:rFonts w:ascii="Arial" w:hAnsi="Arial" w:eastAsia="Arial" w:cs="Arial"/>
      <w:b/>
      <w:bCs/>
      <w:sz w:val="26"/>
      <w:szCs w:val="26"/>
    </w:rPr>
  </w:style>
  <w:style w:type="character" w:styleId="753" w:customStyle="1">
    <w:name w:val="Heading 5 Char"/>
    <w:link w:val="713"/>
    <w:uiPriority w:val="9"/>
    <w:qFormat/>
    <w:rPr>
      <w:rFonts w:ascii="Arial" w:hAnsi="Arial" w:eastAsia="Arial" w:cs="Arial"/>
      <w:b/>
      <w:bCs/>
      <w:sz w:val="24"/>
      <w:szCs w:val="24"/>
    </w:rPr>
  </w:style>
  <w:style w:type="character" w:styleId="754" w:customStyle="1">
    <w:name w:val="Heading 6 Char"/>
    <w:link w:val="714"/>
    <w:uiPriority w:val="9"/>
    <w:qFormat/>
    <w:rPr>
      <w:rFonts w:ascii="Arial" w:hAnsi="Arial" w:eastAsia="Arial" w:cs="Arial"/>
      <w:b/>
      <w:bCs/>
      <w:sz w:val="22"/>
      <w:szCs w:val="22"/>
    </w:rPr>
  </w:style>
  <w:style w:type="character" w:styleId="755" w:customStyle="1">
    <w:name w:val="Heading 7 Char"/>
    <w:link w:val="715"/>
    <w:uiPriority w:val="9"/>
    <w:qFormat/>
    <w:rPr>
      <w:rFonts w:ascii="Arial" w:hAnsi="Arial" w:eastAsia="Arial" w:cs="Arial"/>
      <w:b/>
      <w:bCs/>
      <w:i/>
      <w:iCs/>
      <w:sz w:val="22"/>
      <w:szCs w:val="22"/>
    </w:rPr>
  </w:style>
  <w:style w:type="character" w:styleId="756" w:customStyle="1">
    <w:name w:val="Heading 8 Char"/>
    <w:link w:val="716"/>
    <w:uiPriority w:val="9"/>
    <w:qFormat/>
    <w:rPr>
      <w:rFonts w:ascii="Arial" w:hAnsi="Arial" w:eastAsia="Arial" w:cs="Arial"/>
      <w:i/>
      <w:iCs/>
      <w:sz w:val="22"/>
      <w:szCs w:val="22"/>
    </w:rPr>
  </w:style>
  <w:style w:type="character" w:styleId="757" w:customStyle="1">
    <w:name w:val="Heading 9 Char"/>
    <w:link w:val="717"/>
    <w:uiPriority w:val="9"/>
    <w:qFormat/>
    <w:rPr>
      <w:rFonts w:ascii="Arial" w:hAnsi="Arial" w:eastAsia="Arial" w:cs="Arial"/>
      <w:i/>
      <w:iCs/>
      <w:sz w:val="21"/>
      <w:szCs w:val="21"/>
    </w:rPr>
  </w:style>
  <w:style w:type="paragraph" w:styleId="758">
    <w:name w:val="List Paragraph"/>
    <w:basedOn w:val="708"/>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link w:val="740"/>
    <w:uiPriority w:val="10"/>
    <w:qFormat/>
    <w:rPr>
      <w:sz w:val="48"/>
      <w:szCs w:val="48"/>
    </w:rPr>
  </w:style>
  <w:style w:type="character" w:styleId="761" w:customStyle="1">
    <w:name w:val="Subtitle Char"/>
    <w:link w:val="733"/>
    <w:uiPriority w:val="11"/>
    <w:qFormat/>
    <w:rPr>
      <w:sz w:val="24"/>
      <w:szCs w:val="24"/>
    </w:rPr>
  </w:style>
  <w:style w:type="paragraph" w:styleId="762">
    <w:name w:val="Quote"/>
    <w:basedOn w:val="708"/>
    <w:next w:val="708"/>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8"/>
    <w:next w:val="708"/>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0"/>
    <w:uiPriority w:val="99"/>
    <w:qFormat/>
  </w:style>
  <w:style w:type="character" w:styleId="767" w:customStyle="1">
    <w:name w:val="Footer Char"/>
    <w:link w:val="729"/>
    <w:uiPriority w:val="99"/>
    <w:qFormat/>
  </w:style>
  <w:style w:type="character" w:styleId="768" w:customStyle="1">
    <w:name w:val="Caption Char"/>
    <w:link w:val="729"/>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4"/>
    <w:uiPriority w:val="99"/>
    <w:qFormat/>
    <w:rPr>
      <w:sz w:val="18"/>
    </w:rPr>
  </w:style>
  <w:style w:type="character" w:styleId="895" w:customStyle="1">
    <w:name w:val="Endnote Text Char"/>
    <w:link w:val="728"/>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11"/>
    <w:basedOn w:val="708"/>
    <w:next w:val="708"/>
    <w:link w:val="903"/>
    <w:uiPriority w:val="0"/>
    <w:qFormat/>
    <w:pPr>
      <w:keepLines/>
      <w:keepNext/>
      <w:spacing w:before="340" w:after="330" w:line="578" w:lineRule="auto"/>
      <w:outlineLvl w:val="0"/>
    </w:pPr>
    <w:rPr>
      <w:b/>
      <w:bCs/>
      <w:sz w:val="44"/>
      <w:szCs w:val="44"/>
    </w:rPr>
  </w:style>
  <w:style w:type="paragraph" w:styleId="898" w:customStyle="1">
    <w:name w:val="标题 21"/>
    <w:basedOn w:val="708"/>
    <w:next w:val="708"/>
    <w:uiPriority w:val="0"/>
    <w:qFormat/>
    <w:pPr>
      <w:keepLines/>
      <w:keepNext/>
      <w:spacing w:line="360" w:lineRule="auto"/>
      <w:outlineLvl w:val="1"/>
    </w:pPr>
    <w:rPr>
      <w:rFonts w:ascii="Arial" w:hAnsi="Arial"/>
      <w:b/>
      <w:bCs/>
      <w:sz w:val="24"/>
      <w:szCs w:val="32"/>
    </w:rPr>
  </w:style>
  <w:style w:type="paragraph" w:styleId="899" w:customStyle="1">
    <w:name w:val="标题 41"/>
    <w:basedOn w:val="708"/>
    <w:next w:val="900"/>
    <w:uiPriority w:val="0"/>
    <w:qFormat/>
    <w:pPr>
      <w:jc w:val="center"/>
      <w:keepNext/>
      <w:outlineLvl w:val="3"/>
    </w:pPr>
    <w:rPr>
      <w:rFonts w:eastAsia="新宋体"/>
      <w:sz w:val="30"/>
      <w:szCs w:val="21"/>
    </w:rPr>
  </w:style>
  <w:style w:type="paragraph" w:styleId="900" w:customStyle="1">
    <w:name w:val="正文缩进11"/>
    <w:basedOn w:val="708"/>
    <w:uiPriority w:val="0"/>
    <w:qFormat/>
    <w:pPr>
      <w:ind w:firstLine="420"/>
    </w:pPr>
  </w:style>
  <w:style w:type="character" w:styleId="901" w:customStyle="1">
    <w:name w:val="默认段落字体1"/>
    <w:link w:val="708"/>
    <w:uiPriority w:val="1"/>
    <w:unhideWhenUsed/>
    <w:qFormat/>
  </w:style>
  <w:style w:type="table" w:styleId="902" w:customStyle="1">
    <w:name w:val="普通表格1"/>
    <w:uiPriority w:val="99"/>
    <w:unhideWhenUsed/>
    <w:qFormat/>
    <w:tblPr/>
  </w:style>
  <w:style w:type="character" w:styleId="903" w:customStyle="1">
    <w:name w:val="标题 1 字符"/>
    <w:link w:val="897"/>
    <w:uiPriority w:val="0"/>
    <w:qFormat/>
    <w:rPr>
      <w:rFonts w:ascii="Times New Roman" w:hAnsi="Times New Roman"/>
      <w:b/>
      <w:bCs/>
      <w:sz w:val="44"/>
      <w:szCs w:val="44"/>
    </w:rPr>
  </w:style>
  <w:style w:type="paragraph" w:styleId="904" w:customStyle="1">
    <w:name w:val="批注文字1"/>
    <w:basedOn w:val="708"/>
    <w:link w:val="905"/>
    <w:uiPriority w:val="0"/>
    <w:qFormat/>
    <w:pPr>
      <w:jc w:val="left"/>
    </w:pPr>
  </w:style>
  <w:style w:type="character" w:styleId="905" w:customStyle="1">
    <w:name w:val="批注文字 字符"/>
    <w:link w:val="904"/>
    <w:uiPriority w:val="0"/>
    <w:qFormat/>
    <w:rPr>
      <w:sz w:val="21"/>
    </w:rPr>
  </w:style>
  <w:style w:type="paragraph" w:styleId="906" w:customStyle="1">
    <w:name w:val="正文文本11"/>
    <w:basedOn w:val="708"/>
    <w:next w:val="708"/>
    <w:uiPriority w:val="0"/>
    <w:qFormat/>
    <w:rPr>
      <w:rFonts w:ascii="仿宋_GB2312" w:eastAsia="仿宋_GB2312"/>
      <w:sz w:val="24"/>
    </w:rPr>
  </w:style>
  <w:style w:type="paragraph" w:styleId="907" w:customStyle="1">
    <w:name w:val="正文文本缩进11"/>
    <w:basedOn w:val="708"/>
    <w:next w:val="908"/>
    <w:link w:val="909"/>
    <w:uiPriority w:val="0"/>
    <w:qFormat/>
    <w:pPr>
      <w:ind w:left="420"/>
      <w:spacing w:after="120"/>
    </w:pPr>
  </w:style>
  <w:style w:type="paragraph" w:styleId="908" w:customStyle="1">
    <w:name w:val="寄信人地址1"/>
    <w:basedOn w:val="708"/>
    <w:uiPriority w:val="0"/>
    <w:qFormat/>
    <w:rPr>
      <w:rFonts w:ascii="Arial" w:hAnsi="Arial"/>
    </w:rPr>
  </w:style>
  <w:style w:type="character" w:styleId="909" w:customStyle="1">
    <w:name w:val="正文文本缩进 字符"/>
    <w:link w:val="907"/>
    <w:uiPriority w:val="0"/>
    <w:qFormat/>
    <w:rPr>
      <w:sz w:val="21"/>
    </w:rPr>
  </w:style>
  <w:style w:type="paragraph" w:styleId="910" w:customStyle="1">
    <w:name w:val="索引 41"/>
    <w:basedOn w:val="708"/>
    <w:next w:val="708"/>
    <w:uiPriority w:val="99"/>
    <w:unhideWhenUsed/>
    <w:qFormat/>
    <w:pPr>
      <w:ind w:left="600"/>
    </w:pPr>
  </w:style>
  <w:style w:type="paragraph" w:styleId="911" w:customStyle="1">
    <w:name w:val="纯文本11"/>
    <w:basedOn w:val="708"/>
    <w:uiPriority w:val="0"/>
    <w:qFormat/>
    <w:rPr>
      <w:rFonts w:ascii="宋体" w:hAnsi="Courier New" w:cs="Courier New"/>
      <w:szCs w:val="21"/>
    </w:rPr>
  </w:style>
  <w:style w:type="paragraph" w:styleId="912" w:customStyle="1">
    <w:name w:val="批注框文本1"/>
    <w:basedOn w:val="708"/>
    <w:link w:val="913"/>
    <w:uiPriority w:val="0"/>
    <w:qFormat/>
    <w:rPr>
      <w:sz w:val="18"/>
      <w:szCs w:val="18"/>
    </w:rPr>
  </w:style>
  <w:style w:type="character" w:styleId="913" w:customStyle="1">
    <w:name w:val="批注框文本 字符"/>
    <w:link w:val="912"/>
    <w:uiPriority w:val="0"/>
    <w:qFormat/>
    <w:rPr>
      <w:sz w:val="18"/>
      <w:szCs w:val="18"/>
    </w:rPr>
  </w:style>
  <w:style w:type="paragraph" w:styleId="914" w:customStyle="1">
    <w:name w:val="页脚11"/>
    <w:basedOn w:val="708"/>
    <w:link w:val="915"/>
    <w:uiPriority w:val="99"/>
    <w:qFormat/>
    <w:pPr>
      <w:jc w:val="left"/>
      <w:tabs>
        <w:tab w:val="center" w:pos="4153" w:leader="none"/>
        <w:tab w:val="right" w:pos="8306" w:leader="none"/>
      </w:tabs>
    </w:pPr>
    <w:rPr>
      <w:sz w:val="18"/>
      <w:szCs w:val="18"/>
    </w:rPr>
  </w:style>
  <w:style w:type="character" w:styleId="915" w:customStyle="1">
    <w:name w:val="页脚 字符"/>
    <w:link w:val="914"/>
    <w:uiPriority w:val="99"/>
    <w:qFormat/>
    <w:rPr>
      <w:rFonts w:ascii="Times New Roman" w:hAnsi="Times New Roman" w:eastAsia="宋体" w:cs="Times New Roman"/>
      <w:sz w:val="18"/>
      <w:szCs w:val="18"/>
    </w:rPr>
  </w:style>
  <w:style w:type="paragraph" w:styleId="916" w:customStyle="1">
    <w:name w:val="页眉1"/>
    <w:basedOn w:val="70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7" w:customStyle="1">
    <w:name w:val="目录 11"/>
    <w:basedOn w:val="708"/>
    <w:next w:val="708"/>
    <w:uiPriority w:val="39"/>
    <w:qFormat/>
  </w:style>
  <w:style w:type="paragraph" w:styleId="918" w:customStyle="1">
    <w:name w:val="正文文本缩进 31"/>
    <w:basedOn w:val="708"/>
    <w:uiPriority w:val="0"/>
    <w:qFormat/>
    <w:pPr>
      <w:ind w:left="645" w:firstLine="645"/>
    </w:pPr>
    <w:rPr>
      <w:rFonts w:ascii="Arial" w:hAnsi="Arial" w:eastAsia="仿宋_GB2312"/>
      <w:color w:val="ffff00"/>
      <w:sz w:val="32"/>
      <w:szCs w:val="32"/>
    </w:rPr>
  </w:style>
  <w:style w:type="paragraph" w:styleId="919" w:customStyle="1">
    <w:name w:val="普通(网站)11"/>
    <w:basedOn w:val="708"/>
    <w:uiPriority w:val="99"/>
    <w:unhideWhenUsed/>
    <w:qFormat/>
    <w:pPr>
      <w:jc w:val="left"/>
      <w:spacing w:before="100" w:beforeAutospacing="1" w:after="100" w:afterAutospacing="1"/>
      <w:widowControl/>
    </w:pPr>
    <w:rPr>
      <w:rFonts w:ascii="宋体" w:hAnsi="宋体" w:cs="宋体"/>
      <w:sz w:val="24"/>
      <w:szCs w:val="24"/>
    </w:rPr>
  </w:style>
  <w:style w:type="paragraph" w:styleId="920" w:customStyle="1">
    <w:name w:val="批注主题1"/>
    <w:basedOn w:val="904"/>
    <w:next w:val="904"/>
    <w:link w:val="921"/>
    <w:uiPriority w:val="0"/>
    <w:qFormat/>
    <w:rPr>
      <w:b/>
      <w:bCs/>
    </w:rPr>
  </w:style>
  <w:style w:type="character" w:styleId="921" w:customStyle="1">
    <w:name w:val="批注主题 字符"/>
    <w:link w:val="920"/>
    <w:uiPriority w:val="0"/>
    <w:qFormat/>
    <w:rPr>
      <w:b/>
      <w:bCs/>
      <w:sz w:val="21"/>
    </w:rPr>
  </w:style>
  <w:style w:type="paragraph" w:styleId="922" w:customStyle="1">
    <w:name w:val="正文首行缩进1"/>
    <w:basedOn w:val="906"/>
    <w:link w:val="923"/>
    <w:uiPriority w:val="0"/>
    <w:qFormat/>
    <w:pPr>
      <w:ind w:firstLine="420"/>
      <w:spacing w:after="120"/>
    </w:pPr>
    <w:rPr>
      <w:rFonts w:ascii="Times New Roman" w:eastAsia="宋体"/>
      <w:szCs w:val="24"/>
    </w:rPr>
  </w:style>
  <w:style w:type="character" w:styleId="923" w:customStyle="1">
    <w:name w:val="正文首行缩进 字符"/>
    <w:link w:val="922"/>
    <w:uiPriority w:val="0"/>
    <w:qFormat/>
    <w:rPr>
      <w:sz w:val="24"/>
      <w:szCs w:val="24"/>
    </w:rPr>
  </w:style>
  <w:style w:type="paragraph" w:styleId="924" w:customStyle="1">
    <w:name w:val="正文首行缩进 211"/>
    <w:basedOn w:val="907"/>
    <w:next w:val="918"/>
    <w:uiPriority w:val="0"/>
    <w:qFormat/>
    <w:pPr>
      <w:ind w:left="0" w:firstLine="420"/>
      <w:spacing w:after="0" w:line="360" w:lineRule="auto"/>
    </w:pPr>
    <w:rPr>
      <w:rFonts w:ascii="宋体" w:hAnsi="宋体"/>
      <w:sz w:val="20"/>
      <w:szCs w:val="20"/>
    </w:rPr>
  </w:style>
  <w:style w:type="table" w:styleId="925" w:customStyle="1">
    <w:name w:val="网格型1"/>
    <w:basedOn w:val="902"/>
    <w:uiPriority w:val="39"/>
    <w:qFormat/>
    <w:tblPr/>
  </w:style>
  <w:style w:type="character" w:styleId="926" w:customStyle="1">
    <w:name w:val="要点1"/>
    <w:link w:val="708"/>
    <w:uiPriority w:val="22"/>
    <w:qFormat/>
    <w:rPr>
      <w:b/>
      <w:bCs/>
    </w:rPr>
  </w:style>
  <w:style w:type="character" w:styleId="927" w:customStyle="1">
    <w:name w:val="已访问的超链接1"/>
    <w:link w:val="708"/>
    <w:uiPriority w:val="0"/>
    <w:qFormat/>
    <w:rPr>
      <w:rFonts w:ascii="Times New Roman" w:hAnsi="Times New Roman" w:eastAsia="宋体" w:cs="Times New Roman"/>
      <w:sz w:val="21"/>
      <w:lang w:val="en-US" w:eastAsia="zh-CN" w:bidi="ar-SA"/>
    </w:rPr>
  </w:style>
  <w:style w:type="character" w:styleId="928" w:customStyle="1">
    <w:name w:val="强调1"/>
    <w:link w:val="708"/>
    <w:uiPriority w:val="0"/>
    <w:qFormat/>
    <w:rPr>
      <w:i/>
    </w:rPr>
  </w:style>
  <w:style w:type="character" w:styleId="929" w:customStyle="1">
    <w:name w:val="超链接1"/>
    <w:link w:val="708"/>
    <w:uiPriority w:val="99"/>
    <w:unhideWhenUsed/>
    <w:qFormat/>
    <w:rPr>
      <w:color w:val="0563c1"/>
      <w:u w:val="single"/>
    </w:rPr>
  </w:style>
  <w:style w:type="character" w:styleId="930" w:customStyle="1">
    <w:name w:val="批注引用1"/>
    <w:link w:val="708"/>
    <w:uiPriority w:val="0"/>
    <w:qFormat/>
    <w:rPr>
      <w:sz w:val="21"/>
      <w:szCs w:val="21"/>
    </w:rPr>
  </w:style>
  <w:style w:type="paragraph" w:styleId="931" w:customStyle="1">
    <w:name w:val="普通文字"/>
    <w:basedOn w:val="708"/>
    <w:next w:val="708"/>
    <w:uiPriority w:val="0"/>
    <w:qFormat/>
    <w:rPr>
      <w:rFonts w:ascii="宋体"/>
      <w:sz w:val="24"/>
    </w:rPr>
  </w:style>
  <w:style w:type="paragraph" w:styleId="932" w:customStyle="1">
    <w:name w:val="正文缩进1"/>
    <w:basedOn w:val="708"/>
    <w:uiPriority w:val="0"/>
    <w:qFormat/>
    <w:pPr>
      <w:ind w:firstLine="420"/>
      <w:jc w:val="left"/>
    </w:pPr>
    <w:rPr>
      <w:rFonts w:ascii="宋体" w:hAnsi="Calibri"/>
      <w:sz w:val="24"/>
      <w:szCs w:val="22"/>
    </w:rPr>
  </w:style>
  <w:style w:type="paragraph" w:styleId="933" w:customStyle="1">
    <w:name w:val="索引 11"/>
    <w:basedOn w:val="708"/>
    <w:next w:val="708"/>
    <w:uiPriority w:val="0"/>
    <w:qFormat/>
    <w:pPr>
      <w:spacing w:line="360" w:lineRule="auto"/>
    </w:pPr>
    <w:rPr>
      <w:rFonts w:ascii="仿宋_GB2312" w:eastAsia="仿宋_GB2312"/>
      <w:sz w:val="24"/>
    </w:rPr>
  </w:style>
  <w:style w:type="paragraph" w:styleId="934" w:customStyle="1">
    <w:name w:val="纯文本1"/>
    <w:basedOn w:val="708"/>
    <w:uiPriority w:val="0"/>
    <w:qFormat/>
    <w:rPr>
      <w:rFonts w:ascii="宋体" w:hAnsi="Courier New"/>
      <w:szCs w:val="22"/>
    </w:rPr>
  </w:style>
  <w:style w:type="paragraph" w:styleId="935" w:customStyle="1">
    <w:name w:val="普通(网站)1"/>
    <w:basedOn w:val="708"/>
    <w:uiPriority w:val="99"/>
    <w:qFormat/>
    <w:pPr>
      <w:jc w:val="left"/>
      <w:spacing w:before="100" w:beforeAutospacing="1" w:after="100" w:afterAutospacing="1"/>
    </w:pPr>
    <w:rPr>
      <w:sz w:val="24"/>
    </w:rPr>
  </w:style>
  <w:style w:type="paragraph" w:styleId="936" w:customStyle="1">
    <w:name w:val="正文文本1"/>
    <w:basedOn w:val="708"/>
    <w:next w:val="708"/>
    <w:uiPriority w:val="0"/>
    <w:qFormat/>
    <w:rPr>
      <w:sz w:val="20"/>
    </w:rPr>
  </w:style>
  <w:style w:type="paragraph" w:styleId="937" w:customStyle="1">
    <w:name w:val="正文文本首行缩进"/>
    <w:basedOn w:val="936"/>
    <w:uiPriority w:val="0"/>
    <w:qFormat/>
    <w:pPr>
      <w:ind w:firstLine="420"/>
      <w:spacing w:after="120"/>
      <w:tabs>
        <w:tab w:val="left" w:pos="2020" w:leader="none"/>
        <w:tab w:val="center" w:pos="4535" w:leader="none"/>
      </w:tabs>
    </w:pPr>
    <w:rPr>
      <w:sz w:val="21"/>
    </w:rPr>
  </w:style>
  <w:style w:type="paragraph" w:styleId="938" w:customStyle="1">
    <w:name w:val="纯文本2"/>
    <w:basedOn w:val="708"/>
    <w:uiPriority w:val="0"/>
    <w:qFormat/>
    <w:rPr>
      <w:rFonts w:ascii="宋体" w:hAnsi="Courier New"/>
    </w:rPr>
  </w:style>
  <w:style w:type="paragraph" w:styleId="939" w:customStyle="1">
    <w:name w:val="正文文本 21"/>
    <w:basedOn w:val="708"/>
    <w:uiPriority w:val="0"/>
    <w:qFormat/>
    <w:pPr>
      <w:spacing w:after="120" w:line="480" w:lineRule="auto"/>
    </w:pPr>
    <w:rPr>
      <w:sz w:val="20"/>
    </w:rPr>
  </w:style>
  <w:style w:type="paragraph" w:styleId="940" w:customStyle="1">
    <w:name w:val="页脚1"/>
    <w:basedOn w:val="708"/>
    <w:uiPriority w:val="0"/>
    <w:qFormat/>
    <w:pPr>
      <w:jc w:val="left"/>
      <w:tabs>
        <w:tab w:val="center" w:pos="4153" w:leader="none"/>
        <w:tab w:val="right" w:pos="8306" w:leader="none"/>
      </w:tabs>
    </w:pPr>
    <w:rPr>
      <w:sz w:val="18"/>
    </w:rPr>
  </w:style>
  <w:style w:type="character" w:styleId="941" w:customStyle="1">
    <w:name w:val="custom-tag-placeholder-class"/>
    <w:link w:val="708"/>
    <w:uiPriority w:val="0"/>
    <w:qFormat/>
  </w:style>
  <w:style w:type="paragraph" w:styleId="94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3" w:customStyle="1">
    <w:name w:val="列出段落1"/>
    <w:basedOn w:val="708"/>
    <w:uiPriority w:val="0"/>
    <w:qFormat/>
    <w:pPr>
      <w:ind w:firstLine="420"/>
    </w:pPr>
    <w:rPr>
      <w:szCs w:val="21"/>
    </w:rPr>
  </w:style>
  <w:style w:type="paragraph" w:styleId="944" w:customStyle="1">
    <w:name w:val="标题 111"/>
    <w:basedOn w:val="708"/>
    <w:next w:val="708"/>
    <w:uiPriority w:val="0"/>
    <w:qFormat/>
    <w:pPr>
      <w:keepLines/>
      <w:keepNext/>
      <w:spacing w:before="340" w:after="330" w:line="578" w:lineRule="auto"/>
      <w:outlineLvl w:val="0"/>
    </w:pPr>
    <w:rPr>
      <w:b/>
      <w:bCs/>
      <w:sz w:val="44"/>
      <w:szCs w:val="44"/>
      <w:lang w:val="en-US" w:eastAsia="en-US"/>
    </w:rPr>
  </w:style>
  <w:style w:type="paragraph" w:styleId="945" w:customStyle="1">
    <w:name w:val="普通(网站)2"/>
    <w:basedOn w:val="708"/>
    <w:uiPriority w:val="99"/>
    <w:unhideWhenUsed/>
    <w:qFormat/>
    <w:pPr>
      <w:jc w:val="left"/>
      <w:spacing w:before="100" w:beforeAutospacing="1" w:after="100" w:afterAutospacing="1"/>
      <w:widowControl/>
    </w:pPr>
    <w:rPr>
      <w:rFonts w:ascii="宋体" w:hAnsi="宋体" w:cs="宋体"/>
      <w:sz w:val="24"/>
      <w:szCs w:val="24"/>
    </w:rPr>
  </w:style>
  <w:style w:type="paragraph" w:styleId="946"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47" w:customStyle="1">
    <w:name w:val="正文首行缩进11"/>
    <w:basedOn w:val="936"/>
    <w:uiPriority w:val="0"/>
    <w:qFormat/>
    <w:pPr>
      <w:ind w:firstLine="200"/>
      <w:spacing w:line="360" w:lineRule="auto"/>
    </w:pPr>
    <w:rPr>
      <w:rFonts w:ascii="仿宋_GB2312" w:hAnsi="Times New Roman" w:eastAsia="仿宋_GB2312"/>
      <w:sz w:val="30"/>
      <w:szCs w:val="30"/>
    </w:rPr>
  </w:style>
  <w:style w:type="character" w:styleId="948" w:customStyle="1">
    <w:name w:val="font51"/>
    <w:basedOn w:val="718"/>
    <w:uiPriority w:val="0"/>
    <w:qFormat/>
    <w:rPr>
      <w:rFonts w:hint="eastAsia" w:ascii="宋体" w:hAnsi="宋体" w:eastAsia="宋体" w:cs="宋体"/>
      <w:color w:val="000000"/>
      <w:sz w:val="21"/>
      <w:szCs w:val="21"/>
      <w:u w:val="none"/>
    </w:rPr>
  </w:style>
  <w:style w:type="character" w:styleId="949" w:customStyle="1">
    <w:name w:val="font41"/>
    <w:basedOn w:val="718"/>
    <w:uiPriority w:val="0"/>
    <w:qFormat/>
    <w:rPr>
      <w:rFonts w:hint="eastAsia" w:ascii="宋体" w:hAnsi="宋体" w:eastAsia="宋体" w:cs="宋体"/>
      <w:color w:val="000000"/>
      <w:sz w:val="22"/>
      <w:szCs w:val="22"/>
      <w:u w:val="none"/>
    </w:rPr>
  </w:style>
  <w:style w:type="character" w:styleId="950" w:customStyle="1">
    <w:name w:val="font31"/>
    <w:basedOn w:val="718"/>
    <w:uiPriority w:val="0"/>
    <w:qFormat/>
    <w:rPr>
      <w:rFonts w:hint="eastAsia" w:ascii="宋体" w:hAnsi="宋体" w:eastAsia="宋体" w:cs="宋体"/>
      <w:color w:val="ff0000"/>
      <w:sz w:val="20"/>
      <w:szCs w:val="20"/>
      <w:u w:val="none"/>
    </w:rPr>
  </w:style>
  <w:style w:type="character" w:styleId="951" w:customStyle="1">
    <w:name w:val="font21"/>
    <w:basedOn w:val="718"/>
    <w:uiPriority w:val="0"/>
    <w:qFormat/>
    <w:rPr>
      <w:rFonts w:hint="eastAsia" w:ascii="宋体" w:hAnsi="宋体" w:eastAsia="宋体" w:cs="宋体"/>
      <w:color w:val="000000"/>
      <w:sz w:val="22"/>
      <w:szCs w:val="22"/>
      <w:u w:val="none"/>
    </w:r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80588F7-A239-45A3-99B7-CC589A0114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27</cp:revision>
  <dcterms:created xsi:type="dcterms:W3CDTF">2023-12-07T03:32:00Z</dcterms:created>
  <dcterms:modified xsi:type="dcterms:W3CDTF">2026-10-09T07:46:08Z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13DAA2B4FA5442538B4A4B3F281DDC78_13</vt:lpwstr>
  </property>
  <property fmtid="{D5CDD505-2E9C-101B-9397-08002B2CF9AE}" pid="4" name="KSOTemplateDocerSaveRecord">
    <vt:lpwstr>eyJoZGlkIjoiMGRkNTk5ZjA5YWZiMjQ4N2FjZjQ2MmExYTFlODRiZjYiLCJ1c2VySWQiOiIxNjU1OTQ5OTkwIn0=</vt:lpwstr>
  </property>
</Properties>
</file>