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2"/>
          <w:szCs w:val="32"/>
          <w:highlight w:val="none"/>
        </w:rPr>
      </w:pPr>
      <w:r>
        <w:rPr>
          <w:rFonts w:hint="eastAsia"/>
          <w:b/>
          <w:color w:val="auto"/>
          <w:sz w:val="32"/>
          <w:szCs w:val="32"/>
          <w:highlight w:val="none"/>
        </w:rPr>
        <w:t xml:space="preserve">招标公告</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项目概况</w:t>
      </w:r>
      <w:r/>
    </w:p>
    <w:p>
      <w:pPr>
        <w:ind w:firstLine="480"/>
        <w:jc w:val="both"/>
        <w:rPr>
          <w:rFonts w:ascii="宋体" w:hAnsi="宋体" w:cs="宋体"/>
          <w:color w:val="auto"/>
          <w:szCs w:val="24"/>
          <w:highlight w:val="none"/>
        </w:rPr>
      </w:pPr>
      <w:r>
        <w:rPr>
          <w:rFonts w:hint="eastAsia" w:ascii="宋体" w:hAnsi="宋体" w:cs="宋体"/>
          <w:color w:val="auto"/>
          <w:szCs w:val="24"/>
          <w:highlight w:val="none"/>
          <w:u w:val="single"/>
        </w:rPr>
        <w:t xml:space="preserve">苏州市相城区医疗信息化建设及配套设备采购安装</w:t>
      </w:r>
      <w:r>
        <w:rPr>
          <w:rFonts w:hint="eastAsia" w:ascii="宋体" w:hAnsi="宋体" w:cs="宋体"/>
          <w:color w:val="auto"/>
          <w:szCs w:val="24"/>
          <w:highlight w:val="none"/>
        </w:rPr>
        <w:t xml:space="preserve">招标项目的潜在投标人应在</w:t>
      </w:r>
      <w:r>
        <w:rPr>
          <w:rFonts w:hint="eastAsia" w:ascii="宋体" w:hAnsi="宋体" w:cs="宋体"/>
          <w:color w:val="auto"/>
          <w:szCs w:val="24"/>
          <w:highlight w:val="none"/>
          <w:u w:val="single"/>
        </w:rPr>
        <w:t xml:space="preserve">江苏省政府采购一体化平台“苏采云”系统</w:t>
      </w:r>
      <w:r>
        <w:rPr>
          <w:rFonts w:hint="eastAsia" w:ascii="宋体" w:hAnsi="宋体" w:cs="宋体"/>
          <w:color w:val="auto"/>
          <w:szCs w:val="24"/>
          <w:highlight w:val="none"/>
        </w:rPr>
        <w:t xml:space="preserve">获取招标文件，并于</w:t>
      </w:r>
      <w:r>
        <w:rPr>
          <w:rFonts w:hint="eastAsia" w:ascii="宋体" w:hAnsi="宋体" w:cs="宋体"/>
          <w:color w:val="auto"/>
          <w:szCs w:val="24"/>
          <w:highlight w:val="none"/>
          <w:u w:val="single"/>
          <w:lang w:eastAsia="zh-CN"/>
        </w:rPr>
        <w:t xml:space="preserve">2026年10月23日</w:t>
      </w:r>
      <w:r>
        <w:rPr>
          <w:rFonts w:hint="eastAsia" w:ascii="宋体" w:hAnsi="宋体" w:cs="宋体"/>
          <w:color w:val="auto"/>
          <w:szCs w:val="24"/>
          <w:highlight w:val="none"/>
          <w:u w:val="single"/>
        </w:rPr>
        <w:t xml:space="preserve">09点30分（北京时间）</w:t>
      </w:r>
      <w:r>
        <w:rPr>
          <w:rFonts w:hint="eastAsia" w:ascii="宋体" w:hAnsi="宋体" w:cs="宋体"/>
          <w:color w:val="auto"/>
          <w:szCs w:val="24"/>
          <w:highlight w:val="none"/>
        </w:rPr>
        <w:t xml:space="preserve">前递交投标文件。</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一、项目基本情况：</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1.项目编号：</w:t>
      </w:r>
      <w:r>
        <w:rPr>
          <w:rFonts w:hint="eastAsia" w:ascii="宋体" w:hAnsi="宋体" w:cs="宋体"/>
          <w:color w:val="auto"/>
          <w:szCs w:val="24"/>
          <w:highlight w:val="none"/>
          <w:lang w:eastAsia="zh-CN"/>
        </w:rPr>
        <w:t xml:space="preserve">JSZC-320507-SZWK-G2026-0320</w:t>
      </w:r>
      <w:r>
        <w:rPr>
          <w:rFonts w:hint="eastAsia" w:ascii="宋体" w:hAnsi="宋体" w:cs="宋体"/>
          <w:color w:val="auto"/>
          <w:szCs w:val="24"/>
          <w:highlight w:val="none"/>
        </w:rPr>
        <w:t xml:space="preserve">号</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2.项目名称：苏州市相城区医疗信息化建设及配套设备采购安装</w:t>
      </w:r>
      <w:r/>
    </w:p>
    <w:p>
      <w:pPr>
        <w:ind w:firstLine="480"/>
        <w:rPr>
          <w:rFonts w:ascii="宋体" w:hAnsi="宋体"/>
          <w:color w:val="auto"/>
          <w:szCs w:val="24"/>
          <w:highlight w:val="none"/>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54934</w:t>
      </w:r>
      <w:r>
        <w:rPr>
          <w:rFonts w:hint="eastAsia" w:ascii="宋体" w:hAnsi="宋体"/>
          <w:color w:val="auto"/>
          <w:szCs w:val="24"/>
          <w:highlight w:val="none"/>
        </w:rPr>
        <w:t xml:space="preserve">000.00元</w:t>
      </w:r>
      <w:r/>
    </w:p>
    <w:p>
      <w:pPr>
        <w:ind w:firstLine="480"/>
        <w:rPr>
          <w:rFonts w:ascii="宋体" w:hAnsi="宋体"/>
          <w:color w:val="auto"/>
          <w:szCs w:val="24"/>
          <w:highlight w:val="none"/>
        </w:rPr>
      </w:pPr>
      <w:r>
        <w:rPr>
          <w:rFonts w:hint="eastAsia" w:ascii="宋体" w:hAnsi="宋体"/>
          <w:color w:val="auto"/>
          <w:szCs w:val="24"/>
          <w:highlight w:val="none"/>
        </w:rPr>
        <w:t xml:space="preserve">4.最高限价：</w:t>
      </w:r>
      <w:r>
        <w:rPr>
          <w:rFonts w:hint="eastAsia" w:ascii="宋体" w:hAnsi="宋体"/>
          <w:color w:val="auto"/>
          <w:szCs w:val="24"/>
          <w:highlight w:val="none"/>
          <w:lang w:val="en-US" w:eastAsia="zh-CN"/>
        </w:rPr>
        <w:t xml:space="preserve">54934</w:t>
      </w:r>
      <w:r>
        <w:rPr>
          <w:rFonts w:hint="eastAsia" w:ascii="宋体" w:hAnsi="宋体"/>
          <w:color w:val="auto"/>
          <w:szCs w:val="24"/>
          <w:highlight w:val="none"/>
        </w:rPr>
        <w:t xml:space="preserve">000.00元</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5.采购需求：</w:t>
      </w:r>
      <w:r/>
    </w:p>
    <w:p>
      <w:pPr>
        <w:ind w:firstLine="480"/>
        <w:rPr>
          <w:rFonts w:ascii="宋体" w:hAnsi="宋体"/>
          <w:color w:val="auto"/>
          <w:szCs w:val="24"/>
          <w:highlight w:val="none"/>
        </w:rPr>
      </w:pPr>
      <w:r>
        <w:rPr>
          <w:rFonts w:hint="eastAsia" w:ascii="宋体" w:hAnsi="宋体"/>
          <w:color w:val="auto"/>
          <w:szCs w:val="24"/>
          <w:highlight w:val="none"/>
        </w:rPr>
        <w:t xml:space="preserve">5.1项目背景</w:t>
      </w:r>
      <w:r/>
    </w:p>
    <w:p>
      <w:pPr>
        <w:ind w:firstLine="480"/>
        <w:rPr>
          <w:rFonts w:ascii="宋体" w:hAnsi="宋体"/>
          <w:color w:val="auto"/>
          <w:szCs w:val="24"/>
          <w:highlight w:val="none"/>
        </w:rPr>
      </w:pPr>
      <w:r>
        <w:rPr>
          <w:rFonts w:hint="eastAsia" w:ascii="宋体" w:hAnsi="宋体"/>
          <w:color w:val="auto"/>
          <w:szCs w:val="24"/>
          <w:highlight w:val="none"/>
        </w:rPr>
        <w:t xml:space="preserve">为贯彻落实国家及省、市关于紧密型县域医疗信息化建设工作部署，加快构建“基层首诊、双向转诊、急慢分治、上下联动”的分级诊疗体系，苏州市相城区已形成以三级医院为龙头、二级医院为支撑、基层医疗机构为网底的医疗卫生服务网络，区域医疗服务能力持续提升。</w:t>
      </w:r>
      <w:r/>
    </w:p>
    <w:p>
      <w:pPr>
        <w:ind w:firstLine="480"/>
        <w:rPr>
          <w:rFonts w:ascii="宋体" w:hAnsi="宋体"/>
          <w:color w:val="auto"/>
          <w:szCs w:val="24"/>
          <w:highlight w:val="none"/>
        </w:rPr>
      </w:pPr>
      <w:r>
        <w:rPr>
          <w:rFonts w:hint="eastAsia" w:ascii="宋体" w:hAnsi="宋体"/>
          <w:color w:val="auto"/>
          <w:szCs w:val="24"/>
          <w:highlight w:val="none"/>
        </w:rPr>
        <w:t xml:space="preserve">为进一步强化政府治理与数字化赋能，推进本区医疗健康信息与“健康相城”区级平台深度对接，实现数据互通、业务协同、监管高效，现启动县域医疗</w:t>
      </w:r>
      <w:r>
        <w:rPr>
          <w:rFonts w:hint="eastAsia" w:ascii="宋体" w:hAnsi="宋体"/>
          <w:color w:val="auto"/>
          <w:szCs w:val="24"/>
          <w:highlight w:val="none"/>
          <w:lang w:eastAsia="zh-CN"/>
        </w:rPr>
        <w:t xml:space="preserve">信息化</w:t>
      </w:r>
      <w:r>
        <w:rPr>
          <w:rFonts w:hint="eastAsia" w:ascii="宋体" w:hAnsi="宋体"/>
          <w:color w:val="auto"/>
          <w:szCs w:val="24"/>
          <w:highlight w:val="none"/>
        </w:rPr>
        <w:t xml:space="preserve">建设，通过统一标准、整合资源、优化服务流程，全面提升医疗服务质量与管理效能，切实满足群众就近享有优质高效医疗健康服务的需求。</w:t>
      </w:r>
      <w:r/>
    </w:p>
    <w:p>
      <w:pPr>
        <w:ind w:firstLine="480"/>
        <w:rPr>
          <w:rFonts w:ascii="宋体" w:hAnsi="宋体"/>
          <w:color w:val="auto"/>
          <w:szCs w:val="24"/>
          <w:highlight w:val="none"/>
        </w:rPr>
      </w:pPr>
      <w:r>
        <w:rPr>
          <w:rFonts w:hint="eastAsia" w:ascii="宋体" w:hAnsi="宋体"/>
          <w:color w:val="auto"/>
          <w:szCs w:val="24"/>
          <w:highlight w:val="none"/>
        </w:rPr>
        <w:t xml:space="preserve">5.2建设目标</w:t>
      </w:r>
      <w:r/>
    </w:p>
    <w:p>
      <w:pPr>
        <w:ind w:firstLine="480"/>
        <w:rPr>
          <w:rFonts w:ascii="宋体" w:hAnsi="宋体"/>
          <w:color w:val="auto"/>
          <w:szCs w:val="24"/>
          <w:highlight w:val="none"/>
        </w:rPr>
      </w:pPr>
      <w:r>
        <w:rPr>
          <w:rFonts w:hint="eastAsia" w:ascii="宋体" w:hAnsi="宋体"/>
          <w:color w:val="auto"/>
          <w:szCs w:val="24"/>
          <w:highlight w:val="none"/>
        </w:rPr>
        <w:t xml:space="preserve">本项目以数据为核心、以协同为纽带，通过统一标准、资源共享、流程优化，全面提升县域医疗信息化互联互通与业务协同能力，实现县域居民就近享有优质、便捷、高效的医疗健康服务，支撑医疗信息化规范化管理与可持续运营，契合国家“强县域、强基层”的医改方向。</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6.合同履行期限：</w:t>
      </w:r>
      <w:bookmarkStart w:id="0" w:name="OLE_LINK11"/>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自合同签订之日起6个月内核心业务系统上线，15个月内完成整个项目的深化调研、系统研发、编码、测试、上线并交付使用。自验收通过之日起</w:t>
      </w:r>
      <w:r>
        <w:rPr>
          <w:rFonts w:hint="eastAsia" w:ascii="宋体" w:hAnsi="宋体" w:cs="宋体"/>
          <w:color w:val="auto"/>
          <w:szCs w:val="24"/>
          <w:highlight w:val="none"/>
          <w:lang w:val="en-US" w:eastAsia="zh-CN"/>
        </w:rPr>
        <w:t xml:space="preserve">提供</w:t>
      </w:r>
      <w:r>
        <w:rPr>
          <w:rFonts w:hint="eastAsia" w:ascii="宋体" w:hAnsi="宋体" w:cs="宋体"/>
          <w:color w:val="auto"/>
          <w:szCs w:val="24"/>
          <w:highlight w:val="none"/>
        </w:rPr>
        <w:t xml:space="preserve">免费售后服务5年</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同时须提供过保后维保费用清单</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维保费用不超过合同总额的6%</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w:t>
      </w:r>
      <w:bookmarkEnd w:id="0"/>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二、申请人的资格要求：</w:t>
      </w:r>
      <w:r/>
    </w:p>
    <w:p>
      <w:pPr>
        <w:ind w:firstLine="480"/>
        <w:jc w:val="both"/>
        <w:rPr>
          <w:rFonts w:hint="eastAsia" w:ascii="宋体" w:hAnsi="宋体" w:cs="宋体" w:eastAsiaTheme="minorEastAsia"/>
          <w:color w:val="auto"/>
          <w:szCs w:val="24"/>
          <w:highlight w:val="none"/>
          <w:lang w:eastAsia="zh-CN"/>
        </w:rPr>
      </w:pPr>
      <w:r>
        <w:rPr>
          <w:rFonts w:hint="eastAsia" w:ascii="宋体" w:hAnsi="宋体" w:cs="宋体"/>
          <w:color w:val="auto"/>
          <w:szCs w:val="24"/>
          <w:highlight w:val="none"/>
        </w:rPr>
        <w:t xml:space="preserve">1.满足《中华人民共和国政府采购法》第二十二条规定</w:t>
      </w:r>
      <w:r>
        <w:rPr>
          <w:rFonts w:hint="eastAsia" w:ascii="宋体" w:hAnsi="宋体" w:cs="宋体"/>
          <w:color w:val="auto"/>
          <w:szCs w:val="24"/>
          <w:highlight w:val="none"/>
          <w:lang w:eastAsia="zh-CN"/>
        </w:rPr>
        <w:t xml:space="preserve">；</w:t>
      </w:r>
      <w:r/>
    </w:p>
    <w:p>
      <w:pPr>
        <w:ind w:firstLine="480"/>
        <w:jc w:val="both"/>
        <w:rPr>
          <w:rFonts w:hint="eastAsia" w:ascii="宋体" w:hAnsi="宋体" w:cs="宋体" w:eastAsiaTheme="minorEastAsia"/>
          <w:color w:val="auto"/>
          <w:szCs w:val="24"/>
          <w:highlight w:val="none"/>
          <w:lang w:eastAsia="zh-CN"/>
        </w:rPr>
      </w:pPr>
      <w:r>
        <w:rPr>
          <w:rFonts w:hint="eastAsia" w:ascii="宋体" w:hAnsi="宋体" w:cs="宋体"/>
          <w:color w:val="auto"/>
          <w:szCs w:val="24"/>
          <w:highlight w:val="none"/>
        </w:rPr>
        <w:t xml:space="preserve">（1）具有独立承担民事责任的能力</w:t>
      </w:r>
      <w:r>
        <w:rPr>
          <w:rFonts w:hint="eastAsia" w:ascii="宋体" w:hAnsi="宋体" w:cs="宋体"/>
          <w:color w:val="auto"/>
          <w:szCs w:val="24"/>
          <w:highlight w:val="none"/>
          <w:lang w:eastAsia="zh-CN"/>
        </w:rPr>
        <w:t xml:space="preserve">；</w:t>
      </w:r>
      <w:r/>
    </w:p>
    <w:p>
      <w:pPr>
        <w:ind w:firstLine="480"/>
        <w:jc w:val="both"/>
        <w:rPr>
          <w:rFonts w:hint="eastAsia" w:ascii="宋体" w:hAnsi="宋体" w:cs="宋体" w:eastAsiaTheme="minorEastAsia"/>
          <w:color w:val="auto"/>
          <w:szCs w:val="24"/>
          <w:highlight w:val="none"/>
          <w:lang w:eastAsia="zh-CN"/>
        </w:rPr>
      </w:pPr>
      <w:r>
        <w:rPr>
          <w:rFonts w:hint="eastAsia" w:ascii="宋体" w:hAnsi="宋体" w:cs="宋体"/>
          <w:color w:val="auto"/>
          <w:szCs w:val="24"/>
          <w:highlight w:val="none"/>
        </w:rPr>
        <w:t xml:space="preserve">（2）具有良好的商业信誉和健全的财务会计制度</w:t>
      </w:r>
      <w:r>
        <w:rPr>
          <w:rFonts w:hint="eastAsia" w:ascii="宋体" w:hAnsi="宋体" w:cs="宋体"/>
          <w:color w:val="auto"/>
          <w:szCs w:val="24"/>
          <w:highlight w:val="none"/>
          <w:lang w:eastAsia="zh-CN"/>
        </w:rPr>
        <w:t xml:space="preserve">；</w:t>
      </w:r>
      <w:r/>
    </w:p>
    <w:p>
      <w:pPr>
        <w:ind w:firstLine="480"/>
        <w:jc w:val="both"/>
        <w:rPr>
          <w:rFonts w:hint="eastAsia" w:ascii="宋体" w:hAnsi="宋体" w:cs="宋体" w:eastAsiaTheme="minorEastAsia"/>
          <w:color w:val="auto"/>
          <w:szCs w:val="24"/>
          <w:highlight w:val="none"/>
          <w:lang w:eastAsia="zh-CN"/>
        </w:rPr>
      </w:pPr>
      <w:r>
        <w:rPr>
          <w:rFonts w:hint="eastAsia" w:ascii="宋体" w:hAnsi="宋体" w:cs="宋体"/>
          <w:color w:val="auto"/>
          <w:szCs w:val="24"/>
          <w:highlight w:val="none"/>
        </w:rPr>
        <w:t xml:space="preserve">（3）具有履行合同所必需的设备和专业技术能力</w:t>
      </w:r>
      <w:r>
        <w:rPr>
          <w:rFonts w:hint="eastAsia" w:ascii="宋体" w:hAnsi="宋体" w:cs="宋体"/>
          <w:color w:val="auto"/>
          <w:szCs w:val="24"/>
          <w:highlight w:val="none"/>
          <w:lang w:eastAsia="zh-CN"/>
        </w:rPr>
        <w:t xml:space="preserve">；</w:t>
      </w:r>
      <w:r/>
    </w:p>
    <w:p>
      <w:pPr>
        <w:ind w:firstLine="480"/>
        <w:jc w:val="both"/>
        <w:rPr>
          <w:rFonts w:hint="eastAsia" w:ascii="宋体" w:hAnsi="宋体" w:cs="宋体" w:eastAsiaTheme="minorEastAsia"/>
          <w:color w:val="auto"/>
          <w:szCs w:val="24"/>
          <w:highlight w:val="none"/>
          <w:lang w:eastAsia="zh-CN"/>
        </w:rPr>
      </w:pPr>
      <w:r>
        <w:rPr>
          <w:rFonts w:hint="eastAsia" w:ascii="宋体" w:hAnsi="宋体" w:cs="宋体"/>
          <w:color w:val="auto"/>
          <w:szCs w:val="24"/>
          <w:highlight w:val="none"/>
        </w:rPr>
        <w:t xml:space="preserve">（4）有依法缴纳税收和社会保障资金的良好记录</w:t>
      </w:r>
      <w:r>
        <w:rPr>
          <w:rFonts w:hint="eastAsia" w:ascii="宋体" w:hAnsi="宋体" w:cs="宋体"/>
          <w:color w:val="auto"/>
          <w:szCs w:val="24"/>
          <w:highlight w:val="none"/>
          <w:lang w:eastAsia="zh-CN"/>
        </w:rPr>
        <w:t xml:space="preserve">；</w:t>
      </w:r>
      <w:r/>
    </w:p>
    <w:p>
      <w:pPr>
        <w:ind w:firstLine="480"/>
        <w:jc w:val="both"/>
        <w:rPr>
          <w:rFonts w:hint="eastAsia" w:ascii="宋体" w:hAnsi="宋体" w:cs="宋体" w:eastAsiaTheme="minorEastAsia"/>
          <w:color w:val="auto"/>
          <w:szCs w:val="24"/>
          <w:highlight w:val="none"/>
          <w:lang w:eastAsia="zh-CN"/>
        </w:rPr>
      </w:pPr>
      <w:r>
        <w:rPr>
          <w:rFonts w:hint="eastAsia" w:ascii="宋体" w:hAnsi="宋体" w:cs="宋体"/>
          <w:color w:val="auto"/>
          <w:szCs w:val="24"/>
          <w:highlight w:val="none"/>
        </w:rPr>
        <w:t xml:space="preserve">（5）参加政府采购活动前三年内，在经营活动中没有重大违法记录</w:t>
      </w:r>
      <w:r>
        <w:rPr>
          <w:rFonts w:hint="eastAsia" w:ascii="宋体" w:hAnsi="宋体" w:cs="宋体"/>
          <w:color w:val="auto"/>
          <w:szCs w:val="24"/>
          <w:highlight w:val="none"/>
          <w:lang w:eastAsia="zh-CN"/>
        </w:rPr>
        <w:t xml:space="preserve">；</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（6）法律、行政法规规定的其他条件。</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2.落实政府采购政策需满足的资格要求：无。</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3.本项目的特定资格要求：</w:t>
      </w:r>
      <w:bookmarkStart w:id="1" w:name="OLE_LINK8"/>
      <w:r>
        <w:rPr>
          <w:rFonts w:hint="eastAsia" w:ascii="宋体" w:hAnsi="宋体" w:cs="宋体"/>
          <w:color w:val="auto"/>
          <w:szCs w:val="24"/>
          <w:highlight w:val="none"/>
        </w:rPr>
        <w:t xml:space="preserve">无。</w:t>
      </w:r>
      <w:r/>
    </w:p>
    <w:p>
      <w:pPr>
        <w:ind w:firstLine="480"/>
        <w:rPr>
          <w:rFonts w:ascii="宋体" w:hAnsi="宋体" w:cs="宋体"/>
          <w:color w:val="auto"/>
          <w:highlight w:val="none"/>
        </w:rPr>
      </w:pPr>
      <w:r>
        <w:rPr>
          <w:rFonts w:hint="eastAsia" w:ascii="宋体" w:hAnsi="宋体" w:cs="宋体"/>
          <w:color w:val="auto"/>
          <w:highlight w:val="none"/>
        </w:rPr>
        <w:t xml:space="preserve">注：</w:t>
      </w:r>
      <w:r/>
    </w:p>
    <w:p>
      <w:pPr>
        <w:ind w:right="-159" w:firstLine="480"/>
        <w:rPr>
          <w:rFonts w:ascii="宋体" w:hAnsi="宋体" w:cs="宋体"/>
          <w:color w:val="auto"/>
          <w:highlight w:val="none"/>
        </w:rPr>
      </w:pPr>
      <w:r>
        <w:rPr>
          <w:rFonts w:hint="eastAsia" w:ascii="宋体" w:hAnsi="宋体" w:cs="宋体"/>
          <w:color w:val="auto"/>
          <w:highlight w:val="none"/>
        </w:rPr>
        <w:t xml:space="preserve">（1）供应商须未被“信用中国”网站或“中国政府采购网”网站列入失信被执行人、重大税收违法案件当事人名单、政府采购严重失信行为记录名单。</w:t>
      </w:r>
      <w:r/>
    </w:p>
    <w:p>
      <w:pPr>
        <w:ind w:right="-159" w:firstLine="480"/>
        <w:rPr>
          <w:rFonts w:ascii="宋体" w:hAnsi="宋体" w:cs="宋体"/>
          <w:color w:val="auto"/>
          <w:highlight w:val="none"/>
        </w:rPr>
      </w:pPr>
      <w:r>
        <w:rPr>
          <w:rFonts w:hint="eastAsia" w:ascii="宋体" w:hAnsi="宋体" w:cs="宋体"/>
          <w:color w:val="auto"/>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right="-159" w:firstLine="480"/>
        <w:rPr>
          <w:rFonts w:ascii="宋体" w:hAnsi="宋体" w:cs="宋体"/>
          <w:color w:val="auto"/>
          <w:highlight w:val="none"/>
        </w:rPr>
      </w:pPr>
      <w:r>
        <w:rPr>
          <w:rFonts w:hint="eastAsia" w:ascii="宋体" w:hAnsi="宋体" w:cs="宋体"/>
          <w:color w:val="auto"/>
          <w:highlight w:val="none"/>
        </w:rPr>
        <w:t xml:space="preserve">（3）为本采购项目提供整体设计、规范编制或者项目管理、监理、检测等服务的供应商，不得再参加本次采购活动。</w:t>
      </w:r>
      <w:bookmarkEnd w:id="1"/>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三、获取招标文件：</w:t>
      </w:r>
      <w:r/>
    </w:p>
    <w:p>
      <w:pPr>
        <w:ind w:firstLine="480"/>
        <w:widowControl w:val="off"/>
        <w:rPr>
          <w:rFonts w:ascii="宋体" w:hAnsi="宋体" w:cs="宋体"/>
          <w:color w:val="auto"/>
          <w:szCs w:val="24"/>
          <w:highlight w:val="none"/>
        </w:rPr>
      </w:pPr>
      <w:r>
        <w:rPr>
          <w:rFonts w:hint="eastAsia" w:ascii="宋体" w:hAnsi="宋体" w:cs="宋体"/>
          <w:color w:val="auto"/>
          <w:szCs w:val="24"/>
          <w:highlight w:val="none"/>
        </w:rPr>
        <w:t xml:space="preserve">1.时间：自招标文件公告发布之日起五个工作日（北京时间）</w:t>
      </w:r>
      <w:r/>
    </w:p>
    <w:p>
      <w:pPr>
        <w:ind w:firstLine="480"/>
        <w:rPr>
          <w:rFonts w:ascii="宋体" w:hAnsi="宋体" w:cs="宋体"/>
          <w:color w:val="auto"/>
          <w:highlight w:val="none"/>
        </w:rPr>
      </w:pPr>
      <w:r>
        <w:rPr>
          <w:rFonts w:hint="eastAsia" w:ascii="宋体" w:hAnsi="宋体" w:cs="宋体"/>
          <w:color w:val="auto"/>
          <w:highlight w:val="none"/>
        </w:rPr>
        <w:t xml:space="preserve">2.地点：“苏采云”系统</w:t>
      </w:r>
      <w:r/>
    </w:p>
    <w:p>
      <w:pPr>
        <w:ind w:firstLine="480"/>
        <w:rPr>
          <w:rFonts w:ascii="宋体" w:hAnsi="宋体" w:cs="宋体"/>
          <w:color w:val="auto"/>
          <w:highlight w:val="none"/>
        </w:rPr>
      </w:pPr>
      <w:r>
        <w:rPr>
          <w:rFonts w:hint="eastAsia" w:ascii="宋体" w:hAnsi="宋体" w:cs="宋体"/>
          <w:color w:val="auto"/>
          <w:highlight w:val="none"/>
        </w:rPr>
        <w:t xml:space="preserve">3.获取方式：自行下载</w:t>
      </w:r>
      <w:r/>
    </w:p>
    <w:p>
      <w:pPr>
        <w:ind w:firstLine="480"/>
        <w:rPr>
          <w:rFonts w:ascii="宋体" w:hAnsi="宋体" w:cs="宋体"/>
          <w:color w:val="auto"/>
          <w:szCs w:val="24"/>
          <w:highlight w:val="none"/>
        </w:rPr>
      </w:pPr>
      <w:r>
        <w:rPr>
          <w:rFonts w:hint="eastAsia" w:ascii="宋体" w:hAnsi="宋体" w:cs="宋体"/>
          <w:color w:val="auto"/>
          <w:highlight w:val="none"/>
        </w:rPr>
        <w:t xml:space="preserve">4.售价：本项目免费下载电子招标文件</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四、提交投标文件截止时间、开标时间和地点：</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1.提交投标文件截止时间、地点</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时间：</w:t>
      </w:r>
      <w:r>
        <w:rPr>
          <w:rFonts w:hint="eastAsia" w:ascii="宋体" w:hAnsi="宋体" w:cs="宋体"/>
          <w:color w:val="auto"/>
          <w:szCs w:val="24"/>
          <w:highlight w:val="none"/>
          <w:lang w:eastAsia="zh-CN"/>
        </w:rPr>
        <w:t xml:space="preserve">2026年10月23日</w:t>
      </w:r>
      <w:r>
        <w:rPr>
          <w:rFonts w:hint="eastAsia" w:ascii="宋体" w:hAnsi="宋体" w:cs="宋体"/>
          <w:color w:val="auto"/>
          <w:szCs w:val="24"/>
          <w:highlight w:val="none"/>
        </w:rPr>
        <w:t xml:space="preserve">09:30（北京时间）</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地点：“苏采云”系统</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2.开标时间、地点</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时间：</w:t>
      </w:r>
      <w:r>
        <w:rPr>
          <w:rFonts w:hint="eastAsia" w:ascii="宋体" w:hAnsi="宋体" w:cs="宋体"/>
          <w:color w:val="auto"/>
          <w:szCs w:val="24"/>
          <w:highlight w:val="none"/>
          <w:lang w:eastAsia="zh-CN"/>
        </w:rPr>
        <w:t xml:space="preserve">2026年10月23日</w:t>
      </w:r>
      <w:r>
        <w:rPr>
          <w:rFonts w:hint="eastAsia" w:ascii="宋体" w:hAnsi="宋体" w:cs="宋体"/>
          <w:color w:val="auto"/>
          <w:szCs w:val="24"/>
          <w:highlight w:val="none"/>
        </w:rPr>
        <w:t xml:space="preserve">09:30（北京时间）</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地点：“苏采云”系统</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五、公告期限：</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自本公告发布之日起五个工作日。</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六、其他补充事宜：</w:t>
      </w:r>
      <w:r/>
    </w:p>
    <w:p>
      <w:pPr>
        <w:ind w:firstLine="480"/>
        <w:rPr>
          <w:rFonts w:ascii="宋体" w:hAnsi="宋体" w:cs="宋体"/>
          <w:color w:val="auto"/>
          <w:highlight w:val="none"/>
        </w:rPr>
      </w:pPr>
      <w:r/>
      <w:bookmarkStart w:id="2" w:name="OLE_LINK9"/>
      <w:r>
        <w:rPr>
          <w:rFonts w:hint="eastAsia" w:ascii="宋体" w:hAnsi="宋体" w:cs="宋体"/>
          <w:color w:val="auto"/>
          <w:highlight w:val="none"/>
        </w:rPr>
        <w:t xml:space="preserve">1.招标文件获取（网上获取）</w:t>
      </w:r>
      <w:r/>
    </w:p>
    <w:p>
      <w:pPr>
        <w:ind w:firstLine="480"/>
        <w:rPr>
          <w:rFonts w:ascii="宋体" w:hAnsi="宋体" w:cs="宋体"/>
          <w:color w:val="auto"/>
          <w:highlight w:val="none"/>
        </w:rPr>
      </w:pPr>
      <w:r>
        <w:rPr>
          <w:rFonts w:hint="eastAsia" w:ascii="宋体" w:hAnsi="宋体" w:cs="宋体"/>
          <w:color w:val="auto"/>
          <w:highlight w:val="none"/>
        </w:rPr>
        <w:t xml:space="preserve">（1）申领CA证书</w:t>
      </w:r>
      <w:r/>
    </w:p>
    <w:p>
      <w:pPr>
        <w:ind w:firstLine="480"/>
        <w:rPr>
          <w:rFonts w:ascii="宋体" w:hAnsi="宋体" w:cs="宋体"/>
          <w:color w:val="auto"/>
          <w:highlight w:val="none"/>
        </w:rPr>
      </w:pPr>
      <w:r>
        <w:rPr>
          <w:rFonts w:hint="eastAsia" w:ascii="宋体" w:hAnsi="宋体" w:cs="宋体"/>
          <w:color w:val="auto"/>
          <w:highlight w:val="none"/>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w:t>
      </w:r>
      <w:r/>
    </w:p>
    <w:p>
      <w:pPr>
        <w:ind w:firstLine="480"/>
        <w:rPr>
          <w:rFonts w:ascii="宋体" w:hAnsi="宋体" w:cs="宋体"/>
          <w:color w:val="auto"/>
          <w:highlight w:val="none"/>
        </w:rPr>
      </w:pPr>
      <w:r>
        <w:rPr>
          <w:rFonts w:hint="eastAsia" w:ascii="宋体" w:hAnsi="宋体" w:cs="宋体"/>
          <w:color w:val="auto"/>
          <w:highlight w:val="none"/>
        </w:rPr>
        <w:t xml:space="preserve">（2）登录报名</w:t>
      </w:r>
      <w:r/>
    </w:p>
    <w:p>
      <w:pPr>
        <w:ind w:firstLine="480"/>
        <w:rPr>
          <w:rFonts w:ascii="宋体" w:hAnsi="宋体" w:cs="宋体"/>
          <w:color w:val="auto"/>
          <w:highlight w:val="none"/>
        </w:rPr>
      </w:pPr>
      <w:r>
        <w:rPr>
          <w:rFonts w:hint="eastAsia" w:ascii="宋体" w:hAnsi="宋体" w:cs="宋体"/>
          <w:color w:val="auto"/>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rPr>
          <w:rFonts w:ascii="宋体" w:hAnsi="宋体" w:cs="宋体"/>
          <w:color w:val="auto"/>
          <w:highlight w:val="none"/>
        </w:rPr>
      </w:pPr>
      <w:r>
        <w:rPr>
          <w:rFonts w:hint="eastAsia" w:ascii="宋体" w:hAnsi="宋体" w:cs="宋体"/>
          <w:color w:val="auto"/>
          <w:highlight w:val="none"/>
        </w:rPr>
        <w:t xml:space="preserve">（3）在网上获取过程中如有疑问，请及时联系：</w:t>
      </w:r>
      <w:r/>
    </w:p>
    <w:p>
      <w:pPr>
        <w:ind w:firstLine="480"/>
        <w:rPr>
          <w:rFonts w:ascii="宋体" w:hAnsi="宋体" w:cs="宋体"/>
          <w:color w:val="auto"/>
          <w:highlight w:val="none"/>
        </w:rPr>
      </w:pPr>
      <w:r>
        <w:rPr>
          <w:rFonts w:hint="eastAsia" w:ascii="宋体" w:hAnsi="宋体" w:cs="宋体"/>
          <w:color w:val="auto"/>
          <w:highlight w:val="none"/>
        </w:rPr>
        <w:t xml:space="preserve">CA技术咨询服务电话：400-608-6099</w:t>
      </w:r>
      <w:r/>
    </w:p>
    <w:p>
      <w:pPr>
        <w:ind w:firstLine="480"/>
        <w:rPr>
          <w:rFonts w:ascii="宋体" w:hAnsi="宋体" w:cs="宋体"/>
          <w:color w:val="auto"/>
          <w:highlight w:val="none"/>
        </w:rPr>
      </w:pPr>
      <w:r>
        <w:rPr>
          <w:rFonts w:hint="eastAsia" w:ascii="宋体" w:hAnsi="宋体" w:cs="宋体"/>
          <w:color w:val="auto"/>
          <w:highlight w:val="none"/>
        </w:rPr>
        <w:t xml:space="preserve">电子签章技术咨询服务电话：15380932027、15371015030、13675197356、13675197221</w:t>
      </w:r>
      <w:r/>
    </w:p>
    <w:p>
      <w:pPr>
        <w:ind w:firstLine="480"/>
        <w:rPr>
          <w:rFonts w:ascii="宋体" w:hAnsi="宋体" w:cs="宋体"/>
          <w:color w:val="auto"/>
          <w:highlight w:val="none"/>
        </w:rPr>
      </w:pPr>
      <w:r>
        <w:rPr>
          <w:rFonts w:hint="eastAsia" w:ascii="宋体" w:hAnsi="宋体" w:cs="宋体"/>
          <w:color w:val="auto"/>
          <w:highlight w:val="none"/>
        </w:rPr>
        <w:t xml:space="preserve">系统使用指导与咨询：联系电话：13914088964</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18261002950（不见面项目）QQ：3048755361、895706745。</w:t>
      </w:r>
      <w:r/>
    </w:p>
    <w:p>
      <w:pPr>
        <w:ind w:firstLine="480"/>
        <w:rPr>
          <w:rFonts w:ascii="宋体" w:hAnsi="宋体" w:cs="宋体"/>
          <w:color w:val="auto"/>
          <w:highlight w:val="none"/>
        </w:rPr>
      </w:pPr>
      <w:r>
        <w:rPr>
          <w:rFonts w:hint="eastAsia" w:ascii="宋体" w:hAnsi="宋体" w:cs="宋体"/>
          <w:color w:val="auto"/>
          <w:highlight w:val="none"/>
        </w:rPr>
        <w:t xml:space="preserve">（4）依法获取招标文件的方式：供应商确认获取后需自行从系统里面下载本项目招标文件，下载日期视同为依法获取招标文件的日期。未依照采购公告要求实行网上获取的投标人，视为未参与该项政府采购活动，不具备对该政府采购项目提出质疑的法定权利，但因供应商资格条件或获取时间设定不符合有关法律法规规定等原因使供应商权益受损的除外。</w:t>
      </w:r>
      <w:r/>
    </w:p>
    <w:p>
      <w:pPr>
        <w:ind w:right="-159" w:firstLine="480"/>
        <w:rPr>
          <w:rFonts w:ascii="宋体" w:hAnsi="宋体" w:cs="宋体"/>
          <w:color w:val="auto"/>
          <w:highlight w:val="none"/>
        </w:rPr>
      </w:pPr>
      <w:r>
        <w:rPr>
          <w:rFonts w:hint="eastAsia" w:ascii="宋体" w:hAnsi="宋体" w:cs="宋体"/>
          <w:color w:val="auto"/>
          <w:highlight w:val="none"/>
        </w:rPr>
        <w:t xml:space="preserve">（5）截止日期之后下载的招标文件，视为非有效方式且不作为供应商权益受到损害的证明材料和依据。</w:t>
      </w:r>
      <w:r/>
    </w:p>
    <w:p>
      <w:pPr>
        <w:ind w:right="-159" w:firstLine="480"/>
        <w:rPr>
          <w:rFonts w:ascii="宋体" w:hAnsi="宋体" w:cs="宋体"/>
          <w:color w:val="auto"/>
          <w:highlight w:val="none"/>
        </w:rPr>
      </w:pPr>
      <w:r>
        <w:rPr>
          <w:rFonts w:hint="eastAsia" w:ascii="宋体" w:hAnsi="宋体" w:cs="宋体"/>
          <w:color w:val="auto"/>
          <w:highlight w:val="none"/>
        </w:rPr>
        <w:t xml:space="preserve">2.监督电话：0512-67591005/67591006。</w:t>
      </w:r>
      <w:r/>
    </w:p>
    <w:p>
      <w:pPr>
        <w:ind w:right="-159" w:firstLine="480"/>
        <w:rPr>
          <w:rFonts w:ascii="宋体" w:hAnsi="宋体" w:cs="宋体"/>
          <w:color w:val="auto"/>
          <w:highlight w:val="none"/>
        </w:rPr>
      </w:pPr>
      <w:r>
        <w:rPr>
          <w:rFonts w:hint="eastAsia" w:ascii="宋体" w:hAnsi="宋体" w:cs="宋体"/>
          <w:color w:val="auto"/>
          <w:highlight w:val="none"/>
        </w:rPr>
        <w:t xml:space="preserve">3.本次采购的有关信息将在以下网站上发布：中国政府采购网、江苏政府采购网、苏州市政府采购网。</w:t>
      </w:r>
      <w:r/>
    </w:p>
    <w:p>
      <w:pPr>
        <w:ind w:right="-159" w:firstLine="480"/>
        <w:rPr>
          <w:rFonts w:ascii="宋体" w:hAnsi="宋体" w:cs="宋体"/>
          <w:color w:val="auto"/>
          <w:highlight w:val="none"/>
        </w:rPr>
      </w:pPr>
      <w:r>
        <w:rPr>
          <w:rFonts w:hint="eastAsia" w:ascii="宋体" w:hAnsi="宋体" w:cs="宋体"/>
          <w:color w:val="auto"/>
          <w:highlight w:val="none"/>
        </w:rPr>
        <w:t xml:space="preserve">4.本项目线上递交电子响应文件，不需另行提供纸质响应文件。</w:t>
      </w:r>
      <w:r/>
    </w:p>
    <w:p>
      <w:pPr>
        <w:ind w:right="-159" w:firstLine="480"/>
        <w:rPr>
          <w:rFonts w:ascii="宋体" w:hAnsi="宋体" w:cs="宋体"/>
          <w:color w:val="auto"/>
          <w:highlight w:val="none"/>
        </w:rPr>
      </w:pPr>
      <w:r>
        <w:rPr>
          <w:rFonts w:hint="eastAsia" w:ascii="宋体" w:hAnsi="宋体" w:cs="宋体"/>
          <w:color w:val="auto"/>
          <w:highlight w:val="none"/>
        </w:rPr>
        <w:t xml:space="preserve">5.单位负责人为同一人或存在直接控股、管理关系的不同供应商，不得参加同一合同项下的政府采购活动。</w:t>
      </w:r>
      <w:r/>
    </w:p>
    <w:p>
      <w:pPr>
        <w:ind w:firstLine="480"/>
        <w:jc w:val="both"/>
        <w:rPr>
          <w:rFonts w:ascii="宋体" w:hAnsi="宋体" w:cs="宋体"/>
          <w:color w:val="auto"/>
          <w:highlight w:val="none"/>
        </w:rPr>
      </w:pPr>
      <w:r>
        <w:rPr>
          <w:rFonts w:hint="eastAsia" w:ascii="宋体" w:hAnsi="宋体" w:cs="宋体"/>
          <w:color w:val="auto"/>
          <w:highlight w:val="none"/>
        </w:rPr>
        <w:t xml:space="preserve">6.为采购项目提供整体设计、规范编制或者项目管理、监理、检测等服务的供应商，不得再参加该采购项目的其他采购活动。</w:t>
      </w:r>
      <w:r/>
    </w:p>
    <w:p>
      <w:pPr>
        <w:ind w:firstLine="480"/>
        <w:jc w:val="both"/>
        <w:rPr>
          <w:rFonts w:ascii="宋体" w:hAnsi="宋体" w:cs="宋体"/>
          <w:b/>
          <w:bCs/>
          <w:color w:val="auto"/>
          <w:szCs w:val="24"/>
          <w:highlight w:val="none"/>
        </w:rPr>
      </w:pPr>
      <w:r>
        <w:rPr>
          <w:rFonts w:hint="eastAsia" w:ascii="宋体" w:hAnsi="宋体" w:cs="宋体"/>
          <w:b/>
          <w:bCs/>
          <w:color w:val="auto"/>
          <w:szCs w:val="24"/>
          <w:highlight w:val="none"/>
        </w:rPr>
        <w:t xml:space="preserve">7.本项目为非专门面向中小企业采购项目，所属行业为工业。</w:t>
      </w:r>
      <w:bookmarkEnd w:id="2"/>
      <w:r/>
      <w:r/>
    </w:p>
    <w:p>
      <w:pPr>
        <w:ind w:firstLine="480"/>
        <w:jc w:val="both"/>
        <w:rPr>
          <w:rFonts w:ascii="宋体" w:hAnsi="宋体" w:cs="宋体"/>
          <w:b/>
          <w:bCs/>
          <w:color w:val="auto"/>
          <w:szCs w:val="24"/>
          <w:highlight w:val="none"/>
        </w:rPr>
      </w:pPr>
      <w:r>
        <w:rPr>
          <w:rFonts w:hint="eastAsia" w:ascii="宋体" w:hAnsi="宋体" w:cs="宋体"/>
          <w:b/>
          <w:bCs/>
          <w:color w:val="auto"/>
          <w:szCs w:val="24"/>
          <w:highlight w:val="none"/>
        </w:rPr>
        <w:t xml:space="preserve">8.本项目不接受进口产品前来投标。</w:t>
      </w:r>
      <w:r/>
    </w:p>
    <w:p>
      <w:pPr>
        <w:ind w:firstLine="480"/>
        <w:jc w:val="both"/>
        <w:rPr>
          <w:rFonts w:ascii="宋体" w:hAnsi="宋体" w:cs="宋体"/>
          <w:b/>
          <w:bCs/>
          <w:color w:val="auto"/>
          <w:szCs w:val="24"/>
          <w:highlight w:val="none"/>
        </w:rPr>
      </w:pPr>
      <w:r>
        <w:rPr>
          <w:rFonts w:hint="eastAsia" w:ascii="宋体" w:hAnsi="宋体" w:cs="宋体"/>
          <w:b/>
          <w:bCs/>
          <w:color w:val="auto"/>
          <w:szCs w:val="24"/>
          <w:highlight w:val="none"/>
        </w:rPr>
        <w:t xml:space="preserve">9.本项目不接受联合体投标。</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七、对本次招标提出询问，请按以下方式联系：</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1、采购人信息</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名 称：苏州市相城人民医院</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地址：苏州市相城区华元路1060号</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联系人：李骏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联系方式：0512-69571822</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2、采购代理机构信息</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名 称：苏州市卫康招投标咨询服务有限公司</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地　址：</w:t>
      </w:r>
      <w:bookmarkStart w:id="3" w:name="OLE_LINK3"/>
      <w:r>
        <w:rPr>
          <w:rFonts w:hint="eastAsia" w:ascii="宋体" w:hAnsi="宋体" w:cs="宋体"/>
          <w:color w:val="auto"/>
          <w:szCs w:val="24"/>
          <w:highlight w:val="none"/>
        </w:rPr>
        <w:t xml:space="preserve">苏州市姑苏区干将西路1296号深业姑苏中心1幢17层</w:t>
      </w:r>
      <w:bookmarkEnd w:id="3"/>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联系方式：0512-65158848</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3、项目联系方式</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项目联系人：陆宇（项目负责人）、张田、李东 </w:t>
      </w:r>
      <w:r/>
    </w:p>
    <w:p>
      <w:pPr>
        <w:ind w:firstLine="480"/>
        <w:jc w:val="both"/>
        <w:rPr>
          <w:rFonts w:ascii="宋体" w:hAnsi="宋体" w:cs="宋体"/>
          <w:b/>
          <w:bCs/>
          <w:color w:val="auto"/>
          <w:spacing w:val="60"/>
          <w:szCs w:val="24"/>
          <w:highlight w:val="none"/>
        </w:rPr>
      </w:pPr>
      <w:r>
        <w:rPr>
          <w:rFonts w:hint="eastAsia" w:ascii="宋体" w:hAnsi="宋体" w:cs="宋体"/>
          <w:color w:val="auto"/>
          <w:szCs w:val="24"/>
          <w:highlight w:val="none"/>
        </w:rPr>
        <w:t xml:space="preserve">电　话：0512-65158848转8011/0512-65237219</w:t>
      </w:r>
      <w:r/>
    </w:p>
    <w:p>
      <w:pPr>
        <w:ind w:firstLine="2248"/>
        <w:jc w:val="both"/>
        <w:rPr>
          <w:rFonts w:ascii="宋体" w:hAnsi="宋体" w:cs="宋体"/>
          <w:b/>
          <w:bCs/>
          <w:color w:val="auto"/>
          <w:spacing w:val="60"/>
          <w:sz w:val="100"/>
          <w:szCs w:val="100"/>
          <w:highlight w:val="none"/>
        </w:rPr>
        <w:sectPr>
          <w:headerReference w:type="default" r:id="rId9"/>
          <w:footerReference w:type="default" r:id="rId10"/>
          <w:footnotePr/>
          <w:endnotePr/>
          <w:type w:val="nextPage"/>
          <w:pgSz w:w="11906" w:h="16838" w:orient="portrait"/>
          <w:pgMar w:top="1491" w:right="1758" w:bottom="1418" w:left="1758" w:header="851" w:footer="992" w:gutter="0"/>
          <w:pgBorders w:display="allPages" w:offsetFrom="text" w:zOrder="front">
            <w:top w:color="auto" w:space="1" w:sz="4" w:val="single"/>
          </w:pgBorders>
          <w:pgNumType w:start="1"/>
          <w:cols w:num="1" w:sep="0" w:space="720" w:equalWidth="1"/>
          <w:docGrid w:linePitch="360"/>
        </w:sectPr>
      </w:pPr>
      <w:r>
        <w:rPr>
          <w:rFonts w:ascii="宋体" w:hAnsi="宋体" w:cs="宋体"/>
          <w:b/>
          <w:bCs/>
          <w:color w:val="auto"/>
          <w:spacing w:val="60"/>
          <w:sz w:val="100"/>
          <w:szCs w:val="100"/>
          <w:highlight w:val="none"/>
        </w:rPr>
      </w:r>
      <w:r/>
    </w:p>
    <w:p>
      <w:pPr>
        <w:jc w:val="both"/>
        <w:rPr>
          <w:rFonts w:ascii="宋体" w:hAnsi="宋体" w:cs="宋体"/>
          <w:b/>
          <w:bCs/>
          <w:color w:val="auto"/>
          <w:spacing w:val="60"/>
          <w:sz w:val="100"/>
          <w:szCs w:val="100"/>
          <w:highlight w:val="none"/>
        </w:rPr>
      </w:pPr>
      <w:r>
        <w:rPr>
          <w:rFonts w:ascii="宋体" w:hAnsi="宋体" w:cs="宋体"/>
          <w:b/>
          <w:bCs/>
          <w:color w:val="auto"/>
          <w:spacing w:val="60"/>
          <w:sz w:val="100"/>
          <w:szCs w:val="100"/>
          <w:highlight w:val="none"/>
        </w:rPr>
      </w:r>
      <w:r/>
    </w:p>
    <w:p>
      <w:pPr>
        <w:jc w:val="center"/>
        <w:spacing w:line="20" w:lineRule="atLeast"/>
        <w:widowControl w:val="off"/>
        <w:rPr>
          <w:rFonts w:ascii="宋体" w:hAnsi="宋体" w:cs="宋体"/>
          <w:b/>
          <w:color w:val="auto"/>
          <w:sz w:val="72"/>
          <w:szCs w:val="72"/>
          <w:highlight w:val="none"/>
        </w:rPr>
      </w:pPr>
      <w:r>
        <w:rPr>
          <w:rFonts w:hint="eastAsia" w:ascii="宋体" w:hAnsi="宋体" w:cs="宋体"/>
          <w:b/>
          <w:color w:val="auto"/>
          <w:sz w:val="72"/>
          <w:szCs w:val="72"/>
          <w:highlight w:val="none"/>
        </w:rPr>
        <w:t xml:space="preserve">苏州市政府采购</w:t>
      </w:r>
      <w:r/>
    </w:p>
    <w:p>
      <w:pPr>
        <w:jc w:val="center"/>
        <w:spacing w:line="20" w:lineRule="atLeast"/>
        <w:widowControl w:val="off"/>
        <w:rPr>
          <w:rFonts w:ascii="宋体" w:hAnsi="宋体" w:cs="宋体"/>
          <w:b/>
          <w:color w:val="auto"/>
          <w:sz w:val="72"/>
          <w:szCs w:val="72"/>
          <w:highlight w:val="none"/>
        </w:rPr>
      </w:pPr>
      <w:r>
        <w:rPr>
          <w:rFonts w:ascii="宋体" w:hAnsi="宋体" w:cs="宋体"/>
          <w:b/>
          <w:color w:val="auto"/>
          <w:sz w:val="72"/>
          <w:szCs w:val="72"/>
          <w:highlight w:val="none"/>
        </w:rPr>
      </w:r>
      <w:r/>
    </w:p>
    <w:p>
      <w:pPr>
        <w:jc w:val="center"/>
        <w:spacing w:line="20" w:lineRule="atLeast"/>
        <w:widowControl w:val="off"/>
        <w:rPr>
          <w:rFonts w:ascii="宋体" w:hAnsi="宋体" w:cs="宋体"/>
          <w:b/>
          <w:color w:val="auto"/>
          <w:sz w:val="72"/>
          <w:szCs w:val="72"/>
          <w:highlight w:val="none"/>
        </w:rPr>
      </w:pPr>
      <w:r>
        <w:rPr>
          <w:rFonts w:hint="eastAsia" w:ascii="宋体" w:hAnsi="宋体" w:cs="宋体"/>
          <w:b/>
          <w:color w:val="auto"/>
          <w:sz w:val="72"/>
          <w:szCs w:val="72"/>
          <w:highlight w:val="none"/>
        </w:rPr>
        <w:t xml:space="preserve">招 标 文 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ind w:left="240" w:firstLine="904"/>
        <w:spacing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采购编号：</w:t>
      </w:r>
      <w:r>
        <w:rPr>
          <w:rFonts w:hint="eastAsia" w:ascii="宋体" w:hAnsi="宋体" w:cs="宋体"/>
          <w:b/>
          <w:bCs/>
          <w:color w:val="auto"/>
          <w:sz w:val="30"/>
          <w:highlight w:val="none"/>
          <w:lang w:eastAsia="zh-CN"/>
        </w:rPr>
        <w:t xml:space="preserve">JSZC-320507-SZWK-G2026-0320</w:t>
      </w:r>
      <w:r>
        <w:rPr>
          <w:rFonts w:hint="eastAsia" w:ascii="宋体" w:hAnsi="宋体" w:cs="宋体"/>
          <w:b/>
          <w:bCs/>
          <w:color w:val="auto"/>
          <w:sz w:val="30"/>
          <w:highlight w:val="none"/>
        </w:rPr>
        <w:t xml:space="preserve">号</w:t>
      </w:r>
      <w:r/>
    </w:p>
    <w:p>
      <w:pPr>
        <w:ind w:left="240" w:firstLine="904"/>
        <w:spacing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采购项目：苏州市相城区医疗信息化建设及配套设备采购安装</w:t>
      </w:r>
      <w:r/>
    </w:p>
    <w:p>
      <w:pPr>
        <w:ind w:left="240" w:firstLine="904"/>
        <w:spacing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采购单位：苏州市相城人民医院</w:t>
      </w:r>
      <w:r/>
    </w:p>
    <w:p>
      <w:pPr>
        <w:ind w:firstLine="1958"/>
        <w:spacing w:line="360" w:lineRule="auto"/>
        <w:rPr>
          <w:rFonts w:ascii="宋体" w:hAnsi="宋体" w:cs="宋体"/>
          <w:b/>
          <w:bCs/>
          <w:color w:val="auto"/>
          <w:sz w:val="30"/>
          <w:highlight w:val="none"/>
        </w:rPr>
      </w:pPr>
      <w:r>
        <w:rPr>
          <w:rFonts w:hint="eastAsia" w:ascii="宋体" w:hAnsi="宋体" w:cs="宋体"/>
          <w:b/>
          <w:bCs/>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1358265</wp:posOffset>
                </wp:positionH>
                <wp:positionV relativeFrom="paragraph">
                  <wp:posOffset>194310</wp:posOffset>
                </wp:positionV>
                <wp:extent cx="2593340" cy="1214755"/>
                <wp:effectExtent l="0" t="0" r="0" b="0"/>
                <wp:wrapSquare wrapText="bothSides"/>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7"/>
                        <a:stretch/>
                      </pic:blipFill>
                      <pic:spPr bwMode="auto">
                        <a:xfrm>
                          <a:off x="0" y="0"/>
                          <a:ext cx="2593340" cy="12147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06.9pt;mso-position-horizontal:absolute;mso-position-vertical-relative:text;margin-top:15.3pt;mso-position-vertical:absolute;width:204.2pt;height:95.6pt;mso-wrap-distance-left:9.0pt;mso-wrap-distance-top:0.0pt;mso-wrap-distance-right:9.0pt;mso-wrap-distance-bottom:0.0pt;" stroked="f">
                <v:path textboxrect="0,0,0,0"/>
                <w10:wrap type="square"/>
                <v:imagedata r:id="rId17" o:title=""/>
              </v:shape>
            </w:pict>
          </mc:Fallback>
        </mc:AlternateContent>
      </w:r>
      <w:r>
        <w:rPr>
          <w:rFonts w:hint="eastAsia" w:ascii="宋体" w:hAnsi="宋体" w:cs="宋体"/>
          <w:b/>
          <w:bCs/>
          <w:color w:val="auto"/>
          <w:sz w:val="30"/>
          <w:highlight w:val="none"/>
        </w:rPr>
        <w:t xml:space="preserve">.</w:t>
      </w:r>
      <w:r/>
    </w:p>
    <w:p>
      <w:pPr>
        <w:ind w:firstLine="1958"/>
        <w:jc w:val="center"/>
        <w:spacing w:line="360" w:lineRule="auto"/>
        <w:rPr>
          <w:rFonts w:ascii="宋体" w:hAnsi="宋体" w:cs="宋体"/>
          <w:b/>
          <w:bCs/>
          <w:color w:val="auto"/>
          <w:sz w:val="30"/>
          <w:highlight w:val="none"/>
        </w:rPr>
      </w:pPr>
      <w:r>
        <w:rPr>
          <w:rFonts w:ascii="宋体" w:hAnsi="宋体" w:cs="宋体"/>
          <w:b/>
          <w:bCs/>
          <w:color w:val="auto"/>
          <w:sz w:val="30"/>
          <w:highlight w:val="none"/>
        </w:rPr>
      </w:r>
      <w:r/>
    </w:p>
    <w:p>
      <w:pPr>
        <w:spacing w:line="360" w:lineRule="auto"/>
        <w:rPr>
          <w:rFonts w:ascii="宋体" w:hAnsi="宋体" w:cs="宋体"/>
          <w:b/>
          <w:bCs/>
          <w:color w:val="auto"/>
          <w:sz w:val="30"/>
          <w:highlight w:val="none"/>
        </w:rPr>
      </w:pPr>
      <w:r>
        <w:rPr>
          <w:rFonts w:ascii="宋体" w:hAnsi="宋体" w:cs="宋体"/>
          <w:b/>
          <w:bCs/>
          <w:color w:val="auto"/>
          <w:sz w:val="30"/>
          <w:highlight w:val="none"/>
        </w:rPr>
      </w:r>
      <w:r/>
    </w:p>
    <w:p>
      <w:pPr>
        <w:jc w:val="center"/>
        <w:spacing w:line="360" w:lineRule="auto"/>
        <w:rPr>
          <w:rFonts w:ascii="宋体" w:hAnsi="宋体" w:cs="宋体"/>
          <w:b/>
          <w:bCs/>
          <w:color w:val="auto"/>
          <w:sz w:val="30"/>
          <w:highlight w:val="none"/>
        </w:rPr>
      </w:pPr>
      <w:r>
        <w:rPr>
          <w:rFonts w:ascii="宋体" w:hAnsi="宋体" w:cs="宋体"/>
          <w:b/>
          <w:bCs/>
          <w:color w:val="auto"/>
          <w:sz w:val="30"/>
          <w:highlight w:val="none"/>
        </w:rPr>
      </w:r>
      <w:r/>
    </w:p>
    <w:p>
      <w:pPr>
        <w:jc w:val="center"/>
        <w:spacing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苏州市卫康招投标咨询服务有限公司</w:t>
      </w:r>
      <w:r/>
    </w:p>
    <w:p>
      <w:pPr>
        <w:jc w:val="center"/>
        <w:spacing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二〇二六年九月</w:t>
      </w:r>
      <w:r/>
    </w:p>
    <w:p>
      <w:pPr>
        <w:jc w:val="center"/>
        <w:spacing w:line="360" w:lineRule="auto"/>
        <w:rPr>
          <w:rFonts w:ascii="宋体" w:hAnsi="宋体" w:cs="宋体"/>
          <w:bCs/>
          <w:color w:val="auto"/>
          <w:sz w:val="30"/>
          <w:highlight w:val="none"/>
        </w:rPr>
        <w:sectPr>
          <w:footerReference w:type="default" r:id="rId11"/>
          <w:footnotePr/>
          <w:endnotePr/>
          <w:type w:val="nextPage"/>
          <w:pgSz w:w="11906" w:h="16838" w:orient="portrait"/>
          <w:pgMar w:top="1418" w:right="1758" w:bottom="1418" w:left="1758" w:header="851" w:footer="992" w:gutter="0"/>
          <w:pgBorders w:display="allPages" w:offsetFrom="text" w:zOrder="front">
            <w:top w:color="auto" w:space="1" w:sz="4" w:val="single"/>
          </w:pgBorders>
          <w:cols w:num="1" w:sep="0" w:space="720" w:equalWidth="1"/>
          <w:docGrid w:linePitch="360"/>
        </w:sectPr>
      </w:pPr>
      <w:r>
        <w:rPr>
          <w:rFonts w:ascii="宋体" w:hAnsi="宋体" w:cs="宋体"/>
          <w:bCs/>
          <w:color w:val="auto"/>
          <w:sz w:val="30"/>
          <w:highlight w:val="none"/>
        </w:rPr>
      </w:r>
      <w:r/>
    </w:p>
    <w:p>
      <w:pPr>
        <w:pStyle w:val="846"/>
        <w:jc w:val="center"/>
        <w:rPr>
          <w:rFonts w:ascii="宋体" w:hAnsi="宋体" w:eastAsia="宋体" w:cs="宋体"/>
          <w:b/>
          <w:color w:val="auto"/>
          <w:sz w:val="52"/>
          <w:highlight w:val="none"/>
        </w:rPr>
      </w:pPr>
      <w:r>
        <w:rPr>
          <w:rFonts w:hint="eastAsia" w:ascii="宋体" w:hAnsi="宋体" w:eastAsia="宋体" w:cs="宋体"/>
          <w:b/>
          <w:color w:val="auto"/>
          <w:sz w:val="52"/>
          <w:highlight w:val="none"/>
        </w:rPr>
        <w:t xml:space="preserve">目    录</w:t>
      </w:r>
      <w:r/>
    </w:p>
    <w:p>
      <w:pPr>
        <w:pStyle w:val="846"/>
        <w:ind w:firstLine="0"/>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pStyle w:val="846"/>
        <w:ind w:firstLine="0"/>
        <w:spacing w:line="380" w:lineRule="exact"/>
        <w:rPr>
          <w:rFonts w:ascii="宋体" w:hAnsi="宋体" w:eastAsia="宋体" w:cs="宋体"/>
          <w:b/>
          <w:bCs/>
          <w:color w:val="auto"/>
          <w:szCs w:val="24"/>
          <w:highlight w:val="none"/>
        </w:rPr>
      </w:pPr>
      <w:r>
        <w:rPr>
          <w:rFonts w:ascii="宋体" w:hAnsi="宋体" w:eastAsia="宋体" w:cs="宋体"/>
          <w:b/>
          <w:bCs/>
          <w:color w:val="auto"/>
          <w:szCs w:val="24"/>
          <w:highlight w:val="none"/>
        </w:rPr>
      </w:r>
      <w:r/>
    </w:p>
    <w:p>
      <w:pPr>
        <w:pStyle w:val="870"/>
        <w:spacing w:after="312" w:line="480" w:lineRule="auto"/>
        <w:tabs>
          <w:tab w:val="right" w:pos="8302" w:leader="dot"/>
        </w:tabs>
        <w:rPr>
          <w:rFonts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前附表 </w:t>
      </w:r>
      <w:r/>
    </w:p>
    <w:p>
      <w:pPr>
        <w:pStyle w:val="870"/>
        <w:spacing w:after="312" w:line="480" w:lineRule="auto"/>
        <w:tabs>
          <w:tab w:val="right" w:pos="8302" w:leader="dot"/>
        </w:tabs>
        <w:rPr>
          <w:rFonts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第一章  投标邀请函</w:t>
      </w:r>
      <w:r/>
    </w:p>
    <w:p>
      <w:pPr>
        <w:pStyle w:val="870"/>
        <w:spacing w:after="312" w:line="480" w:lineRule="auto"/>
        <w:tabs>
          <w:tab w:val="right" w:pos="8302" w:leader="dot"/>
        </w:tabs>
        <w:rPr>
          <w:rFonts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第二章  投标人须知</w:t>
      </w:r>
      <w:r/>
    </w:p>
    <w:p>
      <w:pPr>
        <w:pStyle w:val="870"/>
        <w:spacing w:after="312" w:line="480" w:lineRule="auto"/>
        <w:tabs>
          <w:tab w:val="right" w:pos="8302" w:leader="dot"/>
        </w:tabs>
        <w:rPr>
          <w:rFonts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第三章  投标文件格式</w:t>
      </w:r>
      <w:r/>
    </w:p>
    <w:p>
      <w:pPr>
        <w:pStyle w:val="870"/>
        <w:spacing w:after="312" w:line="480" w:lineRule="auto"/>
        <w:tabs>
          <w:tab w:val="right" w:pos="8302" w:leader="dot"/>
        </w:tabs>
        <w:rPr>
          <w:rFonts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第四章  采购书</w:t>
      </w:r>
      <w:r/>
    </w:p>
    <w:p>
      <w:pPr>
        <w:pStyle w:val="870"/>
        <w:spacing w:after="312" w:line="480" w:lineRule="auto"/>
        <w:tabs>
          <w:tab w:val="right" w:pos="8302" w:leader="dot"/>
        </w:tabs>
        <w:rPr>
          <w:rFonts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第五章  合同主要条款</w:t>
      </w:r>
      <w:r/>
    </w:p>
    <w:p>
      <w:pPr>
        <w:pStyle w:val="870"/>
        <w:spacing w:after="312" w:line="480" w:lineRule="auto"/>
        <w:tabs>
          <w:tab w:val="right" w:pos="8302" w:leader="dot"/>
        </w:tabs>
        <w:rPr>
          <w:rFonts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第六章  评标方法及评分标准</w:t>
      </w:r>
      <w:r/>
    </w:p>
    <w:p>
      <w:pPr>
        <w:jc w:val="center"/>
        <w:spacing w:before="50" w:line="400" w:lineRule="exact"/>
        <w:rPr>
          <w:rFonts w:ascii="宋体" w:hAnsi="宋体" w:cs="宋体"/>
          <w:b/>
          <w:color w:val="auto"/>
          <w:sz w:val="36"/>
          <w:highlight w:val="none"/>
        </w:rPr>
      </w:pPr>
      <w:r>
        <w:rPr>
          <w:rFonts w:hint="eastAsia" w:ascii="宋体" w:hAnsi="宋体" w:cs="宋体"/>
          <w:color w:val="auto"/>
          <w:sz w:val="32"/>
          <w:szCs w:val="24"/>
          <w:highlight w:val="none"/>
        </w:rPr>
        <w:br w:type="page" w:clear="all"/>
      </w:r>
      <w:r>
        <w:rPr>
          <w:rFonts w:hint="eastAsia" w:ascii="宋体" w:hAnsi="宋体" w:cs="宋体"/>
          <w:b/>
          <w:color w:val="auto"/>
          <w:sz w:val="32"/>
          <w:szCs w:val="32"/>
          <w:highlight w:val="none"/>
        </w:rPr>
        <w:t xml:space="preserve">前 附 表</w:t>
      </w:r>
      <w:r/>
    </w:p>
    <w:p>
      <w:pPr>
        <w:jc w:val="center"/>
        <w:spacing w:before="156"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841"/>
        <w:tblW w:w="875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widowControl w:val="off"/>
              <w:rPr>
                <w:rFonts w:ascii="宋体" w:hAnsi="宋体" w:cs="宋体"/>
                <w:b/>
                <w:bCs/>
                <w:color w:val="auto"/>
                <w:sz w:val="21"/>
                <w:szCs w:val="21"/>
                <w:highlight w:val="none"/>
              </w:rPr>
            </w:pPr>
            <w:r/>
            <w:bookmarkStart w:id="4" w:name="_Toc142194255"/>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tabs>
                <w:tab w:val="left" w:pos="360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苏州市相城人民医院</w:t>
            </w:r>
            <w:r/>
          </w:p>
          <w:p>
            <w:pP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联系人：</w:t>
            </w:r>
            <w:r>
              <w:rPr>
                <w:rFonts w:hint="eastAsia" w:ascii="宋体" w:hAnsi="宋体" w:cs="宋体"/>
                <w:color w:val="auto"/>
                <w:sz w:val="21"/>
                <w:szCs w:val="21"/>
                <w:highlight w:val="none"/>
              </w:rPr>
              <w:t xml:space="preserve">李骏</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联系电话：</w:t>
            </w:r>
            <w:r>
              <w:rPr>
                <w:rFonts w:hint="eastAsia" w:ascii="宋体" w:hAnsi="宋体" w:cs="宋体"/>
                <w:color w:val="auto"/>
                <w:sz w:val="21"/>
                <w:szCs w:val="21"/>
                <w:highlight w:val="none"/>
              </w:rPr>
              <w:t xml:space="preserve">0512-69571822</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JSZC-320507-SZWK-G2026-0320</w:t>
            </w:r>
            <w:r>
              <w:rPr>
                <w:rFonts w:hint="eastAsia" w:ascii="宋体" w:hAnsi="宋体" w:cs="宋体"/>
                <w:color w:val="auto"/>
                <w:sz w:val="21"/>
                <w:szCs w:val="21"/>
                <w:highlight w:val="none"/>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苏州市相城区医疗信息化建设及配套设备采购安装</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九</w:t>
            </w:r>
            <w:r>
              <w:rPr>
                <w:rFonts w:hint="eastAsia" w:ascii="宋体" w:hAnsi="宋体" w:cs="宋体"/>
                <w:color w:val="auto"/>
                <w:sz w:val="21"/>
                <w:szCs w:val="21"/>
                <w:highlight w:val="none"/>
                <w:lang w:val="zh-CN"/>
              </w:rPr>
              <w:t xml:space="preserve">十天（日历日）</w:t>
            </w:r>
            <w:r/>
          </w:p>
        </w:tc>
      </w:tr>
      <w:tr>
        <w:trPr>
          <w:jc w:val="center"/>
          <w:trHeight w:val="69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s="宋体"/>
                <w:color w:val="auto"/>
                <w:highlight w:val="none"/>
              </w:rPr>
            </w:pPr>
            <w:r>
              <w:rPr>
                <w:rFonts w:hint="eastAsia" w:ascii="宋体" w:hAnsi="宋体" w:cs="宋体"/>
                <w:b/>
                <w:bCs/>
                <w:color w:val="auto"/>
                <w:sz w:val="21"/>
                <w:szCs w:val="21"/>
                <w:highlight w:val="none"/>
              </w:rPr>
              <w:t xml:space="preserve">无</w:t>
            </w:r>
            <w:r/>
          </w:p>
        </w:tc>
      </w:tr>
      <w:tr>
        <w:trPr>
          <w:jc w:val="center"/>
          <w:trHeight w:val="69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s="宋体"/>
                <w:b/>
                <w:bCs/>
                <w:color w:val="auto"/>
                <w:sz w:val="21"/>
                <w:szCs w:val="21"/>
                <w:highlight w:val="none"/>
              </w:rPr>
            </w:pPr>
            <w:r>
              <w:rPr>
                <w:color w:val="auto"/>
                <w:highlight w:val="none"/>
              </w:rPr>
              <w:fldChar w:fldCharType="begin"/>
            </w:r>
            <w:r>
              <w:rPr>
                <w:color w:val="auto"/>
                <w:highlight w:val="none"/>
              </w:rPr>
              <w:instrText xml:space="preserve"> HYPERLINK </w:instrText>
            </w:r>
            <w:r>
              <w:rPr>
                <w:color w:val="auto"/>
                <w:highlight w:val="none"/>
              </w:rPr>
              <w:fldChar w:fldCharType="separate"/>
            </w:r>
            <w:r>
              <w:rPr>
                <w:color w:val="auto"/>
                <w:highlight w:val="none"/>
              </w:rPr>
              <w:fldChar w:fldCharType="end"/>
            </w:r>
            <w:r>
              <w:rPr>
                <w:rFonts w:hint="eastAsia" w:ascii="宋体" w:hAnsi="宋体"/>
                <w:color w:val="auto"/>
                <w:sz w:val="21"/>
                <w:szCs w:val="21"/>
                <w:highlight w:val="none"/>
                <w:shd w:val="clear" w:color="auto" w:fill="ffffff"/>
              </w:rPr>
              <w:t xml:space="preserve">无</w:t>
            </w:r>
            <w:r/>
          </w:p>
        </w:tc>
      </w:tr>
      <w:tr>
        <w:trPr>
          <w:jc w:val="center"/>
          <w:trHeight w:val="69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olor w:val="auto"/>
                <w:sz w:val="21"/>
                <w:szCs w:val="21"/>
                <w:highlight w:val="none"/>
                <w:shd w:val="clear" w:color="auto" w:fill="ffffff"/>
              </w:rPr>
              <w:t xml:space="preserve">政府采购合同信用融资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360" w:lineRule="auto"/>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联系人：陆宇（</w:t>
            </w:r>
            <w:r>
              <w:rPr>
                <w:rFonts w:hint="eastAsia" w:ascii="宋体" w:hAnsi="宋体" w:cs="宋体"/>
                <w:color w:val="auto"/>
                <w:sz w:val="21"/>
                <w:szCs w:val="21"/>
                <w:highlight w:val="none"/>
              </w:rPr>
              <w:t xml:space="preserve">项目负责人</w:t>
            </w:r>
            <w:r>
              <w:rPr>
                <w:rFonts w:hint="eastAsia" w:ascii="宋体" w:hAnsi="宋体" w:cs="宋体"/>
                <w:color w:val="auto"/>
                <w:sz w:val="21"/>
                <w:szCs w:val="21"/>
                <w:highlight w:val="none"/>
                <w:lang w:val="zh-CN"/>
              </w:rPr>
              <w:t xml:space="preserve">）、张田、李东 </w:t>
            </w:r>
            <w:r>
              <w:rPr>
                <w:rFonts w:hint="eastAsia" w:ascii="宋体" w:hAnsi="宋体" w:cs="宋体"/>
                <w:color w:val="auto"/>
                <w:sz w:val="21"/>
                <w:szCs w:val="21"/>
                <w:highlight w:val="none"/>
              </w:rPr>
              <w:t xml:space="preserve">  </w:t>
            </w:r>
            <w:r/>
          </w:p>
          <w:p>
            <w:pPr>
              <w:jc w:val="both"/>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电话：0512-65158848转8011/0512-65237219</w:t>
            </w:r>
            <w:r/>
          </w:p>
          <w:p>
            <w:pPr>
              <w:jc w:val="both"/>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址：苏州市姑苏区干将西路1296号深业姑苏中心1幢17层</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报名方式</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网上获取</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招标文件获取时间、地点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时间：自公告挂网之日起</w:t>
            </w:r>
            <w:r>
              <w:rPr>
                <w:rFonts w:hint="eastAsia" w:ascii="宋体" w:hAnsi="宋体" w:cs="宋体"/>
                <w:color w:val="auto"/>
                <w:sz w:val="21"/>
                <w:szCs w:val="21"/>
                <w:highlight w:val="none"/>
              </w:rPr>
              <w:t xml:space="preserve">五个工作日</w:t>
            </w:r>
            <w:r/>
          </w:p>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地点：</w:t>
            </w:r>
            <w:r>
              <w:rPr>
                <w:rFonts w:hint="eastAsia" w:ascii="宋体" w:hAnsi="宋体" w:cs="宋体"/>
                <w:color w:val="auto"/>
                <w:sz w:val="21"/>
                <w:szCs w:val="21"/>
                <w:highlight w:val="none"/>
              </w:rPr>
              <w:t xml:space="preserve">“苏采云”系统</w:t>
            </w:r>
            <w:r>
              <w:rPr>
                <w:rFonts w:hint="eastAsia" w:ascii="宋体" w:hAnsi="宋体" w:cs="宋体"/>
                <w:color w:val="auto"/>
                <w:sz w:val="21"/>
                <w:szCs w:val="21"/>
                <w:highlight w:val="none"/>
                <w:lang w:val="zh-CN"/>
              </w:rPr>
              <w:t xml:space="preserve">免费下载</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系统中上传一份电子投标文件。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递交电子响应文件截止时间：2026年10月23日</w:t>
            </w:r>
            <w:r>
              <w:rPr>
                <w:rFonts w:hint="eastAsia" w:ascii="宋体" w:hAnsi="宋体" w:cs="宋体"/>
                <w:color w:val="auto"/>
                <w:sz w:val="21"/>
                <w:szCs w:val="21"/>
                <w:highlight w:val="none"/>
              </w:rPr>
              <w:t xml:space="preserve">09:30</w:t>
            </w:r>
            <w:r>
              <w:rPr>
                <w:rFonts w:hint="eastAsia" w:ascii="宋体" w:hAnsi="宋体" w:cs="宋体"/>
                <w:color w:val="auto"/>
                <w:sz w:val="21"/>
                <w:szCs w:val="21"/>
                <w:highlight w:val="none"/>
                <w:lang w:val="zh-CN"/>
              </w:rPr>
              <w:t xml:space="preserve">前（北京时间）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“苏采云”系统</w:t>
            </w:r>
            <w:r/>
          </w:p>
        </w:tc>
      </w:tr>
      <w:tr>
        <w:trPr>
          <w:jc w:val="center"/>
          <w:trHeight w:val="414"/>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时间：2026年10月23日</w:t>
            </w:r>
            <w:r>
              <w:rPr>
                <w:rFonts w:hint="eastAsia" w:ascii="宋体" w:hAnsi="宋体" w:cs="宋体"/>
                <w:color w:val="auto"/>
                <w:sz w:val="21"/>
                <w:szCs w:val="21"/>
                <w:highlight w:val="none"/>
              </w:rPr>
              <w:t xml:space="preserve">09:30</w:t>
            </w:r>
            <w:r>
              <w:rPr>
                <w:rFonts w:hint="eastAsia" w:ascii="宋体" w:hAnsi="宋体" w:cs="宋体"/>
                <w:color w:val="auto"/>
                <w:sz w:val="21"/>
                <w:szCs w:val="21"/>
                <w:highlight w:val="none"/>
                <w:lang w:val="zh-CN"/>
              </w:rPr>
              <w:t xml:space="preserve">（北京时间）</w:t>
            </w:r>
            <w:r/>
          </w:p>
          <w:p>
            <w:pPr>
              <w:jc w:val="both"/>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rPr>
                <w:rFonts w:hint="eastAsia" w:ascii="宋体" w:hAnsi="宋体" w:cs="宋体"/>
                <w:color w:val="auto"/>
                <w:sz w:val="21"/>
                <w:szCs w:val="21"/>
                <w:highlight w:val="none"/>
              </w:rPr>
              <w:t xml:space="preserve">“苏采云”系统</w:t>
            </w:r>
            <w:r/>
          </w:p>
        </w:tc>
      </w:tr>
      <w:tr>
        <w:trPr>
          <w:jc w:val="center"/>
          <w:trHeight w:val="34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根据代理协议约定，本项目综合报价包含中标服务费用，请各供应商在投标报价时综合考虑。</w:t>
            </w:r>
            <w:r>
              <w:rPr>
                <w:rFonts w:hint="eastAsia" w:ascii="宋体" w:hAnsi="宋体" w:cs="宋体"/>
                <w:color w:val="auto"/>
                <w:sz w:val="21"/>
                <w:szCs w:val="21"/>
                <w:highlight w:val="none"/>
              </w:rPr>
              <w:t xml:space="preserve">领取中标通知书时中标人向采购代理机构支付服务费，具体为按预算总金额的如下比例差额定率累进法计算服务费总收取额，领取中标通知书时中标人向采购代理机构一次性付清。</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收费标准：预算金额的</w:t>
            </w:r>
            <w:r>
              <w:rPr>
                <w:rFonts w:ascii="宋体" w:hAnsi="宋体"/>
                <w:color w:val="auto"/>
                <w:sz w:val="21"/>
                <w:szCs w:val="21"/>
                <w:highlight w:val="none"/>
                <w:lang w:val="zh-CN"/>
              </w:rPr>
              <w:t xml:space="preserve">100</w:t>
            </w:r>
            <w:r>
              <w:rPr>
                <w:rFonts w:hint="eastAsia" w:ascii="宋体" w:hAnsi="宋体"/>
                <w:color w:val="auto"/>
                <w:sz w:val="21"/>
                <w:szCs w:val="21"/>
                <w:highlight w:val="none"/>
                <w:lang w:val="zh-CN"/>
              </w:rPr>
              <w:t xml:space="preserve">万（含）以下部分费率为</w:t>
            </w:r>
            <w:r>
              <w:rPr>
                <w:rFonts w:ascii="宋体" w:hAnsi="宋体"/>
                <w:color w:val="auto"/>
                <w:sz w:val="21"/>
                <w:szCs w:val="21"/>
                <w:highlight w:val="none"/>
                <w:lang w:val="zh-CN"/>
              </w:rPr>
              <w:t xml:space="preserve">1.5%</w:t>
            </w:r>
            <w:r>
              <w:rPr>
                <w:rFonts w:hint="eastAsia" w:ascii="宋体" w:hAnsi="宋体"/>
                <w:color w:val="auto"/>
                <w:sz w:val="21"/>
                <w:szCs w:val="21"/>
                <w:highlight w:val="none"/>
                <w:lang w:val="zh-CN"/>
              </w:rPr>
              <w:t xml:space="preserve">；</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预算金额的</w:t>
            </w:r>
            <w:r>
              <w:rPr>
                <w:rFonts w:ascii="宋体" w:hAnsi="宋体"/>
                <w:color w:val="auto"/>
                <w:sz w:val="21"/>
                <w:szCs w:val="21"/>
                <w:highlight w:val="none"/>
                <w:lang w:val="zh-CN"/>
              </w:rPr>
              <w:t xml:space="preserve">100</w:t>
            </w:r>
            <w:r>
              <w:rPr>
                <w:rFonts w:hint="eastAsia" w:ascii="宋体" w:hAnsi="宋体"/>
                <w:color w:val="auto"/>
                <w:sz w:val="21"/>
                <w:szCs w:val="21"/>
                <w:highlight w:val="none"/>
                <w:lang w:val="zh-CN"/>
              </w:rPr>
              <w:t xml:space="preserve">万以上－</w:t>
            </w:r>
            <w:r>
              <w:rPr>
                <w:rFonts w:ascii="宋体" w:hAnsi="宋体"/>
                <w:color w:val="auto"/>
                <w:sz w:val="21"/>
                <w:szCs w:val="21"/>
                <w:highlight w:val="none"/>
                <w:lang w:val="zh-CN"/>
              </w:rPr>
              <w:t xml:space="preserve">500</w:t>
            </w:r>
            <w:r>
              <w:rPr>
                <w:rFonts w:hint="eastAsia" w:ascii="宋体" w:hAnsi="宋体"/>
                <w:color w:val="auto"/>
                <w:sz w:val="21"/>
                <w:szCs w:val="21"/>
                <w:highlight w:val="none"/>
                <w:lang w:val="zh-CN"/>
              </w:rPr>
              <w:t xml:space="preserve">万（含）部分费率为</w:t>
            </w:r>
            <w:r>
              <w:rPr>
                <w:rFonts w:ascii="宋体" w:hAnsi="宋体"/>
                <w:color w:val="auto"/>
                <w:sz w:val="21"/>
                <w:szCs w:val="21"/>
                <w:highlight w:val="none"/>
                <w:lang w:val="zh-CN"/>
              </w:rPr>
              <w:t xml:space="preserve">1.1%</w:t>
            </w:r>
            <w:r>
              <w:rPr>
                <w:rFonts w:hint="eastAsia" w:ascii="宋体" w:hAnsi="宋体"/>
                <w:color w:val="auto"/>
                <w:sz w:val="21"/>
                <w:szCs w:val="21"/>
                <w:highlight w:val="none"/>
                <w:lang w:val="zh-CN"/>
              </w:rPr>
              <w:t xml:space="preserve">；</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预算金额的</w:t>
            </w:r>
            <w:r>
              <w:rPr>
                <w:rFonts w:ascii="宋体" w:hAnsi="宋体"/>
                <w:color w:val="auto"/>
                <w:sz w:val="21"/>
                <w:szCs w:val="21"/>
                <w:highlight w:val="none"/>
                <w:lang w:val="zh-CN"/>
              </w:rPr>
              <w:t xml:space="preserve">500</w:t>
            </w:r>
            <w:r>
              <w:rPr>
                <w:rFonts w:hint="eastAsia" w:ascii="宋体" w:hAnsi="宋体"/>
                <w:color w:val="auto"/>
                <w:sz w:val="21"/>
                <w:szCs w:val="21"/>
                <w:highlight w:val="none"/>
                <w:lang w:val="zh-CN"/>
              </w:rPr>
              <w:t xml:space="preserve">万以上－</w:t>
            </w:r>
            <w:r>
              <w:rPr>
                <w:rFonts w:ascii="宋体" w:hAnsi="宋体"/>
                <w:color w:val="auto"/>
                <w:sz w:val="21"/>
                <w:szCs w:val="21"/>
                <w:highlight w:val="none"/>
                <w:lang w:val="zh-CN"/>
              </w:rPr>
              <w:t xml:space="preserve">1000</w:t>
            </w:r>
            <w:r>
              <w:rPr>
                <w:rFonts w:hint="eastAsia" w:ascii="宋体" w:hAnsi="宋体"/>
                <w:color w:val="auto"/>
                <w:sz w:val="21"/>
                <w:szCs w:val="21"/>
                <w:highlight w:val="none"/>
                <w:lang w:val="zh-CN"/>
              </w:rPr>
              <w:t xml:space="preserve">万（含）部分费率为</w:t>
            </w:r>
            <w:r>
              <w:rPr>
                <w:rFonts w:ascii="宋体" w:hAnsi="宋体"/>
                <w:color w:val="auto"/>
                <w:sz w:val="21"/>
                <w:szCs w:val="21"/>
                <w:highlight w:val="none"/>
                <w:lang w:val="zh-CN"/>
              </w:rPr>
              <w:t xml:space="preserve">0.8%</w:t>
            </w:r>
            <w:r>
              <w:rPr>
                <w:rFonts w:hint="eastAsia" w:ascii="宋体" w:hAnsi="宋体"/>
                <w:color w:val="auto"/>
                <w:sz w:val="21"/>
                <w:szCs w:val="21"/>
                <w:highlight w:val="none"/>
                <w:lang w:val="zh-CN"/>
              </w:rPr>
              <w:t xml:space="preserve">；</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预算金额的</w:t>
            </w:r>
            <w:r>
              <w:rPr>
                <w:rFonts w:ascii="宋体" w:hAnsi="宋体"/>
                <w:color w:val="auto"/>
                <w:sz w:val="21"/>
                <w:szCs w:val="21"/>
                <w:highlight w:val="none"/>
                <w:lang w:val="zh-CN"/>
              </w:rPr>
              <w:t xml:space="preserve">1000</w:t>
            </w:r>
            <w:r>
              <w:rPr>
                <w:rFonts w:hint="eastAsia" w:ascii="宋体" w:hAnsi="宋体"/>
                <w:color w:val="auto"/>
                <w:sz w:val="21"/>
                <w:szCs w:val="21"/>
                <w:highlight w:val="none"/>
                <w:lang w:val="zh-CN"/>
              </w:rPr>
              <w:t xml:space="preserve">万以上－</w:t>
            </w:r>
            <w:r>
              <w:rPr>
                <w:rFonts w:ascii="宋体" w:hAnsi="宋体"/>
                <w:color w:val="auto"/>
                <w:sz w:val="21"/>
                <w:szCs w:val="21"/>
                <w:highlight w:val="none"/>
                <w:lang w:val="zh-CN"/>
              </w:rPr>
              <w:t xml:space="preserve">5000</w:t>
            </w:r>
            <w:r>
              <w:rPr>
                <w:rFonts w:hint="eastAsia" w:ascii="宋体" w:hAnsi="宋体"/>
                <w:color w:val="auto"/>
                <w:sz w:val="21"/>
                <w:szCs w:val="21"/>
                <w:highlight w:val="none"/>
                <w:lang w:val="zh-CN"/>
              </w:rPr>
              <w:t xml:space="preserve">万（含）部分费率为</w:t>
            </w:r>
            <w:r>
              <w:rPr>
                <w:rFonts w:ascii="宋体" w:hAnsi="宋体"/>
                <w:color w:val="auto"/>
                <w:sz w:val="21"/>
                <w:szCs w:val="21"/>
                <w:highlight w:val="none"/>
                <w:lang w:val="zh-CN"/>
              </w:rPr>
              <w:t xml:space="preserve">0.5%</w:t>
            </w:r>
            <w:r>
              <w:rPr>
                <w:rFonts w:hint="eastAsia" w:ascii="宋体" w:hAnsi="宋体"/>
                <w:color w:val="auto"/>
                <w:sz w:val="21"/>
                <w:szCs w:val="21"/>
                <w:highlight w:val="none"/>
                <w:lang w:val="zh-CN"/>
              </w:rPr>
              <w:t xml:space="preserve">；</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预算金额的</w:t>
            </w:r>
            <w:r>
              <w:rPr>
                <w:rFonts w:hint="eastAsia" w:ascii="宋体" w:hAnsi="宋体"/>
                <w:color w:val="auto"/>
                <w:sz w:val="21"/>
                <w:szCs w:val="21"/>
                <w:highlight w:val="none"/>
              </w:rPr>
              <w:t xml:space="preserve">5</w:t>
            </w:r>
            <w:r>
              <w:rPr>
                <w:rFonts w:ascii="宋体" w:hAnsi="宋体"/>
                <w:color w:val="auto"/>
                <w:sz w:val="21"/>
                <w:szCs w:val="21"/>
                <w:highlight w:val="none"/>
                <w:lang w:val="zh-CN"/>
              </w:rPr>
              <w:t xml:space="preserve">000</w:t>
            </w:r>
            <w:r>
              <w:rPr>
                <w:rFonts w:hint="eastAsia" w:ascii="宋体" w:hAnsi="宋体"/>
                <w:color w:val="auto"/>
                <w:sz w:val="21"/>
                <w:szCs w:val="21"/>
                <w:highlight w:val="none"/>
                <w:lang w:val="zh-CN"/>
              </w:rPr>
              <w:t xml:space="preserve">万以上部分费率为</w:t>
            </w:r>
            <w:r>
              <w:rPr>
                <w:rFonts w:ascii="宋体" w:hAnsi="宋体"/>
                <w:color w:val="auto"/>
                <w:sz w:val="21"/>
                <w:szCs w:val="21"/>
                <w:highlight w:val="none"/>
                <w:lang w:val="zh-CN"/>
              </w:rPr>
              <w:t xml:space="preserve">0.</w:t>
            </w:r>
            <w:r>
              <w:rPr>
                <w:rFonts w:hint="eastAsia" w:ascii="宋体" w:hAnsi="宋体"/>
                <w:color w:val="auto"/>
                <w:sz w:val="21"/>
                <w:szCs w:val="21"/>
                <w:highlight w:val="none"/>
              </w:rPr>
              <w:t xml:space="preserve">2</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收款单位：苏州市卫康招投标咨询服务有限公司</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账号：1102020209000295112</w:t>
            </w:r>
            <w:r/>
          </w:p>
          <w:p>
            <w:pPr>
              <w:spacing w:line="400" w:lineRule="exact"/>
              <w:rPr>
                <w:rFonts w:ascii="宋体" w:hAnsi="宋体" w:cs="宋体"/>
                <w:color w:val="auto"/>
                <w:sz w:val="21"/>
                <w:szCs w:val="21"/>
                <w:highlight w:val="none"/>
              </w:rPr>
            </w:pPr>
            <w:r>
              <w:rPr>
                <w:rFonts w:hint="eastAsia" w:ascii="宋体" w:hAnsi="宋体"/>
                <w:color w:val="auto"/>
                <w:sz w:val="21"/>
                <w:szCs w:val="21"/>
                <w:highlight w:val="none"/>
                <w:lang w:val="zh-CN"/>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出现下列情形之一的，为废标： </w:t>
            </w:r>
            <w:r/>
          </w:p>
          <w:p>
            <w:pPr>
              <w:jc w:val="both"/>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（一）符合专业条件的供应商或者对招标文件作实质响应的供应商不足三家的； </w:t>
            </w:r>
            <w:r/>
          </w:p>
          <w:p>
            <w:pPr>
              <w:jc w:val="both"/>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（二）出现影响采购公正的违法、违规行为的； </w:t>
            </w:r>
            <w:r/>
          </w:p>
          <w:p>
            <w:pPr>
              <w:jc w:val="both"/>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（三）投标人的报价均超过了采购预算或者最高限价，采购人不能支付的； </w:t>
            </w:r>
            <w:r/>
          </w:p>
          <w:p>
            <w:pPr>
              <w:jc w:val="both"/>
              <w:spacing w:line="400" w:lineRule="exact"/>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（四）因重大变故，采购任务取消的。</w:t>
            </w:r>
            <w:r>
              <w:rPr>
                <w:rFonts w:hint="eastAsia" w:ascii="宋体" w:hAnsi="宋体" w:cs="宋体"/>
                <w:color w:val="auto"/>
                <w:sz w:val="21"/>
                <w:szCs w:val="21"/>
                <w:highlight w:val="none"/>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投标文件属下列情况之一的，在资格性、符合性检查时按照无效投标处理：</w:t>
            </w:r>
            <w:r/>
          </w:p>
          <w:p>
            <w:pPr>
              <w:jc w:val="both"/>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（一）投标文件未按招标文件要求</w:t>
            </w:r>
            <w:r>
              <w:rPr>
                <w:rFonts w:hint="eastAsia" w:ascii="宋体" w:hAnsi="宋体" w:cs="宋体"/>
                <w:b/>
                <w:bCs/>
                <w:color w:val="auto"/>
                <w:sz w:val="21"/>
                <w:szCs w:val="21"/>
                <w:highlight w:val="none"/>
              </w:rPr>
              <w:t xml:space="preserve">签章</w:t>
            </w:r>
            <w:r>
              <w:rPr>
                <w:rFonts w:hint="eastAsia" w:ascii="宋体" w:hAnsi="宋体" w:cs="宋体"/>
                <w:b/>
                <w:bCs/>
                <w:color w:val="auto"/>
                <w:sz w:val="21"/>
                <w:szCs w:val="21"/>
                <w:highlight w:val="none"/>
                <w:lang w:val="zh-CN"/>
              </w:rPr>
              <w:t xml:space="preserve">的；</w:t>
            </w:r>
            <w:r/>
          </w:p>
          <w:p>
            <w:pPr>
              <w:jc w:val="both"/>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（二）不具备招标文件中规定的资格要求的；</w:t>
            </w:r>
            <w:r/>
          </w:p>
          <w:p>
            <w:pPr>
              <w:jc w:val="both"/>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（三）报价超过招标文件中规定的预算金额或者最高限价的；</w:t>
            </w:r>
            <w:r/>
          </w:p>
          <w:p>
            <w:pPr>
              <w:jc w:val="both"/>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（四）投标文件含有采购人不能接受的附加条件的；</w:t>
            </w:r>
            <w:r/>
          </w:p>
          <w:p>
            <w:pPr>
              <w:jc w:val="both"/>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（五）法律法规和招标文件规定的其他无效情形；</w:t>
            </w:r>
            <w:r/>
          </w:p>
          <w:p>
            <w:pPr>
              <w:jc w:val="both"/>
              <w:spacing w:line="400" w:lineRule="exact"/>
              <w:rPr>
                <w:rFonts w:ascii="宋体" w:hAnsi="宋体" w:cs="宋体"/>
                <w:color w:val="auto"/>
                <w:highlight w:val="none"/>
                <w:lang w:val="zh-CN"/>
              </w:rPr>
            </w:pP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六</w:t>
            </w:r>
            <w:r>
              <w:rPr>
                <w:rFonts w:hint="eastAsia" w:ascii="宋体" w:hAnsi="宋体" w:cs="宋体"/>
                <w:b/>
                <w:bCs/>
                <w:color w:val="auto"/>
                <w:sz w:val="21"/>
                <w:szCs w:val="21"/>
                <w:highlight w:val="none"/>
                <w:lang w:val="zh-CN"/>
              </w:rPr>
              <w:t xml:space="preserve">）不同投标（响应）文件制作机器码一致，表明各投标（响应）文件在同一台电脑上制作，各供应商之间涉嫌串通投标，将作为无效投标处理。</w:t>
            </w:r>
            <w:r/>
          </w:p>
        </w:tc>
      </w:tr>
    </w:tbl>
    <w:p>
      <w:pPr>
        <w:pStyle w:val="831"/>
        <w:rPr>
          <w:color w:val="auto"/>
          <w:sz w:val="36"/>
          <w:szCs w:val="36"/>
          <w:highlight w:val="none"/>
        </w:rPr>
      </w:pPr>
      <w:r>
        <w:rPr>
          <w:rFonts w:hint="eastAsia"/>
          <w:color w:val="auto"/>
          <w:highlight w:val="none"/>
        </w:rPr>
        <w:br w:type="page" w:clear="all"/>
      </w:r>
      <w:r>
        <w:rPr>
          <w:rFonts w:hint="eastAsia"/>
          <w:color w:val="auto"/>
          <w:highlight w:val="none"/>
        </w:rPr>
        <w:t xml:space="preserve">第一章  投标邀请函</w:t>
      </w:r>
      <w:bookmarkEnd w:id="4"/>
      <w:r/>
      <w:r/>
    </w:p>
    <w:p>
      <w:pPr>
        <w:ind w:right="32" w:firstLine="360"/>
        <w:spacing w:line="440" w:lineRule="exact"/>
        <w:rPr>
          <w:rFonts w:ascii="宋体" w:hAnsi="宋体" w:cs="宋体"/>
          <w:color w:val="auto"/>
          <w:sz w:val="21"/>
          <w:highlight w:val="none"/>
        </w:rPr>
      </w:pPr>
      <w:r>
        <w:rPr>
          <w:rFonts w:hint="eastAsia" w:ascii="宋体" w:hAnsi="宋体" w:cs="宋体"/>
          <w:color w:val="auto"/>
          <w:sz w:val="18"/>
          <w:highlight w:val="none"/>
          <w:u w:val="single"/>
        </w:rPr>
        <w:t xml:space="preserve">                              </w:t>
      </w:r>
      <w:r>
        <w:rPr>
          <w:rFonts w:hint="eastAsia" w:ascii="宋体" w:hAnsi="宋体" w:cs="宋体"/>
          <w:color w:val="auto"/>
          <w:sz w:val="18"/>
          <w:highlight w:val="none"/>
        </w:rPr>
        <w:t xml:space="preserve">：</w:t>
      </w:r>
      <w:r/>
    </w:p>
    <w:p>
      <w:pPr>
        <w:ind w:firstLine="420"/>
        <w:spacing w:line="440" w:lineRule="exact"/>
        <w:rPr>
          <w:rFonts w:ascii="宋体" w:hAnsi="宋体" w:cs="宋体"/>
          <w:color w:val="auto"/>
          <w:sz w:val="21"/>
          <w:highlight w:val="none"/>
        </w:rPr>
      </w:pPr>
      <w:r>
        <w:rPr>
          <w:rFonts w:hint="eastAsia" w:ascii="宋体" w:hAnsi="宋体" w:cs="宋体"/>
          <w:color w:val="auto"/>
          <w:sz w:val="21"/>
          <w:highlight w:val="none"/>
        </w:rPr>
        <w:t xml:space="preserve">受苏州市相城人民医院之委托，苏州市卫康招投标咨询服务有限公司作为采购代理机构，对其所需的苏州市相城区医疗信息化建设及配套设备采购安装进行国内公开招标。欢迎符合资格条件的供应商参加投标。</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highlight w:val="none"/>
        </w:rPr>
        <w:t xml:space="preserve">1、项</w:t>
      </w:r>
      <w:r>
        <w:rPr>
          <w:rFonts w:hint="eastAsia" w:ascii="宋体" w:hAnsi="宋体" w:cs="宋体"/>
          <w:color w:val="auto"/>
          <w:sz w:val="21"/>
          <w:szCs w:val="21"/>
          <w:highlight w:val="none"/>
        </w:rPr>
        <w:t xml:space="preserve">目编号：</w:t>
      </w:r>
      <w:r>
        <w:rPr>
          <w:rFonts w:hint="eastAsia" w:ascii="宋体" w:hAnsi="宋体" w:cs="宋体"/>
          <w:color w:val="auto"/>
          <w:sz w:val="21"/>
          <w:szCs w:val="21"/>
          <w:highlight w:val="none"/>
          <w:lang w:eastAsia="zh-CN"/>
        </w:rPr>
        <w:t xml:space="preserve">JSZC-320507-SZWK-G2026-0320</w:t>
      </w:r>
      <w:r>
        <w:rPr>
          <w:rFonts w:hint="eastAsia" w:ascii="宋体" w:hAnsi="宋体" w:cs="宋体"/>
          <w:color w:val="auto"/>
          <w:sz w:val="21"/>
          <w:szCs w:val="21"/>
          <w:highlight w:val="none"/>
        </w:rPr>
        <w:t xml:space="preserve">号</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2、项目名称：苏州市相城区医疗信息化建设及配套设备采购安装</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3、采购预算及最高限价：详见采购公告</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递交电子响应文件截止时间：</w:t>
      </w:r>
      <w:r>
        <w:rPr>
          <w:rFonts w:hint="eastAsia" w:ascii="宋体" w:hAnsi="宋体" w:cs="宋体"/>
          <w:color w:val="auto"/>
          <w:sz w:val="21"/>
          <w:szCs w:val="21"/>
          <w:highlight w:val="none"/>
          <w:lang w:eastAsia="zh-CN"/>
        </w:rPr>
        <w:t xml:space="preserve">2026年10月23日</w:t>
      </w:r>
      <w:r>
        <w:rPr>
          <w:rFonts w:hint="eastAsia" w:ascii="宋体" w:hAnsi="宋体" w:cs="宋体"/>
          <w:color w:val="auto"/>
          <w:sz w:val="21"/>
          <w:szCs w:val="21"/>
          <w:highlight w:val="none"/>
        </w:rPr>
        <w:t xml:space="preserve">09:30（北京时间）</w:t>
      </w:r>
      <w:r/>
    </w:p>
    <w:p>
      <w:pPr>
        <w:ind w:firstLine="420"/>
        <w:spacing w:line="440" w:lineRule="exact"/>
        <w:rPr>
          <w:rFonts w:ascii="宋体" w:hAnsi="宋体" w:cs="宋体"/>
          <w:color w:val="auto"/>
          <w:sz w:val="21"/>
          <w:highlight w:val="none"/>
        </w:rPr>
      </w:pPr>
      <w:r>
        <w:rPr>
          <w:rFonts w:hint="eastAsia" w:ascii="宋体" w:hAnsi="宋体" w:cs="宋体"/>
          <w:color w:val="auto"/>
          <w:sz w:val="21"/>
          <w:szCs w:val="21"/>
          <w:highlight w:val="none"/>
        </w:rPr>
        <w:t xml:space="preserve">投标地点：“苏采云”系统</w:t>
      </w:r>
      <w:r/>
    </w:p>
    <w:p>
      <w:pPr>
        <w:ind w:firstLine="420"/>
        <w:spacing w:line="440" w:lineRule="exact"/>
        <w:rPr>
          <w:rFonts w:ascii="宋体" w:hAnsi="宋体" w:cs="宋体"/>
          <w:color w:val="auto"/>
          <w:sz w:val="21"/>
          <w:highlight w:val="none"/>
        </w:rPr>
      </w:pPr>
      <w:r>
        <w:rPr>
          <w:rFonts w:hint="eastAsia" w:ascii="宋体" w:hAnsi="宋体" w:cs="宋体"/>
          <w:color w:val="auto"/>
          <w:sz w:val="21"/>
          <w:highlight w:val="none"/>
        </w:rPr>
        <w:t xml:space="preserve">5、开标时间：</w:t>
      </w:r>
      <w:r>
        <w:rPr>
          <w:rFonts w:hint="eastAsia" w:ascii="宋体" w:hAnsi="宋体" w:cs="宋体"/>
          <w:color w:val="auto"/>
          <w:sz w:val="21"/>
          <w:highlight w:val="none"/>
          <w:lang w:eastAsia="zh-CN"/>
        </w:rPr>
        <w:t xml:space="preserve">2026年10月23日</w:t>
      </w:r>
      <w:r>
        <w:rPr>
          <w:rFonts w:hint="eastAsia" w:ascii="宋体" w:hAnsi="宋体" w:cs="宋体"/>
          <w:color w:val="auto"/>
          <w:sz w:val="21"/>
          <w:highlight w:val="none"/>
        </w:rPr>
        <w:t xml:space="preserve">09:30（北京时间）</w:t>
      </w:r>
      <w:r/>
    </w:p>
    <w:p>
      <w:pPr>
        <w:ind w:firstLine="420"/>
        <w:spacing w:line="440" w:lineRule="exact"/>
        <w:rPr>
          <w:rFonts w:ascii="宋体" w:hAnsi="宋体" w:cs="宋体"/>
          <w:color w:val="auto"/>
          <w:sz w:val="21"/>
          <w:highlight w:val="none"/>
        </w:rPr>
      </w:pPr>
      <w:r>
        <w:rPr>
          <w:rFonts w:hint="eastAsia" w:ascii="宋体" w:hAnsi="宋体" w:cs="宋体"/>
          <w:color w:val="auto"/>
          <w:sz w:val="21"/>
          <w:highlight w:val="none"/>
        </w:rPr>
        <w:t xml:space="preserve">6、开标地点：</w:t>
      </w:r>
      <w:r>
        <w:rPr>
          <w:rFonts w:hint="eastAsia" w:ascii="宋体" w:hAnsi="宋体" w:cs="宋体"/>
          <w:color w:val="auto"/>
          <w:sz w:val="21"/>
          <w:szCs w:val="21"/>
          <w:highlight w:val="none"/>
        </w:rPr>
        <w:t xml:space="preserve">“苏采云”系统</w:t>
      </w:r>
      <w:r/>
    </w:p>
    <w:p>
      <w:pPr>
        <w:ind w:right="-159" w:firstLine="422"/>
        <w:spacing w:line="400" w:lineRule="exact"/>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40" w:lineRule="exact"/>
        <w:rPr>
          <w:rFonts w:ascii="宋体" w:hAnsi="宋体" w:cs="宋体"/>
          <w:color w:val="auto"/>
          <w:sz w:val="21"/>
          <w:highlight w:val="none"/>
        </w:rPr>
      </w:pPr>
      <w:r>
        <w:rPr>
          <w:rFonts w:hint="eastAsia" w:ascii="宋体" w:hAnsi="宋体" w:cs="宋体"/>
          <w:color w:val="auto"/>
          <w:sz w:val="21"/>
          <w:highlight w:val="none"/>
        </w:rPr>
        <w:t xml:space="preserve">7、联系单位：</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（1）采购人：苏州市相城人民医院</w:t>
      </w:r>
      <w:r/>
    </w:p>
    <w:p>
      <w:pPr>
        <w:ind w:firstLine="420"/>
        <w:spacing w:line="440" w:lineRule="exact"/>
        <w:rPr>
          <w:rFonts w:ascii="宋体" w:hAnsi="宋体" w:cs="宋体"/>
          <w:color w:val="auto"/>
          <w:szCs w:val="24"/>
          <w:highlight w:val="none"/>
        </w:rPr>
      </w:pPr>
      <w:r>
        <w:rPr>
          <w:rFonts w:hint="eastAsia" w:ascii="宋体" w:hAnsi="宋体" w:cs="宋体"/>
          <w:color w:val="auto"/>
          <w:sz w:val="21"/>
          <w:szCs w:val="21"/>
          <w:highlight w:val="none"/>
          <w:lang w:val="zh-CN"/>
        </w:rPr>
        <w:t xml:space="preserve">联系人：李骏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联系电话：</w:t>
      </w:r>
      <w:r>
        <w:rPr>
          <w:rFonts w:hint="eastAsia" w:ascii="宋体" w:hAnsi="宋体" w:cs="宋体"/>
          <w:color w:val="auto"/>
          <w:sz w:val="21"/>
          <w:szCs w:val="21"/>
          <w:highlight w:val="none"/>
        </w:rPr>
        <w:t xml:space="preserve">0512-69571822</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地址：苏州市相城区华元路1060号  </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（2）采购代理机构：苏州市卫康招投标咨询服务有限公司</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联系人：陆宇（项目负责人）、张田、李东   </w:t>
      </w:r>
      <w:r/>
    </w:p>
    <w:p>
      <w:pPr>
        <w:ind w:firstLine="420"/>
        <w:spacing w:line="440" w:lineRule="exact"/>
        <w:rPr>
          <w:rFonts w:ascii="宋体" w:hAnsi="宋体" w:cs="宋体"/>
          <w:color w:val="auto"/>
          <w:sz w:val="21"/>
          <w:highlight w:val="none"/>
        </w:rPr>
      </w:pPr>
      <w:r>
        <w:rPr>
          <w:rFonts w:hint="eastAsia" w:ascii="宋体" w:hAnsi="宋体" w:cs="宋体"/>
          <w:color w:val="auto"/>
          <w:sz w:val="21"/>
          <w:szCs w:val="21"/>
          <w:highlight w:val="none"/>
        </w:rPr>
        <w:t xml:space="preserve">联系电话：0512-65158848转8011/0512-65237219</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地址：苏州市姑苏区干将西路1296号深业姑苏中心1幢17层            </w:t>
      </w:r>
      <w:r/>
    </w:p>
    <w:p>
      <w:pPr>
        <w:ind w:right="32" w:firstLine="420"/>
        <w:jc w:val="both"/>
        <w:spacing w:line="440" w:lineRule="exact"/>
        <w:rPr>
          <w:rFonts w:ascii="宋体" w:hAnsi="宋体" w:cs="宋体"/>
          <w:color w:val="auto"/>
          <w:sz w:val="21"/>
          <w:szCs w:val="21"/>
          <w:highlight w:val="none"/>
        </w:rPr>
      </w:pPr>
      <w:r>
        <w:rPr>
          <w:rFonts w:hint="eastAsia" w:ascii="宋体" w:hAnsi="宋体" w:cs="宋体"/>
          <w:color w:val="auto"/>
          <w:sz w:val="21"/>
          <w:highlight w:val="none"/>
        </w:rPr>
        <w:t xml:space="preserve">请投标人获取本招标文件后，认真阅读招标文件进行必要的投标准备，并按照招标文件的要求编制投标文件，并按“前附表”确定的时间、地点准时参加投标</w:t>
      </w:r>
      <w:r>
        <w:rPr>
          <w:rFonts w:hint="eastAsia" w:ascii="宋体" w:hAnsi="宋体" w:cs="宋体"/>
          <w:color w:val="auto"/>
          <w:sz w:val="21"/>
          <w:szCs w:val="21"/>
          <w:highlight w:val="none"/>
        </w:rPr>
        <w:t xml:space="preserve">。</w:t>
      </w:r>
      <w:r/>
    </w:p>
    <w:p>
      <w:pPr>
        <w:pStyle w:val="831"/>
        <w:rPr>
          <w:color w:val="auto"/>
          <w:sz w:val="36"/>
          <w:szCs w:val="36"/>
          <w:highlight w:val="none"/>
        </w:rPr>
      </w:pPr>
      <w:r/>
      <w:bookmarkStart w:id="5" w:name="_Toc142194256"/>
      <w:r/>
      <w:bookmarkStart w:id="6" w:name="_Toc13642113"/>
      <w:r>
        <w:rPr>
          <w:rFonts w:hint="eastAsia"/>
          <w:color w:val="auto"/>
          <w:sz w:val="36"/>
          <w:szCs w:val="36"/>
          <w:highlight w:val="none"/>
        </w:rPr>
        <w:br w:type="page" w:clear="all"/>
      </w:r>
      <w:r>
        <w:rPr>
          <w:rFonts w:hint="eastAsia"/>
          <w:color w:val="auto"/>
          <w:highlight w:val="none"/>
        </w:rPr>
        <w:t xml:space="preserve">第二章  投标人须知</w:t>
      </w:r>
      <w:bookmarkEnd w:id="5"/>
      <w:r/>
      <w:bookmarkEnd w:id="6"/>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1、说明</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本招标文件仅适用于苏州市卫康招投标咨询服务有限公司组织的招标活动。</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本次招标活动及因本次招标产生的合同受中国法律制约和保护。</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本招标文件的解释权属于苏州市卫康招投标咨询服务有限公司。</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采购代理机构：具体组织实施招标活动的法人。</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投标人：经认定有资格响应招标，参加投标竞争的法人或其他组织和自然人。</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响应：投标人根据</w:t>
      </w:r>
      <w:r>
        <w:rPr>
          <w:rFonts w:hint="eastAsia" w:ascii="宋体" w:hAnsi="宋体" w:cs="宋体"/>
          <w:color w:val="auto"/>
          <w:sz w:val="21"/>
          <w:szCs w:val="21"/>
          <w:highlight w:val="none"/>
        </w:rPr>
        <w:t xml:space="preserve">采购人</w:t>
      </w:r>
      <w:r>
        <w:rPr>
          <w:rFonts w:hint="eastAsia" w:ascii="宋体" w:hAnsi="宋体" w:cs="宋体"/>
          <w:color w:val="auto"/>
          <w:sz w:val="21"/>
          <w:szCs w:val="21"/>
          <w:highlight w:val="none"/>
          <w:lang w:val="zh-CN"/>
        </w:rPr>
        <w:t xml:space="preserve">或采购代理机构发布的招标文件，编制投标文件并按规定投标的行为。</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合同：采供</w:t>
      </w:r>
      <w:r>
        <w:rPr>
          <w:rFonts w:hint="eastAsia" w:ascii="宋体" w:hAnsi="宋体" w:cs="宋体"/>
          <w:color w:val="auto"/>
          <w:sz w:val="21"/>
          <w:szCs w:val="21"/>
          <w:highlight w:val="none"/>
        </w:rPr>
        <w:t xml:space="preserve">双</w:t>
      </w:r>
      <w:r>
        <w:rPr>
          <w:rFonts w:hint="eastAsia" w:ascii="宋体" w:hAnsi="宋体" w:cs="宋体"/>
          <w:color w:val="auto"/>
          <w:sz w:val="21"/>
          <w:szCs w:val="21"/>
          <w:highlight w:val="none"/>
          <w:lang w:val="zh-CN"/>
        </w:rPr>
        <w:t xml:space="preserve">方根据招标文件和中标的投标文件及中标通知书规定的内容签署的以书面形式所达成的协议，包括所有的附件、附录和构成协议的所有文件。</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甲方（采购单位）：合同中明确规定的实际购买货物和服务的法人或其他组织和自然人（采购人） 。</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乙方（供应商）：合同中规定的向采购单位提供货物和服务的法人或其他组织和自然人（中标人）。</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 </w:t>
      </w:r>
      <w:r>
        <w:rPr>
          <w:rFonts w:ascii="宋体" w:hAnsi="宋体"/>
          <w:color w:val="auto"/>
          <w:sz w:val="21"/>
          <w:szCs w:val="21"/>
          <w:highlight w:val="none"/>
          <w:lang w:val="zh-CN"/>
        </w:rPr>
        <w:t xml:space="preserve">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w:t>
      </w:r>
      <w:r>
        <w:rPr>
          <w:rFonts w:hint="eastAsia" w:ascii="宋体" w:hAnsi="宋体"/>
          <w:color w:val="auto"/>
          <w:sz w:val="21"/>
          <w:szCs w:val="21"/>
          <w:highlight w:val="none"/>
        </w:rPr>
        <w:t xml:space="preserve">智能</w:t>
      </w:r>
      <w:r>
        <w:rPr>
          <w:rFonts w:ascii="宋体" w:hAnsi="宋体"/>
          <w:color w:val="auto"/>
          <w:sz w:val="21"/>
          <w:szCs w:val="21"/>
          <w:highlight w:val="none"/>
          <w:lang w:val="zh-CN"/>
        </w:rPr>
        <w:t xml:space="preserve">设备、</w:t>
      </w:r>
      <w:r>
        <w:rPr>
          <w:rFonts w:hint="eastAsia" w:ascii="宋体" w:hAnsi="宋体"/>
          <w:color w:val="auto"/>
          <w:sz w:val="21"/>
          <w:szCs w:val="21"/>
          <w:highlight w:val="none"/>
        </w:rPr>
        <w:t xml:space="preserve">系统、</w:t>
      </w:r>
      <w:r>
        <w:rPr>
          <w:rFonts w:ascii="宋体" w:hAnsi="宋体"/>
          <w:color w:val="auto"/>
          <w:sz w:val="21"/>
          <w:szCs w:val="21"/>
          <w:highlight w:val="none"/>
          <w:lang w:val="zh-CN"/>
        </w:rPr>
        <w:t xml:space="preserve">备品、备件、工具、手册及其它有关技术资料和材料。</w:t>
      </w:r>
      <w:r/>
    </w:p>
    <w:p>
      <w:pPr>
        <w:ind w:firstLine="420"/>
        <w:spacing w:line="440" w:lineRule="exact"/>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rPr>
        <w:t xml:space="preserve">2.8</w:t>
      </w:r>
      <w:r>
        <w:rPr>
          <w:rFonts w:hint="eastAsia" w:ascii="宋体" w:hAnsi="宋体" w:cs="宋体"/>
          <w:color w:val="auto"/>
          <w:sz w:val="21"/>
          <w:szCs w:val="21"/>
          <w:highlight w:val="none"/>
          <w:lang w:val="zh-CN"/>
        </w:rPr>
        <w:t xml:space="preserve">服务：系指乙方按招标文件规定，应向采购人提供的一切</w:t>
      </w:r>
      <w:r>
        <w:rPr>
          <w:rFonts w:hint="eastAsia" w:ascii="宋体" w:hAnsi="宋体" w:cs="宋体"/>
          <w:color w:val="auto"/>
          <w:sz w:val="21"/>
          <w:szCs w:val="21"/>
          <w:highlight w:val="none"/>
        </w:rPr>
        <w:t xml:space="preserve">和</w:t>
      </w:r>
      <w:r>
        <w:rPr>
          <w:rFonts w:hint="eastAsia" w:ascii="宋体" w:hAnsi="宋体" w:cs="宋体"/>
          <w:color w:val="auto"/>
          <w:sz w:val="21"/>
          <w:szCs w:val="21"/>
          <w:highlight w:val="none"/>
          <w:shd w:val="clear" w:color="auto" w:fill="ffffff"/>
        </w:rPr>
        <w:t xml:space="preserve">苏州市相城区医疗信息化建设及配套设备采购安装</w:t>
      </w:r>
      <w:r>
        <w:rPr>
          <w:rFonts w:hint="eastAsia" w:ascii="宋体" w:hAnsi="宋体" w:cs="宋体"/>
          <w:color w:val="auto"/>
          <w:sz w:val="21"/>
          <w:szCs w:val="21"/>
          <w:highlight w:val="none"/>
          <w:lang w:val="zh-CN"/>
        </w:rPr>
        <w:t xml:space="preserve">有关的服务，比如</w:t>
      </w:r>
      <w:r>
        <w:rPr>
          <w:rFonts w:hint="eastAsia" w:ascii="宋体" w:hAnsi="宋体" w:cs="宋体"/>
          <w:color w:val="auto"/>
          <w:sz w:val="21"/>
          <w:szCs w:val="21"/>
          <w:highlight w:val="none"/>
        </w:rPr>
        <w:t xml:space="preserve">安装调试、数据对接、</w:t>
      </w:r>
      <w:r>
        <w:rPr>
          <w:rFonts w:hint="eastAsia" w:ascii="宋体" w:hAnsi="宋体" w:cs="宋体"/>
          <w:color w:val="auto"/>
          <w:sz w:val="21"/>
          <w:szCs w:val="21"/>
          <w:highlight w:val="none"/>
          <w:lang w:val="zh-CN"/>
        </w:rPr>
        <w:t xml:space="preserve">人员管理、培训、按国家法律法规及政策要求所必须完成的工作和合同中规定中标人应承担的其它所有义务。</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 </w:t>
      </w:r>
      <w:r>
        <w:rPr>
          <w:rFonts w:hint="eastAsia" w:ascii="宋体" w:hAnsi="宋体" w:cs="宋体"/>
          <w:color w:val="auto"/>
          <w:sz w:val="21"/>
          <w:szCs w:val="21"/>
          <w:highlight w:val="none"/>
          <w:lang w:val="zh-CN"/>
        </w:rPr>
        <w:t xml:space="preserve">知识产权：指专利权、商标权、著作权等无形财产专有权的统称。</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2.10 </w:t>
      </w:r>
      <w:r>
        <w:rPr>
          <w:rFonts w:hint="eastAsia" w:ascii="宋体" w:hAnsi="宋体" w:cs="宋体"/>
          <w:color w:val="auto"/>
          <w:sz w:val="21"/>
          <w:szCs w:val="21"/>
          <w:highlight w:val="none"/>
          <w:lang w:val="zh-CN"/>
        </w:rPr>
        <w:t xml:space="preserve">天：日历日。</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1 </w:t>
      </w:r>
      <w:r>
        <w:rPr>
          <w:rFonts w:hint="eastAsia" w:ascii="宋体" w:hAnsi="宋体" w:cs="宋体"/>
          <w:color w:val="auto"/>
          <w:sz w:val="21"/>
          <w:szCs w:val="21"/>
          <w:highlight w:val="none"/>
          <w:lang w:val="zh-CN"/>
        </w:rPr>
        <w:t xml:space="preserve">服务地点：合同中明确约定的乙方服务地点。</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2.12</w:t>
      </w:r>
      <w:r>
        <w:rPr>
          <w:rFonts w:hint="eastAsia" w:ascii="宋体" w:hAnsi="宋体" w:cs="宋体"/>
          <w:color w:val="auto"/>
          <w:sz w:val="21"/>
          <w:szCs w:val="21"/>
          <w:highlight w:val="none"/>
          <w:lang w:val="zh-CN"/>
        </w:rPr>
        <w:t xml:space="preserve"> 合同价款：根据合同规定，乙方在正确地履行合同义务后甲方应支付乙方的价款。</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2.13</w:t>
      </w:r>
      <w:r>
        <w:rPr>
          <w:rFonts w:hint="eastAsia" w:ascii="宋体" w:hAnsi="宋体" w:cs="宋体"/>
          <w:color w:val="auto"/>
          <w:sz w:val="21"/>
          <w:szCs w:val="21"/>
          <w:highlight w:val="none"/>
          <w:lang w:val="zh-CN"/>
        </w:rPr>
        <w:t xml:space="preserve"> 不可抗力：不能预见、不能避免并且不能克服的客观情况。</w:t>
      </w:r>
      <w:r/>
    </w:p>
    <w:p>
      <w:pPr>
        <w:ind w:firstLine="42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2.14 实质响应：满足有关本次采购标的、数量、质量、价款或者报酬、履行期限、履行地点和方式、违约责任和解决争议方法等要求。</w:t>
      </w:r>
      <w:r/>
    </w:p>
    <w:p>
      <w:pPr>
        <w:ind w:firstLine="42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2.15书面形式：指书面文字、合同书、信件和传真等可以有形地表现所载内容的形式。</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二、投标人</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3、合格投标人的资格条件</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具有独立承担民事责任的能力；</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具有良好的商业信誉和健全的财务会计制度；</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具有履行合同所必需的设备和专业技术能力；</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有依法缴纳税收和社会保障资金的良好记录；</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3.5</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参加政府采购活动</w:t>
      </w:r>
      <w:r>
        <w:rPr>
          <w:rFonts w:hint="eastAsia" w:ascii="宋体" w:hAnsi="宋体" w:cs="宋体"/>
          <w:color w:val="auto"/>
          <w:sz w:val="21"/>
          <w:szCs w:val="21"/>
          <w:highlight w:val="none"/>
        </w:rPr>
        <w:t xml:space="preserve">前</w:t>
      </w:r>
      <w:r>
        <w:rPr>
          <w:rFonts w:hint="eastAsia" w:ascii="宋体" w:hAnsi="宋体" w:cs="宋体"/>
          <w:color w:val="auto"/>
          <w:sz w:val="21"/>
          <w:szCs w:val="21"/>
          <w:highlight w:val="none"/>
          <w:lang w:val="zh-CN"/>
        </w:rPr>
        <w:t xml:space="preserve">三年内，在经营活动中没有重大违法记录；</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3.6</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法律、行政法规规定的其他条件。</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注：参加本项目的</w:t>
      </w:r>
      <w:r>
        <w:rPr>
          <w:rFonts w:hint="eastAsia" w:ascii="宋体" w:hAnsi="宋体" w:cs="宋体"/>
          <w:b/>
          <w:bCs/>
          <w:color w:val="auto"/>
          <w:sz w:val="21"/>
          <w:szCs w:val="21"/>
          <w:highlight w:val="none"/>
        </w:rPr>
        <w:t xml:space="preserve">投标人</w:t>
      </w:r>
      <w:r>
        <w:rPr>
          <w:rFonts w:hint="eastAsia" w:ascii="宋体" w:hAnsi="宋体" w:cs="宋体"/>
          <w:b/>
          <w:bCs/>
          <w:color w:val="auto"/>
          <w:sz w:val="21"/>
          <w:szCs w:val="21"/>
          <w:highlight w:val="none"/>
          <w:lang w:val="zh-CN"/>
        </w:rPr>
        <w:t xml:space="preserve">应当具备上述资格要求，投标文件中必须提供以下证明文件，否则</w:t>
      </w:r>
      <w:r>
        <w:rPr>
          <w:rFonts w:hint="eastAsia" w:ascii="宋体" w:hAnsi="宋体" w:cs="宋体"/>
          <w:b/>
          <w:bCs/>
          <w:color w:val="auto"/>
          <w:sz w:val="21"/>
          <w:szCs w:val="21"/>
          <w:highlight w:val="none"/>
        </w:rPr>
        <w:t xml:space="preserve">视为资格条件不符合：</w:t>
      </w:r>
      <w:r/>
    </w:p>
    <w:p>
      <w:pPr>
        <w:ind w:firstLine="422"/>
        <w:spacing w:line="44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A、具有独立承担民事责任的能力证明，包括：法人或者其他组织的营业执照等证明文件，法人授权委托书（如有），自然人的身份证明。</w:t>
      </w:r>
      <w:r/>
    </w:p>
    <w:p>
      <w:pPr>
        <w:ind w:firstLine="422"/>
        <w:spacing w:line="44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B、具有良好的商业信誉和健全的财务会计制度证明，包括：投标人</w:t>
      </w:r>
      <w:r>
        <w:rPr>
          <w:rFonts w:hint="eastAsia" w:ascii="宋体" w:hAnsi="宋体" w:cs="宋体"/>
          <w:b/>
          <w:bCs/>
          <w:color w:val="auto"/>
          <w:sz w:val="21"/>
          <w:szCs w:val="21"/>
          <w:highlight w:val="none"/>
        </w:rPr>
        <w:t xml:space="preserve">2025年度</w:t>
      </w:r>
      <w:r>
        <w:rPr>
          <w:rFonts w:hint="eastAsia" w:ascii="宋体" w:hAnsi="宋体" w:cs="宋体"/>
          <w:b/>
          <w:bCs/>
          <w:color w:val="auto"/>
          <w:sz w:val="21"/>
          <w:szCs w:val="21"/>
          <w:highlight w:val="none"/>
          <w:lang w:val="zh-CN"/>
        </w:rPr>
        <w:t xml:space="preserve">经审计过的财务报告或投标人基本开户银行出具的资信证明或财政部门认可的政府采购专业担保机构出具的投标担保函。</w:t>
      </w:r>
      <w:r/>
    </w:p>
    <w:p>
      <w:pPr>
        <w:ind w:firstLine="422"/>
        <w:spacing w:line="44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C、履行合同所必备的设备和专业技术能力的证明材料。</w:t>
      </w:r>
      <w:r/>
    </w:p>
    <w:p>
      <w:pPr>
        <w:ind w:firstLine="422"/>
        <w:spacing w:line="44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D、有依法缴纳税收和社会保障资金的良好记录，包括：投标人参加采购活动</w:t>
      </w:r>
      <w:r>
        <w:rPr>
          <w:rFonts w:hint="eastAsia" w:ascii="宋体" w:hAnsi="宋体" w:cs="宋体"/>
          <w:b/>
          <w:bCs/>
          <w:color w:val="auto"/>
          <w:sz w:val="21"/>
          <w:szCs w:val="21"/>
          <w:highlight w:val="none"/>
        </w:rPr>
        <w:t xml:space="preserve">最新一期</w:t>
      </w:r>
      <w:r>
        <w:rPr>
          <w:rFonts w:hint="eastAsia" w:ascii="宋体" w:hAnsi="宋体" w:cs="宋体"/>
          <w:b/>
          <w:bCs/>
          <w:color w:val="auto"/>
          <w:sz w:val="21"/>
          <w:szCs w:val="21"/>
          <w:highlight w:val="none"/>
          <w:lang w:val="zh-CN"/>
        </w:rPr>
        <w:t xml:space="preserve">缴纳增值税或企业所得税的凭据，依法免税或不需要缴纳的供应商，必须提供相应的证明文件；</w:t>
      </w:r>
      <w:r>
        <w:rPr>
          <w:rFonts w:hint="eastAsia" w:ascii="宋体" w:hAnsi="宋体" w:cs="宋体"/>
          <w:b/>
          <w:bCs/>
          <w:color w:val="auto"/>
          <w:sz w:val="21"/>
          <w:szCs w:val="21"/>
          <w:highlight w:val="none"/>
        </w:rPr>
        <w:t xml:space="preserve">最新一期缴纳</w:t>
      </w:r>
      <w:r>
        <w:rPr>
          <w:rFonts w:hint="eastAsia" w:ascii="宋体" w:hAnsi="宋体" w:cs="宋体"/>
          <w:b/>
          <w:bCs/>
          <w:color w:val="auto"/>
          <w:sz w:val="21"/>
          <w:szCs w:val="21"/>
          <w:highlight w:val="none"/>
          <w:lang w:val="zh-CN"/>
        </w:rPr>
        <w:t xml:space="preserve">社会保障资金</w:t>
      </w:r>
      <w:r>
        <w:rPr>
          <w:rFonts w:hint="eastAsia" w:ascii="宋体" w:hAnsi="宋体" w:cs="宋体"/>
          <w:b/>
          <w:bCs/>
          <w:color w:val="auto"/>
          <w:sz w:val="21"/>
          <w:szCs w:val="21"/>
          <w:highlight w:val="none"/>
        </w:rPr>
        <w:t xml:space="preserve">的证明材料</w:t>
      </w:r>
      <w:r>
        <w:rPr>
          <w:rFonts w:hint="eastAsia" w:ascii="宋体" w:hAnsi="宋体" w:cs="宋体"/>
          <w:b/>
          <w:bCs/>
          <w:color w:val="auto"/>
          <w:sz w:val="21"/>
          <w:szCs w:val="21"/>
          <w:highlight w:val="none"/>
          <w:lang w:val="zh-CN"/>
        </w:rPr>
        <w:t xml:space="preserve">。</w:t>
      </w:r>
      <w:r/>
    </w:p>
    <w:p>
      <w:pPr>
        <w:ind w:firstLine="422"/>
        <w:spacing w:line="44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E、投标人参加政府采购活动</w:t>
      </w:r>
      <w:r>
        <w:rPr>
          <w:rFonts w:hint="eastAsia" w:ascii="宋体" w:hAnsi="宋体" w:cs="宋体"/>
          <w:b/>
          <w:bCs/>
          <w:color w:val="auto"/>
          <w:sz w:val="21"/>
          <w:szCs w:val="21"/>
          <w:highlight w:val="none"/>
        </w:rPr>
        <w:t xml:space="preserve">近</w:t>
      </w:r>
      <w:r>
        <w:rPr>
          <w:rFonts w:hint="eastAsia" w:ascii="宋体" w:hAnsi="宋体" w:cs="宋体"/>
          <w:b/>
          <w:bCs/>
          <w:color w:val="auto"/>
          <w:sz w:val="21"/>
          <w:szCs w:val="21"/>
          <w:highlight w:val="none"/>
          <w:lang w:val="zh-CN"/>
        </w:rPr>
        <w:t xml:space="preserve">3年内在经营活动中没有重大违法记录的书面声明函。</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4、投标人代表</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指全权代表投标人参加投标活动并签署投标文件的人，如果投标人代表不是法定代表人，须持有《法人代表授权委托书》（详见统一格式）。 </w:t>
      </w:r>
      <w:r/>
    </w:p>
    <w:p>
      <w:pPr>
        <w:ind w:firstLine="422"/>
        <w:spacing w:line="44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5、投标费用 </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5.1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无论投标过程中的做法和结果如何，投标人自行承担所有与参加投标有关的全部费用。</w:t>
      </w:r>
      <w:r/>
    </w:p>
    <w:p>
      <w:pPr>
        <w:ind w:firstLine="422"/>
        <w:spacing w:line="440" w:lineRule="exact"/>
        <w:rPr>
          <w:rFonts w:ascii="宋体" w:hAnsi="宋体" w:cs="宋体"/>
          <w:color w:val="auto"/>
          <w:sz w:val="21"/>
          <w:szCs w:val="21"/>
          <w:highlight w:val="none"/>
          <w:lang w:val="zh-CN"/>
        </w:rPr>
      </w:pPr>
      <w:r>
        <w:rPr>
          <w:rFonts w:hint="eastAsia" w:ascii="宋体" w:hAnsi="宋体" w:cs="宋体"/>
          <w:b/>
          <w:color w:val="auto"/>
          <w:sz w:val="21"/>
          <w:szCs w:val="21"/>
          <w:highlight w:val="none"/>
          <w:lang w:val="zh-CN"/>
        </w:rPr>
        <w:t xml:space="preserve">6、联合投标</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本次招标不接受联合投标。</w:t>
      </w:r>
      <w:r/>
    </w:p>
    <w:p>
      <w:pPr>
        <w:ind w:firstLine="422"/>
        <w:spacing w:line="440" w:lineRule="exact"/>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三、招标文件的说明</w:t>
      </w:r>
      <w:r/>
    </w:p>
    <w:p>
      <w:pPr>
        <w:ind w:firstLine="422"/>
        <w:spacing w:line="440" w:lineRule="exact"/>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7、招标文件</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招标文件由招标文件目录所列内容组成。投标人应详细阅读招标文件的全部内容，</w:t>
      </w:r>
      <w:r>
        <w:rPr>
          <w:rFonts w:hint="eastAsia" w:ascii="宋体" w:hAnsi="宋体" w:cs="宋体"/>
          <w:color w:val="auto"/>
          <w:sz w:val="21"/>
          <w:szCs w:val="21"/>
          <w:highlight w:val="none"/>
        </w:rPr>
        <w:t xml:space="preserve">如有残缺等问题应在获取招标文件后及时向采购代理机构提出，</w:t>
      </w:r>
      <w:r>
        <w:rPr>
          <w:rFonts w:hint="eastAsia" w:ascii="宋体" w:hAnsi="宋体" w:cs="宋体"/>
          <w:color w:val="auto"/>
          <w:sz w:val="21"/>
          <w:szCs w:val="21"/>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的规定，该投标有可能被拒绝。</w:t>
      </w:r>
      <w:r/>
    </w:p>
    <w:p>
      <w:pPr>
        <w:ind w:firstLine="422"/>
        <w:spacing w:line="44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8、招标文件的询问与澄清（</w:t>
      </w:r>
      <w:r>
        <w:rPr>
          <w:rFonts w:hint="eastAsia" w:ascii="宋体" w:hAnsi="宋体" w:cs="宋体"/>
          <w:b/>
          <w:bCs/>
          <w:color w:val="auto"/>
          <w:sz w:val="21"/>
          <w:szCs w:val="21"/>
          <w:highlight w:val="none"/>
        </w:rPr>
        <w:t xml:space="preserve">或更正</w:t>
      </w:r>
      <w:r>
        <w:rPr>
          <w:rFonts w:hint="eastAsia" w:ascii="宋体" w:hAnsi="宋体" w:cs="宋体"/>
          <w:b/>
          <w:bCs/>
          <w:color w:val="auto"/>
          <w:sz w:val="21"/>
          <w:szCs w:val="21"/>
          <w:highlight w:val="none"/>
          <w:lang w:val="zh-CN"/>
        </w:rPr>
        <w:t xml:space="preserve">）</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投标人在收到招标文件后，若有问题需要询问，应于收到招标文件后按相关流程及时提出，采购代理机构将予以解答。</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采购人或者采购代理机构可以对已发出的招标文件进行必要的澄清或者修改，并发布澄清（</w:t>
      </w:r>
      <w:r>
        <w:rPr>
          <w:rFonts w:hint="eastAsia" w:ascii="宋体" w:hAnsi="宋体" w:cs="宋体"/>
          <w:color w:val="auto"/>
          <w:sz w:val="21"/>
          <w:szCs w:val="21"/>
          <w:highlight w:val="none"/>
        </w:rPr>
        <w:t xml:space="preserve">或更正</w:t>
      </w:r>
      <w:r>
        <w:rPr>
          <w:rFonts w:hint="eastAsia" w:ascii="宋体" w:hAnsi="宋体" w:cs="宋体"/>
          <w:color w:val="auto"/>
          <w:sz w:val="21"/>
          <w:szCs w:val="21"/>
          <w:highlight w:val="none"/>
          <w:lang w:val="zh-CN"/>
        </w:rPr>
        <w:t xml:space="preserve">）公告。澄清或者</w:t>
      </w:r>
      <w:r>
        <w:rPr>
          <w:rFonts w:hint="eastAsia" w:ascii="宋体" w:hAnsi="宋体" w:cs="宋体"/>
          <w:color w:val="auto"/>
          <w:sz w:val="21"/>
          <w:szCs w:val="21"/>
          <w:highlight w:val="none"/>
        </w:rPr>
        <w:t xml:space="preserve">更正</w:t>
      </w:r>
      <w:r>
        <w:rPr>
          <w:rFonts w:hint="eastAsia" w:ascii="宋体" w:hAnsi="宋体" w:cs="宋体"/>
          <w:color w:val="auto"/>
          <w:sz w:val="21"/>
          <w:szCs w:val="21"/>
          <w:highlight w:val="none"/>
          <w:lang w:val="zh-CN"/>
        </w:rPr>
        <w:t xml:space="preserve">的内容为招标文件的组成部分。</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采购代理机构推迟投标截止时间时，应以补充通知的形式在网上发布公告。在这种情况下，采购代理机构和投标人的权利和义务将受到新的截止期的约束。</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8.4</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至招标文件获取截止时间，获取招标文件的潜在投标人不足3家的，采购人或采购代理机构可以顺延招标文件提供期限。</w:t>
      </w:r>
      <w:r/>
    </w:p>
    <w:p>
      <w:pPr>
        <w:ind w:firstLine="422"/>
        <w:spacing w:line="440" w:lineRule="exact"/>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9、招标文件的修改</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采购代理机构无论出于自己的考虑，还是出于对投标人提问的澄清，均可对招标文件用补充文件的方式进行修改。</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采购代理机构对招标文件的修改，将以</w:t>
      </w:r>
      <w:r>
        <w:rPr>
          <w:rFonts w:hint="eastAsia" w:ascii="宋体" w:hAnsi="宋体" w:cs="宋体"/>
          <w:color w:val="auto"/>
          <w:sz w:val="21"/>
          <w:szCs w:val="21"/>
          <w:highlight w:val="none"/>
        </w:rPr>
        <w:t xml:space="preserve">补充通知的形式发布</w:t>
      </w:r>
      <w:r>
        <w:rPr>
          <w:rFonts w:hint="eastAsia" w:ascii="宋体" w:hAnsi="宋体" w:cs="宋体"/>
          <w:color w:val="auto"/>
          <w:sz w:val="21"/>
          <w:szCs w:val="21"/>
          <w:highlight w:val="none"/>
          <w:lang w:val="zh-CN"/>
        </w:rPr>
        <w:t xml:space="preserve">。补充文件将作为招标文件的组成部分，对所有投标人有约束力。</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为使投标人有足够的时间按招标文件的修改要求考虑修正投标文件，或出于其他原因，采购代理机构有权推迟投标截止日期和开标日期，并将</w:t>
      </w:r>
      <w:r>
        <w:rPr>
          <w:rFonts w:hint="eastAsia" w:ascii="宋体" w:hAnsi="宋体" w:cs="宋体"/>
          <w:color w:val="auto"/>
          <w:sz w:val="21"/>
          <w:szCs w:val="21"/>
          <w:highlight w:val="none"/>
        </w:rPr>
        <w:t xml:space="preserve">发布补充通知</w:t>
      </w:r>
      <w:r>
        <w:rPr>
          <w:rFonts w:hint="eastAsia" w:ascii="宋体" w:hAnsi="宋体" w:cs="宋体"/>
          <w:color w:val="auto"/>
          <w:sz w:val="21"/>
          <w:szCs w:val="21"/>
          <w:highlight w:val="none"/>
          <w:lang w:val="zh-CN"/>
        </w:rPr>
        <w:t xml:space="preserve">。</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10、质疑</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根据财政部94号令第十一条规定，提出质疑的供应商应当是参与所质疑项目采购活动的供应商。潜在供应商应当依法报名</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本</w:t>
      </w:r>
      <w:r>
        <w:rPr>
          <w:rFonts w:hint="eastAsia" w:ascii="宋体" w:hAnsi="宋体" w:cs="宋体"/>
          <w:color w:val="auto"/>
          <w:sz w:val="21"/>
          <w:szCs w:val="21"/>
          <w:highlight w:val="none"/>
        </w:rPr>
        <w:t xml:space="preserve">招标文件</w:t>
      </w:r>
      <w:r>
        <w:rPr>
          <w:rFonts w:hint="eastAsia" w:ascii="宋体" w:hAnsi="宋体" w:cs="宋体"/>
          <w:color w:val="auto"/>
          <w:sz w:val="21"/>
          <w:szCs w:val="21"/>
          <w:highlight w:val="none"/>
          <w:lang w:val="zh-CN"/>
        </w:rPr>
        <w:t xml:space="preserve">后可以依法进行质疑。</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rPr>
          <w:rFonts w:hint="eastAsia" w:ascii="宋体" w:hAnsi="宋体" w:cs="宋体"/>
          <w:color w:val="auto"/>
          <w:sz w:val="21"/>
          <w:szCs w:val="21"/>
          <w:highlight w:val="none"/>
        </w:rPr>
        <w:t xml:space="preserve">2 接收</w:t>
      </w:r>
      <w:r>
        <w:rPr>
          <w:rFonts w:hint="eastAsia" w:ascii="宋体" w:hAnsi="宋体" w:cs="宋体"/>
          <w:color w:val="auto"/>
          <w:sz w:val="21"/>
          <w:szCs w:val="21"/>
          <w:highlight w:val="none"/>
          <w:lang w:val="zh-CN"/>
        </w:rPr>
        <w:t xml:space="preserve">质疑函的方式：当场送达或邮寄方式。</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rPr>
          <w:rFonts w:hint="eastAsia" w:ascii="宋体" w:hAnsi="宋体" w:cs="宋体"/>
          <w:color w:val="auto"/>
          <w:sz w:val="21"/>
          <w:szCs w:val="21"/>
          <w:highlight w:val="none"/>
        </w:rPr>
        <w:t xml:space="preserve">3 </w:t>
      </w:r>
      <w:r>
        <w:rPr>
          <w:rFonts w:hint="eastAsia" w:ascii="宋体" w:hAnsi="宋体" w:cs="宋体"/>
          <w:color w:val="auto"/>
          <w:sz w:val="21"/>
          <w:szCs w:val="21"/>
          <w:highlight w:val="none"/>
          <w:lang w:val="zh-CN"/>
        </w:rPr>
        <w:t xml:space="preserve">联系单位：苏州市卫康招投标咨询服务有限公司</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rPr>
          <w:rFonts w:hint="eastAsia" w:ascii="宋体" w:hAnsi="宋体" w:cs="宋体"/>
          <w:color w:val="auto"/>
          <w:sz w:val="21"/>
          <w:szCs w:val="21"/>
          <w:highlight w:val="none"/>
        </w:rPr>
        <w:t xml:space="preserve">4 </w:t>
      </w:r>
      <w:r>
        <w:rPr>
          <w:rFonts w:hint="eastAsia" w:ascii="宋体" w:hAnsi="宋体" w:cs="宋体"/>
          <w:color w:val="auto"/>
          <w:sz w:val="21"/>
          <w:szCs w:val="21"/>
          <w:highlight w:val="none"/>
          <w:lang w:val="zh-CN"/>
        </w:rPr>
        <w:t xml:space="preserve">联系电话：0512-65158848</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10.</w:t>
      </w:r>
      <w:r>
        <w:rPr>
          <w:rFonts w:hint="eastAsia" w:ascii="宋体" w:hAnsi="宋体" w:cs="宋体"/>
          <w:color w:val="auto"/>
          <w:sz w:val="21"/>
          <w:szCs w:val="21"/>
          <w:highlight w:val="none"/>
        </w:rPr>
        <w:t xml:space="preserve">5 </w:t>
      </w:r>
      <w:r>
        <w:rPr>
          <w:rFonts w:hint="eastAsia" w:ascii="宋体" w:hAnsi="宋体" w:cs="宋体"/>
          <w:color w:val="auto"/>
          <w:sz w:val="21"/>
          <w:szCs w:val="21"/>
          <w:highlight w:val="none"/>
          <w:lang w:val="zh-CN"/>
        </w:rPr>
        <w:t xml:space="preserve">通讯地址：</w:t>
      </w:r>
      <w:r>
        <w:rPr>
          <w:rFonts w:hint="eastAsia" w:ascii="宋体" w:hAnsi="宋体" w:cs="宋体"/>
          <w:color w:val="auto"/>
          <w:sz w:val="21"/>
          <w:szCs w:val="21"/>
          <w:highlight w:val="none"/>
        </w:rPr>
        <w:t xml:space="preserve">苏州市姑苏区干将西路1296号深业姑苏中心1幢17层 季欣怡</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四、投标文件说明</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投标人应仔细阅读招标文件的所有内容，按招标文件的要求提供投标文件，并保证所提供的全部资料的真实性，以使其投标对招标文件作出实质性响应，否则，其投标可能被拒绝。</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无论是否递交投标文件，投标人都应将招标文件及以后的所有通知、文件等视为保密文件。</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12、投标文件计量单位和使用文字</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12.1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投标文件中所使用的计量单位，除招标文件中有特殊要求外，均应使用中华人民共和国法定计量单位。</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40" w:lineRule="exact"/>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13、投标文件的组成</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.1 封面</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.2 投标函</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.3 开标一览表</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 法定代表人授权书</w:t>
      </w:r>
      <w:r/>
    </w:p>
    <w:p>
      <w:pPr>
        <w:ind w:firstLine="422"/>
        <w:jc w:val="both"/>
        <w:spacing w:line="440" w:lineRule="exact"/>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13.5 </w:t>
      </w:r>
      <w:r>
        <w:rPr>
          <w:rFonts w:hint="eastAsia" w:ascii="宋体" w:hAnsi="宋体" w:cs="宋体"/>
          <w:b/>
          <w:bCs/>
          <w:color w:val="auto"/>
          <w:sz w:val="21"/>
          <w:szCs w:val="21"/>
          <w:highlight w:val="none"/>
          <w:lang w:val="zh-CN"/>
        </w:rPr>
        <w:t xml:space="preserve">资格证明</w:t>
      </w:r>
      <w:r>
        <w:rPr>
          <w:rFonts w:hint="eastAsia" w:ascii="宋体" w:hAnsi="宋体" w:cs="宋体"/>
          <w:b/>
          <w:bCs/>
          <w:color w:val="auto"/>
          <w:sz w:val="21"/>
          <w:szCs w:val="21"/>
          <w:highlight w:val="none"/>
        </w:rPr>
        <w:t xml:space="preserve">文件（如不提供或提供材料不符合要求则属于无效投标）</w:t>
      </w:r>
      <w:r>
        <w:rPr>
          <w:rFonts w:hint="eastAsia" w:ascii="宋体" w:hAnsi="宋体" w:cs="宋体"/>
          <w:b/>
          <w:bCs/>
          <w:color w:val="auto"/>
          <w:sz w:val="21"/>
          <w:szCs w:val="21"/>
          <w:highlight w:val="none"/>
          <w:lang w:val="zh-CN"/>
        </w:rPr>
        <w:t xml:space="preserve">：</w:t>
      </w:r>
      <w:r/>
    </w:p>
    <w:p>
      <w:pPr>
        <w:ind w:firstLine="422"/>
        <w:spacing w:line="44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A、具有独立承担民事责任的能力证明，包括：法人或者其他组织的营业执照等证明文件，法人授权委托书（如有），自然人的身份证明。</w:t>
      </w:r>
      <w:r/>
    </w:p>
    <w:p>
      <w:pPr>
        <w:ind w:firstLine="422"/>
        <w:spacing w:line="44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B、具有良好的商业信誉和健全的财务会计制度证明，包括：投标人</w:t>
      </w:r>
      <w:r>
        <w:rPr>
          <w:rFonts w:hint="eastAsia" w:ascii="宋体" w:hAnsi="宋体" w:cs="宋体"/>
          <w:b/>
          <w:bCs/>
          <w:color w:val="auto"/>
          <w:sz w:val="21"/>
          <w:szCs w:val="21"/>
          <w:highlight w:val="none"/>
        </w:rPr>
        <w:t xml:space="preserve">2025年度</w:t>
      </w:r>
      <w:r>
        <w:rPr>
          <w:rFonts w:hint="eastAsia" w:ascii="宋体" w:hAnsi="宋体" w:cs="宋体"/>
          <w:b/>
          <w:bCs/>
          <w:color w:val="auto"/>
          <w:sz w:val="21"/>
          <w:szCs w:val="21"/>
          <w:highlight w:val="none"/>
          <w:lang w:val="zh-CN"/>
        </w:rPr>
        <w:t xml:space="preserve">经审计过的财务报告或投标人基本开户银行出具的资信证明或财政部门认可的政府采购专业担保机构出具的投标担保函。</w:t>
      </w:r>
      <w:r/>
    </w:p>
    <w:p>
      <w:pPr>
        <w:ind w:firstLine="422"/>
        <w:spacing w:line="44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C、履行合同所必备的设备和专业技术能力的证明材料。</w:t>
      </w:r>
      <w:r/>
    </w:p>
    <w:p>
      <w:pPr>
        <w:ind w:firstLine="422"/>
        <w:spacing w:line="44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D、有依法缴纳税收和社会保障资金的良好记录，包括：投标人参加采购活动</w:t>
      </w:r>
      <w:r>
        <w:rPr>
          <w:rFonts w:hint="eastAsia" w:ascii="宋体" w:hAnsi="宋体" w:cs="宋体"/>
          <w:b/>
          <w:bCs/>
          <w:color w:val="auto"/>
          <w:sz w:val="21"/>
          <w:szCs w:val="21"/>
          <w:highlight w:val="none"/>
        </w:rPr>
        <w:t xml:space="preserve">最新一期</w:t>
      </w:r>
      <w:r>
        <w:rPr>
          <w:rFonts w:hint="eastAsia" w:ascii="宋体" w:hAnsi="宋体" w:cs="宋体"/>
          <w:b/>
          <w:bCs/>
          <w:color w:val="auto"/>
          <w:sz w:val="21"/>
          <w:szCs w:val="21"/>
          <w:highlight w:val="none"/>
          <w:lang w:val="zh-CN"/>
        </w:rPr>
        <w:t xml:space="preserve">缴纳增值税或企业所得税的凭据，依法免税或不需要缴纳的供应商，必须提供相应的证明文件；</w:t>
      </w:r>
      <w:r>
        <w:rPr>
          <w:rFonts w:hint="eastAsia" w:ascii="宋体" w:hAnsi="宋体" w:cs="宋体"/>
          <w:b/>
          <w:bCs/>
          <w:color w:val="auto"/>
          <w:sz w:val="21"/>
          <w:szCs w:val="21"/>
          <w:highlight w:val="none"/>
        </w:rPr>
        <w:t xml:space="preserve">最新一期缴纳</w:t>
      </w:r>
      <w:r>
        <w:rPr>
          <w:rFonts w:hint="eastAsia" w:ascii="宋体" w:hAnsi="宋体" w:cs="宋体"/>
          <w:b/>
          <w:bCs/>
          <w:color w:val="auto"/>
          <w:sz w:val="21"/>
          <w:szCs w:val="21"/>
          <w:highlight w:val="none"/>
          <w:lang w:val="zh-CN"/>
        </w:rPr>
        <w:t xml:space="preserve">社会保障资金</w:t>
      </w:r>
      <w:r>
        <w:rPr>
          <w:rFonts w:hint="eastAsia" w:ascii="宋体" w:hAnsi="宋体" w:cs="宋体"/>
          <w:b/>
          <w:bCs/>
          <w:color w:val="auto"/>
          <w:sz w:val="21"/>
          <w:szCs w:val="21"/>
          <w:highlight w:val="none"/>
        </w:rPr>
        <w:t xml:space="preserve">的证明材料</w:t>
      </w:r>
      <w:r>
        <w:rPr>
          <w:rFonts w:hint="eastAsia" w:ascii="宋体" w:hAnsi="宋体" w:cs="宋体"/>
          <w:b/>
          <w:bCs/>
          <w:color w:val="auto"/>
          <w:sz w:val="21"/>
          <w:szCs w:val="21"/>
          <w:highlight w:val="none"/>
          <w:lang w:val="zh-CN"/>
        </w:rPr>
        <w:t xml:space="preserve">。</w:t>
      </w:r>
      <w:r/>
    </w:p>
    <w:p>
      <w:pPr>
        <w:ind w:firstLine="422"/>
        <w:spacing w:line="44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E、投标人参加政府采购活动</w:t>
      </w:r>
      <w:r>
        <w:rPr>
          <w:rFonts w:hint="eastAsia" w:ascii="宋体" w:hAnsi="宋体" w:cs="宋体"/>
          <w:b/>
          <w:bCs/>
          <w:color w:val="auto"/>
          <w:sz w:val="21"/>
          <w:szCs w:val="21"/>
          <w:highlight w:val="none"/>
        </w:rPr>
        <w:t xml:space="preserve">近</w:t>
      </w:r>
      <w:r>
        <w:rPr>
          <w:rFonts w:hint="eastAsia" w:ascii="宋体" w:hAnsi="宋体" w:cs="宋体"/>
          <w:b/>
          <w:bCs/>
          <w:color w:val="auto"/>
          <w:sz w:val="21"/>
          <w:szCs w:val="21"/>
          <w:highlight w:val="none"/>
          <w:lang w:val="zh-CN"/>
        </w:rPr>
        <w:t xml:space="preserve">3年内在经营活动中没有重大违法记录的书面声明函。</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13.6 投标产品技术对照表、偏离表</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 服务方案介绍</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zh-CN"/>
        </w:rPr>
        <w:t xml:space="preserve"> 近三年内具有同类项目业绩合同复印件</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 拟投入项目成员表</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10 </w:t>
      </w:r>
      <w:r>
        <w:rPr>
          <w:rFonts w:hint="eastAsia" w:ascii="宋体" w:hAnsi="宋体" w:cs="宋体"/>
          <w:color w:val="auto"/>
          <w:sz w:val="21"/>
          <w:szCs w:val="21"/>
          <w:highlight w:val="none"/>
          <w:lang w:val="zh-CN"/>
        </w:rPr>
        <w:t xml:space="preserve">对本次投标的详细说明（投标人视各自的情况自行编制）</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13.11 </w:t>
      </w:r>
      <w:r>
        <w:rPr>
          <w:rFonts w:hint="eastAsia" w:ascii="宋体" w:hAnsi="宋体" w:cs="宋体"/>
          <w:color w:val="auto"/>
          <w:sz w:val="21"/>
          <w:szCs w:val="21"/>
          <w:highlight w:val="none"/>
          <w:lang w:val="zh-CN"/>
        </w:rPr>
        <w:t xml:space="preserve">中小企业声明函（如属）</w:t>
      </w:r>
      <w:r>
        <w:rPr>
          <w:rFonts w:hint="eastAsia" w:ascii="宋体" w:hAnsi="宋体" w:cs="宋体"/>
          <w:color w:val="auto"/>
          <w:sz w:val="21"/>
          <w:szCs w:val="21"/>
          <w:highlight w:val="none"/>
        </w:rPr>
        <w:t xml:space="preserve">或</w:t>
      </w:r>
      <w:r>
        <w:rPr>
          <w:rFonts w:hint="eastAsia" w:ascii="宋体" w:hAnsi="宋体" w:cs="宋体"/>
          <w:color w:val="auto"/>
          <w:sz w:val="21"/>
          <w:szCs w:val="21"/>
          <w:highlight w:val="none"/>
          <w:lang w:val="zh-CN"/>
        </w:rPr>
        <w:t xml:space="preserve">残疾人福利性单位声明函（如属）</w:t>
      </w:r>
      <w:r>
        <w:rPr>
          <w:rFonts w:hint="eastAsia" w:ascii="宋体" w:hAnsi="宋体" w:cs="宋体"/>
          <w:color w:val="auto"/>
          <w:sz w:val="21"/>
          <w:szCs w:val="21"/>
          <w:highlight w:val="none"/>
        </w:rPr>
        <w:t xml:space="preserve">或监狱企业证明材料（如属）</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13.12 </w:t>
      </w:r>
      <w:r>
        <w:rPr>
          <w:rFonts w:hint="eastAsia" w:ascii="宋体" w:hAnsi="宋体" w:cs="宋体"/>
          <w:color w:val="auto"/>
          <w:sz w:val="21"/>
          <w:szCs w:val="21"/>
          <w:highlight w:val="none"/>
          <w:lang w:val="zh-CN"/>
        </w:rPr>
        <w:t xml:space="preserve">对本次招标有关的及评分标准要求的其它证明材料。</w:t>
      </w:r>
      <w:r/>
    </w:p>
    <w:p>
      <w:pPr>
        <w:ind w:firstLine="422"/>
        <w:spacing w:line="440" w:lineRule="exact"/>
        <w:tabs>
          <w:tab w:val="left" w:pos="0" w:leader="none"/>
        </w:tabs>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13.</w:t>
      </w:r>
      <w:r>
        <w:rPr>
          <w:rFonts w:hint="eastAsia" w:ascii="宋体" w:hAnsi="宋体" w:cs="宋体"/>
          <w:b/>
          <w:color w:val="auto"/>
          <w:sz w:val="21"/>
          <w:szCs w:val="21"/>
          <w:highlight w:val="none"/>
        </w:rPr>
        <w:t xml:space="preserve">13</w:t>
      </w:r>
      <w:r>
        <w:rPr>
          <w:rFonts w:hint="eastAsia" w:ascii="宋体" w:hAnsi="宋体" w:cs="宋体"/>
          <w:b/>
          <w:color w:val="auto"/>
          <w:sz w:val="21"/>
          <w:szCs w:val="21"/>
          <w:highlight w:val="none"/>
          <w:lang w:val="zh-CN"/>
        </w:rPr>
        <w:t xml:space="preserve">企业报价折扣证明</w:t>
      </w:r>
      <w:r/>
    </w:p>
    <w:p>
      <w:pPr>
        <w:ind w:firstLine="422"/>
        <w:spacing w:line="440" w:lineRule="exact"/>
        <w:tabs>
          <w:tab w:val="left" w:pos="0" w:leader="none"/>
        </w:tabs>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13.</w:t>
      </w:r>
      <w:r>
        <w:rPr>
          <w:rFonts w:hint="eastAsia" w:ascii="宋体" w:hAnsi="宋体" w:cs="宋体"/>
          <w:b/>
          <w:color w:val="auto"/>
          <w:sz w:val="21"/>
          <w:szCs w:val="21"/>
          <w:highlight w:val="none"/>
        </w:rPr>
        <w:t xml:space="preserve">13</w:t>
      </w:r>
      <w:r>
        <w:rPr>
          <w:rFonts w:hint="eastAsia" w:ascii="宋体" w:hAnsi="宋体" w:cs="宋体"/>
          <w:b/>
          <w:color w:val="auto"/>
          <w:sz w:val="21"/>
          <w:szCs w:val="21"/>
          <w:highlight w:val="none"/>
          <w:lang w:val="zh-CN"/>
        </w:rPr>
        <w:t xml:space="preserve">.1本项目非专门面向中小企业采购。投标人如属于小型或微型企业，提供《中小企业声明函》或提供《残疾人福利性单位声明函》或提供由省级以上监狱管理局、戒毒管理局（含新疆生产建设兵团）出具的属于监狱企业的证明文件。</w:t>
      </w:r>
      <w:r/>
    </w:p>
    <w:p>
      <w:pPr>
        <w:ind w:firstLine="422"/>
        <w:spacing w:line="440" w:lineRule="exact"/>
        <w:tabs>
          <w:tab w:val="left" w:pos="0" w:leader="none"/>
        </w:tabs>
        <w:rPr>
          <w:rFonts w:ascii="宋体" w:hAnsi="宋体" w:cs="宋体"/>
          <w:b/>
          <w:color w:val="auto"/>
          <w:sz w:val="21"/>
          <w:szCs w:val="21"/>
          <w:highlight w:val="none"/>
        </w:rPr>
      </w:pPr>
      <w:r>
        <w:rPr>
          <w:rFonts w:hint="eastAsia" w:ascii="宋体" w:hAnsi="宋体" w:cs="宋体"/>
          <w:b/>
          <w:color w:val="auto"/>
          <w:sz w:val="21"/>
          <w:szCs w:val="21"/>
          <w:highlight w:val="none"/>
          <w:lang w:val="zh-CN"/>
        </w:rPr>
        <w:t xml:space="preserve">13.</w:t>
      </w:r>
      <w:r>
        <w:rPr>
          <w:rFonts w:hint="eastAsia" w:ascii="宋体" w:hAnsi="宋体" w:cs="宋体"/>
          <w:b/>
          <w:color w:val="auto"/>
          <w:sz w:val="21"/>
          <w:szCs w:val="21"/>
          <w:highlight w:val="none"/>
        </w:rPr>
        <w:t xml:space="preserve">13</w:t>
      </w:r>
      <w:r>
        <w:rPr>
          <w:rFonts w:hint="eastAsia" w:ascii="宋体" w:hAnsi="宋体" w:cs="宋体"/>
          <w:b/>
          <w:color w:val="auto"/>
          <w:sz w:val="21"/>
          <w:szCs w:val="21"/>
          <w:highlight w:val="none"/>
          <w:lang w:val="zh-CN"/>
        </w:rPr>
        <w:t xml:space="preserve">.2关于符合本国产品标准的声明函（如符合）。</w:t>
      </w:r>
      <w:r/>
    </w:p>
    <w:p>
      <w:pPr>
        <w:ind w:firstLine="422"/>
        <w:spacing w:line="440" w:lineRule="exact"/>
        <w:tabs>
          <w:tab w:val="left" w:pos="0" w:leader="none"/>
        </w:tabs>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注：投标人所提交的资料文件的完整与否，将直接影响投标人的投标文件是否有效或评分高低。</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4</w:t>
      </w:r>
      <w:r>
        <w:rPr>
          <w:rFonts w:hint="eastAsia" w:ascii="宋体" w:hAnsi="宋体" w:cs="宋体"/>
          <w:b/>
          <w:bCs/>
          <w:color w:val="auto"/>
          <w:sz w:val="21"/>
          <w:szCs w:val="21"/>
          <w:highlight w:val="none"/>
          <w:lang w:val="zh-CN"/>
        </w:rPr>
        <w:t xml:space="preserve">、投标保证金</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4</w:t>
      </w: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 </w:t>
      </w:r>
      <w:r>
        <w:rPr>
          <w:rFonts w:hint="eastAsia" w:ascii="宋体" w:hAnsi="宋体" w:cs="宋体"/>
          <w:b/>
          <w:bCs/>
          <w:color w:val="auto"/>
          <w:sz w:val="21"/>
          <w:szCs w:val="21"/>
          <w:highlight w:val="none"/>
          <w:lang w:val="zh-CN"/>
        </w:rPr>
        <w:t xml:space="preserve">本项目无投标保证金。</w:t>
      </w:r>
      <w:r/>
    </w:p>
    <w:p>
      <w:pPr>
        <w:ind w:firstLine="422"/>
        <w:spacing w:line="440" w:lineRule="exact"/>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5</w:t>
      </w:r>
      <w:r>
        <w:rPr>
          <w:rFonts w:hint="eastAsia" w:ascii="宋体" w:hAnsi="宋体" w:cs="宋体"/>
          <w:b/>
          <w:bCs/>
          <w:color w:val="auto"/>
          <w:sz w:val="21"/>
          <w:szCs w:val="21"/>
          <w:highlight w:val="none"/>
          <w:lang w:val="zh-CN"/>
        </w:rPr>
        <w:t xml:space="preserve">、投标文件的有效期</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自开标日起</w:t>
      </w:r>
      <w:r>
        <w:rPr>
          <w:rFonts w:hint="eastAsia" w:ascii="宋体" w:hAnsi="宋体" w:cs="宋体"/>
          <w:color w:val="auto"/>
          <w:sz w:val="21"/>
          <w:szCs w:val="21"/>
          <w:highlight w:val="none"/>
        </w:rPr>
        <w:t xml:space="preserve">90</w:t>
      </w:r>
      <w:r>
        <w:rPr>
          <w:rFonts w:hint="eastAsia" w:ascii="宋体" w:hAnsi="宋体" w:cs="宋体"/>
          <w:color w:val="auto"/>
          <w:sz w:val="21"/>
          <w:szCs w:val="21"/>
          <w:highlight w:val="none"/>
          <w:lang w:val="zh-CN"/>
        </w:rPr>
        <w:t xml:space="preserve">天，投标书应保持有效。有效期短于这个规定期限的投标，将被拒绝。</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五、</w:t>
      </w:r>
      <w:r>
        <w:rPr>
          <w:rFonts w:hint="eastAsia" w:ascii="宋体" w:hAnsi="宋体" w:cs="宋体"/>
          <w:b/>
          <w:bCs/>
          <w:color w:val="auto"/>
          <w:sz w:val="21"/>
          <w:szCs w:val="21"/>
          <w:highlight w:val="none"/>
        </w:rPr>
        <w:t xml:space="preserve">投标</w:t>
      </w:r>
      <w:r/>
    </w:p>
    <w:p>
      <w:pPr>
        <w:ind w:firstLine="422"/>
        <w:spacing w:line="44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t xml:space="preserve">16、文件要求：</w:t>
      </w:r>
      <w:r/>
    </w:p>
    <w:p>
      <w:pPr>
        <w:ind w:right="-161" w:firstLine="42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本次投标采用电子投标。电子响应文件上传一份到系统，无须携带纸质投标文件。</w:t>
      </w:r>
      <w:r/>
    </w:p>
    <w:p>
      <w:pPr>
        <w:ind w:firstLine="422"/>
        <w:spacing w:line="44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t xml:space="preserve">17、电子投标（响应）文件的编制与提交</w:t>
      </w:r>
      <w:r/>
    </w:p>
    <w:p>
      <w:pPr>
        <w:ind w:right="-161" w:firstLine="420"/>
        <w:spacing w:line="44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17.1、电子投标（响应）文件制作：本项目采用电子网上招投标，请供应商插入CA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w:t>
      </w:r>
      <w:r/>
    </w:p>
    <w:p>
      <w:pPr>
        <w:ind w:right="-161" w:firstLine="420"/>
        <w:spacing w:line="44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17.2、电子投标（响应）文件递交：投标人应当按照《操作手册》指引，在投标（响应）文件提交截止时间前完成电子投标（响应）文件的上传，未按要求成功上传的投标（响应）文件视为未递交。投标人应充分考虑网络环境、网络带宽等风险因素，如因投标人自身原因造成的电子投标（响应）文件上传不成功由投标人自行承担全部责任。</w:t>
      </w:r>
      <w:r/>
    </w:p>
    <w:p>
      <w:pPr>
        <w:ind w:right="-161" w:firstLine="420"/>
        <w:spacing w:line="44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17.3、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right="-161" w:firstLine="420"/>
        <w:spacing w:line="44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17.4、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r/>
    </w:p>
    <w:p>
      <w:pPr>
        <w:ind w:right="-161" w:firstLine="420"/>
        <w:spacing w:line="44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17.5、电子投标文件中的资料应按招标文件的要求加盖投标人的电子签章或公章。</w:t>
      </w:r>
      <w:r/>
    </w:p>
    <w:p>
      <w:pPr>
        <w:ind w:right="-161" w:firstLine="420"/>
        <w:spacing w:line="44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17.6、未按照要求编制电子投标文件，未按照要求在电子投标文件上加盖电子签章的，均视为无效投标。</w:t>
      </w:r>
      <w:r/>
    </w:p>
    <w:p>
      <w:pPr>
        <w:ind w:firstLine="422"/>
        <w:spacing w:line="44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18、投标供应商需保持“苏采云”系统不见面开标大厅在线状态，并按要求在规定时间内进行响应</w:t>
      </w:r>
      <w:r>
        <w:rPr>
          <w:rFonts w:hint="eastAsia" w:ascii="宋体" w:hAnsi="宋体" w:cs="宋体"/>
          <w:color w:val="auto"/>
          <w:sz w:val="21"/>
          <w:szCs w:val="21"/>
          <w:highlight w:val="none"/>
        </w:rPr>
        <w:t xml:space="preserve">。</w:t>
      </w:r>
      <w:r/>
    </w:p>
    <w:p>
      <w:pPr>
        <w:ind w:firstLine="422"/>
        <w:jc w:val="both"/>
        <w:spacing w:line="440" w:lineRule="exact"/>
        <w:widowControl w:val="off"/>
        <w:rPr>
          <w:rFonts w:ascii="宋体" w:hAnsi="宋体" w:cs="宋体"/>
          <w:b/>
          <w:bCs/>
          <w:color w:val="auto"/>
          <w:sz w:val="21"/>
          <w:szCs w:val="24"/>
          <w:highlight w:val="none"/>
        </w:rPr>
      </w:pPr>
      <w:r>
        <w:rPr>
          <w:rFonts w:hint="eastAsia" w:ascii="宋体" w:hAnsi="宋体" w:cs="宋体"/>
          <w:b/>
          <w:bCs/>
          <w:color w:val="auto"/>
          <w:sz w:val="21"/>
          <w:szCs w:val="24"/>
          <w:highlight w:val="none"/>
        </w:rPr>
        <w:t xml:space="preserve">19、开标</w:t>
      </w:r>
      <w:r/>
    </w:p>
    <w:p>
      <w:pPr>
        <w:ind w:firstLine="420"/>
        <w:jc w:val="both"/>
        <w:spacing w:line="440" w:lineRule="exact"/>
        <w:widowControl w:val="off"/>
        <w:rPr>
          <w:rFonts w:ascii="宋体" w:hAnsi="宋体" w:cs="宋体"/>
          <w:color w:val="auto"/>
          <w:sz w:val="21"/>
          <w:szCs w:val="24"/>
          <w:highlight w:val="none"/>
        </w:rPr>
      </w:pPr>
      <w:r>
        <w:rPr>
          <w:rFonts w:hint="eastAsia" w:ascii="宋体" w:hAnsi="宋体" w:cs="宋体"/>
          <w:color w:val="auto"/>
          <w:sz w:val="21"/>
          <w:szCs w:val="24"/>
          <w:highlight w:val="none"/>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20"/>
        <w:jc w:val="both"/>
        <w:spacing w:line="440" w:lineRule="exact"/>
        <w:widowControl w:val="off"/>
        <w:rPr>
          <w:rFonts w:ascii="宋体" w:hAnsi="宋体" w:cs="宋体"/>
          <w:color w:val="auto"/>
          <w:sz w:val="21"/>
          <w:szCs w:val="24"/>
          <w:highlight w:val="none"/>
        </w:rPr>
      </w:pPr>
      <w:r>
        <w:rPr>
          <w:rFonts w:hint="eastAsia" w:ascii="宋体" w:hAnsi="宋体" w:cs="宋体"/>
          <w:color w:val="auto"/>
          <w:sz w:val="21"/>
          <w:szCs w:val="24"/>
          <w:highlight w:val="none"/>
        </w:rPr>
        <w:t xml:space="preserve">（2）线上参加（观看）开标（开启）会方式：登录“苏采云”系统，点击“开标大厅”，选择对应项目，点击进入不见面开标系统。</w:t>
      </w:r>
      <w:r/>
    </w:p>
    <w:p>
      <w:pPr>
        <w:ind w:firstLine="420"/>
        <w:jc w:val="both"/>
        <w:spacing w:line="440" w:lineRule="exact"/>
        <w:widowControl w:val="off"/>
        <w:rPr>
          <w:rFonts w:ascii="宋体" w:hAnsi="宋体" w:cs="宋体"/>
          <w:color w:val="auto"/>
          <w:sz w:val="21"/>
          <w:szCs w:val="24"/>
          <w:highlight w:val="none"/>
        </w:rPr>
      </w:pPr>
      <w:r>
        <w:rPr>
          <w:rFonts w:hint="eastAsia" w:ascii="宋体" w:hAnsi="宋体" w:cs="宋体"/>
          <w:color w:val="auto"/>
          <w:sz w:val="21"/>
          <w:szCs w:val="24"/>
          <w:highlight w:val="none"/>
        </w:rPr>
        <w:t xml:space="preserve">（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firstLine="420"/>
        <w:jc w:val="both"/>
        <w:spacing w:line="440" w:lineRule="exact"/>
        <w:widowControl w:val="off"/>
        <w:rPr>
          <w:rFonts w:ascii="宋体" w:hAnsi="宋体" w:cs="宋体"/>
          <w:color w:val="auto"/>
          <w:sz w:val="21"/>
          <w:szCs w:val="24"/>
          <w:highlight w:val="none"/>
        </w:rPr>
      </w:pPr>
      <w:r>
        <w:rPr>
          <w:rFonts w:hint="eastAsia" w:ascii="宋体" w:hAnsi="宋体" w:cs="宋体"/>
          <w:color w:val="auto"/>
          <w:sz w:val="21"/>
          <w:szCs w:val="24"/>
          <w:highlight w:val="none"/>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ind w:firstLine="420"/>
        <w:jc w:val="both"/>
        <w:spacing w:line="440" w:lineRule="exact"/>
        <w:widowControl w:val="off"/>
        <w:rPr>
          <w:rFonts w:ascii="宋体" w:hAnsi="宋体" w:cs="宋体"/>
          <w:color w:val="auto"/>
          <w:sz w:val="21"/>
          <w:szCs w:val="24"/>
          <w:highlight w:val="none"/>
        </w:rPr>
      </w:pPr>
      <w:r>
        <w:rPr>
          <w:rFonts w:hint="eastAsia" w:ascii="宋体" w:hAnsi="宋体" w:cs="宋体"/>
          <w:color w:val="auto"/>
          <w:sz w:val="21"/>
          <w:szCs w:val="24"/>
          <w:highlight w:val="none"/>
        </w:rPr>
        <w:t xml:space="preserve">（5）投标人在“苏采云”系统规定的时间内未成功解密电子投标文件的，投标无效。</w:t>
      </w:r>
      <w:r/>
    </w:p>
    <w:p>
      <w:pPr>
        <w:ind w:firstLine="420"/>
        <w:jc w:val="both"/>
        <w:spacing w:line="440" w:lineRule="exact"/>
        <w:widowControl w:val="off"/>
        <w:rPr>
          <w:rFonts w:ascii="宋体" w:hAnsi="宋体" w:cs="宋体"/>
          <w:color w:val="auto"/>
          <w:sz w:val="21"/>
          <w:szCs w:val="24"/>
          <w:highlight w:val="none"/>
        </w:rPr>
      </w:pPr>
      <w:r>
        <w:rPr>
          <w:rFonts w:hint="eastAsia" w:ascii="宋体" w:hAnsi="宋体" w:cs="宋体"/>
          <w:color w:val="auto"/>
          <w:sz w:val="21"/>
          <w:szCs w:val="24"/>
          <w:highlight w:val="none"/>
        </w:rPr>
        <w:t xml:space="preserve">投标人电脑环境最低要求：谷歌浏览器，直接网上下载最新版本即可。如需收听现场语音需配置放音设备，如视频直播、互动交流使用异常，请刷新网页，如仍无法解决，请联系技术支持。</w:t>
      </w:r>
      <w:r/>
    </w:p>
    <w:p>
      <w:pPr>
        <w:ind w:firstLine="422"/>
        <w:jc w:val="both"/>
        <w:spacing w:line="440" w:lineRule="exact"/>
        <w:widowControl w:val="off"/>
        <w:rPr>
          <w:rFonts w:ascii="宋体" w:hAnsi="宋体" w:cs="宋体"/>
          <w:b/>
          <w:bCs/>
          <w:color w:val="auto"/>
          <w:sz w:val="21"/>
          <w:szCs w:val="24"/>
          <w:highlight w:val="none"/>
        </w:rPr>
      </w:pPr>
      <w:r>
        <w:rPr>
          <w:rFonts w:hint="eastAsia" w:ascii="宋体" w:hAnsi="宋体" w:cs="宋体"/>
          <w:b/>
          <w:bCs/>
          <w:color w:val="auto"/>
          <w:sz w:val="21"/>
          <w:szCs w:val="24"/>
          <w:highlight w:val="none"/>
        </w:rPr>
        <w:t xml:space="preserve">20、技术支持</w:t>
      </w:r>
      <w:r/>
    </w:p>
    <w:p>
      <w:pPr>
        <w:ind w:firstLine="420"/>
        <w:jc w:val="both"/>
        <w:spacing w:line="440" w:lineRule="exact"/>
        <w:widowControl w:val="off"/>
        <w:rPr>
          <w:rFonts w:ascii="宋体" w:hAnsi="宋体" w:cs="宋体"/>
          <w:color w:val="auto"/>
          <w:sz w:val="21"/>
          <w:szCs w:val="24"/>
          <w:highlight w:val="none"/>
        </w:rPr>
      </w:pPr>
      <w:r>
        <w:rPr>
          <w:rFonts w:hint="eastAsia" w:ascii="宋体" w:hAnsi="宋体" w:cs="宋体"/>
          <w:color w:val="auto"/>
          <w:sz w:val="21"/>
          <w:szCs w:val="24"/>
          <w:highlight w:val="none"/>
        </w:rPr>
        <w:t xml:space="preserve">在网上报名过程中如有疑问，请及时联系：</w:t>
      </w:r>
      <w:r/>
    </w:p>
    <w:p>
      <w:pPr>
        <w:ind w:firstLine="420"/>
        <w:jc w:val="both"/>
        <w:spacing w:line="440" w:lineRule="exact"/>
        <w:widowControl w:val="off"/>
        <w:rPr>
          <w:rFonts w:ascii="宋体" w:hAnsi="宋体" w:cs="宋体"/>
          <w:color w:val="auto"/>
          <w:sz w:val="21"/>
          <w:szCs w:val="24"/>
          <w:highlight w:val="none"/>
        </w:rPr>
      </w:pPr>
      <w:r>
        <w:rPr>
          <w:rFonts w:hint="eastAsia" w:ascii="宋体" w:hAnsi="宋体" w:cs="宋体"/>
          <w:color w:val="auto"/>
          <w:sz w:val="21"/>
          <w:szCs w:val="24"/>
          <w:highlight w:val="none"/>
        </w:rPr>
        <w:t xml:space="preserve">CA技术咨询服务电话：400-608-6099</w:t>
      </w:r>
      <w:r/>
    </w:p>
    <w:p>
      <w:pPr>
        <w:ind w:firstLine="420"/>
        <w:jc w:val="both"/>
        <w:spacing w:line="440" w:lineRule="exact"/>
        <w:widowControl w:val="off"/>
        <w:rPr>
          <w:rFonts w:ascii="宋体" w:hAnsi="宋体" w:cs="宋体"/>
          <w:color w:val="auto"/>
          <w:sz w:val="21"/>
          <w:szCs w:val="24"/>
          <w:highlight w:val="none"/>
        </w:rPr>
      </w:pPr>
      <w:r>
        <w:rPr>
          <w:rFonts w:hint="eastAsia" w:ascii="宋体" w:hAnsi="宋体" w:cs="宋体"/>
          <w:color w:val="auto"/>
          <w:sz w:val="21"/>
          <w:szCs w:val="24"/>
          <w:highlight w:val="none"/>
        </w:rPr>
        <w:t xml:space="preserve">电子签章技术咨询服务电话：15380932027、15371015030、13675197356、13675197221</w:t>
      </w:r>
      <w:r/>
    </w:p>
    <w:p>
      <w:pPr>
        <w:ind w:firstLine="420"/>
        <w:jc w:val="both"/>
        <w:spacing w:line="440" w:lineRule="exact"/>
        <w:widowControl w:val="off"/>
        <w:rPr>
          <w:rFonts w:ascii="宋体" w:hAnsi="宋体" w:cs="宋体"/>
          <w:color w:val="auto"/>
          <w:sz w:val="21"/>
          <w:szCs w:val="24"/>
          <w:highlight w:val="none"/>
        </w:rPr>
      </w:pPr>
      <w:r>
        <w:rPr>
          <w:rFonts w:hint="eastAsia" w:ascii="宋体" w:hAnsi="宋体" w:cs="宋体"/>
          <w:color w:val="auto"/>
          <w:sz w:val="21"/>
          <w:szCs w:val="24"/>
          <w:highlight w:val="none"/>
        </w:rPr>
        <w:t xml:space="preserve">系统使用指导与咨询：联系电话：13914088964</w:t>
      </w:r>
      <w:r>
        <w:rPr>
          <w:rFonts w:hint="eastAsia" w:ascii="宋体" w:hAnsi="宋体" w:cs="宋体"/>
          <w:color w:val="auto"/>
          <w:sz w:val="21"/>
          <w:szCs w:val="24"/>
          <w:highlight w:val="none"/>
          <w:lang w:eastAsia="zh-CN"/>
        </w:rPr>
        <w:t xml:space="preserve">；</w:t>
      </w:r>
      <w:r>
        <w:rPr>
          <w:rFonts w:hint="eastAsia" w:ascii="宋体" w:hAnsi="宋体" w:cs="宋体"/>
          <w:color w:val="auto"/>
          <w:sz w:val="21"/>
          <w:szCs w:val="24"/>
          <w:highlight w:val="none"/>
        </w:rPr>
        <w:t xml:space="preserve">18261002950（不见面项目）QQ：3048755361、895706745。</w:t>
      </w:r>
      <w:r/>
    </w:p>
    <w:p>
      <w:pPr>
        <w:ind w:firstLine="422"/>
        <w:jc w:val="both"/>
        <w:spacing w:line="440" w:lineRule="exact"/>
        <w:widowControl w:val="off"/>
        <w:rPr>
          <w:rFonts w:ascii="宋体" w:hAnsi="宋体" w:cs="宋体"/>
          <w:b/>
          <w:bCs/>
          <w:color w:val="auto"/>
          <w:sz w:val="21"/>
          <w:szCs w:val="24"/>
          <w:highlight w:val="none"/>
        </w:rPr>
      </w:pPr>
      <w:r>
        <w:rPr>
          <w:rFonts w:hint="eastAsia" w:ascii="宋体" w:hAnsi="宋体" w:cs="宋体"/>
          <w:b/>
          <w:bCs/>
          <w:color w:val="auto"/>
          <w:sz w:val="21"/>
          <w:szCs w:val="24"/>
          <w:highlight w:val="none"/>
        </w:rPr>
        <w:t xml:space="preserve">21、澄清</w:t>
      </w:r>
      <w:r/>
    </w:p>
    <w:p>
      <w:pPr>
        <w:ind w:firstLine="420"/>
        <w:jc w:val="both"/>
        <w:spacing w:line="440" w:lineRule="exact"/>
        <w:widowControl w:val="off"/>
        <w:rPr>
          <w:rFonts w:ascii="宋体" w:hAnsi="宋体" w:cs="宋体"/>
          <w:color w:val="auto"/>
          <w:sz w:val="21"/>
          <w:szCs w:val="24"/>
          <w:highlight w:val="none"/>
        </w:rPr>
      </w:pPr>
      <w:r>
        <w:rPr>
          <w:rFonts w:hint="eastAsia" w:ascii="宋体" w:hAnsi="宋体" w:cs="宋体"/>
          <w:color w:val="auto"/>
          <w:sz w:val="21"/>
          <w:szCs w:val="24"/>
          <w:highlight w:val="none"/>
        </w:rPr>
        <w:t xml:space="preserve">本项目供应商的澄清、说明或者补正采用线上澄清：评审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六、评标</w:t>
      </w:r>
      <w:r/>
    </w:p>
    <w:p>
      <w:pPr>
        <w:ind w:firstLine="422"/>
        <w:jc w:val="both"/>
        <w:spacing w:line="440" w:lineRule="exact"/>
        <w:widowControl w:val="off"/>
        <w:rPr>
          <w:rFonts w:ascii="宋体" w:hAnsi="宋体" w:cs="宋体"/>
          <w:b/>
          <w:bCs/>
          <w:color w:val="auto"/>
          <w:sz w:val="21"/>
          <w:szCs w:val="24"/>
          <w:highlight w:val="none"/>
        </w:rPr>
      </w:pPr>
      <w:r>
        <w:rPr>
          <w:rFonts w:hint="eastAsia" w:ascii="宋体" w:hAnsi="宋体" w:cs="宋体"/>
          <w:b/>
          <w:bCs/>
          <w:color w:val="auto"/>
          <w:sz w:val="21"/>
          <w:szCs w:val="24"/>
          <w:highlight w:val="none"/>
        </w:rPr>
        <w:t xml:space="preserve">22、资格审查</w:t>
      </w:r>
      <w:r/>
    </w:p>
    <w:p>
      <w:pPr>
        <w:ind w:firstLine="422"/>
        <w:jc w:val="both"/>
        <w:spacing w:line="440" w:lineRule="exact"/>
        <w:widowControl w:val="off"/>
        <w:rPr>
          <w:rFonts w:ascii="宋体" w:hAnsi="宋体" w:cs="宋体"/>
          <w:b/>
          <w:bCs/>
          <w:color w:val="auto"/>
          <w:sz w:val="21"/>
          <w:szCs w:val="24"/>
          <w:highlight w:val="none"/>
        </w:rPr>
      </w:pPr>
      <w:r>
        <w:rPr>
          <w:rFonts w:hint="eastAsia" w:ascii="宋体" w:hAnsi="宋体" w:cs="宋体"/>
          <w:b/>
          <w:bCs/>
          <w:color w:val="auto"/>
          <w:sz w:val="21"/>
          <w:szCs w:val="24"/>
          <w:highlight w:val="none"/>
        </w:rPr>
        <w:t xml:space="preserve">22.1 公开招标采购项目开标结束后，采购人依法对投标人的资格进行审查。</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w:t>
      </w:r>
      <w:r>
        <w:rPr>
          <w:rFonts w:hint="eastAsia" w:ascii="宋体" w:hAnsi="宋体" w:cs="宋体"/>
          <w:color w:val="auto"/>
          <w:sz w:val="21"/>
          <w:szCs w:val="21"/>
          <w:highlight w:val="none"/>
        </w:rPr>
        <w:t xml:space="preserve">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2.2.1 </w:t>
      </w:r>
      <w:r>
        <w:rPr>
          <w:rFonts w:hint="eastAsia" w:ascii="宋体" w:hAnsi="宋体" w:cs="宋体"/>
          <w:color w:val="auto"/>
          <w:sz w:val="21"/>
          <w:szCs w:val="21"/>
          <w:highlight w:val="none"/>
          <w:lang w:val="zh-CN"/>
        </w:rPr>
        <w:t xml:space="preserve">查询时间：投标文件递交截止时间。</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2.2</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查询渠道：通过“信用中国”网站、中国政府采购网等渠道查询相关主体信用记录。</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2.2</w:t>
      </w: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查询证据留存方式：对存在失信信息的供应商，</w:t>
      </w:r>
      <w:r>
        <w:rPr>
          <w:rFonts w:hint="eastAsia" w:ascii="宋体" w:hAnsi="宋体" w:cs="宋体"/>
          <w:color w:val="auto"/>
          <w:sz w:val="21"/>
          <w:szCs w:val="21"/>
          <w:highlight w:val="none"/>
        </w:rPr>
        <w:t xml:space="preserve">评标委员会</w:t>
      </w:r>
      <w:r>
        <w:rPr>
          <w:rFonts w:hint="eastAsia" w:ascii="宋体" w:hAnsi="宋体" w:cs="宋体"/>
          <w:color w:val="auto"/>
          <w:sz w:val="21"/>
          <w:szCs w:val="21"/>
          <w:highlight w:val="none"/>
          <w:lang w:val="zh-CN"/>
        </w:rPr>
        <w:t xml:space="preserve">填写《政府采购供应商失信信息确认函》，由失信供应商签名确认。同时，采购代理机构工作人员应根据失信信息，登录来源网站页面进行复核并打印，作为证据留存。</w:t>
      </w:r>
      <w:r/>
    </w:p>
    <w:p>
      <w:pPr>
        <w:ind w:firstLine="420"/>
        <w:spacing w:line="440" w:lineRule="exact"/>
        <w:rPr>
          <w:rFonts w:ascii="宋体" w:hAnsi="宋体" w:cs="宋体"/>
          <w:b/>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3 </w:t>
      </w:r>
      <w:r>
        <w:rPr>
          <w:rFonts w:hint="eastAsia" w:ascii="宋体" w:hAnsi="宋体" w:cs="宋体"/>
          <w:color w:val="auto"/>
          <w:sz w:val="21"/>
          <w:szCs w:val="21"/>
          <w:highlight w:val="none"/>
          <w:lang w:val="zh-CN"/>
        </w:rPr>
        <w:t xml:space="preserve">经采购人或者采购代理机构审查供应商存在上述失信行为的，投标无效。</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4 资格审查</w:t>
      </w:r>
      <w:r>
        <w:rPr>
          <w:rFonts w:hint="eastAsia" w:ascii="宋体" w:hAnsi="宋体" w:cs="宋体"/>
          <w:color w:val="auto"/>
          <w:sz w:val="21"/>
          <w:szCs w:val="21"/>
          <w:highlight w:val="none"/>
          <w:lang w:val="zh-CN"/>
        </w:rPr>
        <w:t xml:space="preserve">合格</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zh-CN"/>
        </w:rPr>
        <w:t xml:space="preserve">投标人不足3家的，不得评标。</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23、评标委员会</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评标委员会成员依法组建；</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评标委员会将对符合资格的投标人的投标文件进行符合性审查，以确定其是否满足招标文件的实质性要求。</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 </w:t>
      </w:r>
      <w:r>
        <w:rPr>
          <w:rFonts w:hint="eastAsia" w:ascii="宋体" w:hAnsi="宋体" w:cs="宋体"/>
          <w:color w:val="auto"/>
          <w:sz w:val="21"/>
          <w:szCs w:val="21"/>
          <w:highlight w:val="none"/>
          <w:lang w:val="zh-CN"/>
        </w:rPr>
        <w:t xml:space="preserve">评标委员会负责具体的评标事务，并独立履行以下职责：</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审查、评价投标文件是否符合招标文件的商务、</w:t>
      </w:r>
      <w:r>
        <w:rPr>
          <w:rFonts w:hint="eastAsia" w:ascii="宋体" w:hAnsi="宋体" w:cs="宋体"/>
          <w:color w:val="auto"/>
          <w:sz w:val="21"/>
          <w:szCs w:val="21"/>
          <w:highlight w:val="none"/>
        </w:rPr>
        <w:t xml:space="preserve">服务方案</w:t>
      </w:r>
      <w:r>
        <w:rPr>
          <w:rFonts w:hint="eastAsia" w:ascii="宋体" w:hAnsi="宋体" w:cs="宋体"/>
          <w:color w:val="auto"/>
          <w:sz w:val="21"/>
          <w:szCs w:val="21"/>
          <w:highlight w:val="none"/>
          <w:lang w:val="zh-CN"/>
        </w:rPr>
        <w:t xml:space="preserve">等实质性要求；</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要求投标人对投标文件有关事项作出澄清或者说明；</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对投标文件进行比较和评价；</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.4</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签署评标报告、推荐中标候选人并根据采购人委托从中确定中标人；</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.5</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向采购人、采购代理机构或者有关部门报告评标中发现的违法行为；</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 </w:t>
      </w:r>
      <w:r>
        <w:rPr>
          <w:rFonts w:hint="eastAsia" w:ascii="宋体" w:hAnsi="宋体" w:cs="宋体"/>
          <w:color w:val="auto"/>
          <w:sz w:val="21"/>
          <w:szCs w:val="21"/>
          <w:highlight w:val="none"/>
          <w:lang w:val="zh-CN"/>
        </w:rPr>
        <w:t xml:space="preserve">评标委员会成员应当履行下列义务：</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遵纪守法，客观、公正、廉洁地履行职责；</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按照招标文件规定的评标办法和评标标准进行评标，对评审意见承担个人责任；</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对评标过程和结果，以及投标人的商业秘密保密；</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.4</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参与评标报告的起草；</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.5</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配合招标采购人答复投标人提出的质疑；</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.6</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配合有关部门的投诉处理工作。</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24、评标内容的保密</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开标后，直到宣布授予中标人合同为止，凡属于审查、澄清、评价和比较投标的所有资料，有关授予合同的信息都不应向投标人或与评标无关的其他人泄露。</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在评标期间，采购代理机构将通过指定联络人与投标人进行联系。</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25、对投标文件初审</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初审内容：投标文件是否实质性响应招标文件的要求、内容是否完整、价格构成是否有计算错误及文件签署是否齐全等。</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25.2 </w:t>
      </w:r>
      <w:r>
        <w:rPr>
          <w:rFonts w:hint="eastAsia" w:ascii="宋体" w:hAnsi="宋体" w:cs="宋体"/>
          <w:color w:val="auto"/>
          <w:sz w:val="21"/>
          <w:szCs w:val="21"/>
          <w:highlight w:val="none"/>
          <w:lang w:val="zh-CN"/>
        </w:rPr>
        <w:t xml:space="preserve">投标文件有下列情况之一者将被认定为无效投标：</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投标文件未按照本须知规定签署和盖章；</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2 </w:t>
      </w:r>
      <w:r>
        <w:rPr>
          <w:rFonts w:hint="eastAsia" w:ascii="宋体" w:hAnsi="宋体" w:cs="宋体"/>
          <w:color w:val="auto"/>
          <w:sz w:val="21"/>
          <w:szCs w:val="21"/>
          <w:highlight w:val="none"/>
          <w:lang w:val="zh-CN"/>
        </w:rPr>
        <w:t xml:space="preserve">投标人拒绝修正错误；</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3 </w:t>
      </w:r>
      <w:r>
        <w:rPr>
          <w:rFonts w:hint="eastAsia" w:ascii="宋体" w:hAnsi="宋体" w:cs="宋体"/>
          <w:color w:val="auto"/>
          <w:sz w:val="21"/>
          <w:szCs w:val="21"/>
          <w:highlight w:val="none"/>
          <w:lang w:val="zh-CN"/>
        </w:rPr>
        <w:t xml:space="preserve">投标人的报价是选择性的；</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 </w:t>
      </w:r>
      <w:r>
        <w:rPr>
          <w:rFonts w:hint="eastAsia" w:ascii="宋体" w:hAnsi="宋体" w:cs="宋体"/>
          <w:color w:val="auto"/>
          <w:sz w:val="21"/>
          <w:szCs w:val="21"/>
          <w:highlight w:val="none"/>
          <w:lang w:val="zh-CN"/>
        </w:rPr>
        <w:t xml:space="preserve">投标人的报价只投了同一标段中部分内容；</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 </w:t>
      </w:r>
      <w:r>
        <w:rPr>
          <w:rFonts w:hint="eastAsia" w:ascii="宋体" w:hAnsi="宋体" w:cs="宋体"/>
          <w:color w:val="auto"/>
          <w:sz w:val="21"/>
          <w:szCs w:val="21"/>
          <w:highlight w:val="none"/>
          <w:lang w:val="zh-CN"/>
        </w:rPr>
        <w:t xml:space="preserve">投标人的投标文件中出现评标委员会认为不应雷同的；</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6 </w:t>
      </w:r>
      <w:r>
        <w:rPr>
          <w:rFonts w:hint="eastAsia" w:ascii="宋体" w:hAnsi="宋体" w:cs="宋体"/>
          <w:color w:val="auto"/>
          <w:sz w:val="21"/>
          <w:szCs w:val="21"/>
          <w:highlight w:val="none"/>
          <w:lang w:val="zh-CN"/>
        </w:rPr>
        <w:t xml:space="preserve">其他被评标委员会认定无效的情况。</w:t>
      </w:r>
      <w:r/>
    </w:p>
    <w:p>
      <w:pPr>
        <w:ind w:firstLine="420"/>
        <w:spacing w:line="440" w:lineRule="exact"/>
        <w:rPr>
          <w:rFonts w:ascii="宋体" w:hAnsi="宋体" w:cs="宋体"/>
          <w:b/>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实质性响应的投标应该与招标文件要求的标的、数量、质量、价款或者报酬、履行期限、履行地点和方式、违约责任和解决争议方法等条款相符。不得限制</w:t>
      </w:r>
      <w:r>
        <w:rPr>
          <w:rFonts w:hint="eastAsia" w:ascii="宋体" w:hAnsi="宋体" w:cs="宋体"/>
          <w:color w:val="auto"/>
          <w:sz w:val="21"/>
          <w:szCs w:val="21"/>
          <w:highlight w:val="none"/>
        </w:rPr>
        <w:t xml:space="preserve">采购人</w:t>
      </w:r>
      <w:r>
        <w:rPr>
          <w:rFonts w:hint="eastAsia" w:ascii="宋体" w:hAnsi="宋体" w:cs="宋体"/>
          <w:color w:val="auto"/>
          <w:sz w:val="21"/>
          <w:szCs w:val="21"/>
          <w:highlight w:val="none"/>
          <w:lang w:val="zh-CN"/>
        </w:rPr>
        <w:t xml:space="preserve">的权利或投标人的义务，也不得对其他实质性响应的投标人的竞争地位产生不公正影响。</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4 </w:t>
      </w:r>
      <w:r>
        <w:rPr>
          <w:rFonts w:hint="eastAsia" w:ascii="宋体" w:hAnsi="宋体" w:cs="宋体"/>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5 </w:t>
      </w:r>
      <w:r>
        <w:rPr>
          <w:rFonts w:hint="eastAsia" w:ascii="宋体" w:hAnsi="宋体" w:cs="宋体"/>
          <w:color w:val="auto"/>
          <w:sz w:val="21"/>
          <w:szCs w:val="21"/>
          <w:highlight w:val="none"/>
          <w:lang w:val="zh-CN"/>
        </w:rPr>
        <w:t xml:space="preserve">投标文件报价出现前后不一致的，除招标文件另有规定外，按照下列规定修正：</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25.5.1 </w:t>
      </w:r>
      <w:r>
        <w:rPr>
          <w:rFonts w:hint="eastAsia" w:ascii="宋体" w:hAnsi="宋体" w:cs="宋体"/>
          <w:color w:val="auto"/>
          <w:sz w:val="21"/>
          <w:szCs w:val="21"/>
          <w:highlight w:val="none"/>
          <w:lang w:val="zh-CN"/>
        </w:rPr>
        <w:t xml:space="preserve">投标文件中开标一览表（报价表）内容与投标文件中相应内容不一致的，以开标一览表（报价表）为准；</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25.5.2 </w:t>
      </w:r>
      <w:r>
        <w:rPr>
          <w:rFonts w:hint="eastAsia" w:ascii="宋体" w:hAnsi="宋体" w:cs="宋体"/>
          <w:color w:val="auto"/>
          <w:sz w:val="21"/>
          <w:szCs w:val="21"/>
          <w:highlight w:val="none"/>
          <w:lang w:val="zh-CN"/>
        </w:rPr>
        <w:t xml:space="preserve">大写金额和小写金额不一致的，以大写金额为准；</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25.5.3 </w:t>
      </w:r>
      <w:r>
        <w:rPr>
          <w:rFonts w:hint="eastAsia" w:ascii="宋体" w:hAnsi="宋体" w:cs="宋体"/>
          <w:color w:val="auto"/>
          <w:sz w:val="21"/>
          <w:szCs w:val="21"/>
          <w:highlight w:val="none"/>
          <w:lang w:val="zh-CN"/>
        </w:rPr>
        <w:t xml:space="preserve">单价金额小数点或者百分比有明显错位的，以开标一览表的总价为准，并修改单价；</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25.5.4 </w:t>
      </w:r>
      <w:r>
        <w:rPr>
          <w:rFonts w:hint="eastAsia" w:ascii="宋体" w:hAnsi="宋体" w:cs="宋体"/>
          <w:color w:val="auto"/>
          <w:sz w:val="21"/>
          <w:szCs w:val="21"/>
          <w:highlight w:val="none"/>
          <w:lang w:val="zh-CN"/>
        </w:rPr>
        <w:t xml:space="preserve">总价金额与按单价汇总金额不一致的，以单价金额计算结果为准。</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w:t>
      </w:r>
      <w:r>
        <w:rPr>
          <w:rFonts w:hint="eastAsia" w:ascii="宋体" w:hAnsi="宋体" w:cs="宋体"/>
          <w:color w:val="auto"/>
          <w:sz w:val="21"/>
          <w:szCs w:val="21"/>
          <w:highlight w:val="none"/>
        </w:rPr>
        <w:t xml:space="preserve">5.4</w:t>
      </w:r>
      <w:r>
        <w:rPr>
          <w:rFonts w:hint="eastAsia" w:ascii="宋体" w:hAnsi="宋体" w:cs="宋体"/>
          <w:color w:val="auto"/>
          <w:sz w:val="21"/>
          <w:szCs w:val="21"/>
          <w:highlight w:val="none"/>
          <w:lang w:val="zh-CN"/>
        </w:rPr>
        <w:t xml:space="preserve">条规定经投标人确认后产生约束力，投标人不确认的，其投标无效。</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.5</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440" w:lineRule="exact"/>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6 </w:t>
      </w:r>
      <w:r>
        <w:rPr>
          <w:rFonts w:hint="eastAsia" w:ascii="宋体" w:hAnsi="宋体" w:cs="宋体"/>
          <w:color w:val="auto"/>
          <w:sz w:val="21"/>
          <w:szCs w:val="21"/>
          <w:highlight w:val="none"/>
          <w:lang w:val="zh-CN"/>
        </w:rPr>
        <w:t xml:space="preserve">除上述情形外，对投标文件的判定，只依据投标文件本身，不依靠开标后的任何外来证明。</w:t>
      </w:r>
      <w:r/>
    </w:p>
    <w:p>
      <w:pPr>
        <w:ind w:firstLine="420"/>
        <w:spacing w:line="440" w:lineRule="exact"/>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7 </w:t>
      </w:r>
      <w:r>
        <w:rPr>
          <w:rFonts w:hint="eastAsia" w:ascii="宋体" w:hAnsi="宋体" w:cs="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8 </w:t>
      </w:r>
      <w:r>
        <w:rPr>
          <w:rFonts w:hint="eastAsia" w:ascii="宋体" w:hAnsi="宋体" w:cs="宋体"/>
          <w:color w:val="auto"/>
          <w:sz w:val="21"/>
          <w:szCs w:val="21"/>
          <w:highlight w:val="none"/>
          <w:lang w:val="zh-CN"/>
        </w:rPr>
        <w:t xml:space="preserve">对不同文字文本投标文件的解释发生异议的，以中文文本为准。</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26、废标</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 在招标过程中，出现下列情况之一的，应予废标：</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26.1.1 </w:t>
      </w:r>
      <w:r>
        <w:rPr>
          <w:rFonts w:hint="eastAsia" w:ascii="宋体" w:hAnsi="宋体" w:cs="宋体"/>
          <w:color w:val="auto"/>
          <w:sz w:val="21"/>
          <w:szCs w:val="21"/>
          <w:highlight w:val="none"/>
          <w:lang w:val="zh-CN"/>
        </w:rPr>
        <w:t xml:space="preserve">符合专业条件的供应商或者对招标文件作实质响应的供应商不足三家的； </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26.1.2 </w:t>
      </w:r>
      <w:r>
        <w:rPr>
          <w:rFonts w:hint="eastAsia" w:ascii="宋体" w:hAnsi="宋体" w:cs="宋体"/>
          <w:color w:val="auto"/>
          <w:sz w:val="21"/>
          <w:szCs w:val="21"/>
          <w:highlight w:val="none"/>
          <w:lang w:val="zh-CN"/>
        </w:rPr>
        <w:t xml:space="preserve">出现影响采购公正的违法、违规行为的； </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26.1.3 </w:t>
      </w:r>
      <w:r>
        <w:rPr>
          <w:rFonts w:hint="eastAsia" w:ascii="宋体" w:hAnsi="宋体" w:cs="宋体"/>
          <w:color w:val="auto"/>
          <w:sz w:val="21"/>
          <w:szCs w:val="21"/>
          <w:highlight w:val="none"/>
          <w:lang w:val="zh-CN"/>
        </w:rPr>
        <w:t xml:space="preserve">投标人的报价均超过了采购预算或者最高限价，采购人不能支付的； </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26.1.4 </w:t>
      </w:r>
      <w:r>
        <w:rPr>
          <w:rFonts w:hint="eastAsia" w:ascii="宋体" w:hAnsi="宋体" w:cs="宋体"/>
          <w:color w:val="auto"/>
          <w:sz w:val="21"/>
          <w:szCs w:val="21"/>
          <w:highlight w:val="none"/>
          <w:lang w:val="zh-CN"/>
        </w:rPr>
        <w:t xml:space="preserve">因重大变故，采购任务取消的。 </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废标后，采购代理机构将发布废标公告。</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评标委员会将仅对按照</w:t>
      </w:r>
      <w:r>
        <w:rPr>
          <w:rFonts w:hint="eastAsia" w:ascii="宋体" w:hAnsi="宋体" w:cs="宋体"/>
          <w:color w:val="auto"/>
          <w:sz w:val="21"/>
          <w:szCs w:val="21"/>
          <w:highlight w:val="none"/>
        </w:rPr>
        <w:t xml:space="preserve">招标文件</w:t>
      </w:r>
      <w:r>
        <w:rPr>
          <w:rFonts w:hint="eastAsia" w:ascii="宋体" w:hAnsi="宋体" w:cs="宋体"/>
          <w:color w:val="auto"/>
          <w:sz w:val="21"/>
          <w:szCs w:val="21"/>
          <w:highlight w:val="none"/>
          <w:lang w:val="zh-CN"/>
        </w:rPr>
        <w:t xml:space="preserve">规定确定为实质上响应招标文件要求的投标文件进行商务和技术评估，综合比较与评价。</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评价和比较采用综合评分法，评标委员会严格按照招标文件的规定要求、条件、评分标准，对投标人所提供</w:t>
      </w:r>
      <w:r>
        <w:rPr>
          <w:rFonts w:hint="eastAsia" w:ascii="宋体" w:hAnsi="宋体" w:cs="宋体"/>
          <w:color w:val="auto"/>
          <w:sz w:val="21"/>
          <w:szCs w:val="21"/>
          <w:highlight w:val="none"/>
        </w:rPr>
        <w:t xml:space="preserve">产品和</w:t>
      </w:r>
      <w:r>
        <w:rPr>
          <w:rFonts w:hint="eastAsia" w:ascii="宋体" w:hAnsi="宋体" w:cs="宋体"/>
          <w:color w:val="auto"/>
          <w:sz w:val="21"/>
          <w:szCs w:val="21"/>
          <w:highlight w:val="none"/>
          <w:lang w:val="zh-CN"/>
        </w:rPr>
        <w:t xml:space="preserve">服务的</w:t>
      </w:r>
      <w:r>
        <w:rPr>
          <w:rFonts w:hint="eastAsia" w:ascii="宋体" w:hAnsi="宋体" w:cs="宋体"/>
          <w:color w:val="auto"/>
          <w:sz w:val="21"/>
          <w:szCs w:val="21"/>
          <w:highlight w:val="none"/>
        </w:rPr>
        <w:t xml:space="preserve">科学</w:t>
      </w:r>
      <w:r>
        <w:rPr>
          <w:rFonts w:hint="eastAsia" w:ascii="宋体" w:hAnsi="宋体" w:cs="宋体"/>
          <w:color w:val="auto"/>
          <w:sz w:val="21"/>
          <w:szCs w:val="21"/>
          <w:highlight w:val="none"/>
          <w:lang w:val="zh-CN"/>
        </w:rPr>
        <w:t xml:space="preserve">性、可靠性、</w:t>
      </w:r>
      <w:r>
        <w:rPr>
          <w:rFonts w:hint="eastAsia" w:ascii="宋体" w:hAnsi="宋体" w:cs="宋体"/>
          <w:color w:val="auto"/>
          <w:sz w:val="21"/>
          <w:szCs w:val="21"/>
          <w:highlight w:val="none"/>
        </w:rPr>
        <w:t xml:space="preserve">履约</w:t>
      </w:r>
      <w:r>
        <w:rPr>
          <w:rFonts w:hint="eastAsia" w:ascii="宋体" w:hAnsi="宋体" w:cs="宋体"/>
          <w:color w:val="auto"/>
          <w:sz w:val="21"/>
          <w:szCs w:val="21"/>
          <w:highlight w:val="none"/>
          <w:lang w:val="zh-CN"/>
        </w:rPr>
        <w:t xml:space="preserve">服务承诺、质量保证承诺等实质性响应内容进行比较评价。</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七、授予合同</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28、中标人的确认</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进行评价和比较、打分，推荐中标候选人并根据</w:t>
      </w:r>
      <w:r>
        <w:rPr>
          <w:rFonts w:hint="eastAsia" w:ascii="宋体" w:hAnsi="宋体"/>
          <w:color w:val="auto"/>
          <w:sz w:val="21"/>
          <w:szCs w:val="21"/>
          <w:highlight w:val="none"/>
          <w:lang w:val="zh-CN"/>
        </w:rPr>
        <w:t xml:space="preserve">采购人委</w:t>
      </w:r>
      <w:r>
        <w:rPr>
          <w:rFonts w:ascii="宋体" w:hAnsi="宋体"/>
          <w:color w:val="auto"/>
          <w:sz w:val="21"/>
          <w:szCs w:val="21"/>
          <w:highlight w:val="none"/>
          <w:lang w:val="zh-CN"/>
        </w:rPr>
        <w:t xml:space="preserve">托从中确定中标人。</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40" w:lineRule="exact"/>
        <w:rPr>
          <w:rFonts w:ascii="宋体" w:hAnsi="宋体" w:cs="宋体"/>
          <w:color w:val="auto"/>
          <w:sz w:val="21"/>
          <w:szCs w:val="21"/>
          <w:highlight w:val="none"/>
          <w:lang w:val="zh-CN"/>
        </w:rPr>
      </w:pPr>
      <w:r>
        <w:rPr>
          <w:rFonts w:ascii="宋体" w:hAnsi="宋体"/>
          <w:color w:val="auto"/>
          <w:sz w:val="21"/>
          <w:szCs w:val="21"/>
          <w:highlight w:val="none"/>
          <w:lang w:val="zh-CN"/>
        </w:rPr>
        <w:t xml:space="preserve">28.3经评标委员会评审并根据</w:t>
      </w:r>
      <w:r>
        <w:rPr>
          <w:rFonts w:hint="eastAsia" w:ascii="宋体" w:hAnsi="宋体"/>
          <w:color w:val="auto"/>
          <w:sz w:val="21"/>
          <w:szCs w:val="21"/>
          <w:highlight w:val="none"/>
          <w:lang w:val="zh-CN"/>
        </w:rPr>
        <w:t xml:space="preserve">采购人委</w:t>
      </w:r>
      <w:r>
        <w:rPr>
          <w:rFonts w:ascii="宋体" w:hAnsi="宋体"/>
          <w:color w:val="auto"/>
          <w:sz w:val="21"/>
          <w:szCs w:val="21"/>
          <w:highlight w:val="none"/>
          <w:lang w:val="zh-CN"/>
        </w:rPr>
        <w:t xml:space="preserve">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w:t>
      </w:r>
      <w:r>
        <w:rPr>
          <w:rFonts w:hint="eastAsia" w:ascii="宋体" w:hAnsi="宋体"/>
          <w:color w:val="auto"/>
          <w:sz w:val="21"/>
          <w:szCs w:val="21"/>
          <w:highlight w:val="none"/>
          <w:lang w:val="zh-CN"/>
        </w:rPr>
        <w:t xml:space="preserve">和加</w:t>
      </w:r>
      <w:r>
        <w:rPr>
          <w:rFonts w:ascii="宋体" w:hAnsi="宋体"/>
          <w:color w:val="auto"/>
          <w:sz w:val="21"/>
          <w:szCs w:val="21"/>
          <w:highlight w:val="none"/>
          <w:lang w:val="zh-CN"/>
        </w:rPr>
        <w:t xml:space="preserve">盖公章（原件），采购代理机构有权对该质疑不予答复</w:t>
      </w:r>
      <w:r>
        <w:rPr>
          <w:rFonts w:hint="eastAsia" w:ascii="宋体" w:hAnsi="宋体" w:cs="宋体"/>
          <w:color w:val="auto"/>
          <w:sz w:val="21"/>
          <w:szCs w:val="21"/>
          <w:highlight w:val="none"/>
          <w:lang w:val="zh-CN"/>
        </w:rPr>
        <w:t xml:space="preserve">。</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采购代理机构将把合同授予按招标文件规定评选出的中标人。确定为中标人的必须具有实施本合同的能力和资源。</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在合同签订之前，如发现中标人提供的材料虚假或对标书所要求说明的情况故意隐瞒或虚报，则按政府采购程序取消其签约资格。</w:t>
      </w:r>
      <w:r/>
    </w:p>
    <w:p>
      <w:pPr>
        <w:ind w:firstLine="422"/>
        <w:spacing w:line="44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 确定</w:t>
      </w:r>
      <w:r>
        <w:rPr>
          <w:rFonts w:hint="eastAsia" w:ascii="宋体" w:hAnsi="宋体" w:cs="宋体"/>
          <w:color w:val="auto"/>
          <w:sz w:val="21"/>
          <w:szCs w:val="21"/>
          <w:highlight w:val="none"/>
          <w:lang w:val="zh-CN"/>
        </w:rPr>
        <w:t xml:space="preserve">中标人后，采购代理机构将</w:t>
      </w:r>
      <w:r>
        <w:rPr>
          <w:rFonts w:hint="eastAsia" w:ascii="宋体" w:hAnsi="宋体" w:cs="宋体"/>
          <w:color w:val="auto"/>
          <w:sz w:val="21"/>
          <w:szCs w:val="21"/>
          <w:highlight w:val="none"/>
        </w:rPr>
        <w:t xml:space="preserve">在规定时间内</w:t>
      </w:r>
      <w:r>
        <w:rPr>
          <w:rFonts w:hint="eastAsia" w:ascii="宋体" w:hAnsi="宋体" w:cs="宋体"/>
          <w:color w:val="auto"/>
          <w:sz w:val="21"/>
          <w:szCs w:val="21"/>
          <w:highlight w:val="none"/>
          <w:lang w:val="zh-CN"/>
        </w:rPr>
        <w:t xml:space="preserve">以书面形式通知中标人其投标被接受。在中标通知书中明确中标人的中标</w:t>
      </w:r>
      <w:r>
        <w:rPr>
          <w:rFonts w:hint="eastAsia" w:ascii="宋体" w:hAnsi="宋体" w:cs="宋体"/>
          <w:color w:val="auto"/>
          <w:sz w:val="21"/>
          <w:szCs w:val="21"/>
          <w:highlight w:val="none"/>
        </w:rPr>
        <w:t xml:space="preserve">价格</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服务内容及标准</w:t>
      </w:r>
      <w:r>
        <w:rPr>
          <w:rFonts w:hint="eastAsia" w:ascii="宋体" w:hAnsi="宋体" w:cs="宋体"/>
          <w:color w:val="auto"/>
          <w:sz w:val="21"/>
          <w:szCs w:val="21"/>
          <w:highlight w:val="none"/>
          <w:lang w:val="zh-CN"/>
        </w:rPr>
        <w:t xml:space="preserve">和有关合同签订的日期和地点。</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中标通知书将成为合同的组成部分。</w:t>
      </w:r>
      <w:r/>
    </w:p>
    <w:p>
      <w:pPr>
        <w:ind w:firstLine="420"/>
        <w:spacing w:line="440" w:lineRule="exact"/>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采购代理机构对未中标人不承担解释未中标原因的义务。</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中标人应按中标通知书中规定与采购人签订政府采购合同。</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签订的合同及合同条款应以招标文件和中标人的投标文件及其澄清文件为依据。</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中标人无正当理由不得放弃中标。</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31.4 </w:t>
      </w:r>
      <w:r>
        <w:rPr>
          <w:rFonts w:hint="eastAsia" w:ascii="宋体" w:hAnsi="宋体" w:cs="宋体"/>
          <w:color w:val="auto"/>
          <w:sz w:val="21"/>
          <w:szCs w:val="21"/>
          <w:highlight w:val="none"/>
          <w:lang w:val="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31.5 </w:t>
      </w:r>
      <w:r>
        <w:rPr>
          <w:rFonts w:hint="eastAsia" w:ascii="宋体" w:hAnsi="宋体" w:cs="宋体"/>
          <w:color w:val="auto"/>
          <w:sz w:val="21"/>
          <w:szCs w:val="21"/>
          <w:highlight w:val="none"/>
          <w:lang w:val="zh-CN"/>
        </w:rPr>
        <w:t xml:space="preserve">根据苏州市财政局《关于深入开展苏州市政府采购合同信用融资业务的通知》相关要求，本项目支持政府采购合同信用融资。</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八、其他事项</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32、中标服务费</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32.1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中标人应按前附表规定缴纳中标服务费。</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33、监督和公证</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政府有关监督部门将对招投标全过程进行监督。</w:t>
      </w:r>
      <w:r/>
    </w:p>
    <w:p>
      <w:pPr>
        <w:ind w:firstLine="420"/>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34.2</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采购代理机构的</w:t>
      </w:r>
      <w:r>
        <w:rPr>
          <w:rFonts w:hint="eastAsia" w:ascii="宋体" w:hAnsi="宋体" w:cs="宋体"/>
          <w:color w:val="auto"/>
          <w:sz w:val="21"/>
          <w:szCs w:val="21"/>
          <w:highlight w:val="none"/>
        </w:rPr>
        <w:t xml:space="preserve">开标评标</w:t>
      </w:r>
      <w:r>
        <w:rPr>
          <w:rFonts w:hint="eastAsia" w:ascii="宋体" w:hAnsi="宋体" w:cs="宋体"/>
          <w:color w:val="auto"/>
          <w:sz w:val="21"/>
          <w:szCs w:val="21"/>
          <w:highlight w:val="none"/>
          <w:lang w:val="zh-CN"/>
        </w:rPr>
        <w:t xml:space="preserve">过程将</w:t>
      </w:r>
      <w:r>
        <w:rPr>
          <w:rFonts w:hint="eastAsia" w:ascii="宋体" w:hAnsi="宋体" w:cs="宋体"/>
          <w:color w:val="auto"/>
          <w:sz w:val="21"/>
          <w:szCs w:val="21"/>
          <w:highlight w:val="none"/>
        </w:rPr>
        <w:t xml:space="preserve">请</w:t>
      </w:r>
      <w:r>
        <w:rPr>
          <w:rFonts w:hint="eastAsia" w:ascii="宋体" w:hAnsi="宋体" w:cs="宋体"/>
          <w:color w:val="auto"/>
          <w:sz w:val="21"/>
          <w:szCs w:val="21"/>
          <w:highlight w:val="none"/>
          <w:lang w:val="zh-CN"/>
        </w:rPr>
        <w:t xml:space="preserve">公证机关进行公证。</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34、未尽事宜</w:t>
      </w:r>
      <w:r/>
    </w:p>
    <w:p>
      <w:pPr>
        <w:ind w:firstLine="420"/>
        <w:spacing w:line="440" w:lineRule="exact"/>
        <w:rPr>
          <w:rFonts w:ascii="宋体" w:hAnsi="宋体" w:cs="宋体"/>
          <w:b/>
          <w:color w:val="auto"/>
          <w:sz w:val="36"/>
          <w:szCs w:val="36"/>
          <w:highlight w:val="none"/>
        </w:rPr>
      </w:pPr>
      <w:r>
        <w:rPr>
          <w:rFonts w:hint="eastAsia" w:ascii="宋体" w:hAnsi="宋体" w:cs="宋体"/>
          <w:color w:val="auto"/>
          <w:sz w:val="21"/>
          <w:szCs w:val="21"/>
          <w:highlight w:val="none"/>
        </w:rPr>
        <w:t xml:space="preserve">34.1 </w:t>
      </w: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jc w:val="both"/>
        <w:spacing w:line="400" w:lineRule="exact"/>
        <w:rPr>
          <w:rFonts w:ascii="宋体" w:hAnsi="宋体" w:cs="宋体"/>
          <w:b/>
          <w:color w:val="auto"/>
          <w:sz w:val="36"/>
          <w:szCs w:val="36"/>
          <w:highlight w:val="none"/>
        </w:rPr>
      </w:pPr>
      <w:r>
        <w:rPr>
          <w:rFonts w:ascii="宋体" w:hAnsi="宋体" w:cs="宋体"/>
          <w:b/>
          <w:color w:val="auto"/>
          <w:sz w:val="36"/>
          <w:szCs w:val="36"/>
          <w:highlight w:val="none"/>
        </w:rPr>
      </w:r>
      <w:r/>
    </w:p>
    <w:p>
      <w:pPr>
        <w:pStyle w:val="831"/>
        <w:rPr>
          <w:color w:val="auto"/>
          <w:sz w:val="36"/>
          <w:szCs w:val="36"/>
          <w:highlight w:val="none"/>
        </w:rPr>
      </w:pPr>
      <w:r/>
      <w:bookmarkStart w:id="7" w:name="_Toc13642114"/>
      <w:r/>
      <w:bookmarkStart w:id="8" w:name="_Toc142194265"/>
      <w:r>
        <w:rPr>
          <w:rFonts w:hint="eastAsia"/>
          <w:color w:val="auto"/>
          <w:highlight w:val="none"/>
        </w:rPr>
        <w:br w:type="page" w:clear="all"/>
      </w:r>
      <w:r>
        <w:rPr>
          <w:rFonts w:hint="eastAsia"/>
          <w:color w:val="auto"/>
          <w:highlight w:val="none"/>
        </w:rPr>
        <w:t xml:space="preserve">第三章  投标文件格式</w:t>
      </w:r>
      <w:bookmarkEnd w:id="7"/>
      <w:r/>
      <w:bookmarkEnd w:id="8"/>
      <w:r/>
      <w:r/>
    </w:p>
    <w:p>
      <w:pPr>
        <w:pStyle w:val="846"/>
        <w:ind w:firstLine="0"/>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846"/>
        <w:ind w:firstLine="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rPr>
          <w:rFonts w:ascii="宋体" w:hAnsi="宋体" w:cs="宋体"/>
          <w:color w:val="auto"/>
          <w:sz w:val="21"/>
          <w:szCs w:val="21"/>
          <w:highlight w:val="none"/>
        </w:rPr>
      </w:pPr>
      <w:r>
        <w:rPr>
          <w:rFonts w:hint="eastAsia" w:ascii="宋体" w:hAnsi="宋体" w:cs="宋体"/>
          <w:b/>
          <w:color w:val="auto"/>
          <w:sz w:val="21"/>
          <w:szCs w:val="21"/>
          <w:highlight w:val="none"/>
        </w:rPr>
        <w:t xml:space="preserve">    对本章所有的投标书格式，投标人可根据自身情况进行补充和修改，但补充和修改不得造成与本格式内容有实质性的违背。</w:t>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spacing w:line="420" w:lineRule="exact"/>
        <w:rPr>
          <w:rFonts w:ascii="宋体" w:hAnsi="宋体" w:cs="宋体"/>
          <w:b/>
          <w:bCs/>
          <w:color w:val="auto"/>
          <w:sz w:val="21"/>
          <w:szCs w:val="21"/>
          <w:highlight w:val="none"/>
        </w:rPr>
      </w:pPr>
      <w:r/>
      <w:bookmarkStart w:id="9" w:name="_Toc142194269"/>
      <w:r/>
      <w:bookmarkStart w:id="10" w:name="_Toc142194270"/>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rPr>
        <w:t xml:space="preserve">格式1：封面</w:t>
      </w:r>
      <w:r/>
    </w:p>
    <w:p>
      <w:pPr>
        <w:ind w:firstLine="482"/>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884"/>
        <w:jc w:val="center"/>
        <w:rPr>
          <w:rFonts w:cs="宋体"/>
          <w:color w:val="auto"/>
          <w:sz w:val="54"/>
          <w:szCs w:val="54"/>
          <w:highlight w:val="none"/>
        </w:rPr>
      </w:pPr>
      <w:r>
        <w:rPr>
          <w:rFonts w:hint="eastAsia" w:cs="宋体"/>
          <w:color w:val="auto"/>
          <w:sz w:val="54"/>
          <w:szCs w:val="54"/>
          <w:highlight w:val="none"/>
        </w:rPr>
        <w:t xml:space="preserve">投 标 文 件</w:t>
      </w:r>
      <w:r/>
    </w:p>
    <w:p>
      <w:pPr>
        <w:pStyle w:val="884"/>
        <w:rPr>
          <w:rFonts w:cs="宋体"/>
          <w:color w:val="auto"/>
          <w:sz w:val="31"/>
          <w:szCs w:val="31"/>
          <w:highlight w:val="none"/>
        </w:rPr>
      </w:pPr>
      <w:r>
        <w:rPr>
          <w:rFonts w:hint="eastAsia" w:cs="宋体"/>
          <w:color w:val="auto"/>
          <w:sz w:val="31"/>
          <w:szCs w:val="31"/>
          <w:highlight w:val="none"/>
        </w:rPr>
        <w:t xml:space="preserve"> </w:t>
      </w:r>
      <w:r/>
    </w:p>
    <w:p>
      <w:pPr>
        <w:pStyle w:val="884"/>
        <w:jc w:val="center"/>
        <w:rPr>
          <w:rFonts w:cs="宋体"/>
          <w:color w:val="auto"/>
          <w:sz w:val="40"/>
          <w:szCs w:val="40"/>
          <w:highlight w:val="none"/>
        </w:rPr>
      </w:pPr>
      <w:r>
        <w:rPr>
          <w:rFonts w:hint="eastAsia" w:cs="宋体"/>
          <w:color w:val="auto"/>
          <w:sz w:val="40"/>
          <w:szCs w:val="40"/>
          <w:highlight w:val="none"/>
        </w:rPr>
        <w:t xml:space="preserve"> </w:t>
      </w:r>
      <w:r/>
    </w:p>
    <w:p>
      <w:pPr>
        <w:pStyle w:val="884"/>
        <w:rPr>
          <w:rFonts w:cs="宋体"/>
          <w:color w:val="auto"/>
          <w:sz w:val="31"/>
          <w:szCs w:val="31"/>
          <w:highlight w:val="none"/>
        </w:rPr>
      </w:pPr>
      <w:r>
        <w:rPr>
          <w:rFonts w:hint="eastAsia" w:cs="宋体"/>
          <w:color w:val="auto"/>
          <w:sz w:val="31"/>
          <w:szCs w:val="31"/>
          <w:highlight w:val="none"/>
        </w:rPr>
        <w:t xml:space="preserve"> </w:t>
      </w:r>
      <w:r/>
    </w:p>
    <w:p>
      <w:pPr>
        <w:pStyle w:val="884"/>
        <w:ind w:left="2400"/>
        <w:spacing w:line="480" w:lineRule="auto"/>
        <w:rPr>
          <w:rFonts w:cs="宋体"/>
          <w:color w:val="auto"/>
          <w:sz w:val="36"/>
          <w:szCs w:val="36"/>
          <w:highlight w:val="none"/>
        </w:rPr>
      </w:pPr>
      <w:r>
        <w:rPr>
          <w:rFonts w:hint="eastAsia" w:cs="宋体"/>
          <w:color w:val="auto"/>
          <w:sz w:val="36"/>
          <w:szCs w:val="36"/>
          <w:highlight w:val="none"/>
        </w:rPr>
        <w:t xml:space="preserve">项目名称：</w:t>
      </w:r>
      <w:r>
        <w:rPr>
          <w:rFonts w:hint="eastAsia" w:cs="宋体"/>
          <w:color w:val="auto"/>
          <w:sz w:val="36"/>
          <w:szCs w:val="36"/>
          <w:highlight w:val="none"/>
          <w:u w:val="single"/>
        </w:rPr>
        <w:t xml:space="preserve">            </w:t>
      </w:r>
      <w:r/>
    </w:p>
    <w:p>
      <w:pPr>
        <w:pStyle w:val="884"/>
        <w:ind w:left="2400"/>
        <w:spacing w:line="480" w:lineRule="auto"/>
        <w:rPr>
          <w:rFonts w:cs="宋体"/>
          <w:color w:val="auto"/>
          <w:sz w:val="36"/>
          <w:szCs w:val="36"/>
          <w:highlight w:val="none"/>
        </w:rPr>
      </w:pPr>
      <w:r>
        <w:rPr>
          <w:rFonts w:hint="eastAsia" w:cs="宋体"/>
          <w:color w:val="auto"/>
          <w:sz w:val="36"/>
          <w:szCs w:val="36"/>
          <w:highlight w:val="none"/>
        </w:rPr>
        <w:t xml:space="preserve">项目编号：</w:t>
      </w:r>
      <w:r>
        <w:rPr>
          <w:rFonts w:hint="eastAsia" w:cs="宋体"/>
          <w:color w:val="auto"/>
          <w:sz w:val="36"/>
          <w:szCs w:val="36"/>
          <w:highlight w:val="none"/>
          <w:u w:val="single"/>
        </w:rPr>
        <w:t xml:space="preserve">            </w:t>
      </w:r>
      <w:r/>
    </w:p>
    <w:p>
      <w:pPr>
        <w:pStyle w:val="884"/>
        <w:ind w:left="2400"/>
        <w:spacing w:line="480" w:lineRule="auto"/>
        <w:rPr>
          <w:rFonts w:cs="宋体"/>
          <w:color w:val="auto"/>
          <w:sz w:val="36"/>
          <w:szCs w:val="36"/>
          <w:highlight w:val="none"/>
        </w:rPr>
      </w:pPr>
      <w:r>
        <w:rPr>
          <w:rFonts w:hint="eastAsia" w:cs="宋体"/>
          <w:color w:val="auto"/>
          <w:sz w:val="36"/>
          <w:szCs w:val="36"/>
          <w:highlight w:val="none"/>
        </w:rPr>
        <w:t xml:space="preserve">标段名称：</w:t>
      </w:r>
      <w:r>
        <w:rPr>
          <w:rFonts w:hint="eastAsia" w:cs="宋体"/>
          <w:color w:val="auto"/>
          <w:sz w:val="36"/>
          <w:szCs w:val="36"/>
          <w:highlight w:val="none"/>
          <w:u w:val="single"/>
        </w:rPr>
        <w:t xml:space="preserve">            </w:t>
      </w:r>
      <w:r/>
    </w:p>
    <w:p>
      <w:pPr>
        <w:pStyle w:val="884"/>
        <w:ind w:left="2400"/>
        <w:spacing w:line="480" w:lineRule="auto"/>
        <w:rPr>
          <w:rFonts w:cs="宋体"/>
          <w:color w:val="auto"/>
          <w:sz w:val="36"/>
          <w:szCs w:val="36"/>
          <w:highlight w:val="none"/>
        </w:rPr>
      </w:pPr>
      <w:r>
        <w:rPr>
          <w:rFonts w:hint="eastAsia" w:cs="宋体"/>
          <w:color w:val="auto"/>
          <w:sz w:val="36"/>
          <w:szCs w:val="36"/>
          <w:highlight w:val="none"/>
        </w:rPr>
        <w:t xml:space="preserve">标段编号：</w:t>
      </w:r>
      <w:r>
        <w:rPr>
          <w:rFonts w:hint="eastAsia" w:cs="宋体"/>
          <w:color w:val="auto"/>
          <w:sz w:val="36"/>
          <w:szCs w:val="36"/>
          <w:highlight w:val="none"/>
          <w:u w:val="single"/>
        </w:rPr>
        <w:t xml:space="preserve">            </w:t>
      </w:r>
      <w:r/>
    </w:p>
    <w:p>
      <w:pPr>
        <w:pStyle w:val="884"/>
        <w:jc w:val="center"/>
        <w:rPr>
          <w:rFonts w:cs="宋体"/>
          <w:color w:val="auto"/>
          <w:sz w:val="36"/>
          <w:szCs w:val="36"/>
          <w:highlight w:val="none"/>
        </w:rPr>
      </w:pPr>
      <w:r>
        <w:rPr>
          <w:rFonts w:hint="eastAsia" w:cs="宋体"/>
          <w:color w:val="auto"/>
          <w:sz w:val="36"/>
          <w:szCs w:val="36"/>
          <w:highlight w:val="none"/>
        </w:rPr>
        <w:t xml:space="preserve"> </w:t>
      </w:r>
      <w:r/>
    </w:p>
    <w:p>
      <w:pPr>
        <w:pStyle w:val="884"/>
        <w:jc w:val="center"/>
        <w:rPr>
          <w:rFonts w:cs="宋体"/>
          <w:color w:val="auto"/>
          <w:sz w:val="36"/>
          <w:szCs w:val="36"/>
          <w:highlight w:val="none"/>
        </w:rPr>
      </w:pPr>
      <w:r>
        <w:rPr>
          <w:rFonts w:cs="宋体"/>
          <w:color w:val="auto"/>
          <w:sz w:val="36"/>
          <w:szCs w:val="36"/>
          <w:highlight w:val="none"/>
        </w:rPr>
      </w:r>
      <w:r/>
    </w:p>
    <w:p>
      <w:pPr>
        <w:pStyle w:val="884"/>
        <w:jc w:val="center"/>
        <w:rPr>
          <w:rFonts w:cs="宋体"/>
          <w:color w:val="auto"/>
          <w:sz w:val="36"/>
          <w:szCs w:val="36"/>
          <w:highlight w:val="none"/>
        </w:rPr>
      </w:pPr>
      <w:r>
        <w:rPr>
          <w:rFonts w:hint="eastAsia" w:cs="宋体"/>
          <w:color w:val="auto"/>
          <w:sz w:val="36"/>
          <w:szCs w:val="36"/>
          <w:highlight w:val="none"/>
        </w:rPr>
        <w:t xml:space="preserve">供应商名称：</w:t>
      </w:r>
      <w:r>
        <w:rPr>
          <w:rFonts w:hint="eastAsia" w:cs="宋体"/>
          <w:color w:val="auto"/>
          <w:sz w:val="36"/>
          <w:szCs w:val="36"/>
          <w:highlight w:val="none"/>
          <w:u w:val="single"/>
        </w:rPr>
        <w:t xml:space="preserve">            </w:t>
      </w:r>
      <w:r>
        <w:rPr>
          <w:rFonts w:hint="eastAsia" w:cs="宋体"/>
          <w:color w:val="auto"/>
          <w:sz w:val="36"/>
          <w:szCs w:val="36"/>
          <w:highlight w:val="none"/>
        </w:rPr>
        <w:t xml:space="preserve">（盖章）</w:t>
      </w:r>
      <w:r/>
    </w:p>
    <w:p>
      <w:pPr>
        <w:pStyle w:val="884"/>
        <w:jc w:val="center"/>
        <w:rPr>
          <w:rFonts w:cs="宋体"/>
          <w:color w:val="auto"/>
          <w:sz w:val="36"/>
          <w:szCs w:val="36"/>
          <w:highlight w:val="none"/>
        </w:rPr>
      </w:pPr>
      <w:r>
        <w:rPr>
          <w:rFonts w:hint="eastAsia" w:cs="宋体"/>
          <w:color w:val="auto"/>
          <w:sz w:val="36"/>
          <w:szCs w:val="36"/>
          <w:highlight w:val="none"/>
        </w:rPr>
        <w:t xml:space="preserve">日期：</w:t>
      </w:r>
      <w:r/>
    </w:p>
    <w:p>
      <w:pPr>
        <w:pStyle w:val="1076"/>
        <w:ind w:firstLine="422"/>
        <w:rPr>
          <w:rFonts w:ascii="宋体" w:hAnsi="宋体" w:cs="宋体"/>
          <w:b/>
          <w:bCs/>
          <w:color w:val="auto"/>
          <w:szCs w:val="21"/>
          <w:highlight w:val="none"/>
        </w:rPr>
        <w:sectPr>
          <w:footerReference w:type="default" r:id="rId12"/>
          <w:footnotePr/>
          <w:endnotePr/>
          <w:type w:val="nextPage"/>
          <w:pgSz w:w="11906" w:h="16838" w:orient="portrait"/>
          <w:pgMar w:top="1440" w:right="1797" w:bottom="1440" w:left="1797" w:header="851" w:footer="992" w:gutter="0"/>
          <w:pgBorders w:display="allPages" w:offsetFrom="text" w:zOrder="front">
            <w:top w:color="auto" w:space="1" w:sz="4" w:val="single"/>
          </w:pgBorders>
          <w:cols w:num="1" w:sep="0" w:space="720" w:equalWidth="1"/>
          <w:docGrid w:linePitch="360"/>
        </w:sectPr>
      </w:pPr>
      <w:r>
        <w:rPr>
          <w:rFonts w:ascii="宋体" w:hAnsi="宋体" w:cs="宋体"/>
          <w:b/>
          <w:bCs/>
          <w:color w:val="auto"/>
          <w:szCs w:val="21"/>
          <w:highlight w:val="none"/>
        </w:rPr>
      </w:r>
      <w:r/>
    </w:p>
    <w:p>
      <w:pPr>
        <w:pStyle w:val="1076"/>
        <w:ind w:firstLine="0"/>
        <w:rPr>
          <w:rFonts w:ascii="宋体" w:hAnsi="宋体" w:cs="宋体"/>
          <w:b/>
          <w:bCs/>
          <w:color w:val="auto"/>
          <w:szCs w:val="21"/>
          <w:highlight w:val="none"/>
        </w:rPr>
      </w:pPr>
      <w:r>
        <w:rPr>
          <w:rFonts w:hint="eastAsia" w:ascii="宋体" w:hAnsi="宋体" w:cs="宋体"/>
          <w:b/>
          <w:bCs/>
          <w:color w:val="auto"/>
          <w:szCs w:val="21"/>
          <w:highlight w:val="none"/>
        </w:rPr>
        <w:t xml:space="preserve">格式2：投标函</w:t>
      </w:r>
      <w:r/>
    </w:p>
    <w:p>
      <w:pPr>
        <w:pStyle w:val="884"/>
        <w:ind w:firstLine="567"/>
        <w:jc w:val="center"/>
        <w:spacing w:line="500" w:lineRule="atLeast"/>
        <w:rPr>
          <w:rFonts w:cs="宋体"/>
          <w:b/>
          <w:bCs/>
          <w:color w:val="auto"/>
          <w:sz w:val="40"/>
          <w:szCs w:val="40"/>
          <w:highlight w:val="none"/>
        </w:rPr>
      </w:pPr>
      <w:r>
        <w:rPr>
          <w:rFonts w:hint="eastAsia" w:cs="宋体"/>
          <w:b/>
          <w:bCs/>
          <w:color w:val="auto"/>
          <w:sz w:val="28"/>
          <w:szCs w:val="28"/>
          <w:highlight w:val="none"/>
        </w:rPr>
        <w:t xml:space="preserve">投 标 函</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我们收到贵公司</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采购项目编号）号招标文件，经仔细阅读和研究，我们决定参加投标。并向贵公司承诺：</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我方愿意按照招标文件的一切要求，提供完成该项目的全部内容，我方的投标报价包括提供以上所有内容，价格及明细见报价表。包括所发生的全部费用以及企业利润、税金和政策性文件规定及合同包含的所有风险、责任等各项应有费用。</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2、如果我方的投标被接受，我方将严格履行招标文件中规定的每一项要求，严格履行合同的责任和义务，保证按期、按质履行合同，完成合同内容所规定的全部工作。</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3、我方本项目投标文件的有效期限自提交投标文件截止之日起90天。如果我方在开标后规定的投标有效期内撤回投标，我方愿意承担一切责任。</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4、我方愿意提供采购人在招标文件中要求的所有资料。也同意向贵方提供贵方可能另外要求的与其投标有关的任何证据或资料。并保证所提供的资料全部是真实的、有效的，若有虚假，我方愿承担一切责任。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5、我方已审阅全部招标文件，包括招标文件的澄清和更正文件（如有）及有关附件，我们已完全理解招标文件并对招标文件不存在任何异议。</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6、我方愿意遵守招标公告及招标文件中所列的收费标准。</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7、我方承诺该项投标在开标后的全过程中保持有效，不做任何更改和变动。</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所有有关标书的函电，请按下列地址联系：</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单    位：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联 系 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邮政编码：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传　　真：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20"/>
        <w:spacing w:line="420" w:lineRule="exact"/>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投标人（供应商）：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法定代表人或授权代理人：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（签字）</w:t>
      </w:r>
      <w:r/>
    </w:p>
    <w:p>
      <w:pPr>
        <w:ind w:firstLine="420"/>
        <w:spacing w:line="420" w:lineRule="exact"/>
        <w:rPr>
          <w:rFonts w:ascii="宋体" w:hAnsi="宋体" w:cs="宋体"/>
          <w:color w:val="auto"/>
          <w:szCs w:val="21"/>
          <w:highlight w:val="none"/>
        </w:rPr>
      </w:pPr>
      <w:r>
        <w:rPr>
          <w:rFonts w:hint="eastAsia" w:ascii="宋体" w:hAnsi="宋体" w:cs="宋体"/>
          <w:color w:val="auto"/>
          <w:sz w:val="21"/>
          <w:szCs w:val="21"/>
          <w:highlight w:val="none"/>
        </w:rPr>
        <w:t xml:space="preserve">日　　期：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rPr>
          <w:rFonts w:hint="eastAsia" w:ascii="宋体" w:hAnsi="宋体" w:cs="宋体"/>
          <w:color w:val="auto"/>
          <w:szCs w:val="21"/>
          <w:highlight w:val="none"/>
        </w:rPr>
        <w:t xml:space="preserve">                </w:t>
      </w:r>
      <w:r/>
    </w:p>
    <w:p>
      <w:pPr>
        <w:pStyle w:val="107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7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7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76"/>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格式3：法人授权委托书</w:t>
      </w:r>
      <w:r/>
    </w:p>
    <w:p>
      <w:pPr>
        <w:pStyle w:val="107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84"/>
        <w:ind w:firstLine="567"/>
        <w:jc w:val="center"/>
        <w:spacing w:line="500" w:lineRule="atLeast"/>
        <w:rPr>
          <w:rFonts w:cs="宋体"/>
          <w:b/>
          <w:bCs/>
          <w:color w:val="auto"/>
          <w:sz w:val="21"/>
          <w:szCs w:val="21"/>
          <w:highlight w:val="none"/>
        </w:rPr>
      </w:pPr>
      <w:r>
        <w:rPr>
          <w:rFonts w:hint="eastAsia" w:cs="宋体"/>
          <w:b/>
          <w:bCs/>
          <w:color w:val="auto"/>
          <w:sz w:val="28"/>
          <w:szCs w:val="28"/>
          <w:highlight w:val="none"/>
        </w:rPr>
        <w:t xml:space="preserve">法定代表人授权委托书</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本授权委托书声明：我</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（姓名）系</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（投标人名称）的法定代表人，现授权委托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（姓名+手机号码）为我公司代理人，以本公司的名义参加</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（采购人名称）组织实施的编号为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号的招标（采购）活动。代理人在投标、开标、评标、合同订立和履行过程中所签署的一切文件和处理与这有关的一切事务，我均予以承认。</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代理人无转委托权。特此委托。</w:t>
      </w:r>
      <w:r/>
    </w:p>
    <w:p>
      <w:pPr>
        <w:pStyle w:val="884"/>
        <w:ind w:firstLine="482"/>
        <w:spacing w:line="400" w:lineRule="exact"/>
        <w:rPr>
          <w:rFonts w:cs="宋体"/>
          <w:color w:val="auto"/>
          <w:sz w:val="21"/>
          <w:szCs w:val="21"/>
          <w:highlight w:val="none"/>
          <w:u w:val="single"/>
        </w:rPr>
      </w:pPr>
      <w:r>
        <w:rPr>
          <w:rFonts w:hint="eastAsia" w:cs="宋体"/>
          <w:color w:val="auto"/>
          <w:sz w:val="21"/>
          <w:szCs w:val="21"/>
          <w:highlight w:val="none"/>
        </w:rPr>
        <w:t xml:space="preserve">投 标 人（盖章）：</w:t>
      </w:r>
      <w:r>
        <w:rPr>
          <w:rFonts w:hint="eastAsia" w:cs="宋体"/>
          <w:color w:val="auto"/>
          <w:sz w:val="21"/>
          <w:szCs w:val="21"/>
          <w:highlight w:val="none"/>
          <w:u w:val="single"/>
        </w:rPr>
        <w:t xml:space="preserve">               </w:t>
      </w:r>
      <w:r/>
    </w:p>
    <w:p>
      <w:pPr>
        <w:pStyle w:val="884"/>
        <w:ind w:firstLine="482"/>
        <w:spacing w:line="400" w:lineRule="exact"/>
        <w:rPr>
          <w:rFonts w:cs="宋体"/>
          <w:color w:val="auto"/>
          <w:sz w:val="21"/>
          <w:szCs w:val="21"/>
          <w:highlight w:val="none"/>
          <w:u w:val="single"/>
        </w:rPr>
      </w:pPr>
      <w:r>
        <w:rPr>
          <w:rFonts w:hint="eastAsia" w:cs="宋体"/>
          <w:color w:val="auto"/>
          <w:sz w:val="21"/>
          <w:szCs w:val="21"/>
          <w:highlight w:val="none"/>
        </w:rPr>
        <w:t xml:space="preserve">法定代表人（签字或盖章）：</w:t>
      </w:r>
      <w:r>
        <w:rPr>
          <w:rFonts w:hint="eastAsia" w:cs="宋体"/>
          <w:color w:val="auto"/>
          <w:sz w:val="21"/>
          <w:szCs w:val="21"/>
          <w:highlight w:val="none"/>
          <w:u w:val="single"/>
        </w:rPr>
        <w:t xml:space="preserve">             </w:t>
      </w:r>
      <w:r/>
    </w:p>
    <w:p>
      <w:pPr>
        <w:pStyle w:val="884"/>
        <w:ind w:firstLine="482"/>
        <w:spacing w:line="400" w:lineRule="exact"/>
        <w:rPr>
          <w:rFonts w:cs="宋体"/>
          <w:color w:val="auto"/>
          <w:sz w:val="21"/>
          <w:szCs w:val="21"/>
          <w:highlight w:val="none"/>
          <w:u w:val="single"/>
        </w:rPr>
      </w:pPr>
      <w:r>
        <w:rPr>
          <w:rFonts w:hint="eastAsia" w:cs="宋体"/>
          <w:color w:val="auto"/>
          <w:sz w:val="21"/>
          <w:szCs w:val="21"/>
          <w:highlight w:val="none"/>
        </w:rPr>
        <w:t xml:space="preserve">代理人（签字）：</w:t>
      </w:r>
      <w:r>
        <w:rPr>
          <w:rFonts w:hint="eastAsia" w:cs="宋体"/>
          <w:color w:val="auto"/>
          <w:sz w:val="21"/>
          <w:szCs w:val="21"/>
          <w:highlight w:val="none"/>
          <w:u w:val="single"/>
        </w:rPr>
        <w:t xml:space="preserve">                 </w:t>
      </w:r>
      <w:r/>
    </w:p>
    <w:p>
      <w:pPr>
        <w:pStyle w:val="884"/>
        <w:ind w:firstLine="482"/>
        <w:spacing w:line="400" w:lineRule="exact"/>
        <w:rPr>
          <w:rFonts w:cs="宋体"/>
          <w:color w:val="auto"/>
          <w:sz w:val="21"/>
          <w:szCs w:val="21"/>
          <w:highlight w:val="none"/>
          <w:u w:val="single"/>
        </w:rPr>
      </w:pPr>
      <w:r>
        <w:rPr>
          <w:rFonts w:hint="eastAsia" w:cs="宋体"/>
          <w:color w:val="auto"/>
          <w:sz w:val="21"/>
          <w:szCs w:val="21"/>
          <w:highlight w:val="none"/>
        </w:rPr>
        <w:t xml:space="preserve">日 期： </w:t>
      </w:r>
      <w:r>
        <w:rPr>
          <w:rFonts w:hint="eastAsia" w:cs="宋体"/>
          <w:color w:val="auto"/>
          <w:sz w:val="21"/>
          <w:szCs w:val="21"/>
          <w:highlight w:val="none"/>
          <w:u w:val="single"/>
        </w:rPr>
        <w:t xml:space="preserve">                  </w:t>
      </w:r>
      <w:r/>
    </w:p>
    <w:p>
      <w:pPr>
        <w:pStyle w:val="107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7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7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7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7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76"/>
        <w:ind w:firstLine="0"/>
        <w:rPr>
          <w:rFonts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格式4：开标一览表</w:t>
      </w:r>
      <w:r/>
    </w:p>
    <w:p>
      <w:pPr>
        <w:jc w:val="center"/>
        <w:spacing w:before="100" w:beforeAutospacing="1" w:after="100" w:afterAutospacing="1" w:line="500" w:lineRule="atLeast"/>
        <w:rPr>
          <w:rFonts w:ascii="宋体" w:hAnsi="宋体" w:cs="宋体"/>
          <w:color w:val="auto"/>
          <w:szCs w:val="21"/>
          <w:highlight w:val="none"/>
        </w:rPr>
      </w:pPr>
      <w:r>
        <w:rPr>
          <w:rFonts w:hint="eastAsia" w:ascii="宋体" w:hAnsi="宋体" w:cs="宋体"/>
          <w:b/>
          <w:bCs/>
          <w:color w:val="auto"/>
          <w:sz w:val="28"/>
          <w:szCs w:val="28"/>
          <w:highlight w:val="none"/>
        </w:rPr>
        <w:t xml:space="preserve">开  标 一 览  表</w:t>
      </w:r>
      <w:r/>
    </w:p>
    <w:p>
      <w:pPr>
        <w:spacing w:before="100" w:beforeAutospacing="1" w:after="100" w:afterAutospacing="1"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u w:val="single"/>
        </w:rPr>
        <w:t xml:space="preserve">                   </w:t>
      </w:r>
      <w:r/>
    </w:p>
    <w:p>
      <w:pPr>
        <w:spacing w:before="100" w:beforeAutospacing="1" w:after="100" w:afterAutospacing="1"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u w:val="single"/>
        </w:rPr>
        <w:t xml:space="preserve">                   </w:t>
      </w:r>
      <w:r/>
    </w:p>
    <w:p>
      <w:pPr>
        <w:spacing w:before="100" w:beforeAutospacing="1" w:after="100" w:afterAutospacing="1"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标段名称：</w:t>
      </w:r>
      <w:r>
        <w:rPr>
          <w:rFonts w:hint="eastAsia" w:ascii="宋体" w:hAnsi="宋体" w:cs="宋体"/>
          <w:color w:val="auto"/>
          <w:sz w:val="21"/>
          <w:szCs w:val="21"/>
          <w:highlight w:val="none"/>
          <w:u w:val="single"/>
        </w:rPr>
        <w:t xml:space="preserve">                   </w:t>
      </w:r>
      <w:r/>
    </w:p>
    <w:tbl>
      <w:tblPr>
        <w:tblStyle w:val="841"/>
        <w:tblW w:w="852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7"/>
        <w:gridCol w:w="3283"/>
        <w:gridCol w:w="2017"/>
        <w:gridCol w:w="1978"/>
      </w:tblGrid>
      <w:tr>
        <w:trPr>
          <w:jc w:val="center"/>
          <w:trHeight w:val="841"/>
        </w:trPr>
        <w:tc>
          <w:tcPr>
            <w:tcBorders>
              <w:top w:val="single" w:color="auto" w:sz="4" w:space="0"/>
              <w:bottom w:val="single" w:color="auto" w:sz="4" w:space="0"/>
              <w:right w:val="single" w:color="auto" w:sz="4" w:space="0"/>
            </w:tcBorders>
            <w:tcW w:w="124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283"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投标总价（元）</w:t>
            </w:r>
            <w:r/>
          </w:p>
        </w:tc>
        <w:tc>
          <w:tcPr>
            <w:tcBorders>
              <w:top w:val="single" w:color="auto" w:sz="4" w:space="0"/>
              <w:left w:val="single" w:color="auto" w:sz="4" w:space="0"/>
              <w:bottom w:val="single" w:color="auto" w:sz="4" w:space="0"/>
            </w:tcBorders>
            <w:tcW w:w="1978"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24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28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17" w:type="dxa"/>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1978"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r>
      <w:tr>
        <w:trPr>
          <w:jc w:val="center"/>
          <w:trHeight w:val="651"/>
        </w:trPr>
        <w:tc>
          <w:tcPr>
            <w:gridSpan w:val="4"/>
            <w:tcBorders>
              <w:top w:val="single" w:color="auto" w:sz="4" w:space="0"/>
              <w:bottom w:val="single" w:color="auto" w:sz="4" w:space="0"/>
            </w:tcBorders>
            <w:tcW w:w="8525" w:type="dxa"/>
            <w:vAlign w:val="center"/>
            <w:textDirection w:val="lrTb"/>
            <w:noWrap w:val="false"/>
          </w:tcPr>
          <w:p>
            <w:pPr>
              <w:spacing w:line="360" w:lineRule="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合计（人民币大写）：     小写：</w:t>
            </w:r>
            <w:r/>
          </w:p>
        </w:tc>
      </w:tr>
    </w:tbl>
    <w:p>
      <w:pPr>
        <w:pStyle w:val="107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76"/>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76"/>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76"/>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76"/>
        <w:ind w:firstLine="422"/>
        <w:rPr>
          <w:rFonts w:ascii="宋体" w:hAnsi="宋体" w:cs="宋体"/>
          <w:b/>
          <w:bCs/>
          <w:color w:val="auto"/>
          <w:szCs w:val="21"/>
          <w:highlight w:val="none"/>
        </w:rPr>
      </w:pPr>
      <w:r>
        <w:rPr>
          <w:rFonts w:ascii="宋体" w:hAnsi="宋体" w:cs="宋体"/>
          <w:b/>
          <w:bCs/>
          <w:color w:val="auto"/>
          <w:szCs w:val="21"/>
          <w:highlight w:val="none"/>
        </w:rPr>
      </w:r>
      <w:r/>
    </w:p>
    <w:p>
      <w:pPr>
        <w:ind w:firstLine="422"/>
        <w:rPr>
          <w:rFonts w:ascii="宋体" w:hAnsi="宋体" w:cs="宋体"/>
          <w:b/>
          <w:color w:val="auto"/>
          <w:sz w:val="21"/>
          <w:szCs w:val="21"/>
          <w:highlight w:val="none"/>
          <w:lang w:val="zh-CN" w:bidi="en-US"/>
        </w:rPr>
        <w:sectPr>
          <w:footnotePr/>
          <w:endnotePr/>
          <w:type w:val="nextPage"/>
          <w:pgSz w:w="11906" w:h="16838" w:orient="portrait"/>
          <w:pgMar w:top="1440" w:right="1797" w:bottom="1440" w:left="1797" w:header="851" w:footer="992" w:gutter="0"/>
          <w:pgBorders w:display="allPages" w:offsetFrom="text" w:zOrder="front">
            <w:top w:color="auto" w:space="1" w:sz="4" w:val="single"/>
          </w:pgBorders>
          <w:cols w:num="1" w:sep="0" w:space="720" w:equalWidth="1"/>
          <w:docGrid w:linePitch="360"/>
        </w:sectPr>
      </w:pPr>
      <w:r>
        <w:rPr>
          <w:rFonts w:hint="eastAsia" w:ascii="宋体" w:hAnsi="宋体" w:cs="宋体"/>
          <w:b/>
          <w:color w:val="auto"/>
          <w:sz w:val="21"/>
          <w:szCs w:val="21"/>
          <w:highlight w:val="none"/>
          <w:lang w:val="zh-CN" w:bidi="en-US"/>
        </w:rPr>
        <w:t xml:space="preserve">注：本项目</w:t>
      </w:r>
      <w:r>
        <w:rPr>
          <w:rFonts w:hint="eastAsia" w:ascii="宋体" w:hAnsi="宋体" w:cs="宋体"/>
          <w:b/>
          <w:color w:val="auto"/>
          <w:sz w:val="21"/>
          <w:szCs w:val="21"/>
          <w:highlight w:val="none"/>
          <w:lang w:bidi="en-US"/>
        </w:rPr>
        <w:t xml:space="preserve">系统中</w:t>
      </w:r>
      <w:r>
        <w:rPr>
          <w:rFonts w:hint="eastAsia" w:ascii="宋体" w:hAnsi="宋体" w:cs="宋体"/>
          <w:b/>
          <w:color w:val="auto"/>
          <w:sz w:val="21"/>
          <w:szCs w:val="21"/>
          <w:highlight w:val="none"/>
          <w:lang w:val="zh-CN" w:bidi="en-US"/>
        </w:rPr>
        <w:t xml:space="preserve">开标一览表中只填写投标</w:t>
      </w:r>
      <w:r>
        <w:rPr>
          <w:rFonts w:hint="eastAsia" w:ascii="宋体" w:hAnsi="宋体" w:cs="宋体"/>
          <w:b/>
          <w:color w:val="auto"/>
          <w:sz w:val="21"/>
          <w:szCs w:val="21"/>
          <w:highlight w:val="none"/>
          <w:lang w:bidi="en-US"/>
        </w:rPr>
        <w:t xml:space="preserve">总价</w:t>
      </w:r>
      <w:r>
        <w:rPr>
          <w:rFonts w:hint="eastAsia" w:ascii="宋体" w:hAnsi="宋体" w:cs="宋体"/>
          <w:b/>
          <w:color w:val="auto"/>
          <w:sz w:val="21"/>
          <w:szCs w:val="21"/>
          <w:highlight w:val="none"/>
          <w:lang w:val="zh-CN" w:bidi="en-US"/>
        </w:rPr>
        <w:t xml:space="preserve">。</w:t>
      </w:r>
      <w:r/>
    </w:p>
    <w:p>
      <w:pPr>
        <w:pStyle w:val="1076"/>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格式5：分项报价表</w:t>
      </w:r>
      <w:r/>
    </w:p>
    <w:p>
      <w:pPr>
        <w:spacing w:before="100" w:beforeAutospacing="1" w:after="100" w:afterAutospacing="1"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u w:val="single"/>
        </w:rPr>
        <w:t xml:space="preserve">                   </w:t>
      </w:r>
      <w:r/>
    </w:p>
    <w:p>
      <w:pPr>
        <w:spacing w:before="100" w:beforeAutospacing="1" w:after="100" w:afterAutospacing="1"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u w:val="single"/>
        </w:rPr>
        <w:t xml:space="preserve">                   </w:t>
      </w:r>
      <w:r/>
    </w:p>
    <w:p>
      <w:pPr>
        <w:spacing w:before="100" w:beforeAutospacing="1" w:after="100" w:afterAutospacing="1"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标段名称：</w:t>
      </w:r>
      <w:r>
        <w:rPr>
          <w:rFonts w:hint="eastAsia" w:ascii="宋体" w:hAnsi="宋体" w:cs="宋体"/>
          <w:color w:val="auto"/>
          <w:sz w:val="21"/>
          <w:szCs w:val="21"/>
          <w:highlight w:val="none"/>
          <w:u w:val="single"/>
        </w:rPr>
        <w:t xml:space="preserve">                   </w:t>
      </w:r>
      <w:r/>
    </w:p>
    <w:p>
      <w:pPr>
        <w:jc w:val="center"/>
        <w:spacing w:before="100" w:beforeAutospacing="1" w:after="100" w:afterAutospacing="1" w:line="360" w:lineRule="auto"/>
        <w:rPr>
          <w:rFonts w:ascii="宋体" w:hAnsi="宋体" w:cs="宋体"/>
          <w:color w:val="auto"/>
          <w:sz w:val="21"/>
          <w:szCs w:val="21"/>
          <w:highlight w:val="none"/>
        </w:rPr>
      </w:pPr>
      <w:r>
        <w:rPr>
          <w:rFonts w:hint="eastAsia" w:ascii="宋体" w:hAnsi="宋体" w:cs="宋体"/>
          <w:b/>
          <w:bCs/>
          <w:color w:val="auto"/>
          <w:szCs w:val="21"/>
          <w:highlight w:val="none"/>
        </w:rPr>
        <w:t xml:space="preserve">分项报价表</w:t>
      </w:r>
      <w:r/>
    </w:p>
    <w:tbl>
      <w:tblPr>
        <w:tblStyle w:val="841"/>
        <w:tblW w:w="852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26"/>
        <w:gridCol w:w="1794"/>
        <w:gridCol w:w="1257"/>
        <w:gridCol w:w="933"/>
        <w:gridCol w:w="983"/>
        <w:gridCol w:w="1017"/>
        <w:gridCol w:w="1137"/>
        <w:gridCol w:w="777"/>
      </w:tblGrid>
      <w:tr>
        <w:trPr>
          <w:jc w:val="center"/>
          <w:trHeight w:val="423"/>
        </w:trPr>
        <w:tc>
          <w:tcPr>
            <w:tcBorders>
              <w:top w:val="single" w:color="auto" w:sz="4" w:space="0"/>
              <w:bottom w:val="single" w:color="auto" w:sz="4" w:space="0"/>
              <w:right w:val="single" w:color="auto" w:sz="4" w:space="0"/>
            </w:tcBorders>
            <w:tcW w:w="626"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产品名称</w:t>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规格型号（如有）</w:t>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jc w:val="center"/>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总价（元）</w:t>
            </w:r>
            <w:r/>
          </w:p>
        </w:tc>
        <w:tc>
          <w:tcPr>
            <w:tcBorders>
              <w:top w:val="single" w:color="auto" w:sz="4" w:space="0"/>
              <w:left w:val="single" w:color="auto" w:sz="4" w:space="0"/>
              <w:bottom w:val="single" w:color="auto" w:sz="4" w:space="0"/>
            </w:tcBorders>
            <w:tcW w:w="77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备注</w:t>
            </w:r>
            <w:r/>
          </w:p>
        </w:tc>
      </w:tr>
      <w:tr>
        <w:trPr>
          <w:jc w:val="center"/>
          <w:trHeight w:val="423"/>
        </w:trPr>
        <w:tc>
          <w:tcPr>
            <w:tcBorders>
              <w:top w:val="single" w:color="auto" w:sz="4" w:space="0"/>
              <w:bottom w:val="single" w:color="auto" w:sz="4" w:space="0"/>
              <w:right w:val="single" w:color="auto" w:sz="4" w:space="0"/>
            </w:tcBorders>
            <w:tcW w:w="62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77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62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77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62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77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62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77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626"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77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626"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77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626"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777" w:type="dxa"/>
            <w:vAlign w:val="center"/>
            <w:textDirection w:val="lrTb"/>
            <w:noWrap w:val="false"/>
          </w:tcPr>
          <w:p>
            <w:pPr>
              <w:jc w:val="center"/>
              <w:spacing w:line="36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r>
      <w:tr>
        <w:trPr>
          <w:jc w:val="center"/>
          <w:trHeight w:val="423"/>
        </w:trPr>
        <w:tc>
          <w:tcPr>
            <w:gridSpan w:val="8"/>
            <w:tcBorders>
              <w:top w:val="single" w:color="auto" w:sz="4" w:space="0"/>
              <w:bottom w:val="single" w:color="auto" w:sz="4" w:space="0"/>
            </w:tcBorders>
            <w:tcW w:w="8524" w:type="dxa"/>
            <w:vAlign w:val="center"/>
            <w:textDirection w:val="lrTb"/>
            <w:noWrap w:val="false"/>
          </w:tcPr>
          <w:p>
            <w:pPr>
              <w:jc w:val="both"/>
              <w:spacing w:line="360" w:lineRule="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合计（人民币大写）：     小写：</w:t>
            </w:r>
            <w:r/>
          </w:p>
        </w:tc>
      </w:tr>
      <w:tr>
        <w:trPr>
          <w:jc w:val="center"/>
          <w:trHeight w:val="423"/>
        </w:trPr>
        <w:tc>
          <w:tcPr>
            <w:gridSpan w:val="8"/>
            <w:tcBorders>
              <w:top w:val="single" w:color="auto" w:sz="4" w:space="0"/>
              <w:bottom w:val="single" w:color="auto" w:sz="4" w:space="0"/>
            </w:tcBorders>
            <w:tcW w:w="8524" w:type="dxa"/>
            <w:vAlign w:val="center"/>
            <w:textDirection w:val="lrTb"/>
            <w:noWrap w:val="false"/>
          </w:tcPr>
          <w:p>
            <w:pPr>
              <w:spacing w:line="360" w:lineRule="auto"/>
              <w:rPr>
                <w:rFonts w:ascii="宋体" w:hAnsi="宋体" w:cs="宋体"/>
                <w:color w:val="auto"/>
                <w:spacing w:val="20"/>
                <w:sz w:val="21"/>
                <w:szCs w:val="21"/>
                <w:highlight w:val="none"/>
              </w:rPr>
            </w:pPr>
            <w:r>
              <w:rPr>
                <w:rFonts w:hint="eastAsia" w:hAnsi="宋体"/>
                <w:bCs/>
                <w:color w:val="auto"/>
                <w:sz w:val="21"/>
                <w:szCs w:val="21"/>
                <w:highlight w:val="none"/>
              </w:rPr>
              <w:t xml:space="preserve">本项目中提供的符合本国产品标准的产品成本之和占该采购包提供的全部产品成本之和的比例为   %。</w:t>
            </w:r>
            <w:r/>
          </w:p>
        </w:tc>
      </w:tr>
    </w:tbl>
    <w:p>
      <w:pPr>
        <w:ind w:firstLine="412"/>
        <w:spacing w:line="360" w:lineRule="auto"/>
        <w:rPr>
          <w:rFonts w:hAnsi="宋体"/>
          <w:bCs/>
          <w:color w:val="auto"/>
          <w:szCs w:val="21"/>
          <w:highlight w:val="none"/>
        </w:rPr>
      </w:pPr>
      <w:r>
        <w:rPr>
          <w:rFonts w:hAnsi="宋体"/>
          <w:bCs/>
          <w:color w:val="auto"/>
          <w:szCs w:val="21"/>
          <w:highlight w:val="none"/>
        </w:rPr>
      </w:r>
      <w:r/>
    </w:p>
    <w:p>
      <w:pPr>
        <w:ind w:firstLine="412"/>
        <w:spacing w:line="360" w:lineRule="auto"/>
        <w:rPr>
          <w:rFonts w:hAnsi="宋体"/>
          <w:bCs/>
          <w:color w:val="auto"/>
          <w:sz w:val="21"/>
          <w:szCs w:val="21"/>
          <w:highlight w:val="none"/>
        </w:rPr>
      </w:pPr>
      <w:r>
        <w:rPr>
          <w:rFonts w:hint="eastAsia" w:hAnsi="宋体"/>
          <w:bCs/>
          <w:color w:val="auto"/>
          <w:sz w:val="21"/>
          <w:szCs w:val="21"/>
          <w:highlight w:val="none"/>
        </w:rPr>
        <w:t xml:space="preserve">注：1、该表中“投标总报价”数额应当与“开标一览表”中“投标总报价”数额一致。</w:t>
      </w:r>
      <w:r/>
    </w:p>
    <w:p>
      <w:pPr>
        <w:ind w:firstLine="412"/>
        <w:spacing w:line="360" w:lineRule="auto"/>
        <w:rPr>
          <w:rFonts w:hAnsi="宋体"/>
          <w:bCs/>
          <w:color w:val="auto"/>
          <w:sz w:val="21"/>
          <w:szCs w:val="21"/>
          <w:highlight w:val="none"/>
        </w:rPr>
      </w:pPr>
      <w:r>
        <w:rPr>
          <w:rFonts w:hint="eastAsia" w:hAnsi="宋体"/>
          <w:bCs/>
          <w:color w:val="auto"/>
          <w:sz w:val="21"/>
          <w:szCs w:val="21"/>
          <w:highlight w:val="none"/>
        </w:rPr>
        <w:t xml:space="preserve">2、本项目含有多种产品时，投标人</w:t>
      </w:r>
      <w:r>
        <w:rPr>
          <w:rFonts w:hint="eastAsia" w:hAnsi="宋体"/>
          <w:b/>
          <w:color w:val="auto"/>
          <w:sz w:val="21"/>
          <w:szCs w:val="21"/>
          <w:highlight w:val="none"/>
        </w:rPr>
        <w:t xml:space="preserve">未填写所提供的符合本国产品标准的产品成本之和占该采购包提供的全部产品成本之和的比例数值的，或比例数值未达到80%的，将不享受本国产品价格评审优惠</w:t>
      </w:r>
      <w:r>
        <w:rPr>
          <w:rFonts w:hint="eastAsia" w:hAnsi="宋体"/>
          <w:bCs/>
          <w:color w:val="auto"/>
          <w:sz w:val="21"/>
          <w:szCs w:val="21"/>
          <w:highlight w:val="none"/>
        </w:rPr>
        <w:t xml:space="preserve">。</w:t>
      </w:r>
      <w:r/>
    </w:p>
    <w:p>
      <w:pPr>
        <w:pStyle w:val="1076"/>
        <w:spacing w:line="360" w:lineRule="auto"/>
        <w:rPr>
          <w:rFonts w:ascii="宋体" w:hAnsi="宋体" w:cs="宋体"/>
          <w:color w:val="auto"/>
          <w:szCs w:val="21"/>
          <w:highlight w:val="none"/>
          <w:lang w:bidi="en-US"/>
        </w:rPr>
      </w:pPr>
      <w:r>
        <w:rPr>
          <w:rFonts w:hint="eastAsia" w:hAnsi="宋体"/>
          <w:bCs/>
          <w:color w:val="auto"/>
          <w:szCs w:val="21"/>
          <w:highlight w:val="none"/>
        </w:rPr>
        <w:t xml:space="preserve">3、投标人需认真填写本报价表，尤其注意规格型号的准确填写。</w:t>
      </w:r>
      <w:r/>
    </w:p>
    <w:p>
      <w:pPr>
        <w:pStyle w:val="1076"/>
        <w:spacing w:line="360" w:lineRule="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1076"/>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76"/>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76"/>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76"/>
        <w:ind w:firstLine="422"/>
        <w:rPr>
          <w:rFonts w:ascii="宋体" w:hAnsi="宋体" w:cs="宋体"/>
          <w:b/>
          <w:bCs/>
          <w:color w:val="auto"/>
          <w:szCs w:val="21"/>
          <w:highlight w:val="none"/>
        </w:rPr>
        <w:sectPr>
          <w:footnotePr/>
          <w:endnotePr/>
          <w:type w:val="nextPage"/>
          <w:pgSz w:w="11906" w:h="16838" w:orient="portrait"/>
          <w:pgMar w:top="1440" w:right="1797" w:bottom="1440" w:left="1797" w:header="851" w:footer="992" w:gutter="0"/>
          <w:pgBorders w:display="allPages" w:offsetFrom="text" w:zOrder="front">
            <w:top w:color="auto" w:space="1" w:sz="4" w:val="single"/>
          </w:pgBorders>
          <w:cols w:num="1" w:sep="0" w:space="720" w:equalWidth="1"/>
          <w:docGrid w:linePitch="360"/>
        </w:sectPr>
      </w:pPr>
      <w:r>
        <w:rPr>
          <w:rFonts w:ascii="宋体" w:hAnsi="宋体" w:cs="宋体"/>
          <w:b/>
          <w:bCs/>
          <w:color w:val="auto"/>
          <w:szCs w:val="21"/>
          <w:highlight w:val="none"/>
        </w:rPr>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格式6：</w:t>
      </w:r>
      <w:r>
        <w:rPr>
          <w:rFonts w:hint="eastAsia" w:ascii="宋体" w:hAnsi="宋体" w:cs="宋体"/>
          <w:b/>
          <w:bCs/>
          <w:color w:val="auto"/>
          <w:sz w:val="21"/>
          <w:szCs w:val="21"/>
          <w:highlight w:val="none"/>
        </w:rPr>
        <w:t xml:space="preserve">偏离表</w:t>
      </w:r>
      <w:r/>
    </w:p>
    <w:p>
      <w:pPr>
        <w:ind w:firstLine="422"/>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技术或服务要求偏离表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编号：</w:t>
      </w:r>
      <w:r/>
    </w:p>
    <w:tbl>
      <w:tblPr>
        <w:tblStyle w:val="841"/>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422"/>
        <w:jc w:val="center"/>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商务条款偏离表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编号：          </w:t>
      </w:r>
      <w:r/>
    </w:p>
    <w:tbl>
      <w:tblPr>
        <w:tblStyle w:val="841"/>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bl>
    <w:p>
      <w:pPr>
        <w:pStyle w:val="1076"/>
        <w:spacing w:line="360" w:lineRule="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1076"/>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76"/>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76"/>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ind w:left="741" w:hanging="741"/>
        <w:spacing w:line="400" w:lineRule="exact"/>
        <w:tabs>
          <w:tab w:val="left" w:pos="1320" w:leader="none"/>
        </w:tabs>
        <w:rPr>
          <w:rFonts w:ascii="宋体" w:hAnsi="宋体" w:cs="宋体"/>
          <w:color w:val="auto"/>
          <w:sz w:val="21"/>
          <w:szCs w:val="21"/>
          <w:highlight w:val="none"/>
        </w:rPr>
      </w:pPr>
      <w:r>
        <w:rPr>
          <w:rFonts w:ascii="宋体" w:hAnsi="宋体" w:cs="宋体"/>
          <w:color w:val="auto"/>
          <w:sz w:val="21"/>
          <w:szCs w:val="21"/>
          <w:highlight w:val="none"/>
        </w:rPr>
      </w:r>
      <w:r/>
    </w:p>
    <w:p>
      <w:pPr>
        <w:ind w:left="741" w:hanging="741"/>
        <w:spacing w:line="400" w:lineRule="exact"/>
        <w:tabs>
          <w:tab w:val="left" w:pos="1320" w:leader="none"/>
        </w:tabs>
        <w:rPr>
          <w:rFonts w:ascii="宋体" w:hAnsi="宋体" w:cs="宋体"/>
          <w:color w:val="auto"/>
          <w:sz w:val="21"/>
          <w:szCs w:val="21"/>
          <w:highlight w:val="none"/>
        </w:rPr>
      </w:pPr>
      <w:r>
        <w:rPr>
          <w:rFonts w:ascii="宋体" w:hAnsi="宋体" w:cs="宋体"/>
          <w:color w:val="auto"/>
          <w:sz w:val="21"/>
          <w:szCs w:val="21"/>
          <w:highlight w:val="none"/>
        </w:rPr>
      </w:r>
      <w:bookmarkEnd w:id="9"/>
      <w:r/>
      <w:r/>
    </w:p>
    <w:p>
      <w:pPr>
        <w:ind w:left="741" w:hanging="741"/>
        <w:spacing w:line="400" w:lineRule="exact"/>
        <w:tabs>
          <w:tab w:val="left" w:pos="132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860"/>
        <w:spacing w:line="400" w:lineRule="exact"/>
        <w:rPr>
          <w:rFonts w:hAnsi="宋体" w:eastAsia="宋体" w:cs="宋体"/>
          <w:b/>
          <w:bCs/>
          <w:color w:val="auto"/>
          <w:sz w:val="21"/>
          <w:szCs w:val="21"/>
          <w:highlight w:val="none"/>
        </w:rPr>
      </w:pPr>
      <w:r>
        <w:rPr>
          <w:rFonts w:hint="eastAsia" w:hAnsi="宋体" w:eastAsia="宋体" w:cs="宋体"/>
          <w:b/>
          <w:color w:val="auto"/>
          <w:sz w:val="21"/>
          <w:szCs w:val="21"/>
          <w:highlight w:val="none"/>
        </w:rPr>
        <w:t xml:space="preserve">格式7：项目组主要</w:t>
      </w:r>
      <w:r>
        <w:rPr>
          <w:rFonts w:hint="eastAsia" w:hAnsi="宋体" w:eastAsia="宋体" w:cs="宋体"/>
          <w:b/>
          <w:bCs/>
          <w:color w:val="auto"/>
          <w:sz w:val="21"/>
          <w:szCs w:val="21"/>
          <w:highlight w:val="none"/>
        </w:rPr>
        <w:t xml:space="preserve">人员一览表</w:t>
      </w:r>
      <w:r/>
    </w:p>
    <w:p>
      <w:pPr>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14"/>
        <w:jc w:val="center"/>
        <w:spacing w:line="360" w:lineRule="auto"/>
        <w:rPr>
          <w:rFonts w:hAnsi="宋体" w:eastAsia="宋体" w:cs="宋体"/>
          <w:b/>
          <w:bCs/>
          <w:color w:val="auto"/>
          <w:sz w:val="30"/>
          <w:szCs w:val="30"/>
          <w:highlight w:val="none"/>
        </w:rPr>
      </w:pPr>
      <w:r>
        <w:rPr>
          <w:rFonts w:hAnsi="宋体" w:eastAsia="宋体" w:cs="宋体"/>
          <w:b/>
          <w:bCs/>
          <w:color w:val="auto"/>
          <w:sz w:val="30"/>
          <w:szCs w:val="30"/>
          <w:highlight w:val="none"/>
        </w:rPr>
      </w:r>
      <w:r/>
    </w:p>
    <w:p>
      <w:pPr>
        <w:pStyle w:val="914"/>
        <w:jc w:val="center"/>
        <w:spacing w:line="360" w:lineRule="auto"/>
        <w:rPr>
          <w:rFonts w:hAnsi="宋体" w:eastAsia="宋体" w:cs="宋体"/>
          <w:b/>
          <w:bCs/>
          <w:color w:val="auto"/>
          <w:sz w:val="30"/>
          <w:szCs w:val="30"/>
          <w:highlight w:val="none"/>
        </w:rPr>
      </w:pPr>
      <w:r>
        <w:rPr>
          <w:rFonts w:hint="eastAsia" w:hAnsi="宋体" w:eastAsia="宋体" w:cs="宋体"/>
          <w:b/>
          <w:bCs/>
          <w:color w:val="auto"/>
          <w:sz w:val="28"/>
          <w:szCs w:val="28"/>
          <w:highlight w:val="none"/>
        </w:rPr>
        <w:t xml:space="preserve">项目组人员一览表</w:t>
      </w:r>
      <w:r/>
    </w:p>
    <w:tbl>
      <w:tblPr>
        <w:tblStyle w:val="841"/>
        <w:tblpPr w:horzAnchor="margin" w:tblpXSpec="center" w:vertAnchor="text" w:tblpY="286" w:leftFromText="180" w:topFromText="0" w:rightFromText="180" w:bottomFromText="0"/>
        <w:tblW w:w="8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989"/>
        <w:gridCol w:w="1171"/>
        <w:gridCol w:w="867"/>
        <w:gridCol w:w="900"/>
        <w:gridCol w:w="2556"/>
      </w:tblGrid>
      <w:tr>
        <w:trPr>
          <w:trHeight w:val="555"/>
        </w:trPr>
        <w:tc>
          <w:tcPr>
            <w:tcW w:w="1123"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姓名</w:t>
            </w:r>
            <w:r/>
          </w:p>
        </w:tc>
        <w:tc>
          <w:tcPr>
            <w:tcW w:w="198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本项目拟任职务</w:t>
            </w:r>
            <w:r/>
          </w:p>
        </w:tc>
        <w:tc>
          <w:tcPr>
            <w:tcW w:w="1171"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技术职称</w:t>
            </w:r>
            <w:r/>
          </w:p>
        </w:tc>
        <w:tc>
          <w:tcPr>
            <w:tcW w:w="867"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年龄</w:t>
            </w:r>
            <w:r/>
          </w:p>
        </w:tc>
        <w:tc>
          <w:tcPr>
            <w:tcW w:w="900"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学历</w:t>
            </w:r>
            <w:r/>
          </w:p>
        </w:tc>
        <w:tc>
          <w:tcPr>
            <w:tcW w:w="2556"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主要资历及担任过的职务</w:t>
            </w:r>
            <w:r/>
          </w:p>
        </w:tc>
      </w:tr>
      <w:tr>
        <w:trPr>
          <w:trHeight w:val="555"/>
        </w:trPr>
        <w:tc>
          <w:tcPr>
            <w:tcW w:w="1123"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9"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71"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67"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00"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2556"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rHeight w:val="555"/>
        </w:trPr>
        <w:tc>
          <w:tcPr>
            <w:tcW w:w="1123"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9"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71"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67"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00"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2556"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rHeight w:val="555"/>
        </w:trPr>
        <w:tc>
          <w:tcPr>
            <w:tcW w:w="1123"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9"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71"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67"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00"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2556"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rHeight w:val="555"/>
        </w:trPr>
        <w:tc>
          <w:tcPr>
            <w:tcW w:w="1123"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9"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71"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67"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00"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2556"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rHeight w:val="555"/>
        </w:trPr>
        <w:tc>
          <w:tcPr>
            <w:tcW w:w="1123"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9"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71"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67"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00"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2556" w:type="dxa"/>
            <w:vAlign w:val="center"/>
            <w:textDirection w:val="lrTb"/>
            <w:noWrap w:val="false"/>
          </w:tcPr>
          <w:p>
            <w:pPr>
              <w:jc w:val="center"/>
              <w:spacing w:line="56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注：人员必须按本表承诺人员操作，不得随意更换。</w:t>
      </w:r>
      <w:r/>
    </w:p>
    <w:p>
      <w:pPr>
        <w:pStyle w:val="1076"/>
        <w:spacing w:line="360" w:lineRule="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1076"/>
        <w:spacing w:line="360" w:lineRule="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1076"/>
        <w:spacing w:line="360" w:lineRule="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1076"/>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76"/>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76"/>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860"/>
        <w:spacing w:line="400" w:lineRule="exact"/>
        <w:rPr>
          <w:rFonts w:hAnsi="宋体" w:eastAsia="宋体" w:cs="宋体"/>
          <w:b/>
          <w:bCs/>
          <w:color w:val="auto"/>
          <w:sz w:val="21"/>
          <w:szCs w:val="21"/>
          <w:highlight w:val="none"/>
        </w:rPr>
      </w:pPr>
      <w:r>
        <w:rPr>
          <w:rFonts w:hint="eastAsia" w:hAnsi="宋体" w:eastAsia="宋体" w:cs="宋体"/>
          <w:color w:val="auto"/>
          <w:szCs w:val="21"/>
          <w:highlight w:val="none"/>
        </w:rPr>
        <w:br w:type="page" w:clear="all"/>
      </w:r>
      <w:r>
        <w:rPr>
          <w:rFonts w:hint="eastAsia" w:hAnsi="宋体" w:eastAsia="宋体" w:cs="宋体"/>
          <w:b/>
          <w:color w:val="auto"/>
          <w:sz w:val="21"/>
          <w:szCs w:val="21"/>
          <w:highlight w:val="none"/>
        </w:rPr>
        <w:t xml:space="preserve">格式8：</w:t>
      </w:r>
      <w:r>
        <w:rPr>
          <w:rFonts w:hint="eastAsia" w:hAnsi="宋体" w:eastAsia="宋体" w:cs="宋体"/>
          <w:b/>
          <w:bCs/>
          <w:color w:val="auto"/>
          <w:sz w:val="21"/>
          <w:szCs w:val="21"/>
          <w:highlight w:val="none"/>
        </w:rPr>
        <w:t xml:space="preserve">资格证明文件</w:t>
      </w:r>
      <w:bookmarkEnd w:id="10"/>
      <w:r/>
      <w:r/>
    </w:p>
    <w:p>
      <w:pPr>
        <w:pStyle w:val="860"/>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60"/>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（1）关于资格文件的声明函</w:t>
      </w:r>
      <w:r/>
    </w:p>
    <w:p>
      <w:pPr>
        <w:pStyle w:val="846"/>
        <w:ind w:firstLine="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846"/>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关于资格文件的声明函</w:t>
      </w:r>
      <w:r/>
    </w:p>
    <w:p>
      <w:pPr>
        <w:pStyle w:val="846"/>
        <w:jc w:val="center"/>
        <w:rPr>
          <w:rFonts w:ascii="宋体" w:hAnsi="宋体" w:eastAsia="宋体" w:cs="宋体"/>
          <w:color w:val="auto"/>
          <w:highlight w:val="none"/>
        </w:rPr>
      </w:pPr>
      <w:r>
        <w:rPr>
          <w:rFonts w:ascii="宋体" w:hAnsi="宋体" w:eastAsia="宋体" w:cs="宋体"/>
          <w:color w:val="auto"/>
          <w:highlight w:val="none"/>
        </w:rPr>
      </w:r>
      <w:r/>
    </w:p>
    <w:p>
      <w:pPr>
        <w:pStyle w:val="846"/>
        <w:jc w:val="center"/>
        <w:rPr>
          <w:rFonts w:ascii="宋体" w:hAnsi="宋体" w:eastAsia="宋体" w:cs="宋体"/>
          <w:color w:val="auto"/>
          <w:highlight w:val="none"/>
        </w:rPr>
      </w:pPr>
      <w:r>
        <w:rPr>
          <w:rFonts w:ascii="宋体" w:hAnsi="宋体" w:eastAsia="宋体" w:cs="宋体"/>
          <w:color w:val="auto"/>
          <w:highlight w:val="none"/>
        </w:rPr>
      </w:r>
      <w:r/>
    </w:p>
    <w:p>
      <w:pPr>
        <w:pStyle w:val="914"/>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u w:val="single"/>
        </w:rPr>
        <w:t xml:space="preserve">苏州市卫康招投标咨询服务有限公司</w:t>
      </w:r>
      <w:r>
        <w:rPr>
          <w:rFonts w:hint="eastAsia" w:hAnsi="宋体" w:eastAsia="宋体" w:cs="宋体"/>
          <w:b/>
          <w:bCs/>
          <w:color w:val="auto"/>
          <w:sz w:val="21"/>
          <w:szCs w:val="21"/>
          <w:highlight w:val="none"/>
        </w:rPr>
        <w:t xml:space="preserve">：</w:t>
      </w:r>
      <w:r/>
    </w:p>
    <w:p>
      <w:pPr>
        <w:pStyle w:val="846"/>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6"/>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lang w:eastAsia="zh-CN"/>
        </w:rPr>
        <w:t xml:space="preserve">JSZC-320507-SZWK-G2026-0320</w:t>
      </w:r>
      <w:r>
        <w:rPr>
          <w:rFonts w:hint="eastAsia" w:ascii="宋体" w:hAnsi="宋体" w:eastAsia="宋体" w:cs="宋体"/>
          <w:color w:val="auto"/>
          <w:sz w:val="21"/>
          <w:szCs w:val="21"/>
          <w:highlight w:val="none"/>
          <w:u w:val="single"/>
        </w:rPr>
        <w:t xml:space="preserve">号</w:t>
      </w:r>
      <w:r>
        <w:rPr>
          <w:rFonts w:hint="eastAsia" w:ascii="宋体" w:hAnsi="宋体" w:eastAsia="宋体" w:cs="宋体"/>
          <w:color w:val="auto"/>
          <w:sz w:val="21"/>
          <w:szCs w:val="21"/>
          <w:highlight w:val="none"/>
        </w:rPr>
        <w:t xml:space="preserve">的招标活动进行投标。本公司所提交的投标文件中所有关于投标资格的文件、证明和陈述均是真实的、准确的。若与真实情况不符，本公司愿意承担由此而产生的一切后果。</w:t>
      </w:r>
      <w:r/>
    </w:p>
    <w:p>
      <w:pPr>
        <w:pStyle w:val="846"/>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76"/>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76"/>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76"/>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846"/>
        <w:ind w:firstLine="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6"/>
        <w:ind w:firstLine="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6"/>
        <w:ind w:firstLine="0"/>
        <w:rPr>
          <w:rFonts w:ascii="宋体" w:hAnsi="宋体" w:eastAsia="宋体" w:cs="宋体"/>
          <w:color w:val="auto"/>
          <w:highlight w:val="none"/>
        </w:rPr>
      </w:pPr>
      <w:r>
        <w:rPr>
          <w:rFonts w:ascii="宋体" w:hAnsi="宋体" w:eastAsia="宋体" w:cs="宋体"/>
          <w:color w:val="auto"/>
          <w:highlight w:val="none"/>
        </w:rPr>
      </w:r>
      <w:r/>
    </w:p>
    <w:p>
      <w:pPr>
        <w:pStyle w:val="846"/>
        <w:ind w:firstLine="0"/>
        <w:rPr>
          <w:rFonts w:ascii="宋体" w:hAnsi="宋体" w:eastAsia="宋体" w:cs="宋体"/>
          <w:color w:val="auto"/>
          <w:highlight w:val="none"/>
        </w:rPr>
      </w:pPr>
      <w:r>
        <w:rPr>
          <w:rFonts w:ascii="宋体" w:hAnsi="宋体" w:eastAsia="宋体" w:cs="宋体"/>
          <w:color w:val="auto"/>
          <w:highlight w:val="none"/>
        </w:rPr>
      </w:r>
      <w:r/>
    </w:p>
    <w:p>
      <w:pPr>
        <w:pStyle w:val="846"/>
        <w:ind w:firstLine="0"/>
        <w:rPr>
          <w:rFonts w:ascii="宋体" w:hAnsi="宋体" w:eastAsia="宋体" w:cs="宋体"/>
          <w:color w:val="auto"/>
          <w:highlight w:val="none"/>
        </w:rPr>
      </w:pPr>
      <w:r>
        <w:rPr>
          <w:rFonts w:ascii="宋体" w:hAnsi="宋体" w:eastAsia="宋体" w:cs="宋体"/>
          <w:color w:val="auto"/>
          <w:highlight w:val="none"/>
        </w:rPr>
      </w:r>
      <w:r/>
    </w:p>
    <w:p>
      <w:pPr>
        <w:pStyle w:val="846"/>
        <w:ind w:firstLine="0"/>
        <w:rPr>
          <w:rFonts w:ascii="宋体" w:hAnsi="宋体" w:eastAsia="宋体" w:cs="宋体"/>
          <w:color w:val="auto"/>
          <w:highlight w:val="none"/>
        </w:rPr>
      </w:pPr>
      <w:r>
        <w:rPr>
          <w:rFonts w:ascii="宋体" w:hAnsi="宋体" w:eastAsia="宋体" w:cs="宋体"/>
          <w:color w:val="auto"/>
          <w:highlight w:val="none"/>
        </w:rPr>
      </w:r>
      <w:r/>
    </w:p>
    <w:p>
      <w:pPr>
        <w:pStyle w:val="846"/>
        <w:ind w:firstLine="0"/>
        <w:rPr>
          <w:rFonts w:ascii="宋体" w:hAnsi="宋体" w:eastAsia="宋体" w:cs="宋体"/>
          <w:color w:val="auto"/>
          <w:highlight w:val="none"/>
        </w:rPr>
      </w:pPr>
      <w:r>
        <w:rPr>
          <w:rFonts w:ascii="宋体" w:hAnsi="宋体" w:eastAsia="宋体" w:cs="宋体"/>
          <w:color w:val="auto"/>
          <w:highlight w:val="none"/>
        </w:rPr>
      </w:r>
      <w:r/>
    </w:p>
    <w:p>
      <w:pPr>
        <w:pStyle w:val="846"/>
        <w:ind w:firstLine="0"/>
        <w:rPr>
          <w:rFonts w:ascii="宋体" w:hAnsi="宋体" w:eastAsia="宋体" w:cs="宋体"/>
          <w:color w:val="auto"/>
          <w:highlight w:val="none"/>
        </w:rPr>
      </w:pPr>
      <w:r>
        <w:rPr>
          <w:rFonts w:ascii="宋体" w:hAnsi="宋体" w:eastAsia="宋体" w:cs="宋体"/>
          <w:color w:val="auto"/>
          <w:highlight w:val="none"/>
        </w:rPr>
      </w:r>
      <w:r/>
    </w:p>
    <w:p>
      <w:pPr>
        <w:pStyle w:val="846"/>
        <w:ind w:firstLine="0"/>
        <w:rPr>
          <w:rFonts w:ascii="宋体" w:hAnsi="宋体" w:eastAsia="宋体" w:cs="宋体"/>
          <w:color w:val="auto"/>
          <w:highlight w:val="none"/>
        </w:rPr>
      </w:pPr>
      <w:r>
        <w:rPr>
          <w:rFonts w:ascii="宋体" w:hAnsi="宋体" w:eastAsia="宋体" w:cs="宋体"/>
          <w:color w:val="auto"/>
          <w:highlight w:val="none"/>
        </w:rPr>
      </w:r>
      <w:r/>
    </w:p>
    <w:p>
      <w:pPr>
        <w:pStyle w:val="846"/>
        <w:ind w:firstLine="0"/>
        <w:rPr>
          <w:rFonts w:ascii="宋体" w:hAnsi="宋体" w:eastAsia="宋体" w:cs="宋体"/>
          <w:color w:val="auto"/>
          <w:highlight w:val="none"/>
        </w:rPr>
      </w:pPr>
      <w:r>
        <w:rPr>
          <w:rFonts w:ascii="宋体" w:hAnsi="宋体" w:eastAsia="宋体" w:cs="宋体"/>
          <w:color w:val="auto"/>
          <w:highlight w:val="none"/>
        </w:rPr>
      </w:r>
      <w:r/>
    </w:p>
    <w:p>
      <w:pPr>
        <w:pStyle w:val="846"/>
        <w:ind w:firstLine="0"/>
        <w:rPr>
          <w:rFonts w:ascii="宋体" w:hAnsi="宋体" w:eastAsia="宋体" w:cs="宋体"/>
          <w:color w:val="auto"/>
          <w:highlight w:val="none"/>
        </w:rPr>
      </w:pPr>
      <w:r>
        <w:rPr>
          <w:rFonts w:ascii="宋体" w:hAnsi="宋体" w:eastAsia="宋体" w:cs="宋体"/>
          <w:color w:val="auto"/>
          <w:highlight w:val="none"/>
        </w:rPr>
      </w:r>
      <w:r/>
    </w:p>
    <w:p>
      <w:pPr>
        <w:pStyle w:val="846"/>
        <w:ind w:firstLine="0"/>
        <w:rPr>
          <w:rFonts w:ascii="宋体" w:hAnsi="宋体" w:eastAsia="宋体" w:cs="宋体"/>
          <w:color w:val="auto"/>
          <w:highlight w:val="none"/>
        </w:rPr>
      </w:pPr>
      <w:r>
        <w:rPr>
          <w:rFonts w:ascii="宋体" w:hAnsi="宋体" w:eastAsia="宋体" w:cs="宋体"/>
          <w:color w:val="auto"/>
          <w:highlight w:val="none"/>
        </w:rPr>
      </w:r>
      <w:r/>
    </w:p>
    <w:p>
      <w:pPr>
        <w:pStyle w:val="846"/>
        <w:ind w:firstLine="0"/>
        <w:rPr>
          <w:rFonts w:ascii="宋体" w:hAnsi="宋体" w:eastAsia="宋体" w:cs="宋体"/>
          <w:color w:val="auto"/>
          <w:highlight w:val="none"/>
        </w:rPr>
      </w:pPr>
      <w:r>
        <w:rPr>
          <w:rFonts w:ascii="宋体" w:hAnsi="宋体" w:eastAsia="宋体" w:cs="宋体"/>
          <w:color w:val="auto"/>
          <w:highlight w:val="none"/>
        </w:rPr>
      </w:r>
      <w:r/>
    </w:p>
    <w:p>
      <w:pPr>
        <w:pStyle w:val="846"/>
        <w:ind w:firstLine="0"/>
        <w:rPr>
          <w:rFonts w:ascii="宋体" w:hAnsi="宋体" w:eastAsia="宋体" w:cs="宋体"/>
          <w:color w:val="auto"/>
          <w:highlight w:val="none"/>
        </w:rPr>
      </w:pPr>
      <w:r>
        <w:rPr>
          <w:rFonts w:ascii="宋体" w:hAnsi="宋体" w:eastAsia="宋体" w:cs="宋体"/>
          <w:color w:val="auto"/>
          <w:highlight w:val="none"/>
        </w:rPr>
      </w:r>
      <w:r/>
    </w:p>
    <w:p>
      <w:pPr>
        <w:pStyle w:val="846"/>
        <w:ind w:firstLine="0"/>
        <w:rPr>
          <w:rFonts w:ascii="宋体" w:hAnsi="宋体" w:eastAsia="宋体" w:cs="宋体"/>
          <w:color w:val="auto"/>
          <w:highlight w:val="none"/>
        </w:rPr>
      </w:pPr>
      <w:r>
        <w:rPr>
          <w:rFonts w:ascii="宋体" w:hAnsi="宋体" w:eastAsia="宋体" w:cs="宋体"/>
          <w:color w:val="auto"/>
          <w:highlight w:val="none"/>
        </w:rPr>
      </w:r>
      <w:r/>
    </w:p>
    <w:p>
      <w:pPr>
        <w:pStyle w:val="846"/>
        <w:ind w:firstLine="0"/>
        <w:rPr>
          <w:rFonts w:ascii="宋体" w:hAnsi="宋体" w:eastAsia="宋体" w:cs="宋体"/>
          <w:color w:val="auto"/>
          <w:highlight w:val="none"/>
        </w:rPr>
      </w:pPr>
      <w:r>
        <w:rPr>
          <w:rFonts w:ascii="宋体" w:hAnsi="宋体" w:eastAsia="宋体" w:cs="宋体"/>
          <w:color w:val="auto"/>
          <w:highlight w:val="none"/>
        </w:rPr>
      </w:r>
      <w:r/>
    </w:p>
    <w:p>
      <w:pPr>
        <w:pStyle w:val="846"/>
        <w:ind w:firstLine="0"/>
        <w:rPr>
          <w:rFonts w:ascii="宋体" w:hAnsi="宋体" w:eastAsia="宋体" w:cs="宋体"/>
          <w:color w:val="auto"/>
          <w:highlight w:val="none"/>
        </w:rPr>
      </w:pPr>
      <w:r>
        <w:rPr>
          <w:rFonts w:ascii="宋体" w:hAnsi="宋体" w:eastAsia="宋体" w:cs="宋体"/>
          <w:color w:val="auto"/>
          <w:highlight w:val="none"/>
        </w:rPr>
      </w:r>
      <w:r/>
    </w:p>
    <w:p>
      <w:pPr>
        <w:pStyle w:val="846"/>
        <w:ind w:firstLine="0"/>
        <w:rPr>
          <w:rFonts w:ascii="宋体" w:hAnsi="宋体" w:eastAsia="宋体" w:cs="宋体"/>
          <w:color w:val="auto"/>
          <w:highlight w:val="none"/>
        </w:rPr>
      </w:pPr>
      <w:r>
        <w:rPr>
          <w:rFonts w:ascii="宋体" w:hAnsi="宋体" w:eastAsia="宋体" w:cs="宋体"/>
          <w:color w:val="auto"/>
          <w:highlight w:val="none"/>
        </w:rPr>
      </w:r>
      <w:r/>
    </w:p>
    <w:p>
      <w:pPr>
        <w:pStyle w:val="846"/>
        <w:ind w:firstLine="0"/>
        <w:rPr>
          <w:rFonts w:ascii="宋体" w:hAnsi="宋体" w:eastAsia="宋体" w:cs="宋体"/>
          <w:color w:val="auto"/>
          <w:highlight w:val="none"/>
        </w:rPr>
      </w:pPr>
      <w:r>
        <w:rPr>
          <w:rFonts w:ascii="宋体" w:hAnsi="宋体" w:eastAsia="宋体" w:cs="宋体"/>
          <w:color w:val="auto"/>
          <w:highlight w:val="none"/>
        </w:rPr>
      </w:r>
      <w:r/>
    </w:p>
    <w:p>
      <w:pPr>
        <w:pStyle w:val="846"/>
        <w:ind w:firstLine="0"/>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46"/>
        <w:ind w:firstLine="0"/>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46"/>
        <w:ind w:firstLine="0"/>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46"/>
        <w:ind w:firstLine="0"/>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46"/>
        <w:ind w:firstLine="0"/>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46"/>
        <w:ind w:firstLine="0"/>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46"/>
        <w:ind w:firstLine="0"/>
        <w:rPr>
          <w:rFonts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color w:val="auto"/>
          <w:sz w:val="21"/>
          <w:szCs w:val="21"/>
          <w:highlight w:val="none"/>
        </w:rPr>
        <w:t xml:space="preserve">投标人情况表</w:t>
      </w:r>
      <w:r/>
    </w:p>
    <w:p>
      <w:pPr>
        <w:pStyle w:val="846"/>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投标人情况表</w:t>
      </w:r>
      <w:r/>
    </w:p>
    <w:tbl>
      <w:tblPr>
        <w:tblStyle w:val="841"/>
        <w:tblW w:w="853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74"/>
        <w:gridCol w:w="1620"/>
        <w:gridCol w:w="2385"/>
        <w:gridCol w:w="502"/>
        <w:gridCol w:w="835"/>
        <w:gridCol w:w="804"/>
        <w:gridCol w:w="661"/>
        <w:gridCol w:w="1052"/>
      </w:tblGrid>
      <w:tr>
        <w:trPr>
          <w:trHeight w:val="850"/>
        </w:trPr>
        <w:tc>
          <w:tcPr>
            <w:tcW w:w="674"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right w:val="single" w:color="auto" w:sz="4" w:space="0"/>
            </w:tcBorders>
            <w:tcW w:w="1620"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企业法人</w:t>
            </w:r>
            <w:r/>
          </w:p>
        </w:tc>
        <w:tc>
          <w:tcPr>
            <w:gridSpan w:val="2"/>
            <w:tcBorders>
              <w:left w:val="single" w:color="auto" w:sz="4" w:space="0"/>
            </w:tcBorders>
            <w:tcW w:w="2887"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1639" w:type="dxa"/>
            <w:vAlign w:val="center"/>
            <w:textDirection w:val="lrTb"/>
            <w:noWrap w:val="false"/>
          </w:tcPr>
          <w:p>
            <w:pPr>
              <w:pStyle w:val="846"/>
              <w:ind w:firstLine="0"/>
              <w:jc w:val="both"/>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公司成立日期</w:t>
            </w:r>
            <w:r/>
          </w:p>
        </w:tc>
        <w:tc>
          <w:tcPr>
            <w:gridSpan w:val="2"/>
            <w:tcW w:w="1713" w:type="dxa"/>
            <w:vAlign w:val="center"/>
            <w:textDirection w:val="lrTb"/>
            <w:noWrap w:val="false"/>
          </w:tcPr>
          <w:p>
            <w:pPr>
              <w:pStyle w:val="846"/>
              <w:ind w:firstLine="0"/>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850"/>
        </w:trPr>
        <w:tc>
          <w:tcPr>
            <w:tcW w:w="674"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right w:val="single" w:color="auto" w:sz="4" w:space="0"/>
            </w:tcBorders>
            <w:tcW w:w="1620"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总部地址</w:t>
            </w:r>
            <w:r/>
          </w:p>
        </w:tc>
        <w:tc>
          <w:tcPr>
            <w:gridSpan w:val="6"/>
            <w:tcBorders>
              <w:left w:val="single" w:color="auto" w:sz="4" w:space="0"/>
            </w:tcBorders>
            <w:tcW w:w="6239"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850"/>
        </w:trPr>
        <w:tc>
          <w:tcPr>
            <w:tcW w:w="674"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right w:val="single" w:color="auto" w:sz="4" w:space="0"/>
            </w:tcBorders>
            <w:tcW w:w="1620" w:type="dxa"/>
            <w:vAlign w:val="center"/>
            <w:textDirection w:val="lrTb"/>
            <w:noWrap w:val="false"/>
          </w:tcPr>
          <w:p>
            <w:pPr>
              <w:pStyle w:val="846"/>
              <w:ind w:firstLine="0"/>
              <w:jc w:val="both"/>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当地代表处地址</w:t>
            </w:r>
            <w:r/>
          </w:p>
        </w:tc>
        <w:tc>
          <w:tcPr>
            <w:gridSpan w:val="6"/>
            <w:tcBorders>
              <w:left w:val="single" w:color="auto" w:sz="4" w:space="0"/>
            </w:tcBorders>
            <w:tcW w:w="6239" w:type="dxa"/>
            <w:vAlign w:val="center"/>
            <w:textDirection w:val="lrTb"/>
            <w:noWrap w:val="false"/>
          </w:tcPr>
          <w:p>
            <w:pPr>
              <w:pStyle w:val="846"/>
              <w:ind w:firstLine="0"/>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850"/>
        </w:trPr>
        <w:tc>
          <w:tcPr>
            <w:tcW w:w="674"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right w:val="single" w:color="auto" w:sz="4" w:space="0"/>
            </w:tcBorders>
            <w:tcW w:w="1620"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tc>
        <w:tc>
          <w:tcPr>
            <w:tcBorders>
              <w:left w:val="single" w:color="auto" w:sz="4" w:space="0"/>
            </w:tcBorders>
            <w:tcW w:w="2385" w:type="dxa"/>
            <w:vAlign w:val="center"/>
            <w:textDirection w:val="lrTb"/>
            <w:noWrap w:val="false"/>
          </w:tcPr>
          <w:p>
            <w:pPr>
              <w:pStyle w:val="846"/>
              <w:ind w:firstLine="0"/>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Borders>
              <w:right w:val="single" w:color="auto" w:sz="4" w:space="0"/>
            </w:tcBorders>
            <w:tcW w:w="1337"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gridSpan w:val="3"/>
            <w:tcBorders>
              <w:left w:val="single" w:color="auto" w:sz="4" w:space="0"/>
            </w:tcBorders>
            <w:tcW w:w="2517" w:type="dxa"/>
            <w:vAlign w:val="center"/>
            <w:textDirection w:val="lrTb"/>
            <w:noWrap w:val="false"/>
          </w:tcPr>
          <w:p>
            <w:pPr>
              <w:pStyle w:val="846"/>
              <w:ind w:firstLine="0"/>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850"/>
        </w:trPr>
        <w:tc>
          <w:tcPr>
            <w:tcW w:w="674"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right w:val="single" w:color="auto" w:sz="4" w:space="0"/>
            </w:tcBorders>
            <w:tcW w:w="1620"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tc>
        <w:tc>
          <w:tcPr>
            <w:tcBorders>
              <w:left w:val="single" w:color="auto" w:sz="4" w:space="0"/>
            </w:tcBorders>
            <w:tcW w:w="2385" w:type="dxa"/>
            <w:vAlign w:val="center"/>
            <w:textDirection w:val="lrTb"/>
            <w:noWrap w:val="false"/>
          </w:tcPr>
          <w:p>
            <w:pPr>
              <w:pStyle w:val="846"/>
              <w:ind w:firstLine="0"/>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Borders>
              <w:right w:val="single" w:color="auto" w:sz="4" w:space="0"/>
            </w:tcBorders>
            <w:tcW w:w="1337"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gridSpan w:val="3"/>
            <w:tcBorders>
              <w:left w:val="single" w:color="auto" w:sz="4" w:space="0"/>
            </w:tcBorders>
            <w:tcW w:w="2517" w:type="dxa"/>
            <w:vAlign w:val="center"/>
            <w:textDirection w:val="lrTb"/>
            <w:noWrap w:val="false"/>
          </w:tcPr>
          <w:p>
            <w:pPr>
              <w:pStyle w:val="846"/>
              <w:ind w:firstLine="0"/>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850"/>
        </w:trPr>
        <w:tc>
          <w:tcPr>
            <w:tcW w:w="674"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right w:val="single" w:color="auto" w:sz="4" w:space="0"/>
            </w:tcBorders>
            <w:tcW w:w="1620"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注册地</w:t>
            </w:r>
            <w:r/>
          </w:p>
        </w:tc>
        <w:tc>
          <w:tcPr>
            <w:tcBorders>
              <w:left w:val="single" w:color="auto" w:sz="4" w:space="0"/>
            </w:tcBorders>
            <w:tcW w:w="2385" w:type="dxa"/>
            <w:vAlign w:val="center"/>
            <w:textDirection w:val="lrTb"/>
            <w:noWrap w:val="false"/>
          </w:tcPr>
          <w:p>
            <w:pPr>
              <w:pStyle w:val="846"/>
              <w:ind w:firstLine="0"/>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Borders>
              <w:right w:val="single" w:color="auto" w:sz="4" w:space="0"/>
            </w:tcBorders>
            <w:tcW w:w="1337"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注册年份</w:t>
            </w:r>
            <w:r/>
          </w:p>
        </w:tc>
        <w:tc>
          <w:tcPr>
            <w:gridSpan w:val="3"/>
            <w:tcBorders>
              <w:left w:val="single" w:color="auto" w:sz="4" w:space="0"/>
            </w:tcBorders>
            <w:tcW w:w="2517" w:type="dxa"/>
            <w:vAlign w:val="center"/>
            <w:textDirection w:val="lrTb"/>
            <w:noWrap w:val="false"/>
          </w:tcPr>
          <w:p>
            <w:pPr>
              <w:pStyle w:val="846"/>
              <w:ind w:left="437" w:firstLine="0"/>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850"/>
        </w:trPr>
        <w:tc>
          <w:tcPr>
            <w:tcW w:w="674"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right w:val="single" w:color="auto" w:sz="4" w:space="0"/>
            </w:tcBorders>
            <w:tcW w:w="1620" w:type="dxa"/>
            <w:vAlign w:val="center"/>
            <w:textDirection w:val="lrTb"/>
            <w:noWrap w:val="false"/>
          </w:tcPr>
          <w:p>
            <w:pPr>
              <w:pStyle w:val="846"/>
              <w:ind w:firstLine="0"/>
              <w:jc w:val="both"/>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单位职工人数</w:t>
            </w:r>
            <w:r/>
          </w:p>
        </w:tc>
        <w:tc>
          <w:tcPr>
            <w:tcBorders>
              <w:left w:val="single" w:color="auto" w:sz="4" w:space="0"/>
            </w:tcBorders>
            <w:tcW w:w="2385" w:type="dxa"/>
            <w:vAlign w:val="center"/>
            <w:textDirection w:val="lrTb"/>
            <w:noWrap w:val="false"/>
          </w:tcPr>
          <w:p>
            <w:pPr>
              <w:pStyle w:val="846"/>
              <w:ind w:firstLine="2160"/>
              <w:jc w:val="both"/>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gridSpan w:val="4"/>
            <w:tcBorders>
              <w:right w:val="single" w:color="auto" w:sz="4" w:space="0"/>
            </w:tcBorders>
            <w:tcW w:w="2802" w:type="dxa"/>
            <w:vAlign w:val="center"/>
            <w:textDirection w:val="lrTb"/>
            <w:noWrap w:val="false"/>
          </w:tcPr>
          <w:p>
            <w:pPr>
              <w:pStyle w:val="846"/>
              <w:ind w:firstLine="0"/>
              <w:jc w:val="both"/>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单位：2025年总营业收入</w:t>
            </w:r>
            <w:r/>
          </w:p>
        </w:tc>
        <w:tc>
          <w:tcPr>
            <w:tcBorders>
              <w:left w:val="single" w:color="auto" w:sz="4" w:space="0"/>
            </w:tcBorders>
            <w:tcW w:w="1052" w:type="dxa"/>
            <w:vAlign w:val="center"/>
            <w:textDirection w:val="lrTb"/>
            <w:noWrap w:val="false"/>
          </w:tcPr>
          <w:p>
            <w:pPr>
              <w:pStyle w:val="846"/>
              <w:ind w:left="1112" w:firstLine="0"/>
              <w:jc w:val="both"/>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850"/>
        </w:trPr>
        <w:tc>
          <w:tcPr>
            <w:tcW w:w="674"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7"/>
            <w:tcW w:w="7859" w:type="dxa"/>
            <w:vAlign w:val="center"/>
            <w:textDirection w:val="lrTb"/>
            <w:noWrap w:val="false"/>
          </w:tcPr>
          <w:p>
            <w:pPr>
              <w:pStyle w:val="846"/>
              <w:ind w:firstLine="0"/>
              <w:jc w:val="both"/>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企业或社会团体办公场所的面积：</w:t>
            </w:r>
            <w:r/>
          </w:p>
        </w:tc>
      </w:tr>
      <w:tr>
        <w:trPr>
          <w:trHeight w:val="1978"/>
        </w:trPr>
        <w:tc>
          <w:tcPr>
            <w:tcW w:w="674"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gridSpan w:val="7"/>
            <w:tcW w:w="7859" w:type="dxa"/>
            <w:vAlign w:val="center"/>
            <w:textDirection w:val="lrTb"/>
            <w:noWrap w:val="false"/>
          </w:tcPr>
          <w:p>
            <w:pPr>
              <w:pStyle w:val="846"/>
              <w:ind w:firstLine="0"/>
              <w:jc w:val="both"/>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主营范围</w:t>
            </w:r>
            <w:r/>
          </w:p>
          <w:p>
            <w:pPr>
              <w:pStyle w:val="846"/>
              <w:ind w:firstLine="0"/>
              <w:jc w:val="both"/>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1、_____________________________________</w:t>
            </w:r>
            <w:r/>
          </w:p>
          <w:p>
            <w:pPr>
              <w:pStyle w:val="846"/>
              <w:ind w:firstLine="0"/>
              <w:jc w:val="both"/>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____________________________________</w:t>
            </w:r>
            <w:r/>
          </w:p>
        </w:tc>
      </w:tr>
      <w:tr>
        <w:trPr>
          <w:trHeight w:val="2130"/>
        </w:trPr>
        <w:tc>
          <w:tcPr>
            <w:tcW w:w="674" w:type="dxa"/>
            <w:vAlign w:val="center"/>
            <w:textDirection w:val="lrTb"/>
            <w:noWrap w:val="false"/>
          </w:tcPr>
          <w:p>
            <w:pPr>
              <w:pStyle w:val="84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gridSpan w:val="7"/>
            <w:tcW w:w="7859" w:type="dxa"/>
            <w:vAlign w:val="center"/>
            <w:textDirection w:val="lrTb"/>
            <w:noWrap w:val="false"/>
          </w:tcPr>
          <w:p>
            <w:pPr>
              <w:pStyle w:val="846"/>
              <w:ind w:firstLine="0"/>
              <w:jc w:val="both"/>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r>
    </w:tbl>
    <w:p>
      <w:pPr>
        <w:pStyle w:val="1076"/>
        <w:spacing w:line="360" w:lineRule="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1076"/>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76"/>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76"/>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846"/>
        <w:ind w:firstLine="0"/>
        <w:spacing w:line="400" w:lineRule="exact"/>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846"/>
        <w:ind w:firstLine="0"/>
        <w:spacing w:line="400" w:lineRule="exact"/>
        <w:rPr>
          <w:rFonts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格式</w:t>
      </w:r>
      <w:r>
        <w:rPr>
          <w:rFonts w:hint="eastAsia" w:ascii="宋体" w:hAnsi="宋体" w:eastAsia="宋体" w:cs="宋体"/>
          <w:b/>
          <w:bCs/>
          <w:color w:val="auto"/>
          <w:sz w:val="21"/>
          <w:szCs w:val="21"/>
          <w:highlight w:val="none"/>
        </w:rPr>
        <w:t xml:space="preserve">9：类似项目一览表</w:t>
      </w:r>
      <w:r/>
    </w:p>
    <w:p>
      <w:pPr>
        <w:jc w:val="center"/>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ascii="宋体" w:hAnsi="宋体" w:cs="宋体"/>
          <w:b/>
          <w:color w:val="auto"/>
          <w:sz w:val="36"/>
          <w:szCs w:val="36"/>
          <w:highlight w:val="none"/>
        </w:rPr>
      </w:pPr>
      <w:r>
        <w:rPr>
          <w:rFonts w:hint="eastAsia" w:ascii="宋体" w:hAnsi="宋体" w:cs="宋体"/>
          <w:b/>
          <w:color w:val="auto"/>
          <w:sz w:val="28"/>
          <w:szCs w:val="28"/>
          <w:highlight w:val="none"/>
        </w:rPr>
        <w:t xml:space="preserve">类似项目一览表</w:t>
      </w:r>
      <w:r/>
    </w:p>
    <w:tbl>
      <w:tblPr>
        <w:tblStyle w:val="841"/>
        <w:tblpPr w:horzAnchor="page" w:tblpX="1746" w:vertAnchor="text" w:tblpY="476" w:leftFromText="180" w:topFromText="0" w:rightFromText="180" w:bottomFromText="0"/>
        <w:tblW w:w="84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980"/>
        <w:gridCol w:w="1093"/>
        <w:gridCol w:w="1304"/>
        <w:gridCol w:w="1709"/>
        <w:gridCol w:w="1113"/>
      </w:tblGrid>
      <w:tr>
        <w:trPr>
          <w:trHeight w:val="567"/>
        </w:trPr>
        <w:tc>
          <w:tcPr>
            <w:tcW w:w="1209"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W w:w="1980"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项目名称</w:t>
            </w:r>
            <w:r/>
          </w:p>
        </w:tc>
        <w:tc>
          <w:tcPr>
            <w:tcW w:w="1093"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项目时间</w:t>
            </w:r>
            <w:r/>
          </w:p>
        </w:tc>
        <w:tc>
          <w:tcPr>
            <w:tcW w:w="1304"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项目规模</w:t>
            </w:r>
            <w:r/>
          </w:p>
        </w:tc>
        <w:tc>
          <w:tcPr>
            <w:tcW w:w="1709"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业主单位</w:t>
            </w:r>
            <w:r/>
          </w:p>
        </w:tc>
        <w:tc>
          <w:tcPr>
            <w:tcW w:w="1113"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W w:w="120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980"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09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304"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70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1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W w:w="120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980"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09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304"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70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1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W w:w="120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980"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09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304"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70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1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W w:w="120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980"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09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304"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70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1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W w:w="120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980"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09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304"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70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1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W w:w="120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1980"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09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304"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70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1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W w:w="120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9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09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304"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70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1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bl>
    <w:p>
      <w:pPr>
        <w:ind w:left="420" w:right="357" w:hanging="400"/>
        <w:spacing w:before="120"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1076"/>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76"/>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76"/>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ind w:left="420" w:right="357" w:hanging="400"/>
        <w:spacing w:before="120" w:line="400" w:lineRule="exact"/>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rPr>
          <w:rFonts w:ascii="宋体" w:hAnsi="宋体" w:cs="宋体"/>
          <w:b/>
          <w:bCs/>
          <w:color w:val="auto"/>
          <w:szCs w:val="21"/>
          <w:highlight w:val="none"/>
        </w:rPr>
      </w:pPr>
      <w:r>
        <w:rPr>
          <w:rFonts w:ascii="宋体" w:hAnsi="宋体" w:cs="宋体"/>
          <w:b/>
          <w:bCs/>
          <w:color w:val="auto"/>
          <w:szCs w:val="21"/>
          <w:highlight w:val="none"/>
        </w:rPr>
      </w:r>
      <w:r/>
    </w:p>
    <w:p>
      <w:pPr>
        <w:pStyle w:val="846"/>
        <w:ind w:firstLine="0"/>
        <w:spacing w:line="400" w:lineRule="exact"/>
        <w:rPr>
          <w:rFonts w:ascii="宋体" w:hAnsi="宋体" w:eastAsia="宋体" w:cs="宋体"/>
          <w:b/>
          <w:bCs/>
          <w:color w:val="auto"/>
          <w:sz w:val="21"/>
          <w:szCs w:val="21"/>
          <w:highlight w:val="none"/>
        </w:rPr>
      </w:pPr>
      <w:r/>
      <w:bookmarkStart w:id="11" w:name="_Toc13889376"/>
      <w:r/>
      <w:bookmarkStart w:id="12" w:name="_Toc142194271"/>
      <w:r/>
      <w:bookmarkStart w:id="13" w:name="_Toc13642116"/>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rPr>
        <w:t xml:space="preserve">格式10：技术支持以及售后服务承诺</w:t>
      </w:r>
      <w:r/>
    </w:p>
    <w:p>
      <w:pPr>
        <w:jc w:val="center"/>
        <w:spacing w:line="360" w:lineRule="auto"/>
        <w:tabs>
          <w:tab w:val="left" w:pos="1320" w:leader="none"/>
        </w:tabs>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tabs>
          <w:tab w:val="left" w:pos="1320" w:leader="none"/>
        </w:tabs>
        <w:rPr>
          <w:rFonts w:ascii="宋体" w:hAnsi="宋体" w:cs="宋体"/>
          <w:b/>
          <w:color w:val="auto"/>
          <w:sz w:val="30"/>
          <w:szCs w:val="30"/>
          <w:highlight w:val="none"/>
        </w:rPr>
      </w:pPr>
      <w:r>
        <w:rPr>
          <w:rFonts w:hint="eastAsia" w:ascii="宋体" w:hAnsi="宋体" w:cs="宋体"/>
          <w:b/>
          <w:color w:val="auto"/>
          <w:sz w:val="28"/>
          <w:szCs w:val="28"/>
          <w:highlight w:val="none"/>
        </w:rPr>
        <w:t xml:space="preserve">技术支持以及售后服务承诺</w:t>
      </w:r>
      <w:bookmarkEnd w:id="11"/>
      <w:r/>
      <w:bookmarkEnd w:id="12"/>
      <w:r/>
      <w:bookmarkEnd w:id="13"/>
      <w:r/>
      <w:r/>
    </w:p>
    <w:tbl>
      <w:tblPr>
        <w:tblStyle w:val="841"/>
        <w:tblW w:w="8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949"/>
        <w:gridCol w:w="3123"/>
        <w:gridCol w:w="1562"/>
      </w:tblGrid>
      <w:tr>
        <w:trPr>
          <w:trHeight w:val="850"/>
        </w:trPr>
        <w:tc>
          <w:tcPr>
            <w:tcW w:w="972" w:type="dxa"/>
            <w:vAlign w:val="center"/>
            <w:textDirection w:val="lrTb"/>
            <w:noWrap w:val="false"/>
          </w:tcPr>
          <w:p>
            <w:pPr>
              <w:jc w:val="center"/>
              <w:rPr>
                <w:rFonts w:ascii="宋体" w:hAnsi="宋体" w:cs="宋体"/>
                <w:color w:val="auto"/>
                <w:sz w:val="21"/>
                <w:szCs w:val="21"/>
                <w:highlight w:val="none"/>
              </w:rPr>
            </w:pPr>
            <w:r/>
            <w:bookmarkStart w:id="14" w:name="_Toc142194272"/>
            <w:r>
              <w:rPr>
                <w:rFonts w:hint="eastAsia" w:ascii="宋体" w:hAnsi="宋体" w:cs="宋体"/>
                <w:color w:val="auto"/>
                <w:sz w:val="21"/>
                <w:szCs w:val="21"/>
                <w:highlight w:val="none"/>
              </w:rPr>
              <w:t xml:space="preserve">序号</w:t>
            </w:r>
            <w:r/>
          </w:p>
        </w:tc>
        <w:tc>
          <w:tcPr>
            <w:tcW w:w="294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名称</w:t>
            </w:r>
            <w:r/>
          </w:p>
        </w:tc>
        <w:tc>
          <w:tcPr>
            <w:tcW w:w="312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投标承诺</w:t>
            </w:r>
            <w:r/>
          </w:p>
        </w:tc>
        <w:tc>
          <w:tcPr>
            <w:tcW w:w="15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trHeight w:val="850"/>
        </w:trPr>
        <w:tc>
          <w:tcPr>
            <w:tcW w:w="97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94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服务响应时间</w:t>
            </w:r>
            <w:r/>
          </w:p>
        </w:tc>
        <w:tc>
          <w:tcPr>
            <w:tcW w:w="312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562"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850"/>
        </w:trPr>
        <w:tc>
          <w:tcPr>
            <w:tcW w:w="97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94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到达现场时间</w:t>
            </w:r>
            <w:r/>
          </w:p>
        </w:tc>
        <w:tc>
          <w:tcPr>
            <w:tcW w:w="312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562"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850"/>
        </w:trPr>
        <w:tc>
          <w:tcPr>
            <w:tcW w:w="97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94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解决问题时间</w:t>
            </w:r>
            <w:r/>
          </w:p>
        </w:tc>
        <w:tc>
          <w:tcPr>
            <w:tcW w:w="312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562"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850"/>
        </w:trPr>
        <w:tc>
          <w:tcPr>
            <w:tcW w:w="97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94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免费质保期</w:t>
            </w:r>
            <w:r/>
          </w:p>
        </w:tc>
        <w:tc>
          <w:tcPr>
            <w:tcW w:w="312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562"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bl>
    <w:p>
      <w:pPr>
        <w:pStyle w:val="1076"/>
        <w:spacing w:line="360" w:lineRule="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1076"/>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76"/>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76"/>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400" w:lineRule="exact"/>
        <w:rPr>
          <w:rFonts w:ascii="宋体" w:hAnsi="宋体" w:cs="宋体"/>
          <w:color w:val="auto"/>
          <w:sz w:val="32"/>
          <w:szCs w:val="32"/>
          <w:highlight w:val="none"/>
          <w:lang w:val="zh-CN"/>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rPr>
        <w:t xml:space="preserve">格式11：中小企业声明函</w:t>
      </w:r>
      <w:r/>
    </w:p>
    <w:p>
      <w:pPr>
        <w:jc w:val="center"/>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jc w:val="center"/>
        <w:spacing w:line="400" w:lineRule="exact"/>
        <w:rPr>
          <w:rFonts w:ascii="宋体" w:hAnsi="宋体" w:cs="宋体"/>
          <w:color w:val="auto"/>
          <w:sz w:val="32"/>
          <w:szCs w:val="32"/>
          <w:highlight w:val="none"/>
          <w:lang w:val="zh-CN"/>
        </w:rPr>
      </w:pPr>
      <w:r/>
      <w:bookmarkStart w:id="15" w:name="OLE_LINK17"/>
      <w:r>
        <w:rPr>
          <w:rFonts w:hint="eastAsia" w:ascii="宋体" w:hAnsi="宋体" w:cs="宋体"/>
          <w:b/>
          <w:bCs/>
          <w:color w:val="auto"/>
          <w:sz w:val="28"/>
          <w:szCs w:val="28"/>
          <w:highlight w:val="none"/>
          <w:lang w:val="zh-CN"/>
        </w:rPr>
        <w:t xml:space="preserve">中小企业声明函</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本公司郑重声明， 根据《政府采购促进中小企业发展管理办法》（财库﹝2020﹞46 号） 的规定， 本公司参加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 的</w:t>
      </w:r>
      <w:r>
        <w:rPr>
          <w:rFonts w:hint="eastAsia" w:ascii="宋体" w:hAnsi="宋体" w:cs="宋体"/>
          <w:color w:val="auto"/>
          <w:sz w:val="21"/>
          <w:szCs w:val="21"/>
          <w:highlight w:val="none"/>
          <w:u w:val="single"/>
        </w:rPr>
        <w:t xml:space="preserve">苏州市相城区医疗信息化建设及配套设备采购安装</w:t>
      </w:r>
      <w:r>
        <w:rPr>
          <w:rFonts w:hint="eastAsia" w:ascii="宋体" w:hAnsi="宋体" w:cs="宋体"/>
          <w:color w:val="auto"/>
          <w:sz w:val="21"/>
          <w:szCs w:val="21"/>
          <w:highlight w:val="none"/>
        </w:rPr>
        <w:t xml:space="preserve">采购活动，提供的货物全部由符合政策要求的中小企业制造。 具体情况如下：</w:t>
      </w:r>
      <w:r/>
    </w:p>
    <w:p>
      <w:pPr>
        <w:numPr>
          <w:ilvl w:val="0"/>
          <w:numId w:val="4"/>
        </w:numPr>
        <w:ind w:firstLine="420"/>
        <w:spacing w:line="360" w:lineRule="auto"/>
        <w:rPr>
          <w:rFonts w:ascii="宋体" w:hAnsi="宋体" w:cs="宋体"/>
          <w:color w:val="auto"/>
          <w:sz w:val="21"/>
          <w:szCs w:val="21"/>
          <w:highlight w:val="none"/>
        </w:rPr>
      </w:pPr>
      <w:r/>
      <w:bookmarkStart w:id="16" w:name="OLE_LINK14"/>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工业</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 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 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 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 属</w:t>
      </w:r>
      <w:r>
        <w:rPr>
          <w:rFonts w:hint="eastAsia" w:ascii="宋体" w:hAnsi="宋体" w:cs="宋体"/>
          <w:color w:val="auto"/>
          <w:sz w:val="21"/>
          <w:szCs w:val="21"/>
          <w:highlight w:val="none"/>
          <w:u w:val="single"/>
        </w:rPr>
        <w:t xml:space="preserve">于（中型企业、小型企业、 微型企业）</w:t>
      </w:r>
      <w:bookmarkEnd w:id="16"/>
      <w:r>
        <w:rPr>
          <w:rFonts w:hint="eastAsia" w:ascii="宋体" w:hAnsi="宋体" w:cs="宋体"/>
          <w:color w:val="auto"/>
          <w:sz w:val="21"/>
          <w:szCs w:val="21"/>
          <w:highlight w:val="none"/>
          <w:lang w:eastAsia="zh-CN"/>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 如有虚假，将依法承担相应责任。</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企业名称（盖章）：                 </w:t>
      </w:r>
      <w:r/>
    </w:p>
    <w:p>
      <w:pPr>
        <w:ind w:firstLine="42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 期：                 </w:t>
      </w:r>
      <w:r/>
    </w:p>
    <w:p>
      <w:pPr>
        <w:ind w:firstLine="420"/>
        <w:spacing w:line="400" w:lineRule="exact"/>
        <w:rPr>
          <w:rFonts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 w:val="21"/>
          <w:szCs w:val="21"/>
          <w:highlight w:val="none"/>
        </w:rPr>
        <w:t xml:space="preserve">。</w:t>
      </w:r>
      <w:r/>
    </w:p>
    <w:p>
      <w:pPr>
        <w:ind w:firstLine="422"/>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依据工信部联企业〔2011〕300号文，工业的行业划分标准如下：</w:t>
      </w:r>
      <w:r/>
    </w:p>
    <w:p>
      <w:pPr>
        <w:ind w:firstLine="420"/>
        <w:spacing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bookmarkEnd w:id="15"/>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480" w:lineRule="atLeast"/>
        <w:rPr>
          <w:rFonts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rPr>
        <w:t xml:space="preserve">格式12：残疾人福利性单位声明函</w:t>
      </w:r>
      <w:r/>
    </w:p>
    <w:p>
      <w:pPr>
        <w:spacing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spacing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80" w:lineRule="atLeast"/>
        <w:rPr>
          <w:rFonts w:ascii="宋体" w:hAnsi="宋体" w:cs="宋体"/>
          <w:color w:val="auto"/>
          <w:sz w:val="21"/>
          <w:szCs w:val="21"/>
          <w:highlight w:val="none"/>
        </w:rPr>
      </w:pPr>
      <w:r>
        <w:rPr>
          <w:rFonts w:hint="eastAsia" w:ascii="宋体" w:hAnsi="宋体" w:cs="宋体"/>
          <w:b/>
          <w:bCs/>
          <w:color w:val="auto"/>
          <w:sz w:val="28"/>
          <w:szCs w:val="28"/>
          <w:highlight w:val="none"/>
        </w:rPr>
        <w:t xml:space="preserve">残疾人福利性单位声明函</w:t>
      </w:r>
      <w:r/>
    </w:p>
    <w:p>
      <w:pPr>
        <w:spacing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48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8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spacing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spacing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jc w:val="right"/>
        <w:spacing w:line="48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                    单位名称（盖章）：</w:t>
      </w:r>
      <w:r/>
    </w:p>
    <w:p>
      <w:pPr>
        <w:jc w:val="right"/>
        <w:spacing w:before="100" w:after="100" w:line="48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spacing w:before="100" w:after="100"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pStyle w:val="1076"/>
        <w:rPr>
          <w:rFonts w:ascii="宋体" w:hAnsi="宋体" w:cs="宋体"/>
          <w:b/>
          <w:bCs/>
          <w:color w:val="auto"/>
          <w:szCs w:val="21"/>
          <w:highlight w:val="none"/>
        </w:rPr>
      </w:pPr>
      <w:r>
        <w:rPr>
          <w:rFonts w:hint="eastAsia" w:ascii="宋体" w:hAnsi="宋体" w:cs="宋体"/>
          <w:b/>
          <w:bCs/>
          <w:color w:val="auto"/>
          <w:szCs w:val="21"/>
          <w:highlight w:val="none"/>
        </w:rPr>
        <w:t xml:space="preserve">格式13：关于符合本国产品标准的声明函</w:t>
      </w:r>
      <w:r/>
    </w:p>
    <w:p>
      <w:pPr>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关于符合本国产品标准的声明函</w:t>
      </w:r>
      <w:r/>
    </w:p>
    <w:p>
      <w:pPr>
        <w:ind w:firstLine="420"/>
        <w:spacing w:line="0" w:lineRule="atLeast"/>
        <w:rPr>
          <w:rFonts w:ascii="方正魏碑_GBK" w:hAnsi="方正魏碑_GBK" w:eastAsia="方正魏碑_GBK" w:cs="方正魏碑_GBK"/>
          <w:color w:val="auto"/>
          <w:szCs w:val="24"/>
          <w:highlight w:val="none"/>
        </w:rPr>
      </w:pPr>
      <w:r>
        <w:rPr>
          <w:rFonts w:ascii="方正魏碑_GBK" w:hAnsi="方正魏碑_GBK" w:eastAsia="方正魏碑_GBK" w:cs="方正魏碑_GBK"/>
          <w:color w:val="auto"/>
          <w:szCs w:val="24"/>
          <w:highlight w:val="none"/>
        </w:rPr>
      </w:r>
      <w:r/>
    </w:p>
    <w:p>
      <w:pPr>
        <w:pStyle w:val="884"/>
        <w:ind w:firstLine="420"/>
        <w:spacing w:before="30" w:beforeAutospacing="0" w:after="30" w:afterAutospacing="0" w:line="360" w:lineRule="auto"/>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4"/>
        <w:ind w:firstLine="420"/>
        <w:spacing w:before="30" w:beforeAutospacing="0" w:after="30" w:afterAutospacing="0" w:line="360" w:lineRule="auto"/>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1.</w:t>
      </w:r>
      <w:r>
        <w:rPr>
          <w:rStyle w:val="895"/>
          <w:rFonts w:hint="eastAsia" w:ascii="宋体" w:hAnsi="宋体" w:cs="宋体"/>
          <w:i w:val="0"/>
          <w:color w:val="auto"/>
          <w:szCs w:val="21"/>
          <w:highlight w:val="none"/>
          <w:u w:val="single"/>
          <w:shd w:val="clear" w:color="auto" w:fill="ffffff"/>
        </w:rPr>
        <w:t xml:space="preserve">（产品名称1）</w:t>
      </w:r>
      <w:r>
        <w:rPr>
          <w:rStyle w:val="895"/>
          <w:rFonts w:hint="eastAsia" w:ascii="宋体" w:hAnsi="宋体" w:cs="宋体"/>
          <w:i w:val="0"/>
          <w:color w:val="auto"/>
          <w:szCs w:val="21"/>
          <w:highlight w:val="none"/>
          <w:u w:val="single"/>
          <w:shd w:val="clear" w:color="auto" w:fill="ffffff"/>
          <w:vertAlign w:val="superscript"/>
        </w:rPr>
        <w:t xml:space="preserve">1</w:t>
      </w:r>
      <w:r>
        <w:rPr>
          <w:rFonts w:hint="eastAsia" w:cs="宋体"/>
          <w:color w:val="auto"/>
          <w:sz w:val="21"/>
          <w:szCs w:val="21"/>
          <w:highlight w:val="none"/>
          <w:shd w:val="clear" w:color="auto" w:fill="ffffff"/>
        </w:rPr>
        <w:t xml:space="preserve">，生产厂为</w:t>
      </w:r>
      <w:r>
        <w:rPr>
          <w:rStyle w:val="895"/>
          <w:rFonts w:hint="eastAsia" w:ascii="宋体" w:hAnsi="宋体" w:cs="宋体"/>
          <w:i w:val="0"/>
          <w:color w:val="auto"/>
          <w:szCs w:val="21"/>
          <w:highlight w:val="none"/>
          <w:u w:val="single"/>
          <w:shd w:val="clear" w:color="auto" w:fill="ffffff"/>
        </w:rPr>
        <w:t xml:space="preserve">（厂名）</w:t>
      </w:r>
      <w:r>
        <w:rPr>
          <w:rStyle w:val="895"/>
          <w:rFonts w:hint="eastAsia" w:ascii="宋体" w:hAnsi="宋体" w:cs="宋体"/>
          <w:i w:val="0"/>
          <w:color w:val="auto"/>
          <w:szCs w:val="21"/>
          <w:highlight w:val="none"/>
          <w:u w:val="single"/>
          <w:shd w:val="clear" w:color="auto" w:fill="ffffff"/>
          <w:vertAlign w:val="superscript"/>
        </w:rPr>
        <w:t xml:space="preserve">2</w:t>
      </w:r>
      <w:r>
        <w:rPr>
          <w:rFonts w:hint="eastAsia" w:cs="宋体"/>
          <w:color w:val="auto"/>
          <w:sz w:val="21"/>
          <w:szCs w:val="21"/>
          <w:highlight w:val="none"/>
          <w:shd w:val="clear" w:color="auto" w:fill="ffffff"/>
        </w:rPr>
        <w:t xml:space="preserve">，厂址为</w:t>
      </w:r>
      <w:r>
        <w:rPr>
          <w:rStyle w:val="895"/>
          <w:rFonts w:hint="eastAsia" w:ascii="宋体" w:hAnsi="宋体" w:cs="宋体"/>
          <w:i w:val="0"/>
          <w:color w:val="auto"/>
          <w:szCs w:val="21"/>
          <w:highlight w:val="none"/>
          <w:u w:val="single"/>
          <w:shd w:val="clear" w:color="auto" w:fill="ffffff"/>
        </w:rPr>
        <w:t xml:space="preserve">（生产厂址）</w:t>
      </w:r>
      <w:r>
        <w:rPr>
          <w:rFonts w:hint="eastAsia" w:cs="宋体"/>
          <w:color w:val="auto"/>
          <w:sz w:val="21"/>
          <w:szCs w:val="21"/>
          <w:highlight w:val="none"/>
          <w:shd w:val="clear" w:color="auto" w:fill="ffffff"/>
        </w:rPr>
        <w:t xml:space="preserve">。</w:t>
      </w:r>
      <w:r>
        <w:rPr>
          <w:rStyle w:val="895"/>
          <w:rFonts w:hint="eastAsia" w:ascii="宋体" w:hAnsi="宋体" w:cs="宋体"/>
          <w:i w:val="0"/>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的中国境内生产的组件成本占比≥</w:t>
      </w:r>
      <w:r>
        <w:rPr>
          <w:rStyle w:val="895"/>
          <w:rFonts w:hint="eastAsia" w:ascii="宋体" w:hAnsi="宋体" w:cs="宋体"/>
          <w:i w:val="0"/>
          <w:color w:val="auto"/>
          <w:szCs w:val="21"/>
          <w:highlight w:val="none"/>
          <w:u w:val="single"/>
          <w:shd w:val="clear" w:color="auto" w:fill="ffffff"/>
        </w:rPr>
        <w:t xml:space="preserve">（规定比例）</w:t>
      </w:r>
      <w:r>
        <w:rPr>
          <w:rStyle w:val="895"/>
          <w:rFonts w:hint="eastAsia" w:ascii="宋体" w:hAnsi="宋体" w:cs="宋体"/>
          <w:i w:val="0"/>
          <w:color w:val="auto"/>
          <w:szCs w:val="21"/>
          <w:highlight w:val="none"/>
          <w:u w:val="single"/>
          <w:shd w:val="clear" w:color="auto" w:fill="ffffff"/>
          <w:vertAlign w:val="superscript"/>
        </w:rPr>
        <w:t xml:space="preserve">3</w:t>
      </w:r>
      <w:r>
        <w:rPr>
          <w:rFonts w:hint="eastAsia" w:cs="宋体"/>
          <w:color w:val="auto"/>
          <w:sz w:val="21"/>
          <w:szCs w:val="21"/>
          <w:highlight w:val="none"/>
          <w:shd w:val="clear" w:color="auto" w:fill="ffffff"/>
        </w:rPr>
        <w:t xml:space="preserve">。</w:t>
      </w:r>
      <w:r>
        <w:rPr>
          <w:rStyle w:val="895"/>
          <w:rFonts w:hint="eastAsia" w:ascii="宋体" w:hAnsi="宋体" w:cs="宋体"/>
          <w:i w:val="0"/>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w:t>
      </w:r>
      <w:r>
        <w:rPr>
          <w:rStyle w:val="895"/>
          <w:rFonts w:hint="eastAsia" w:ascii="宋体" w:hAnsi="宋体" w:cs="宋体"/>
          <w:i w:val="0"/>
          <w:color w:val="auto"/>
          <w:szCs w:val="21"/>
          <w:highlight w:val="none"/>
          <w:u w:val="single"/>
          <w:shd w:val="clear" w:color="auto" w:fill="ffffff"/>
        </w:rPr>
        <w:t xml:space="preserve">（关键组件）</w:t>
      </w:r>
      <w:r>
        <w:rPr>
          <w:rStyle w:val="895"/>
          <w:rFonts w:hint="eastAsia" w:ascii="宋体" w:hAnsi="宋体" w:cs="宋体"/>
          <w:i w:val="0"/>
          <w:color w:val="auto"/>
          <w:szCs w:val="21"/>
          <w:highlight w:val="none"/>
          <w:u w:val="single"/>
          <w:shd w:val="clear" w:color="auto" w:fill="ffffff"/>
          <w:vertAlign w:val="superscript"/>
        </w:rPr>
        <w:t xml:space="preserve">4</w:t>
      </w:r>
      <w:r>
        <w:rPr>
          <w:rFonts w:hint="eastAsia" w:cs="宋体"/>
          <w:color w:val="auto"/>
          <w:sz w:val="21"/>
          <w:szCs w:val="21"/>
          <w:highlight w:val="none"/>
          <w:shd w:val="clear" w:color="auto" w:fill="ffffff"/>
        </w:rPr>
        <w:t xml:space="preserve">在中国境内生产。</w:t>
      </w:r>
      <w:r>
        <w:rPr>
          <w:rStyle w:val="895"/>
          <w:rFonts w:hint="eastAsia" w:ascii="宋体" w:hAnsi="宋体" w:cs="宋体"/>
          <w:i w:val="0"/>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w:t>
      </w:r>
      <w:r>
        <w:rPr>
          <w:rStyle w:val="895"/>
          <w:rFonts w:hint="eastAsia" w:ascii="宋体" w:hAnsi="宋体" w:cs="宋体"/>
          <w:i w:val="0"/>
          <w:color w:val="auto"/>
          <w:szCs w:val="21"/>
          <w:highlight w:val="none"/>
          <w:u w:val="single"/>
          <w:shd w:val="clear" w:color="auto" w:fill="ffffff"/>
        </w:rPr>
        <w:t xml:space="preserve">（关键工序）</w:t>
      </w:r>
      <w:r>
        <w:rPr>
          <w:rStyle w:val="895"/>
          <w:rFonts w:hint="eastAsia" w:ascii="宋体" w:hAnsi="宋体" w:cs="宋体"/>
          <w:i w:val="0"/>
          <w:color w:val="auto"/>
          <w:szCs w:val="21"/>
          <w:highlight w:val="none"/>
          <w:u w:val="single"/>
          <w:shd w:val="clear" w:color="auto" w:fill="ffffff"/>
          <w:vertAlign w:val="superscript"/>
        </w:rPr>
        <w:t xml:space="preserve">5</w:t>
      </w:r>
      <w:r>
        <w:rPr>
          <w:rFonts w:hint="eastAsia" w:cs="宋体"/>
          <w:color w:val="auto"/>
          <w:sz w:val="21"/>
          <w:szCs w:val="21"/>
          <w:highlight w:val="none"/>
          <w:shd w:val="clear" w:color="auto" w:fill="ffffff"/>
        </w:rPr>
        <w:t xml:space="preserve">在中国境内完成。</w:t>
      </w:r>
      <w:r/>
    </w:p>
    <w:p>
      <w:pPr>
        <w:pStyle w:val="884"/>
        <w:ind w:firstLine="420"/>
        <w:spacing w:before="30" w:beforeAutospacing="0" w:after="30" w:afterAutospacing="0" w:line="360" w:lineRule="auto"/>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2.</w:t>
      </w:r>
      <w:r>
        <w:rPr>
          <w:rStyle w:val="895"/>
          <w:rFonts w:hint="eastAsia" w:ascii="宋体" w:hAnsi="宋体" w:cs="宋体"/>
          <w:i w:val="0"/>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，生产厂为</w:t>
      </w:r>
      <w:r>
        <w:rPr>
          <w:rStyle w:val="895"/>
          <w:rFonts w:hint="eastAsia" w:ascii="宋体" w:hAnsi="宋体" w:cs="宋体"/>
          <w:i w:val="0"/>
          <w:color w:val="auto"/>
          <w:szCs w:val="21"/>
          <w:highlight w:val="none"/>
          <w:u w:val="single"/>
          <w:shd w:val="clear" w:color="auto" w:fill="ffffff"/>
        </w:rPr>
        <w:t xml:space="preserve">（厂名）</w:t>
      </w:r>
      <w:r>
        <w:rPr>
          <w:rFonts w:hint="eastAsia" w:cs="宋体"/>
          <w:color w:val="auto"/>
          <w:sz w:val="21"/>
          <w:szCs w:val="21"/>
          <w:highlight w:val="none"/>
          <w:shd w:val="clear" w:color="auto" w:fill="ffffff"/>
        </w:rPr>
        <w:t xml:space="preserve">，厂址为</w:t>
      </w:r>
      <w:r>
        <w:rPr>
          <w:rStyle w:val="895"/>
          <w:rFonts w:hint="eastAsia" w:ascii="宋体" w:hAnsi="宋体" w:cs="宋体"/>
          <w:i w:val="0"/>
          <w:color w:val="auto"/>
          <w:szCs w:val="21"/>
          <w:highlight w:val="none"/>
          <w:u w:val="single"/>
          <w:shd w:val="clear" w:color="auto" w:fill="ffffff"/>
        </w:rPr>
        <w:t xml:space="preserve">（生产厂址）</w:t>
      </w:r>
      <w:r>
        <w:rPr>
          <w:rFonts w:hint="eastAsia" w:cs="宋体"/>
          <w:color w:val="auto"/>
          <w:sz w:val="21"/>
          <w:szCs w:val="21"/>
          <w:highlight w:val="none"/>
          <w:shd w:val="clear" w:color="auto" w:fill="ffffff"/>
        </w:rPr>
        <w:t xml:space="preserve">。</w:t>
      </w:r>
      <w:r>
        <w:rPr>
          <w:rStyle w:val="895"/>
          <w:rFonts w:hint="eastAsia" w:ascii="宋体" w:hAnsi="宋体" w:cs="宋体"/>
          <w:i w:val="0"/>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的中国境内生产的组件成本占比≥</w:t>
      </w:r>
      <w:r>
        <w:rPr>
          <w:rStyle w:val="895"/>
          <w:rFonts w:hint="eastAsia" w:ascii="宋体" w:hAnsi="宋体" w:cs="宋体"/>
          <w:i w:val="0"/>
          <w:color w:val="auto"/>
          <w:szCs w:val="21"/>
          <w:highlight w:val="none"/>
          <w:u w:val="single"/>
          <w:shd w:val="clear" w:color="auto" w:fill="ffffff"/>
        </w:rPr>
        <w:t xml:space="preserve">（规定比例）</w:t>
      </w:r>
      <w:r>
        <w:rPr>
          <w:rFonts w:hint="eastAsia" w:cs="宋体"/>
          <w:color w:val="auto"/>
          <w:sz w:val="21"/>
          <w:szCs w:val="21"/>
          <w:highlight w:val="none"/>
          <w:shd w:val="clear" w:color="auto" w:fill="ffffff"/>
        </w:rPr>
        <w:t xml:space="preserve">。</w:t>
      </w:r>
      <w:r>
        <w:rPr>
          <w:rStyle w:val="895"/>
          <w:rFonts w:hint="eastAsia" w:ascii="宋体" w:hAnsi="宋体" w:cs="宋体"/>
          <w:i w:val="0"/>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的</w:t>
      </w:r>
      <w:r>
        <w:rPr>
          <w:rStyle w:val="895"/>
          <w:rFonts w:hint="eastAsia" w:ascii="宋体" w:hAnsi="宋体" w:cs="宋体"/>
          <w:i w:val="0"/>
          <w:color w:val="auto"/>
          <w:szCs w:val="21"/>
          <w:highlight w:val="none"/>
          <w:u w:val="single"/>
          <w:shd w:val="clear" w:color="auto" w:fill="ffffff"/>
        </w:rPr>
        <w:t xml:space="preserve">（关键组件）</w:t>
      </w:r>
      <w:r>
        <w:rPr>
          <w:rFonts w:hint="eastAsia" w:cs="宋体"/>
          <w:color w:val="auto"/>
          <w:sz w:val="21"/>
          <w:szCs w:val="21"/>
          <w:highlight w:val="none"/>
          <w:shd w:val="clear" w:color="auto" w:fill="ffffff"/>
        </w:rPr>
        <w:t xml:space="preserve">在中国境内生产。</w:t>
      </w:r>
      <w:r>
        <w:rPr>
          <w:rStyle w:val="895"/>
          <w:rFonts w:hint="eastAsia" w:ascii="宋体" w:hAnsi="宋体" w:cs="宋体"/>
          <w:i w:val="0"/>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的</w:t>
      </w:r>
      <w:r>
        <w:rPr>
          <w:rStyle w:val="895"/>
          <w:rFonts w:hint="eastAsia" w:ascii="宋体" w:hAnsi="宋体" w:cs="宋体"/>
          <w:i w:val="0"/>
          <w:color w:val="auto"/>
          <w:szCs w:val="21"/>
          <w:highlight w:val="none"/>
          <w:u w:val="single"/>
          <w:shd w:val="clear" w:color="auto" w:fill="ffffff"/>
        </w:rPr>
        <w:t xml:space="preserve">（关键工序）</w:t>
      </w:r>
      <w:r>
        <w:rPr>
          <w:rFonts w:hint="eastAsia" w:cs="宋体"/>
          <w:color w:val="auto"/>
          <w:sz w:val="21"/>
          <w:szCs w:val="21"/>
          <w:highlight w:val="none"/>
          <w:shd w:val="clear" w:color="auto" w:fill="ffffff"/>
        </w:rPr>
        <w:t xml:space="preserve">在中国境内完成。</w:t>
      </w:r>
      <w:r/>
    </w:p>
    <w:p>
      <w:pPr>
        <w:pStyle w:val="884"/>
        <w:ind w:firstLine="420"/>
        <w:spacing w:before="30" w:beforeAutospacing="0" w:after="30" w:afterAutospacing="0" w:line="360" w:lineRule="auto"/>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w:t>
      </w:r>
      <w:r/>
    </w:p>
    <w:p>
      <w:pPr>
        <w:pStyle w:val="884"/>
        <w:ind w:firstLine="420"/>
        <w:spacing w:before="30" w:beforeAutospacing="0" w:after="30" w:afterAutospacing="0" w:line="360" w:lineRule="auto"/>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本公司（单位）对上述声明内容的真实性负责。如有虚假，愿承担相应法律责任。</w:t>
      </w:r>
      <w:r/>
    </w:p>
    <w:p>
      <w:pPr>
        <w:pStyle w:val="884"/>
        <w:spacing w:before="30" w:beforeAutospacing="0" w:after="30" w:afterAutospacing="0" w:line="480" w:lineRule="atLeast"/>
        <w:shd w:val="clear" w:color="auto" w:fill="ffffff"/>
        <w:rPr>
          <w:rFonts w:cs="宋体"/>
          <w:color w:val="auto"/>
          <w:sz w:val="21"/>
          <w:szCs w:val="21"/>
          <w:highlight w:val="none"/>
        </w:rPr>
      </w:pPr>
      <w:r>
        <w:rPr>
          <w:rFonts w:cs="宋体"/>
          <w:color w:val="auto"/>
          <w:sz w:val="21"/>
          <w:szCs w:val="21"/>
          <w:highlight w:val="none"/>
        </w:rPr>
      </w:r>
      <w:r/>
    </w:p>
    <w:p>
      <w:pPr>
        <w:pStyle w:val="884"/>
        <w:jc w:val="right"/>
        <w:spacing w:before="30" w:beforeAutospacing="0" w:after="30" w:afterAutospacing="0" w:line="480" w:lineRule="atLeast"/>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公司（单位）名称（盖章）：　</w:t>
      </w:r>
      <w:r/>
    </w:p>
    <w:p>
      <w:pPr>
        <w:pStyle w:val="884"/>
        <w:jc w:val="right"/>
        <w:spacing w:before="30" w:beforeAutospacing="0" w:after="30" w:afterAutospacing="0" w:line="480" w:lineRule="atLeast"/>
        <w:shd w:val="clear" w:color="auto" w:fill="ffffff"/>
        <w:rPr>
          <w:rFonts w:cs="宋体"/>
          <w:color w:val="auto"/>
          <w:szCs w:val="24"/>
          <w:highlight w:val="none"/>
        </w:rPr>
      </w:pPr>
      <w:r>
        <w:rPr>
          <w:rFonts w:hint="eastAsia" w:cs="宋体"/>
          <w:color w:val="auto"/>
          <w:sz w:val="21"/>
          <w:szCs w:val="21"/>
          <w:highlight w:val="none"/>
          <w:shd w:val="clear" w:color="auto" w:fill="ffffff"/>
        </w:rPr>
        <w:t xml:space="preserve">日期：　年　月　日</w:t>
      </w:r>
      <w:r/>
    </w:p>
    <w:p>
      <w:pPr>
        <w:jc w:val="center"/>
        <w:spacing w:before="30" w:after="30" w:line="0" w:lineRule="atLeast"/>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         </w:t>
      </w:r>
      <w:r/>
    </w:p>
    <w:p>
      <w:pPr>
        <w:spacing w:before="30" w:after="30" w:line="0" w:lineRule="atLeast"/>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p>
      <w:pPr>
        <w:spacing w:before="30" w:after="30"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1.产品如有型号，请在“产品名称”栏一并填写。</w:t>
      </w:r>
      <w:r/>
    </w:p>
    <w:p>
      <w:pPr>
        <w:spacing w:before="30" w:after="30"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2.生产厂名与厂址应与生产厂营业执照载明的相关信息保持一致。</w:t>
      </w:r>
      <w:r/>
    </w:p>
    <w:p>
      <w:pPr>
        <w:spacing w:before="30" w:after="30"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3.该产品的中国境内生产的组件成本占比相关要求实施前，“规定比例”栏可不填，下同。</w:t>
      </w:r>
      <w:r/>
    </w:p>
    <w:p>
      <w:pPr>
        <w:spacing w:before="30" w:after="30"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4.该产品的关键组件要求实施前，“关键组件”栏可不填，下同。</w:t>
      </w:r>
      <w:r/>
    </w:p>
    <w:p>
      <w:pPr>
        <w:spacing w:before="30" w:after="30"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5.该产品的关键工序要求实施前，“关键工序”栏可不填，下同。</w:t>
      </w:r>
      <w:r/>
    </w:p>
    <w:p>
      <w:pPr>
        <w:spacing w:before="100" w:after="100"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rPr>
          <w:rFonts w:ascii="宋体" w:hAnsi="宋体" w:cs="宋体"/>
          <w:color w:val="auto"/>
          <w:sz w:val="21"/>
          <w:szCs w:val="21"/>
          <w:highlight w:val="none"/>
        </w:rPr>
      </w:pPr>
      <w:r>
        <w:rPr>
          <w:rFonts w:ascii="宋体" w:hAnsi="宋体" w:cs="宋体"/>
          <w:color w:val="auto"/>
          <w:sz w:val="21"/>
          <w:szCs w:val="21"/>
          <w:highlight w:val="none"/>
        </w:rPr>
      </w:r>
      <w:r/>
    </w:p>
    <w:p>
      <w:pPr>
        <w:pStyle w:val="854"/>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pStyle w:val="854"/>
        <w:rPr>
          <w:rFonts w:ascii="宋体" w:hAnsi="宋体" w:cs="宋体"/>
          <w:color w:val="auto"/>
          <w:sz w:val="21"/>
          <w:szCs w:val="21"/>
          <w:highlight w:val="none"/>
        </w:rPr>
      </w:pPr>
      <w:r>
        <w:rPr>
          <w:rFonts w:ascii="宋体" w:hAnsi="宋体" w:cs="宋体"/>
          <w:color w:val="auto"/>
          <w:sz w:val="21"/>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31"/>
        <w:rPr>
          <w:color w:val="auto"/>
          <w:highlight w:val="none"/>
        </w:rPr>
      </w:pPr>
      <w:r>
        <w:rPr>
          <w:color w:val="auto"/>
          <w:highlight w:val="none"/>
        </w:rPr>
      </w:r>
      <w:r/>
    </w:p>
    <w:p>
      <w:pPr>
        <w:pStyle w:val="831"/>
        <w:rPr>
          <w:color w:val="auto"/>
          <w:sz w:val="36"/>
          <w:szCs w:val="36"/>
          <w:highlight w:val="none"/>
        </w:rPr>
      </w:pPr>
      <w:r>
        <w:rPr>
          <w:rFonts w:hint="eastAsia"/>
          <w:color w:val="auto"/>
          <w:highlight w:val="none"/>
        </w:rPr>
        <w:t xml:space="preserve">第四章  采购书</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受苏州市相城人民医院的委托，苏州市卫康招投标咨询服务有限公司作为采购代理机构，就其拟采购的苏州市相城区医疗信息化建设及配套设备采购安装进行国内公开招标。</w:t>
      </w:r>
      <w:r>
        <w:rPr>
          <w:rFonts w:hint="eastAsia" w:ascii="宋体" w:hAnsi="宋体" w:cs="宋体"/>
          <w:color w:val="auto"/>
          <w:sz w:val="21"/>
          <w:highlight w:val="none"/>
        </w:rPr>
        <w:t xml:space="preserve">欢迎符合招标公告资格条件的供应商前来报名参加投标。</w:t>
      </w:r>
      <w:r/>
    </w:p>
    <w:p>
      <w:pPr>
        <w:pStyle w:val="832"/>
        <w:rPr>
          <w:b w:val="0"/>
          <w:bCs w:val="0"/>
          <w:color w:val="auto"/>
          <w:highlight w:val="none"/>
        </w:rPr>
      </w:pPr>
      <w:r>
        <w:rPr>
          <w:rFonts w:hint="eastAsia"/>
          <w:color w:val="auto"/>
          <w:highlight w:val="none"/>
        </w:rPr>
        <w:t xml:space="preserve">一、项目编号：</w:t>
      </w:r>
      <w:r>
        <w:rPr>
          <w:rFonts w:hint="eastAsia"/>
          <w:b w:val="0"/>
          <w:color w:val="auto"/>
          <w:highlight w:val="none"/>
          <w:lang w:eastAsia="zh-CN"/>
        </w:rPr>
        <w:t xml:space="preserve">JSZC-320507-SZWK-G2026-0320</w:t>
      </w:r>
      <w:r>
        <w:rPr>
          <w:rFonts w:hint="eastAsia"/>
          <w:b w:val="0"/>
          <w:color w:val="auto"/>
          <w:highlight w:val="none"/>
        </w:rPr>
        <w:t xml:space="preserve">号</w:t>
      </w:r>
      <w:r/>
    </w:p>
    <w:p>
      <w:pPr>
        <w:pStyle w:val="832"/>
        <w:rPr>
          <w:b w:val="0"/>
          <w:bCs w:val="0"/>
          <w:color w:val="auto"/>
          <w:highlight w:val="none"/>
        </w:rPr>
      </w:pPr>
      <w:r>
        <w:rPr>
          <w:rFonts w:hint="eastAsia"/>
          <w:color w:val="auto"/>
          <w:highlight w:val="none"/>
        </w:rPr>
        <w:t xml:space="preserve">二、项目名称：</w:t>
      </w:r>
      <w:r>
        <w:rPr>
          <w:rFonts w:hint="eastAsia"/>
          <w:b w:val="0"/>
          <w:color w:val="auto"/>
          <w:highlight w:val="none"/>
        </w:rPr>
        <w:t xml:space="preserve">苏州市相城区医疗信息化建设及配套设备采购安装</w:t>
      </w:r>
      <w:r/>
    </w:p>
    <w:p>
      <w:pPr>
        <w:pStyle w:val="832"/>
        <w:rPr>
          <w:color w:val="auto"/>
          <w:highlight w:val="none"/>
        </w:rPr>
      </w:pPr>
      <w:r>
        <w:rPr>
          <w:rFonts w:hint="eastAsia"/>
          <w:color w:val="auto"/>
          <w:highlight w:val="none"/>
        </w:rPr>
        <w:t xml:space="preserve">三、预算金额及最高限价：</w:t>
      </w:r>
      <w:r>
        <w:rPr>
          <w:rFonts w:hint="eastAsia"/>
          <w:b w:val="0"/>
          <w:color w:val="auto"/>
          <w:highlight w:val="none"/>
        </w:rPr>
        <w:t xml:space="preserve">详见采购公告</w:t>
      </w:r>
      <w:r/>
    </w:p>
    <w:p>
      <w:pPr>
        <w:pStyle w:val="832"/>
        <w:rPr>
          <w:color w:val="auto"/>
          <w:highlight w:val="none"/>
        </w:rPr>
      </w:pPr>
      <w:r/>
      <w:bookmarkStart w:id="17" w:name="_Hlk183174478"/>
      <w:r>
        <w:rPr>
          <w:rFonts w:hint="eastAsia"/>
          <w:color w:val="auto"/>
          <w:highlight w:val="none"/>
        </w:rPr>
        <w:t xml:space="preserve">四、采购需求：</w:t>
      </w:r>
      <w:r/>
    </w:p>
    <w:p>
      <w:pPr>
        <w:pStyle w:val="833"/>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（一）项目背景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为贯彻落实国家及省、市关于紧密型县域医疗信息化建设工作部署，加快构建“基层首诊、双向转诊、急慢分治、上下联动”的分级诊疗体系，苏州市相城区已形成以三级医院为龙头、二级医院为支撑、基层医疗机构为网底的医疗卫生服务网络，区域医疗服务能力持续提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为进一步强化政府治理与数字化赋能，推进本区医疗健康信息与“健康相城”区级平台深度对接，实现数据互通、业务协同、监管高效，现启动县域医疗</w:t>
      </w:r>
      <w:r>
        <w:rPr>
          <w:rFonts w:hint="eastAsia" w:ascii="宋体" w:hAnsi="宋体" w:cs="宋体"/>
          <w:color w:val="auto"/>
          <w:sz w:val="21"/>
          <w:szCs w:val="21"/>
          <w:highlight w:val="none"/>
          <w:lang w:eastAsia="zh-CN"/>
        </w:rPr>
        <w:t xml:space="preserve">信息化</w:t>
      </w:r>
      <w:r>
        <w:rPr>
          <w:rFonts w:hint="eastAsia" w:ascii="宋体" w:hAnsi="宋体" w:cs="宋体"/>
          <w:color w:val="auto"/>
          <w:sz w:val="21"/>
          <w:szCs w:val="21"/>
          <w:highlight w:val="none"/>
        </w:rPr>
        <w:t xml:space="preserve">建设，通过统一标准、整合资源、优化服务流程，全面提升医疗服务质量与管理效能，切实满足群众就近享有优质高效医疗健康服务的需求。</w:t>
      </w:r>
      <w:r/>
    </w:p>
    <w:p>
      <w:pPr>
        <w:ind w:firstLine="422"/>
        <w:spacing w:line="440" w:lineRule="exact"/>
        <w:tabs>
          <w:tab w:val="left" w:pos="42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（二）建设目标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本项目以数据为核心、以协同为纽带，通过统一标准、资源共享、流程优化，全面提升县域医疗信息化互联互通与业务协同能力，实现县域居民就近享有优质、便捷、高效的医疗健康服务，支撑医疗信息化规范化管理与可持续运营，契合国家“强县域、强基层”的医改方向。</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1、软件产品部分</w:t>
      </w:r>
      <w:r/>
    </w:p>
    <w:tbl>
      <w:tblPr>
        <w:tblStyle w:val="841"/>
        <w:tblW w:w="8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3162"/>
        <w:gridCol w:w="3991"/>
        <w:gridCol w:w="815"/>
      </w:tblGrid>
      <w:tr>
        <w:trPr>
          <w:jc w:val="center"/>
          <w:trHeight w:val="0"/>
          <w:tblHeader/>
        </w:trPr>
        <w:tc>
          <w:tcPr>
            <w:shd w:val="clear" w:color="auto" w:fill="bebebe" w:themeFill="background1" w:themeFillShade="BF"/>
            <w:tcW w:w="0" w:type="auto"/>
            <w:vAlign w:val="center"/>
            <w:textDirection w:val="lrTb"/>
            <w:noWrap/>
          </w:tcPr>
          <w:p>
            <w:pPr>
              <w:ind w:left="0" w:right="0" w:firstLine="0"/>
              <w:jc w:val="center"/>
              <w:spacing w:line="240" w:lineRule="auto"/>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bebebe" w:themeFill="background1" w:themeFillShade="BF"/>
            <w:tcW w:w="3162" w:type="dxa"/>
            <w:vAlign w:val="center"/>
            <w:textDirection w:val="lrTb"/>
            <w:noWrap/>
          </w:tcPr>
          <w:p>
            <w:pPr>
              <w:ind w:left="0" w:right="0" w:firstLine="0"/>
              <w:jc w:val="center"/>
              <w:spacing w:line="240" w:lineRule="auto"/>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分类</w:t>
            </w:r>
            <w:r/>
          </w:p>
        </w:tc>
        <w:tc>
          <w:tcPr>
            <w:shd w:val="clear" w:color="auto" w:fill="bebebe" w:themeFill="background1" w:themeFillShade="BF"/>
            <w:tcW w:w="3991" w:type="dxa"/>
            <w:vAlign w:val="center"/>
            <w:textDirection w:val="lrTb"/>
            <w:noWrap/>
          </w:tcPr>
          <w:p>
            <w:pPr>
              <w:ind w:left="0" w:right="0" w:firstLine="0"/>
              <w:jc w:val="center"/>
              <w:spacing w:line="240" w:lineRule="auto"/>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系统/模块</w:t>
            </w:r>
            <w:r/>
          </w:p>
        </w:tc>
        <w:tc>
          <w:tcPr>
            <w:shd w:val="clear" w:color="auto" w:fill="bebebe" w:themeFill="background1" w:themeFillShade="BF"/>
            <w:tcW w:w="815" w:type="dxa"/>
            <w:vAlign w:val="center"/>
            <w:textDirection w:val="lrTb"/>
            <w:noWrap/>
          </w:tcPr>
          <w:p>
            <w:pPr>
              <w:ind w:left="0" w:right="0" w:firstLine="0"/>
              <w:jc w:val="center"/>
              <w:spacing w:line="240" w:lineRule="auto"/>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数量</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W w:w="3162" w:type="dxa"/>
            <w:vAlign w:val="center"/>
            <w:vMerge w:val="restart"/>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区域平台及医疗大数据中心</w:t>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数据中台</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医疗大数据中心服务</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区域医疗建设发展指数分析</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区域OFD-H集中管理平台</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可信数据空间</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一体化协同管理中台</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ffffff"/>
            <w:tcW w:w="3162" w:type="dxa"/>
            <w:vAlign w:val="center"/>
            <w:vMerge w:val="restart"/>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区级AI能力中心场景适配服务新建</w:t>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医疗大模型底座</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医防融合</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临床辅助诊疗</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病历智能助手</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AI影像辅助诊断</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中医智能辅诊</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auto" w:fill="ffffff"/>
            <w:tcW w:w="3162" w:type="dxa"/>
            <w:vAlign w:val="center"/>
            <w:vMerge w:val="restart"/>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医疗协同应用中心建设</w:t>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区域影像中心升级</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区域心电中心升级（含区域卒中和胸痛中心）</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区域检验中心</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区域病理中心</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区域预约资源中心</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双向转诊中心</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远程会诊中心</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区域审方中心</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共享中药房</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慢病防治中心</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肿瘤防治中心</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医疗协同平台区级场景适配服务</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消毒供应中心</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shd w:val="clear" w:color="auto" w:fill="ffffff"/>
            <w:tcW w:w="3162" w:type="dxa"/>
            <w:vAlign w:val="center"/>
            <w:vMerge w:val="restart"/>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综合监测中心</w:t>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区域医疗信息化综合监管</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27</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领导驾驶舱</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28</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医疗卫生智慧监管平台</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29</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医疗卫生人力资源管理系统</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shd w:val="clear" w:color="auto" w:fill="ffffff"/>
            <w:tcW w:w="3162"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数智赋能便民服务应用提升</w:t>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互联网医院平台</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w:t>
            </w:r>
            <w:r/>
          </w:p>
        </w:tc>
        <w:tc>
          <w:tcPr>
            <w:shd w:val="clear" w:color="auto" w:fill="ffffff"/>
            <w:tcW w:w="3162" w:type="dxa"/>
            <w:vAlign w:val="center"/>
            <w:vMerge w:val="restart"/>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系统接入改造</w:t>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三级医院对接</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二级医院对接</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江苏省平台对接</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0" w:type="auto"/>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苏州市平台对接</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r>
        <w:trPr>
          <w:jc w:val="center"/>
          <w:trHeight w:val="0"/>
        </w:trPr>
        <w:tc>
          <w:tcPr>
            <w:shd w:val="clear" w:color="auto" w:fill="ffffff"/>
            <w:tcW w:w="638"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shd w:val="clear" w:color="auto" w:fill="ffffff"/>
            <w:tcW w:w="3162" w:type="dxa"/>
            <w:vAlign w:val="center"/>
            <w:vMerge w:val="continue"/>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3991" w:type="dxa"/>
            <w:vAlign w:val="center"/>
            <w:textDirection w:val="lrTb"/>
            <w:noWrap w:val="false"/>
          </w:tcPr>
          <w:p>
            <w:pPr>
              <w:ind w:left="0" w:right="0" w:firstLine="0"/>
              <w:jc w:val="left"/>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基层医疗机构对接</w:t>
            </w:r>
            <w:r/>
          </w:p>
        </w:tc>
        <w:tc>
          <w:tcPr>
            <w:shd w:val="clear" w:color="auto" w:fill="ffffff"/>
            <w:tcW w:w="815" w:type="dxa"/>
            <w:vAlign w:val="center"/>
            <w:textDirection w:val="lrTb"/>
            <w:noWrap/>
          </w:tcPr>
          <w:p>
            <w:pPr>
              <w:ind w:left="0" w:right="0" w:firstLine="0"/>
              <w:jc w:val="center"/>
              <w:spacing w:line="24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r>
    </w:tbl>
    <w:p>
      <w:pPr>
        <w:ind w:left="420"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2、硬件产品部分</w:t>
      </w:r>
      <w:r/>
    </w:p>
    <w:tbl>
      <w:tblPr>
        <w:tblStyle w:val="841"/>
        <w:tblW w:w="8603" w:type="dxa"/>
        <w:jc w:val="center"/>
        <w:tblLayout w:type="autofit"/>
        <w:tblCellMar>
          <w:left w:w="108" w:type="dxa"/>
          <w:top w:w="0" w:type="dxa"/>
          <w:right w:w="108" w:type="dxa"/>
          <w:bottom w:w="0" w:type="dxa"/>
        </w:tblCellMar>
        <w:tblLook w:val="04A0" w:firstRow="1" w:lastRow="0" w:firstColumn="1" w:lastColumn="0" w:noHBand="0" w:noVBand="1"/>
      </w:tblPr>
      <w:tblGrid>
        <w:gridCol w:w="926"/>
        <w:gridCol w:w="5814"/>
        <w:gridCol w:w="927"/>
        <w:gridCol w:w="936"/>
      </w:tblGrid>
      <w:tr>
        <w:trPr>
          <w:jc w:val="center"/>
          <w:tblHeader/>
        </w:trPr>
        <w:tc>
          <w:tcPr>
            <w:shd w:val="clear" w:color="auto" w:fill="d7d7d7"/>
            <w:tcBorders>
              <w:top w:val="single" w:color="000000" w:sz="8" w:space="0"/>
              <w:left w:val="single" w:color="000000" w:sz="8" w:space="0"/>
              <w:bottom w:val="single" w:color="000000" w:sz="8" w:space="0"/>
              <w:right w:val="single" w:color="000000" w:sz="8" w:space="0"/>
            </w:tcBorders>
            <w:tcW w:w="92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序号</w:t>
            </w:r>
            <w:r/>
          </w:p>
        </w:tc>
        <w:tc>
          <w:tcPr>
            <w:shd w:val="clear" w:color="auto" w:fill="d7d7d7"/>
            <w:tcBorders>
              <w:top w:val="single" w:color="000000" w:sz="8" w:space="0"/>
              <w:left w:val="single" w:color="000000" w:sz="8" w:space="0"/>
              <w:bottom w:val="single" w:color="000000" w:sz="8" w:space="0"/>
              <w:right w:val="single" w:color="000000" w:sz="8" w:space="0"/>
            </w:tcBorders>
            <w:tcW w:w="5814"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名称</w:t>
            </w:r>
            <w:r/>
          </w:p>
        </w:tc>
        <w:tc>
          <w:tcPr>
            <w:shd w:val="clear" w:color="auto" w:fill="d7d7d7"/>
            <w:tcBorders>
              <w:top w:val="single" w:color="000000" w:sz="8"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数量</w:t>
            </w:r>
            <w:r/>
          </w:p>
        </w:tc>
        <w:tc>
          <w:tcPr>
            <w:shd w:val="clear" w:color="auto" w:fill="d7d7d7"/>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单位</w:t>
            </w:r>
            <w:r/>
          </w:p>
        </w:tc>
      </w:tr>
      <w:tr>
        <w:trPr>
          <w:jc w:val="center"/>
        </w:trPr>
        <w:tc>
          <w:tcPr>
            <w:gridSpan w:val="4"/>
            <w:shd w:val="clear" w:color="auto" w:fill="auto"/>
            <w:tcBorders>
              <w:top w:val="none" w:color="000000" w:sz="4" w:space="0"/>
              <w:left w:val="single" w:color="000000" w:sz="8" w:space="0"/>
              <w:bottom w:val="single" w:color="000000" w:sz="8" w:space="0"/>
              <w:right w:val="single" w:color="000000" w:sz="8" w:space="0"/>
            </w:tcBorders>
            <w:tcW w:w="8603"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一、计算存储资源</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核心交换机</w:t>
            </w:r>
            <w:r/>
          </w:p>
        </w:tc>
        <w:tc>
          <w:tcPr>
            <w:shd w:val="clear" w:color="auto" w:fill="auto"/>
            <w:tcBorders>
              <w:top w:val="single" w:color="000000" w:sz="8"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外网核心交换机</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区域影像分布式存储系统</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全闪存储</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存储交换机</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万兆业务交换机</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lang w:bidi="ar"/>
              </w:rPr>
              <w:t xml:space="preserve">双活核心存储</w:t>
            </w:r>
            <w:r>
              <w:rPr>
                <w:rFonts w:hint="eastAsia" w:ascii="宋体" w:hAnsi="宋体" w:cs="宋体"/>
                <w:b/>
                <w:bCs/>
                <w:color w:val="auto"/>
                <w:sz w:val="21"/>
                <w:szCs w:val="21"/>
                <w:highlight w:val="none"/>
                <w:lang w:eastAsia="zh-CN" w:bidi="ar"/>
              </w:rPr>
              <w:t xml:space="preserve">（</w:t>
            </w:r>
            <w:r>
              <w:rPr>
                <w:rFonts w:hint="eastAsia" w:ascii="宋体" w:hAnsi="宋体" w:cs="宋体"/>
                <w:b/>
                <w:bCs/>
                <w:color w:val="auto"/>
                <w:sz w:val="21"/>
                <w:szCs w:val="21"/>
                <w:highlight w:val="none"/>
                <w:lang w:val="en-US" w:eastAsia="zh-CN" w:bidi="ar"/>
              </w:rPr>
              <w:t xml:space="preserve">核心产品</w:t>
            </w:r>
            <w:r>
              <w:rPr>
                <w:rFonts w:hint="eastAsia" w:ascii="宋体" w:hAnsi="宋体" w:cs="宋体"/>
                <w:b/>
                <w:bCs/>
                <w:color w:val="auto"/>
                <w:sz w:val="21"/>
                <w:szCs w:val="21"/>
                <w:highlight w:val="none"/>
                <w:lang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运维监控平台</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隔离区网络数据交换机</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隔离存储</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隔离区管理交换机</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容灾存储</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存储交换机</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万兆业务交换机</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gridSpan w:val="4"/>
            <w:shd w:val="clear" w:color="auto" w:fill="auto"/>
            <w:tcBorders>
              <w:top w:val="none" w:color="000000" w:sz="4" w:space="0"/>
              <w:left w:val="single" w:color="000000" w:sz="8" w:space="0"/>
              <w:bottom w:val="single" w:color="000000" w:sz="8" w:space="0"/>
              <w:right w:val="single" w:color="000000" w:sz="8" w:space="0"/>
            </w:tcBorders>
            <w:tcW w:w="8603"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二、网络安全</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专网防火墙</w:t>
            </w:r>
            <w:r/>
          </w:p>
        </w:tc>
        <w:tc>
          <w:tcPr>
            <w:shd w:val="clear" w:color="auto" w:fill="auto"/>
            <w:tcBorders>
              <w:top w:val="single" w:color="000000" w:sz="8"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运维审计系统</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数据库审计</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安全隔离网闸</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流量采集探针</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VPN</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边界防火墙</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gridSpan w:val="4"/>
            <w:shd w:val="clear" w:color="auto" w:fill="auto"/>
            <w:tcBorders>
              <w:top w:val="none" w:color="000000" w:sz="4" w:space="0"/>
              <w:left w:val="single" w:color="000000" w:sz="8" w:space="0"/>
              <w:bottom w:val="single" w:color="000000" w:sz="8" w:space="0"/>
              <w:right w:val="single" w:color="000000" w:sz="8" w:space="0"/>
            </w:tcBorders>
            <w:tcW w:w="8603"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三、数据安全</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数据水印模块</w:t>
            </w:r>
            <w:r/>
          </w:p>
        </w:tc>
        <w:tc>
          <w:tcPr>
            <w:shd w:val="clear" w:color="auto" w:fill="auto"/>
            <w:tcBorders>
              <w:top w:val="single" w:color="000000" w:sz="8"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静态脱敏模块</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动态脱敏模块</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gridSpan w:val="4"/>
            <w:shd w:val="clear" w:color="auto" w:fill="auto"/>
            <w:tcBorders>
              <w:top w:val="none" w:color="000000" w:sz="4" w:space="0"/>
              <w:left w:val="single" w:color="000000" w:sz="8" w:space="0"/>
              <w:bottom w:val="single" w:color="000000" w:sz="8" w:space="0"/>
              <w:right w:val="single" w:color="000000" w:sz="8" w:space="0"/>
            </w:tcBorders>
            <w:tcW w:w="8603"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四、密码安全</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val="false"/>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全密码服务平台</w:t>
            </w:r>
            <w:r/>
          </w:p>
        </w:tc>
        <w:tc>
          <w:tcPr>
            <w:shd w:val="clear" w:color="auto" w:fill="auto"/>
            <w:tcBorders>
              <w:top w:val="single" w:color="000000" w:sz="8"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val="false"/>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SSL安全网关</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val="false"/>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云服务器密码机</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val="false"/>
          </w:tcPr>
          <w:p>
            <w:pPr>
              <w:jc w:val="center"/>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28</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视频安全网关</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val="false"/>
          </w:tcPr>
          <w:p>
            <w:pPr>
              <w:jc w:val="center"/>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29</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数字证书认证系统</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val="false"/>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3</w:t>
            </w:r>
            <w:r>
              <w:rPr>
                <w:rFonts w:hint="eastAsia" w:ascii="宋体" w:hAnsi="宋体" w:cs="宋体"/>
                <w:color w:val="auto"/>
                <w:sz w:val="21"/>
                <w:szCs w:val="21"/>
                <w:highlight w:val="none"/>
                <w:lang w:val="en-US" w:eastAsia="zh-CN"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移动端认证模块</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val="false"/>
          </w:tcPr>
          <w:p>
            <w:pPr>
              <w:jc w:val="center"/>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bidi="ar"/>
              </w:rPr>
              <w:t xml:space="preserve">3</w:t>
            </w:r>
            <w:r>
              <w:rPr>
                <w:rFonts w:hint="eastAsia" w:ascii="宋体" w:hAnsi="宋体" w:cs="宋体"/>
                <w:color w:val="auto"/>
                <w:sz w:val="21"/>
                <w:szCs w:val="21"/>
                <w:highlight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国密浏览器</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200</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val="false"/>
          </w:tcPr>
          <w:p>
            <w:pPr>
              <w:jc w:val="center"/>
              <w:rPr>
                <w:rFonts w:hint="eastAsia" w:ascii="宋体" w:hAnsi="宋体" w:cs="宋体" w:eastAsiaTheme="minorEastAsia"/>
                <w:color w:val="auto"/>
                <w:sz w:val="21"/>
                <w:szCs w:val="21"/>
                <w:highlight w:val="none"/>
                <w:lang w:val="en-US" w:eastAsia="zh-CN" w:bidi="ar"/>
              </w:rPr>
            </w:pPr>
            <w:r>
              <w:rPr>
                <w:rFonts w:hint="eastAsia" w:ascii="宋体" w:hAnsi="宋体" w:cs="宋体"/>
                <w:color w:val="auto"/>
                <w:sz w:val="21"/>
                <w:szCs w:val="21"/>
                <w:highlight w:val="none"/>
                <w:lang w:bidi="ar"/>
              </w:rPr>
              <w:t xml:space="preserve">3</w:t>
            </w:r>
            <w:r>
              <w:rPr>
                <w:rFonts w:hint="eastAsia" w:ascii="宋体" w:hAnsi="宋体" w:cs="宋体"/>
                <w:color w:val="auto"/>
                <w:sz w:val="21"/>
                <w:szCs w:val="21"/>
                <w:highlight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站点证书</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hint="eastAsia" w:ascii="宋体" w:hAnsi="宋体" w:cs="宋体" w:eastAsiaTheme="minorEastAsia"/>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hint="default" w:ascii="宋体" w:hAnsi="宋体" w:cs="宋体" w:eastAsiaTheme="minorEastAsia"/>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套</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926" w:type="dxa"/>
            <w:vAlign w:val="center"/>
            <w:textDirection w:val="lrTb"/>
            <w:noWrap w:val="false"/>
          </w:tcPr>
          <w:p>
            <w:pPr>
              <w:jc w:val="center"/>
              <w:rPr>
                <w:rFonts w:hint="default" w:ascii="宋体" w:hAnsi="宋体" w:cs="宋体" w:eastAsiaTheme="minorEastAsia"/>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33</w:t>
            </w:r>
            <w:r/>
          </w:p>
        </w:tc>
        <w:tc>
          <w:tcPr>
            <w:shd w:val="clear" w:color="auto" w:fill="auto"/>
            <w:tcBorders>
              <w:top w:val="none" w:color="000000" w:sz="4" w:space="0"/>
              <w:left w:val="single" w:color="000000" w:sz="8" w:space="0"/>
              <w:bottom w:val="single" w:color="000000" w:sz="8" w:space="0"/>
              <w:right w:val="single" w:color="000000" w:sz="8" w:space="0"/>
            </w:tcBorders>
            <w:tcW w:w="5814" w:type="dxa"/>
            <w:vAlign w:val="center"/>
            <w:textDirection w:val="lrTb"/>
            <w:noWrap w:val="false"/>
          </w:tcPr>
          <w:p>
            <w:pPr>
              <w:numPr>
                <w:ilvl w:val="0"/>
                <w:numId w:val="0"/>
              </w:numPr>
              <w:jc w:val="both"/>
              <w:spacing w:line="360" w:lineRule="auto"/>
              <w:tabs>
                <w:tab w:val="left" w:pos="0" w:leader="none"/>
              </w:tabs>
              <w:rPr>
                <w:rFonts w:hint="eastAsia" w:ascii="宋体" w:hAnsi="宋体" w:cs="宋体"/>
                <w:color w:val="auto"/>
                <w:sz w:val="21"/>
                <w:szCs w:val="21"/>
                <w:highlight w:val="none"/>
                <w:lang w:bidi="ar"/>
              </w:rPr>
            </w:pPr>
            <w:r>
              <w:rPr>
                <w:rFonts w:hint="eastAsia" w:ascii="宋体" w:hAnsi="宋体"/>
                <w:color w:val="auto"/>
                <w:sz w:val="21"/>
                <w:szCs w:val="21"/>
                <w:highlight w:val="none"/>
              </w:rPr>
              <w:t xml:space="preserve">机柜租赁服务</w:t>
            </w:r>
            <w:r/>
          </w:p>
        </w:tc>
        <w:tc>
          <w:tcPr>
            <w:shd w:val="clear" w:color="auto" w:fill="auto"/>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jc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年</w:t>
            </w:r>
            <w:r/>
          </w:p>
        </w:tc>
      </w:tr>
    </w:tbl>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（四）总体要求</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1、按照区域医疗信息化建设规范与核心建设内容要求，全面构建区域医疗协同发展新格局：通过统一数据标准与接口体系，实现全域医疗、政务监管及便民服务数据的互联互通，深度对接“健康相城”、苏州市卫生信息平台及“苏周到”“健康苏州掌上行”“苏州医保”等市级便民渠道，完成数据回流、医保监管、卫生管理和综合运营监测等政府治理功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建成覆盖医院业务与专科协同的一体化网络，形成区域业务快速响应与闭环管理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同时，严格对标国家及省市区域医疗信息化建设指南，推动电子病历、检验检查结果与健康档案的跨机构互认共享，落实双向转诊、远程会诊、互联网线上服务与公卫数据上报等业务协同要求，确保线上线下就医服务同质同待，全面满足卫健部门数据报送与业务监管规范，为区域医疗信息化高质量发展提供坚实支撑</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2、本项目紧密对标国家、省、市区域医疗信息化建设政策导向与医疗数字化发展趋势，充分满足相城区当前及未来3–5年区域医疗信息化一体化运营、业务协同、AI赋能、便民惠民、精细化管理需求，整体设计贴合区域医疗体系架构，突出医防融合、中医特色、基层首诊、分级诊疗建设特点</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3、项目整体采用国内主流微服务、云原生、B/S架构，统一技术标准、接口规范与数据模型，降低部署、集成与运维复杂度，全面遵循国家、江苏省及苏州市医疗卫生信息化相关标准、规范与指南</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4、软件系统成熟、稳定和高效，功能模块齐全，符合应用规范，满足业务需求</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5、全面满足信创国产化要求，系统具备完善的国产化兼容互认能力，支持国产服务器、国产虚拟化/超融合平台、国产服务器操作系统、国产数据库、国产中间件、国产客户端操作系统、国产浏览器全面适配</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区域医疗信息化核心业务系统须稳定运行于信创环境，满足自主可控、安全可信要求，适配2027年前全面国产化替代政策</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6、系统效率要求，在各类服务器及网络环境运行稳定状态良好的前提下，核心业务系统功能打开操作响应时间应及时</w:t>
      </w:r>
      <w:r>
        <w:rPr>
          <w:rFonts w:hint="eastAsia" w:ascii="宋体" w:hAnsi="宋体" w:cs="宋体"/>
          <w:color w:val="auto"/>
          <w:sz w:val="21"/>
          <w:szCs w:val="21"/>
          <w:highlight w:val="none"/>
          <w:lang w:eastAsia="zh-CN"/>
        </w:rPr>
        <w:t xml:space="preserve">；</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（五）软件部分建设内容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1医疗大数据中心建设要求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1.1数据中台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1.1.1实时数据同步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构建低延时、高吞吐的实时数据同步链路，支持多种数据库连接，支撑相城区人民医院、二级医院及基层医疗机构等医疗卫生机构将业务系统中的原始数据同步到医疗大数据中心。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1.1.1.1数据同步链路一</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数据同步链路一通过解析源端数据库日志方式，实现医疗卫生机构全量和增量数据实时同步至中心数据库。</w:t>
      </w:r>
      <w:r/>
    </w:p>
    <w:p>
      <w:pPr>
        <w:ind w:firstLine="420"/>
        <w:spacing w:line="440" w:lineRule="exact"/>
        <w:tabs>
          <w:tab w:val="left" w:pos="420" w:leader="none"/>
        </w:tabs>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rPr>
        <w:t xml:space="preserve">支持多种数据库类型连接</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支持实时数据同步，支持通过解析源端数据库日志实现同构、异构数据库之间实时同步，支持源端与目标端数据同步链路的配置，支持库、表同步对象的配置。支持对数据库的全量与增量同步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支持查看执行记录与异常日志。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1.1.1.2数据同步链路二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同步链路二首先通过整库迁移方式，实现医疗卫生机构全量数据同步至中心数据库。然后通过解析源端数据库日志与消息队列流处理方式，实现医疗卫生机构增量数据实时同步至中心数据库。同时支持通过离线同步方式实现增量数据同步。</w:t>
      </w:r>
      <w:r/>
    </w:p>
    <w:p>
      <w:pPr>
        <w:ind w:firstLine="420"/>
        <w:spacing w:line="440" w:lineRule="exact"/>
        <w:tabs>
          <w:tab w:val="left" w:pos="420" w:leader="none"/>
        </w:tabs>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支持多种数据库类型连接</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支持整库或选表迁移，提供同构、异构数据源之间的一次性离线全量同步能力。支持一键新建目标表，支持自定义目标表名、配置建表规则、新增扩展字段、预览并修改建表语句。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支持实时数据同步，支持通过解析源端数据库日志中的数据变更或消息队列流处理，将源端数据实时同步至目标端。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支持离线同步，提供数据过滤与清洗、数据转换与脱敏、源端抽取策略配置与分片配置、目标端写入策略配置与字段映射，支持周期调度策略配置。支持API格式数据解析入库。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支持查看执行记录与异常日志。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1.1.2数据资源中心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1.1.2.1数仓分层架构</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支持分层设计的数据仓库架构</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1.1.2.2数仓设计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支持分层数据的管理与协同处理，提高数据整合效率和分析性能。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1.1.2.3数据源管理</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支持对接多种数据源，具备数据实时或准实时接入能力</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支持与分布式存储系统及主流关系型数据库的数据交互与导入能力</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支持统一的数据接入与处理机制，能够实现对大规模数据文件的高效加载与处理。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1.1.2.4数据导出</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支持通过标准接口（如JDBC等）与外部系统进行数据交互，满足数据查询与导出需求</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支持与主流数据处理框架（如流处理、批处理框架等）集成，实现高效的数据读取与交换</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支持多种通用数据格式（如文本格式等）的数据导出能力。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1.1.2.5资源管理</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支持对计算及存储资源的统一管理与调度，具备多租户资源隔离与分配能力</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支持资源的动态扩展与调整，能够在业务运行过程中实现资源的平滑扩展与管理。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1.1.2.6数据管理</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支持数据分层管理机制</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支持在系统扩展或调整过程中，自动完成数据的均衡分布与优化，提高整体资源利用效率。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1.1.2.7数据模型开发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支持针对不同的查询方式，构建不同的数据模型，保证最优查询性能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1.1.2.8查询引擎</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支持高并发查询处理能力</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支持查询优化机制，能够减少重复计算，提高资源利用效率。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1.1.2.9分布式Join</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支持分布式环境下的关联查询处理能力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支持查询优化机制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支持在大数据量场景下进行高效的数据关联计算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1.1.2.10实时更新</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支持数据的实时或准实时更新处理能力</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支持基于关键字段的数据更新机制</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支持对数据更新过程的顺序与一致性进行控制</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支持多种数据接入方式</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支持数据的新增、修改及删除等操作，满足数据全生命周期管理需求。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1.1.2.11联邦查询</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支持跨多种数据源的统一查询能力</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支持跨数据源的数据关联分析</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支持查询优化机制，能够提升跨源查询性能，降低系统资源消耗。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1.1.2.12极速查询分析</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支持高性能的数据分析与查询处理能力</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支持高效的并行处理与资源利用机制</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支持智能查询优化能力</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支持在高并发或高负载场景下的资源调度与优化机制</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支持数据去重、数据转换（如行列转换）及聚合分析等多种数据处理能力</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支持查询结果缓存及优化机制。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1.1.2.13物化视图</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支持对数据进行预计算与缓存处理</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支持对单表或多表数据进行增量更新与定期刷新</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支持多种数据刷新策略和执行机制</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支持跨数据源的数据预计算与查询加速</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支持数据聚合、去重及统计计算能力。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1.1.2.14复杂数据类型</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支持处理半结构化或复杂数据类型</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支持集合运算及灵活的数据计算能力</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1.1.2.15函数支持</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提供丰富的数据处理与分析函数，支持多样化查询与计算需求</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支持半结构化数据类型的函数操作</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支持用户自定义函数扩展。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1.1.2.16数据安全</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支持基于角色的访问控制及权限管理</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支持敏感数据保护措施</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支持查询操作及系统操作审计</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支持数据传输安全及系统安全策略配置。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1.1.2.17查询可观测</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支持对查询执行过程进行监控与分析</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支持多种可视化分析手段。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1.1.2.18资源监控与告警</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支持系统资源和服务状态的监控与管理</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支持系统故障分析与诊断</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支持核心性能指标的采集与查看。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1.1.2.19磁盘溢写保护</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支持对存储资源的有效管理与保护</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支持临时数据或中间计算结果的自动管理与清理。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1.1.2.20集群高可用</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支持系统关键元数据和业务数据的高可用部署</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支持数据副本及冗余机制。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1.1.2.21日志审计</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支持系统操作和业务操作的安全审计</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支持审计日志的配置与管理。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1.1.2.22集群管理</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支持对集群中的管理节点及计算节点进行统一管理与维护</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支持集群及节点软件版本的管理</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支持集群扩缩容管理。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1.1.2.23黑名单管理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支持对不允许执行的操作或语句进行管控。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1.1.2.24备份恢复</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支持对业务数据进行完整备份与恢复</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支持备份策略的配置与管理。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1.1.2.25业务主题库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指标主题库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根据业务场景建立各类数据模型，并存储相应的指标。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共享文档库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采用分布式文件存储方式，构建符合要求的区域共享文档库。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1.1.3标准管理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通过制定区域医疗信息化数据集规范，定义标准表、标准码表，保证各医疗卫生机构或各业务系统之间对数据的统一理解。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1.1.3.1标准文档管理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支持标准文档管理。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1.1.3.2标准表管理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支持定义标准表的基本信息和字段。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支持标准数据项管理。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1.1.3.3标准码表管理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支持定义字典的基本信息和字典项取值范围。</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1.1.3.4数据建模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支持数据模型管理，支持模型字段管理，支持引用标准表。支持将模型物理化发布至指定的数据库中。</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支持根据数据标准自动生成质量规则。</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支持对已发布模型的管理。支持模型数据预览。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1.1.4数据标准对照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依据区域医疗信息化数据集规范，进行数据标准化处理。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1.1.4.1数据源管理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多数据源支持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支持关系型数据库、大规模并行处理分析型数据库、消息队列和API类型的数据源。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支持连通性测试和周期连通性检查。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支持查询数据库类型数据源的库表结构，支持自定义查询类SQL语句并展示查询结果。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数据比对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支持创建单表或多表的数据比对任务，支持比对时间戳字段与比对时间范围的配置，针对源表和目标表之间的表数据行数差异进行一致性比对。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支持查看数据比对任务的执行记录与异常日志。支持查看单张表的数据比对情况。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1.1.4.2数据标化</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标化管理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支持通过普通视图或物化视图两种方式创建数据标化SQL，支持物化视图的刷新频率、刷新时间间隔、分区配置。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支持数据标化SQL测试。支持SQL语句的格式化处理。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支持查看关联标准表的字典映射关系与对照状态。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数据转码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支持创建数据转码任务，提供关联标化、源端抽取策略、目标端写入策略配置，支持周期调度策略配置</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支持查看数据转码任务的执行记录与异常日志。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1.1.4.3字典对照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原始码表管理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支持原始字典管理。支持手动新增、自动提取两种方式创建原始字典，支持关联标化并自动提取标化表的原始字典。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值域字典对照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支持管理原始字典与标准字典的关联对照关系。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1.1.5数据质量管理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支持依据数据集规范，创建数据质量规则及质量方案，周期性进行质检，定位分析质量问题。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1.1.5.1质量规则</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规则维度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支持质检维度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规则模板</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提供通用规则逻辑。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规则管理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支持质量规则管理。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1.1.5.2质量方案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支持质量方案管理，支持配置质检的数据范围，支持周期调度策略配置。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支持查看质量任务的执行记录与异常日志，支持查看质量任务的质检结果。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1.1.5.3质量报告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支持质量报告管理。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1.1.6元数据管理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通过构建元数据管理体系，实现元数据采集、管理和检索查看。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1.1.6.1数据地图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支持对数据资源进行检索查看。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1.1.6.2元数据采集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支持创建元数据采集任务，支持周期调度策略配置。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支持查看元数据采集任务的采集记录与异常日志。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1.1.6.3数据目录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支持从技术视角、业务视角展示资源目录。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支持查看表、字段、任务、API之间的上下游血缘关系，展示全链路数据流向。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1.1.7主数据管理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通过构建主数据模型，建设区域医疗信息化主数据库。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主数据模型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支持定义主数据模型的主数据源、字段等信息。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支持将主数据模型版本物理化发布至指定的数据库中，支持主数据模型版本管理。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主数据维护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支持主数据明细数据查询、新增、编辑、删除、导入、导出。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1.1.8数据开发管理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提供可视化数据开发能力。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1.1.8.1实时开发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支持创建FlinkSQL类型的实时开发任务。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支持查看实时开发任务的执行记录与异常日志。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1.1.8.2离线开发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支持创建FlinkSQL类型的离线开发任务。支持周期调度策略配置。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支持查看离线开发任务的执行记录与异常日志。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1.1.8.3工作流编排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支持可视化拖拽节点方式编排工作流任务。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支持查看工作流编排任务的执行记录与异常日志。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1.1.9数据服务中心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支持API创建、参数配置、调试发布、版本管理和调用统计，支持API主动授权，为区域医疗信息化应用提供稳定可靠的API服务。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API管理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支持创建查询型或写入型的API。</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支持API的调试。支持API版本发布管理。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调用统计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支持查看已发布的API的概况。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API授权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支持API主动授权。支持查看使用方密钥、操作记录。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1.1.10数据资产管理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通过区域医疗信息化数据门户对已上架的数据资产进行检索查看、订阅申请，支持数据表、API类型资产目录管理。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1.1.10.1数据门户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支持对已上架的资产进行检索与查看。订阅API类型的资产，</w:t>
      </w:r>
      <w:r>
        <w:rPr>
          <w:rFonts w:hint="eastAsia" w:ascii="宋体" w:hAnsi="宋体" w:cs="宋体"/>
          <w:color w:val="auto"/>
          <w:sz w:val="21"/>
          <w:szCs w:val="21"/>
          <w:highlight w:val="none"/>
          <w:lang w:val="en-US" w:eastAsia="zh-CN"/>
        </w:rPr>
        <w:t xml:space="preserve">支持</w:t>
      </w:r>
      <w:r>
        <w:rPr>
          <w:rFonts w:hint="eastAsia" w:ascii="宋体" w:hAnsi="宋体" w:cs="宋体"/>
          <w:color w:val="auto"/>
          <w:sz w:val="21"/>
          <w:szCs w:val="21"/>
          <w:highlight w:val="none"/>
        </w:rPr>
        <w:t xml:space="preserve">鉴权</w:t>
      </w:r>
      <w:r>
        <w:rPr>
          <w:rFonts w:hint="eastAsia" w:ascii="宋体" w:hAnsi="宋体" w:cs="宋体"/>
          <w:color w:val="auto"/>
          <w:sz w:val="21"/>
          <w:szCs w:val="21"/>
          <w:highlight w:val="none"/>
          <w:lang w:val="en-US" w:eastAsia="zh-CN"/>
        </w:rPr>
        <w:t xml:space="preserve">方式</w:t>
      </w:r>
      <w:r>
        <w:rPr>
          <w:rFonts w:hint="eastAsia" w:ascii="宋体" w:hAnsi="宋体" w:cs="宋体"/>
          <w:color w:val="auto"/>
          <w:sz w:val="21"/>
          <w:szCs w:val="21"/>
          <w:highlight w:val="none"/>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1.1.10.2资产管理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资产目录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支持表/视图的数据表类型、API类型资产编目。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我的申请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支持查看提交的上下架申请和资产订阅申请，可取消申请。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我的审批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支持查看待审批的上下架申请和资产订阅申请，可进行审批管理。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支持数据表订阅周期、订阅字段、脱敏规则配置，支持API鉴权方式配置。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1.1.10.3我的资产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支持已订阅资产管理，支持查看资产详情、数据表调用记录与API调用统计、操作记录，支持API调试，可取消订阅、重新发起订阅。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1.1.11数据安全管理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提供数据分类分级与数据脱敏能力。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1.1.11.1数据分类分级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分级管理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支持数据分级管理。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分类管理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支持数据分类管理。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识别任务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支持分类识别任务管理。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识别记录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支持查看分类识别任务的识别记录与异常日志，支持查看字段识别任务详情。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识别结果</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支持分类识别结果管理。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1.1.11.2数据脱敏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支持数据脱敏规则管理。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1.1.12运维监控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支持任务运行监控与审计日志。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1.1.12.1任务监控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支持数据同步、数据开发等任务监控统计、当日的执行情况监控。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1.1.12.2任务告警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支持任务告警规则配置。支持触发方式、告警频率配置。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支持查看告警信息。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1.1.12.4审计日志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支持查看任务详细操作审计日志。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1.1.12.5基础管理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用户管理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支持用户的管理。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空间管理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支持空间的管理。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角色管理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支持角色的管理。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文件管理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支持JAR文件的管理。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执行器管理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支持管理分布式计算引擎执行器。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模型参数管理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支持Topic参数的管理。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物化视图管理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支持物化视图的管</w:t>
      </w:r>
      <w:r>
        <w:rPr>
          <w:rFonts w:hint="eastAsia" w:ascii="宋体" w:hAnsi="宋体" w:cs="宋体"/>
          <w:color w:val="auto"/>
          <w:sz w:val="21"/>
          <w:szCs w:val="21"/>
          <w:highlight w:val="none"/>
          <w:lang w:val="en-US" w:eastAsia="zh-CN"/>
        </w:rPr>
        <w:t xml:space="preserve">理</w:t>
      </w:r>
      <w:r>
        <w:rPr>
          <w:rFonts w:hint="eastAsia" w:ascii="宋体" w:hAnsi="宋体" w:cs="宋体"/>
          <w:color w:val="auto"/>
          <w:sz w:val="21"/>
          <w:szCs w:val="21"/>
          <w:highlight w:val="none"/>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基础管理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支持基础的管理。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1.1.13数据治理工作台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提供医疗卫生机构数据治理工作台。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1.1.14数据监控驾驶舱</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以区域医疗大数据中心视角进行多维统计分析，可视化呈现数据采集、治理、质量、资产等核心环节指标参数，支撑区域医疗大数据中心指挥决策。</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首页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提供首页专题，实现总体态势监控。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数据采集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提供数据采集专题。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数据标化</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提供数据标化专题。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数据质量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提供数据质量专题。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1.2一体化协同管理中台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1.2.1业务中台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1.2.1.1居民主索引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实现患者身份在全域范围内的唯一标识与精准匹配。</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支持可视化监控看板。</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1.2.1.1.1主索引首页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支持为每位居民建立全域唯一的健康身份标识（主索引）。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支持对主索引相关指标进行实时监控与可视化呈现。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1.2.1.1.2主索引管理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主索引查询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支持在区域管辖范围内建立统一的居民个人信息注册库。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支持基于匹配规则自动识别来自不同业务系统的患者信息。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相似患者处理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支持将居民信息依据统一的匹配规则自动进行合并处理。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提供相似居民信息的可视化比对界面。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1.2.1.1.3合并规则管理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支持在注册居民主索引时，对疑似重复数据进行自动比对与合并处理。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1.2.1.1.4模型管理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患者模型管理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支持配置和管理患者数据的字段属性。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提供患者字段的数据列表展示、筛选条件及新增/编辑功能。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字典映射管理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支持维护不同业务系统之间的字典代码映射关系。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提供映射规则的搜索、新增、编辑和删除功能。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字典管理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提供基础字典值域的统一配置与管理能力。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支持字典项的增删改查及启用/停用操作。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1.2.1.1.5数据源管理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数据源配置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支持配置数据库连接信息。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提供患者主索引初始化所需的数据源注册与管理功能。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数据导入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提供高效的主索引数据同步任务管理功能。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支持手动触发或批量调度数据导入任务，满足灵活的数据整合需求。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1.2.1.1.6主索引服务管理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机构管理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支持维护辖区内医疗机构的基本信息。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支持配置各医疗机构之间的隶属关系。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域配置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提供业务域的分类与配置管理功能。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支持对域信息动态调整。</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参数管理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提供系统运行参数的集中配置与管理能力。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支持通过参数配置保障主索引服务的标准化运行、数据一致性及安全合规。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1.2.1.1.7主索引接口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注册个人信息服务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支持注册和修改平台患者主索引信息。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查询个人信息服务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支持查询平台患者主索引信息。</w:t>
      </w:r>
      <w:r/>
    </w:p>
    <w:p>
      <w:pPr>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ab/>
      </w:r>
      <w:r>
        <w:rPr>
          <w:rFonts w:hint="eastAsia" w:ascii="宋体" w:hAnsi="宋体" w:cs="宋体"/>
          <w:color w:val="auto"/>
          <w:sz w:val="21"/>
          <w:szCs w:val="21"/>
          <w:highlight w:val="none"/>
        </w:rPr>
        <w:t xml:space="preserve">1.2.1.2服务总线</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服务注册</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具备对接入平台的服务进行注册管理功能，支持</w:t>
      </w:r>
      <w:r>
        <w:rPr>
          <w:rFonts w:hint="eastAsia" w:ascii="宋体" w:hAnsi="宋体" w:cs="宋体"/>
          <w:color w:val="auto"/>
          <w:sz w:val="21"/>
          <w:szCs w:val="21"/>
          <w:highlight w:val="none"/>
          <w:lang w:val="en-US" w:eastAsia="zh-CN"/>
        </w:rPr>
        <w:t xml:space="preserve">多种</w:t>
      </w:r>
      <w:r>
        <w:rPr>
          <w:rFonts w:hint="eastAsia" w:ascii="宋体" w:hAnsi="宋体" w:cs="宋体"/>
          <w:color w:val="auto"/>
          <w:sz w:val="21"/>
          <w:szCs w:val="21"/>
          <w:highlight w:val="none"/>
        </w:rPr>
        <w:t xml:space="preserve">协议接口，支持配置服务发布地址，支持在线测试服务连通情况。</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服务发布</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具备将已注册服务发布出去供第三方应用使用功能。</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服务编排</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▲需具备可视化服务编排配置功能，支持通过拖拽方式，将多个服务进行聚合、编排。</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服务订阅</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具备服务订阅管理功能，支持对服务订阅方及其订阅服务权限进行管理，支持为订阅方新增订阅服务，支持对已订阅服务取消订阅。支持设置订阅方的有效时间段、密钥、访问峰值。</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1.2.1.2.1服务管理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支持第三方服务的注册与统一管理。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1.2.1.2.2基础服务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数据注册服务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支持多类数据的注册服务。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提供通过数据接口实时获取数据能力。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数据共享服务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提供关键医疗数据的共享服务。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支持区域内各医疗卫生机构间的信息互联互通。</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业务协同服务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提供编排服务和业务规则服务等基础功能。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支持事件驱动的自动化业务流程处理。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重复用药提醒服务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支持对接机构内业务系统，在诊疗过程中实时提醒药品情况。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提供自定义设置重复用药提醒时效的功能。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重复检查提醒服务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支持在诊疗过程中实时提醒医护人员关于重复检查项目的情况，并查看具体检查报告。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重复检验提醒服务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支持在诊疗过程中实时提醒医护人员关于重复检验项目的情况，并查看具体检验报告。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系统交互服务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提供一套统一的平台间、平台与应用系统间以及平台内部组件间信息交互的标准体系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全程健康档案服务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支持基于居民主索引，将居民在医疗卫生机构建立各类数据进行关联整合。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提供电子健康档案的自动组装与统一管理能力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订阅发布服务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平台对外提供以电子健康档案共享文档为主要对象的文档订阅、发布服务。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术语注册服务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建立术语注册库。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时间一致性服务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支持时间客户端向时间服务器发起标准时间同步请求。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节点验证服务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对与平台进行信息交互、服务访问、消息传输的节点进行服务，并规范验证规则。</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1.2.1.2.3消息管理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支持对平台内部及第三方接入应用之间流通的所有消息进行统一、标准化的全生命周期管理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1.2.1.2.4监控管理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服务日志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提供服务订阅日志功能。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消息日志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提供消息订阅日志功能。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告警日志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提供告警日志功能。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1.2.1.2.5统计分析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提供服务总线统计分析功能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1.2.1.2.6配置管理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分类管理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支持对系统内各项服务与功能进行标准化分类管理。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运行配置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实现服务总线的日常运行设置。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基础配置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支持对服务发布端口、是否集成平台业务等进行灵活配置。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日志配置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支持日志管理和维护。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服务重试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支持对服务发送失败后进行配置，增强服务调用的可靠性。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超时设置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支持对服务超时时间进行配置。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服务熔断</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支持多种服务熔断机制。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并发设置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提供平台处理并发业务和服务请求的能力配置。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1.2.1.3协同管理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支持统一集成各类协同应用及其服务。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1.2.1.3.1协同集成管理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应用服务集成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支持区域内协同应用和服务的统一集成。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支持注册应用时维护信息。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服务功能配置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支持对协同应用服务细分功能进行统一维护和配置。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支持在注册不同类型的服务功能时维护其专有属性。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机构权限配置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实现为各机构分配协同应用服务调用权限，确保医生站能够正确调用所需服务。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1.2.1.3.2协同运行管理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调用场景配置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支持对服务需求方的协同调用场景进行统一管理和配置。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协同参数配置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支持配置业务协同所需的全局及按机构生效的系统参数。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1.2.1.3.3协同应用场景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智能提醒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支持与智能提醒服务对接。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电子健康档案调阅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支持与电子健康档案浏览器对接。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双向转诊协同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支持与双向转诊系统对接。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资源预约协同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支持与区域资源预约系统对接。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1.2.1.3.4协同运行监控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应用服务总览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统一总览各区域接入的所有应用及其服务信息。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终端运行统计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按机构统计协同客户端活跃度和安装情况。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服务调用统计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按机构统计全链路服务调用情况。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接口调用日志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提供自定义组合查询协同应用服务接口调用日志。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1.2.1.3.5协同调试助手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协同调试工具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提供调试工具模拟测试协同客户端的服务集成效果。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协同客户端下载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根据服务需求方的系统架构和操作系统版本提供对应版本的协同客户端下载。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1.2.1.3.6协同接口服务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协同客户端对接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中心端提供统一接口服务，实现诊疗过程中与平台的数据交互，支持协同业务开展。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协同场景对接</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提供统一接口服务规范</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1.2.2管理中台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1.2.2.1平台集成门户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1.2.2.1.1门户首页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支持集成区域内各子系统和业务系统的统一入口，实现授权应用的一键快速访问。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1.2.2.1.2门户管理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提供对门户可视化界面及系统核心运行参数的统一配置与动态调整能力。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1.2.2.2机构管理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1.2.2.2.1行政区划管理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支持对平台覆盖范围内的省、市、县、乡等各级行政区域进行系统化维护与管理。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1.2.2.2.2卫生机构管理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提供对区域内所有医疗卫生服务机构的统一注册、信息维护与状态管理功能。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1.2.2.2.3卫生人员管理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支持对区域内各类医疗卫生从业人员进行全生命周期的统一数字化管理。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1.2.2.2.4医疗联合体管理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支持对紧密型县域区域医疗、城市医疗集团、专科联盟等医疗联合体进行数字化注册与组织架构管理。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1.2.2.3权限管理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1.2.2.3.1应用注册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支持对平台内各类子系统及第三方应用进行统一的身份管理、接入配置与状态维护。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1.2.2.3.2菜单管理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提供对所有系统功能菜单进行灵活的数字化定义、组织与生命周期管理。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1.2.2.3.3机构权限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支持对平台内已注册的医疗卫生机构进行统一的系统访问权限管理与控制。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1.2.2.3.4数据权限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提供对平台内各类业务数据的访问与操作权限进行精细化、角色化的定义与管理。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1.2.2.3.5角色权限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基于角色访问控制模型。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1.2.2.3.6用户权限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支持对平台内所有用户账号进行集中管理和精细化的权限分配。</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提供基于角色访问控制模型的精细化权限控制机制。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1.2.2.4安全管理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1.2.2.4.1页面水印管理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支持在所有系统业务界面动态叠加包含用户身份信息的可视化水印。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1.2.2.4.2脱敏规则管理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提供对个人敏感信息的统一脱敏处理机制。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支持脱敏规则的可配置化定义与全生命周期管理。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1.2.2.5日志中心平台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1.2.2.5.1系统登录日志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提供对平台内所有用户访问各子应用系统的登录行为进行完整记录、追踪与审计。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1.2.2.5.2单点登录日志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支持对用户通过集成门户发起的单点登录（SSO）行为进行全流程记录与审计。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1.2.2.5.3数据变更日志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提供对平台核心业务数据的修改、删除等操作进行全量日志记录。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1.2.2.5.4数据导出日志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支持对用户执行的所有数据导出操作进行完整记录与审计。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1.2.3配置中心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1.2.3.1健康信息共享配置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1.2.3.1.1系统管理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接入授权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支持对申请接入健康信息共享平台的系统或机构进行统一授权管理。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菜单管理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支持菜单列表按应用分类展示。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支持按菜单名称或系统名称进行快速检索。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1.2.3.1.2业务管理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用户反馈处理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提供居民端用户反馈意见的全流程处理机制。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支持反馈列表展示。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疾病诊断知识库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内置疾病的诊断部位描点及对应关系。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支持按疾病编码、疾病名称或解剖部位进行检索。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1.2.3.1.3调阅监控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调阅统计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提供电子健康档案（EHR）调阅量的多维度统计分析功能。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调阅日志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完整记录EHR调阅行为。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接口调用监控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提供内部服务接口调用的实时监控能力，便于故障定位与性能分析。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BI可视化配置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.1系统管理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提供对BI可视化分析所依赖的基础数据元素、系统级参数及显示配置的集中化、标准化管理。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.2资源管理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支持对地图、图片、视频等可视化素材资源进行分类管理，建立结构清晰的资源目录。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提供素材导入、编辑、删除等管理功能。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.3数据管理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支持对接平台数据资源中心。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.4组件管理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提供丰富的可视化组件库。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.5场景管理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提供拖拽式、所见即所得的可视化主题配置界面，支持自由布局调整。</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1.3可信数据空间</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1.3.1可信数据空间管理系统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1.3.1.1系统门户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首页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支持资源中心、产品超市、需求大厅栏目快捷入口。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支持市场总况、热门产品等信息查看功能。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资源中心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支持汇聚并展示空间内各数据资源提供方已发布的数据资源目录信息。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支持为空间内用户提供数据资源信息浏览、检索、申请等功能。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产品超市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支持汇聚并展示空间内各数据产品目录信息，涵盖数据集、API接口等标准化商品。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支持数据产品查询、收藏、购买等功能。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需求大厅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支持汇聚并展示空间内个性化数据需求信息。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支持为空间内已认证的各类数据服务商提供需求查询、查看详情、收藏以及场景认领等功能。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个人中心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支持身份认证、身份认证信息变更功能。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支持注册连接器功能，允许用户将新的连接器接入平台。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支持以列表形式展示所有已注册的连接器信息，方便用户快速查询和管理。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支持查看用户收藏的数据资源、产品及需求信息。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1.3.1.2.1卖家中心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订单管理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支持通过项目、申请方等条件查询数据资源。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支持通过产品名称、订单状态等条件查询产品订单。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支持按需求标题、订单状态等条件查询需求订单信息。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已售服务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支持以菜单树方式展示卖家已经售卖的各类产品。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支持通过客户名称、状态等条件查询已售卖产品。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需求认领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支持按需求标题、需求状态等条件查询需求信息。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支持需求认领，认领状态查看功能。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合同管理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支持通过合同关键字查询合同信息。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支持合同详情查看。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评价管理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支持按产品名称、评价等级等条件查询产品评价。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支持按需求标题、评价等级等条件查询需求评价。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支持通过主题名称查询合作主体评价。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1.3.1.2.2服务中心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订单管理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支持根据订单编号、产品名称等条件查询已购产品订单。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支持查看订单详细。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支持以图形化方式查看订单存证追溯信息。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支持根据订单编号、需求标题等条件查询需求订单。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合同管理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支持通过合同编号、合同名称等关键信息查询合同。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支持查看合同详情、编辑合同内容。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支持合同签约、废止、下载。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需求发布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支持产品需求发布功能，提供产品需求的基本信息和需求方信息填写功能。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支持通过需求标题、需求状态等关键信息查询产品需求，以列表展示产品需求信息。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支持查看产品需求详情、撤销需求发布。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已购服务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支持通过产品名称、订单编号</w:t>
      </w:r>
      <w:r>
        <w:rPr>
          <w:rFonts w:hint="eastAsia" w:ascii="宋体" w:hAnsi="宋体" w:cs="宋体"/>
          <w:color w:val="auto"/>
          <w:sz w:val="21"/>
          <w:szCs w:val="21"/>
          <w:highlight w:val="none"/>
          <w:lang w:eastAsia="zh-CN"/>
        </w:rPr>
        <w:t xml:space="preserve">等</w:t>
      </w:r>
      <w:r>
        <w:rPr>
          <w:rFonts w:hint="eastAsia" w:ascii="宋体" w:hAnsi="宋体" w:cs="宋体"/>
          <w:color w:val="auto"/>
          <w:sz w:val="21"/>
          <w:szCs w:val="21"/>
          <w:highlight w:val="none"/>
        </w:rPr>
        <w:t xml:space="preserve">关键信息查询已购服务。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支持查看已购服务的订单详情、再次购买。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评价管理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支持用户对已购产品、合作主体、产品需求进行评价。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支持查看已评价的评价信息。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1.3.1.2.3应用开发中心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工作台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支持以卡片方式展示最近数据产品开发项目清单。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支持查看项目详情。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支持快捷进入开发项目空间进行数据产品开发。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项目管理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支持项目创建。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支持项目类型、项目来源、应用领域等关键信息查询项目信息。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支持以卡片方式展示项目清单。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支持查看项目信息、提交延期申请、查看审核详情的快捷入口功能。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产品管理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支持通过产品名称、产品类型等关键信息查询数据产品。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支持以卡片方式展示数据产品清单信息。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支持数据使用申请入口。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支持通过资源名称、授权阶段等关键信息查询数据申请记录。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支持以列表方式展示数据申请记录。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支持编辑数据申请记录、查看审核详情和变更申请。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支持查看关联的授权项目、产品信息。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逻辑可信数据空间</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▲支持逻辑可信数据空间创建、加入功能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通过逻辑空间名称、空间状态等条件查找逻辑空间。支持逻辑可信数据空间申请审核、邀请记录查看、成员管理功能。提供逻辑可信数据空间门户功能，支持集中展示和管理发布到本逻辑空间内的数据资源和数据产品。支持对上架到逻辑空间内的数据产品及服务的交易与订阅</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提供数据产品的查找、筛选和详情查看功能。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1.3.1.5运营方管理中心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工作台首页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支持展示待办、已办、完成率统计数据和待审核的数据资源、项目、已发布产品、已登记产品、产品需求和已入驻主体数据。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提供消息中心功能，支持项目进度提醒、任务分配通知等各类系统消息的展示。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生态管理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支持法人、个人的身份认证审核。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支持通过单位名称、申请类型等关键信息查询身份认证审核记录。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提供平台用户管理功能，支持对法人、个人用户进行冻结、注销、失信处置操作。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支持逻辑空间的创建、查询等管理功能。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支持数据资源、数据产品、数据产品需求审核记录查询。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支持数据产品上架、登记、发布审核功能。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支持产品信息查看、上下架管理功能。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交易管理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支持合同模板的新建、编辑、删除等管理功能。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支持展示数据产品的产品类型、提供方情况等统计数据。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提供订单管理功能，支持数据资源申请单、数据产品订单、产品需求订单记录查询以及存证追溯查看。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可信管控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支持空间内置数据使用控制策略库信息的查询和查看。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提供统一标识管理功能，支持对平台内运营数据资源、数据产品等内容的统一标识规则管理。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支持对平台内运行的标识规则的新增、删除以及停、启用状态进行管理。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存证审计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存证溯源功能，支持主体存证追溯，集中展示参与存证溯源业务的各类主体单位信息，支持查看各阶段存证信息，并支持存证信息上链验证。提供日志管理功能，支持对数据的处理、传输等交付记录进行日志存证。提供包括数据编目、申请、数据产品开发、数据产品发布、数据产品交易等环节在内的数据流正向追踪和逆向溯源双视角的图形化的存证追溯展示页面，展示存证信息详情及上链信息验证等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态势分析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支持对空间内运营总体情况进行统计分析。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支持对空间内数据资源运营总体情况进行统计分析。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支持对空间内数据资源开发利用的总体情况进行统计分析。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支持对空间内数据产品经营交易的总体情况进行统计分析。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1.3.2技术开发组件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1.3.2.1数据沙箱组件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沙箱资源管理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支持沙箱数据资源目录功能。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支持沙箱数据资源管理功能。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支持汇总显示沙箱生产环境全部数据服务。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沙箱环境管理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支持沙箱空间管理功能。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支持沙箱运行监管功能。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用户工作台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支持数据统计、沙箱申请、个人维护等功能。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支持运营方审批单审批功能。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支持公告&amp;常见问题功能，展示平台公开数据政策、公告、操作手册等内容。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1.3.2.2API开发组件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API服务组管理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支持创建不同类型的服务组，可根据业务场景、功能模块或服务类型进行分类。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支持对服务组执行启用或注销操作。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支持对服务组进行整体状态监控和管理。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API服务发布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支持将restful接口转化为服务、jdbc协议数据库表数据转化为API服务。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支持配置服务的开放时间及访问上线的限制。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API服务管理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支持对已发布的API服务进行编辑操作，可修改服务的基本信息、接口参数、访问规则等内容。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支持对服务执行启用/禁用操作和服务上下线管理功能。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凭证管理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支持创建、生成唯一的AK/SK凭证对，为每个调用方分配专属认证标识。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支持对凭证进行启用/禁用操作。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支持查看凭证的基本信息、绑定服务范围及调用记录。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API服务发布审批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支持API服务发布审批，审批人可在线完成同意/驳回操作。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API调用统计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支持凭证调用统计、服务调用量统计和服务调用日志功能。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支持记录凭证调用量，包括但不限于调用量、最大最小RT及平均RT等内容。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支持记录服务调用量，包括但不限于服务名称、调用量、最大最小RT及平均响应RT等内容。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API服务在线测试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支持可视化界面发起服务调用测试功能，实时展示测试响应结果，包括状态码、返回数据、响应时间。</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1.3.3接入连接器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1.3.3.1首页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产品超市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支持展示可信数据空间内已发布的数据产品，为平台用户提供数据产品的查找、展示等服务。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资源中心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支持展示可信数据空间内已接入的数据资源的信息。为平台用户提供数据资源的查找、检索、展示等服务。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1.3.3.2数据交付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交付配置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支持数据资源查询、接出配置修改、代理参数调整、日志查看功能。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支持对数据资源进行使用策略配置功能。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支持产品授权使用配置管理功能。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买入产品资源管理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支持对已申请数据资源的查看功能，可查看已经申请数据资源状态和资源详情。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支持对已申请数据产品的查看，可查看已经订单和数据产品详情。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1.3.3.3数据管理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数据源管理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支持为用户提供库表数据源管理功能，可对已建立的库表数据源执行编辑、删除、测试等管理操作。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支持为用户提供接口数据源管理功能，可对已建立的接口数据源执行编辑、删除、测试等管理操作。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数据登记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支持库表、API等两种资源类型的元数据登记、样例数据配置及版本管理。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支持本地数据库表数据和本地API资源的登记。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支持登记数据资源的版本的查询功能，支持生成不同版本登记数据之间的对比报告。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分类分级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支持选择目标数据资源，按照预设规则或自定义维度执行数据分类与分级操作。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支持多选项模式选定目标数据资源，集中执行数据分类与分级操作。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数据汇聚</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支持已发布数据的一键接入功能，通过一键接入操作快速完成数据资源的对接与集成。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支持数据查看、配置修改及日志查看功能。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资源目录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支持目录编码的新增与删除操作，支持目录编码启用、停用、修改、配置字段及预览等配套功能。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支持目录的管理功能，支持目录的新增、删除、查看等核心操作。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支持资源编目、挂接及删除等基础操作。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支持对已发布资源目录执行查询与下架操作。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1.3.3.4产品管理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产品登记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支持数据产品的登记申请、删除、查看审核意见功能。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产品审核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支持查看待审核数据产品的详细信息。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支持通过或驳回等审批操作。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支持审批通过的产品信息将同步至产品超市。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产品管理</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支持对已登记数据产品的全生命周期管理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1.3.3.5可信管控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数据使用控制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支持集中展示接入连接器的数据使用控制策略的总项数、类型分布及详细配置信息。可检索、查询策略名称，并查看具体策略使用场景和配置规则。</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数据标签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支持标签组的灵活定义与维护，包括多级标签树构建、标签属性编辑等功能。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支持手动单条打标模式，打标结果实时同步至资源目录。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质量评估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支持查看所有数据质量评估维度（如完整性、准确性、一致性等）及其权重比例。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支持创建、修改和删除各类数据规范。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支持定时任务、触发式任务等多种执行模式，可查看任务队列状态，对运行异常的任务进行停止干预。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支持将质量评估结果以可视化形式呈现，包含各维度得分雷达图、评分趋势图等。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数据脱敏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支持用户可灵活配置脱敏策略，支持模糊化、MD5处理、匿名化等脱密方式。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1.3.3.6身份管理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账号信息管理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支持用户查看和编辑账号基础信息，提供密码修改功能。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主体身份管理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提供组织机构信息与操作人信息的编辑、保存、设置权限功能，支持信息进行维护与更新。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连接器身份管理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支持查看并维护连接器的基础信息，支持信息的保存与编辑操作</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支持资质信息下载。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1.3.4安全管控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▲提供一体化软件平台，在一个平台上实现数据分类分级、数据库访问权限管控、数据动态脱敏、API访问控制、API动态脱敏、数据流转与风险监测等功能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在单一管理视图中对多个防护引擎或安全策略实施统一管理和编排</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采用分布式部署架构和高可用集群部署</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支持动态扩展软件实例，通过分配更多资源允许实例实现纵向及横向扩展，即通过提高单一计算节点资源、增减计算节点数等方式的在线扩容和缩容能力。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1.3.4.1数据分类分级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实现数据库资产发现、敏感数据识别、分类分级及业务协同，构建可视化数据资产视图。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数据库资产探测与管理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支持主动探测网络环境中的数据库资产，可按多维度分组管理。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支持数据资产探索与元模型管理，可自定义元数据标签。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敏感数据发现与识别</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支持内置/自定义敏感数据识别规则，具备“主动扫描”与“被动发现”两种敏感数据识别机制，并构建树形结构的可视化数据资产目录。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分类分级与业务协同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支持大模型分类分级及手工修正。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支持管理员与业务人员协同核验与维护分类分级结果，并可将结果无缝使用到安全防护策略中。</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1.3.4.2数据库数据访问控制器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提供从认证代理、访问控制、交付控制、自助授权与安全审计的完整数据保护链条，确保数据在访问、使用和流转过程中的安全性与便捷性。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访问认证代理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支持采用代理账号与Token机制替代真实数据库账号密码。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支持同一代理用户关联或映射多个数据库账号。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数据访问控制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支持基于用户、数据集及敏感数据配置访问控制策略，并具备基于SQL指令的风险控制与数据库攻击防护，可识别并阻断高危操作及潜在攻击请求。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数据交付控制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支持动态数据脱敏，可根据用户、数据集合等条件配置脱敏规则，内置多种脱敏算法。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支持行级数据权限控制及限制返回行数，防止数据批量泄露。</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访问自助授权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支持预授权、审批授权等自助模式。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支持配置多级审批流程与自动化策略。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支持数据明文自助授权，自动生成带有时效与脱敏约束的访问策略。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数据安全审计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支持记录数据访问行为，并构建可视化的敏感数据流动轨迹。内置多种审计报表模板，可定期生成与推送审计报告。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1.3.4.2API数据访问控制器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覆盖API资产发现、访问控制、数据脱敏、审计监测与溯源取证，实现API数据使用的可见、可管、可析、可溯。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API资产及敏感数据识别</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支持通过流量解析自动识别并梳理API资产与敏感数据，构建API及敏感数据资产目录。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API访问控制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支持基于应用账号、API端点、客户端IP及业务特征等上下文信息，配置API访问策略，并允许自定义阻断后返回的状态码及数据内容。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API数据脱敏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支持基于“标签”或“内容”的API数据动态脱敏，确保数据不规范时仍能有效防护，并支持脱敏数据回写至数据库时复敏。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API访问审计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支持实时监控和审计API数据访问行为，记录请求信息、风险问题等，自动构建可视化数据访问轨迹，支持钻取分析。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异常行为及风险威胁监测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支持识别异常数据访问、检测API攻击及API自身脆弱性问题并提供修复建议。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支持多维活动分析与联动分析面板，实现数据风险统计与交互式分析。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访问溯源与取证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支持高风险或涉敏API的原始报文留存或记录涉敏数据值，并可对指定敏感数据内容的访问行为进行日志记录，为事件调查、溯源取证提供证据链。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1.4区域医疗建设发展指数分析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1.4.1区域医疗建设发展指数平台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1.4.1.1指数库建设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建设医疗卫生机构运行情况及各类疾病指标库建设。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1.4.1.2数据更新预警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基线数据填报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支持基线数据在线填报。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基线数据更新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支持基线数据更新维护。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对比数据填报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支持基线对比数据填报。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对比数据更新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支持对比数据更新维护。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数据预警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支持相城区基线数据预警监测。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1.4.1.3数据资源台账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医疗卫生机构运行台账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支持医疗卫生机构台账各类操作。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肿瘤流行情况台账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支持肿瘤流行情况台账各类操作。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冠心病流行情况台账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支持冠心病台账各类操作。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脑卒中流行情况台账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支持脑卒中台账各类操作。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糖尿病流行情况台账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支持糖尿病台账各类操作。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慢性呼吸系统疾病情况台账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支持慢性呼吸系统疾病台账各类操作。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高血压流行情况台账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支持高血压台账各类操作。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骨质疏松研究基线台账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支持骨质疏松台账各类操作。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医保支付专题基线台账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支持医保支付专题基线台账各类操作。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基线数据台账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支持基线数据台账各类操作。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1.4.1.4专题报告输出工具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文档编辑功能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提供丰富的文字处理工具。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电子表格功能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支持图表制作与数据分析。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演示文稿功能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提供丰富多样的演示文稿模板和主题。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其他特色功能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支持多种操作系统。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采用先进的加密技术对文档进行加密存储和传输。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数据分析报告制作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支持制作分析报告。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1.4.1.5基础支撑功能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部门管理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提供部门管理各类操作。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用户管理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支持用户管理各类操作进行。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支持按部门对用户进行管理。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角色管理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支持角色管理各类操作。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支持根据不同角色设置相对应的权限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岗位管理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提供岗位管理各类操作。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菜单管理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提供系统菜单各类操作。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支持各层级菜单自定义。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安全审计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支持对平台的各类数据操作进行记录。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支持操作日志管理功能。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支持定期对用户登录情况进行分析审计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报表引擎</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支持类excel操作风格，通过拖拽完成报表设计。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支持按照多种类别展示报表。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接口开发引擎</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支持提供图形化UI界面完成接口定义。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支持广泛的数据库兼容能力。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1.4.2发展指数场景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高血压区域精准防治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基于高血压各类数据进行统计。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支持按照主题进行分析。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糖尿病区域精准防治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基于糖尿病各类数据进行统计。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支持按照主题进行分析。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冠心病区域精准防治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基于冠心病数据进行统计。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支持按照主题进行分析。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脑卒中区域精准防治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基于脑卒中数据进行统计。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支持按照主题进行分析。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骨质疏松症骨折人群风险评估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基于骨质疏松症患者数据进行统计。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支持按照主题进行分析。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肺癌患病区域风险评估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基于区域医疗数据中心以及慢病库（肿瘤）的数据进行统计。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支持按照主题进行分析。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区域居民疾病谱分析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基于区域内医疗机构数据分析。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疾控专项分析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支持统计区域疾控工作情况。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医保支付专题指数分析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基于区域医疗医保多数据源统计分析。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1.5区域OFD-H集中管理平台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1.5.1 OFD-H病历转换入库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1.5.1.1区域病历同步接收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支持通过标准接口上传OFD-H病历，平台按配置规则自动进行完整性、合法性校验，校验通过后进入待归档库。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1.5.1.2前置机系统上传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支持医疗机构通过前置机完成多来源、多格式文档采集，依托OFD-H转换服务生成标准版式文件并上传至区域平台。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1.5.1.3OFD电子病案入库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系统对接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支持与HIS、医院集成平台对接，同步组织、用户等基础信息</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支持与无纸化归档系统对接，推送OFD病案与结构化数据</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支持与CA系统对接，实现签章与验签</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支持接入历史扫描病案数据。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OFD文件转换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支持将Office、WPS、PDF、图片、网页等多格式文档统一转换为国标OFD版式文档</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支持对文档进行文字及元数据提取，支持长网页分页转换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支持基于动态模板生成带结构化数据的OFD文档</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转换时自动嵌入字体，确保多终端版式一致、原版原式展示。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OFD文件内容识别</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支持扫描件、高拍仪文件导入与OCR识别，生成双层OFD文档</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支持识别后文字校对，支持常见字体与表格结构识别，保证识别准确率与效率，满足病案数字化采集需求。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文件入库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支持从各业务系统抽取电子文件并归集存储，自动完成元数据与标签采集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归档前支持人工核对、修订与补充，为病历归档与复用提供支撑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支持区域同步接收、前置机上传等多种入库方式。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1.5.2OFD-H电子病历管理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1.5.2.1区域电子病案文档管理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支持病案库自定义创建与独立权限管控，支持多租户隔离与分级授权</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支持多级分类目录创建，文档与目录可继承或单独配置权限，实现查看、借阅、下载、打印等精细化管控。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1.5.2.2诊疗过程多媒体文件管理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支持手术、知情同意等音视频资料以链接形式关联归档，调阅电子病历时可同步查看相关多媒体记录。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1.5.2.3借阅管理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提供借阅申请、审批、日志留痕功能，可记录借阅状态、期限、权限等信息</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支持对借出文档进行下载、打印、水印、有效期等权限控制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支持导出申请与审批，满足临床、教学、科研等场景使用。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1.5.3OFD-H电子病历应用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1.5.3.1智能检索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支持常用条件快速检索。支持文档内容关键字检索与元数据、标签多维检索，检索结果支持在线浏览或借阅申请，操作简便易用。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1.5.3.2以患者为核心的病历展示</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按EMPI主索引整合患者全周期就诊文档，历史纸质病案数字化后统一归集展示。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1.5.4系统后台综合应用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1.5.4.1元数据管理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支持核心与扩展元数据自动采集、解析、维护、备份恢复，保障电子文件真实、完整、可用、安全。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1.5.4.2标签管理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支持多维度标签自定义、分类管理与批量导入更新，支持按标签快速检索与热点分析。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1.5.4.3在线水印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支持水印内容、样式、透明度、角度自定义配置，在线阅读时自动叠加展示。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1.5.4.4文档日志审计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自动记录查阅、编辑、授权等操作日志，支持条件筛选与批量导出。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1.5.4.5个人中心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展示个人信息、密码修改、浏览历史、借阅与审批状态，支持续借等操作。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1.5.4.6组织架构管理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支持组织架构层级展示、展开/折叠查看与维护管理。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1.5.4.7用户管理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支持统一身份认证与用户信息同步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提供角色、用户组、数据权限分级配置与管理。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1.5.4.8日志管理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提供登录日志、操作日志、借阅日志、文档调用日志等统一管理。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1.6区域医疗大数据中心服务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提供覆盖区域医疗数据中心全链条数据治理服务。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1.6.1数据同步服务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借助数据同步工具完成数据从医疗机构端到卫健委端中心数据仓库的数据同步采集。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构建统一数据链路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依托数据中台，建立全链路数据同步体系。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覆盖全域多类机构与系统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面向所有医疗机构，对接业务系统，确保数据采集全面、完整、无遗漏。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支持历史与增量双模式同步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支持历史数据同步及增量数据同步服务。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明确数据范围与表清单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同步内容须覆盖各类业务域，满足区级医疗数据治理及省、市数据上报需求。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1.6.2数据治理服务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开展数据治理实施服务，实现多个部门多源异构数据汇聚的治理融合。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异常类数据治理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识别并处理异常数据，支持人工、自动等修复数据。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数据融合服务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对采集后的数据提供数据融合服务。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数据标化服务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提供数据标化服务，并支持性能检测。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字典对照服务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提供字典对照服务，并提供字典维护及培训内容。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数据转码服务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提供数据转码服务。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数据治理统计分析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支持统计分析数据治理问题各类问题。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数据治理培训服务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w:t>
      </w:r>
      <w:r>
        <w:rPr>
          <w:rFonts w:hint="eastAsia" w:ascii="宋体" w:hAnsi="宋体" w:cs="宋体"/>
          <w:color w:val="auto"/>
          <w:sz w:val="21"/>
          <w:szCs w:val="21"/>
          <w:highlight w:val="none"/>
          <w:lang w:eastAsia="zh-CN"/>
        </w:rPr>
        <w:t xml:space="preserve">数据</w:t>
      </w:r>
      <w:r>
        <w:rPr>
          <w:rFonts w:hint="eastAsia" w:ascii="宋体" w:hAnsi="宋体" w:cs="宋体"/>
          <w:color w:val="auto"/>
          <w:sz w:val="21"/>
          <w:szCs w:val="21"/>
          <w:highlight w:val="none"/>
        </w:rPr>
        <w:t xml:space="preserve">过程中的各类培训服务。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1.6.3数据资源库服务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基础资源库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整合平台基础信息和各业务数据目录，为区域内医疗卫生服务的互联互通、数据共享和业务协同提供统一的数据字典和规范框架。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全员人口库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实现辖区人口信息管理的重要数据基础，以从医疗卫生机构采集的人口数据信息为支撑，以流动人口信息为补充，建立全员人口数据库。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电子病历库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记录门诊、住院患者临床诊断治疗过程的系统、规范的信息，是居民在医疗卫生机构历次就诊过程中产生和被记录的完整、详细的临床信息资源。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健康档案库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记录居民健康管理过程的规范、科学信息，是以居民个人健康为核心，贯穿整个生命过程，涵盖各种健康相关因素，实现多渠道信息动态收集。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指标主题库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满足管理部门对区域内医疗服务、公共卫生等业务的监管需要，根据业务场景建立各类数据模型，并存储相应的指标。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1.6.4数据质控服务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数据质量规则梳理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提供数据质量规则数据服务。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质控脚本编制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依据数据质量规则清单编写质控脚本。</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质控问题解读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对质控过程中的各类问题，提供解读、问答等服务。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问题工单处置指导进展跟进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跟进问题处置进度，督促从数据源头整改问题，杜绝临时处置。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1.6.5数据共享及市级数据回流服务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用数需求分析和开发服务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在数据共享过程中支持需求分析及数据开发服务。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数据目录管理服务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提供数据目录梳理、编目等服务。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数据安全治理服务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提供数据分级分类及相关标准规范制定服务。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市级数据回流专区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对市级平台回流数据进行梳理、对接、治理。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1.6.6数据集标准动态修订服务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数据集标准动态修订服务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对《区域医疗大数据中心数据集规范》开展持续比对、评估与多轮优化，支撑高质量数据采集。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覆盖范围与数据集管理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通过数据中台对标准数据集进行全生命周期管理，包括导入、版本控制、增删改查等操作。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值域码表统一与维护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建立并维护全区统一的值域码表体系。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2区级AI能力中心场景适配服务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2.1医疗大模型底座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2.1.1.1模型训练数据集管理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2.1.1.1多模态专病数据管理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2.1.1.1.1多模态专病数据管理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支持构建以疾病为核心的多模态专病数据集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支持多种常见数据格式的导入与分析，并针对每种上传格式进行明确的说明和引导</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支持通过关键字进行检索或筛选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支持通过利用Dashboard模块及数据多维可视化工具，对数据库的数据存储情况及质量状况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用户可查看数据库多模态数据，无需复杂格式转换，方便用户处理不同来源数据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在不同模块内也将展示通过AI引擎结构化获得的数据要素，方便用户进行数据核查和编辑</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数据库建设参照国家相关标准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支持数据库的维护、备份和恢复、数据的定期更新和及时备份、数据访问的权限控制和日志监控等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支持对数据库访问进行严格的安全控制，及时发现潜在的安全威胁。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2.1.1.1.2数据资产质量评估</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支持特征数据多维度质量评估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2.1.1.1.3影像标注管理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支持单序列、多序列影像数据标注与查看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支持影像标签管理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支持针对一个影像检查数据同时管理多种标注分类的功能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支持新增影像标签种类及在影像列表内展示ROI标签信息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支持多种手动勾画、半自动勾画工具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支持影像数据的自动化标注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2.1.2模型管理与调度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2.1.2.1多模态模型部署</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2.1.2.1.1多模态医学大模型部署</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具备处理影像、文本、时序信号等多模态数据的能力</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支持自动分布式推理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支持模型的版本管理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支持异构数据部署环境的预处理接口和数据流管理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2.1.2.1.2通用大模型的灵活接入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支持通用大模型接入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支持集成开放式API和SDK</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支持通用模型的快速调用和弹性扩展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支持通过容器化和微服务架构，实现通用模型的多实例部署，满足临床文档分析、知识抽取、辅助决策等多场景需求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支持与医学大模型和专用模型的接口互通，实现模型能力的融合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2.1.2.1.3专用医学小模型的高效管理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针对特定疾病诊断、结构化报告生成、图像分割等任务的专用小模型，部署环境轻量且响应迅速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支持模型快速上线、版本迭代和灵活卸载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具备保障低时延、数据隐私安全的能力</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配备模型注册、权限管理和调用统计功能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支持多模型多版本共存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支持多层次多类型模型的协同部署</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2.1.2.2混合模型合理调度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1.统一模型调度平台建设</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支持对多模态医学大模型、通用大模型及专用小模型的统一调度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支持模型预热机制，减少冷启动延迟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支持智能调节模型调用频率</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2.多模态模型协同调度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支持多模型联合推理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支持根据任务需求，自动组合适合的模型集群，协同输出诊断结果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支持多模态模型间的中间结果共享</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3.弹性扩荣誉容错机制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支持模型服务的弹性伸缩</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支持模型节点故障快速切换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支持模型灰度发布</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4.资源利用和调度策略优化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支持自动优化调度策略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支持历史调用数据预测负载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2.1.3模型创新应用支撑</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2.1.3.1知识库建立及使用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2.1.3.1.1参数量管理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支持分层参数量管理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支持从低至百万级到高至百亿级的参数量配置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可通过动态参数压缩与量化技术，平衡模型性能与资源消耗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支持部署参数量较小的精简模型</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支持在复杂疾病知识推理等高负载任务</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支持参数的动态加载与卸载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2.1.3.1.2多模态输入及分析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医学知识库支持文本、医学影像、语音等多模态数据的输入与分析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支持为每种模态数据配备独立的特征提取模块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支持文本数据通过词嵌入与语义编码转换为特征向量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支持卷积神经网络提取影像图像特征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支持语音数据转换为声学特征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支持模态特征标准化处理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支持跨模态数据的特征关联与整合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支持基于多模态输入信息进行综合分析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2.1.3.1.3推理速度管理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支持推理速度分级管理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支持启用完整模型进行高精度推理，且保障推理效率</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2.1.3.1.4语料管理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构建医学专用语料管理系统，支持语料全生命周期管理</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支持多渠道语料来源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支持原始语料的清洗、分词、词性标注等预处理，可通过实体识别与关系抽取构建结构化知识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具备语料版本控制功能，支持语料的增量更新与版本回溯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支持语料分类标签管理，便于知识检索与应用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2.1.3.1.5训练量管理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支持医学知识库的动态训练量调整</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支持根据语料规模、任务复杂度及硬件资源状况，自动优化训练轮次、批次大小等参数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支持小样本医学知识学习任务，具备迁移学习与元学习技术能力，支持预训练模型参数初始化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支持在大规模语料训练场景下，启用分布式训练框架，可将训练任务分配至多计算节点并行处理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可通过训练过程监控与性能评估，动态调整训练策略，在保证模型性能的同时，缩短训练周期，降低计算资源消耗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2.1.3.1.6超长文本理解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支持医学文献、完整病历等超长文本处理，块内语义关联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可结合医学领域知识图谱，识别文本中的医学实体与关系，实现对超长文本关键信息的准确提取与深度理解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2.1.3.1.7私有化部署</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支持医学知识库私有化部署</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具备可视化管理界面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2.1.3.1.8轻量化微调工具链</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支持医疗机构对知识库模型的个性化优化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工具链集成数据标注、模型训练、性能评估等功能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支持增量式微调，允许在保留原有模型知识的基础上，针对特定病种、科室需求进行知识更新。</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提供可视化微调流程管理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2.1.4知识智能应用支撑</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2.1.4.1医学知识查询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支持基于自然语言的医学知识查询功能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支持多维度检索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w:t>
      </w:r>
      <w:r>
        <w:rPr>
          <w:rFonts w:hint="eastAsia" w:ascii="宋体" w:hAnsi="宋体" w:eastAsia="宋体" w:cs="宋体"/>
          <w:color w:val="auto"/>
          <w:sz w:val="21"/>
          <w:szCs w:val="21"/>
          <w:highlight w:val="none"/>
          <w:lang w:val="en-US" w:eastAsia="zh-CN"/>
        </w:rPr>
        <w:t xml:space="preserve">多种</w:t>
      </w:r>
      <w:r>
        <w:rPr>
          <w:rFonts w:hint="eastAsia" w:ascii="宋体" w:hAnsi="宋体" w:eastAsia="宋体" w:cs="宋体"/>
          <w:color w:val="auto"/>
          <w:sz w:val="21"/>
          <w:szCs w:val="21"/>
          <w:highlight w:val="none"/>
        </w:rPr>
        <w:t xml:space="preserve">形式发起查询请求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支持语义匹配与推理，可从知识库中检索相关知识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支持跨语言查询，实现不同语种知识的关联检索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支持查询结果的结构化形式呈现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2.1.4.2医学知识问答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支持基于医学知识库提供问答服务，能够理解用户问题意图并生成专业回答。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支持语义分析，可识别问题中的关键信息与意图类型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支持依靠知识图谱与检索增强生成技术，从知识库中提取相关知识，经过推理与整合后生成答案。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支持多轮对话问答。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可对答案进行准确性校验与质量评估，确保回答内容符合医学专业规范。</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2.1.4.3疾病知识问答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支持疾病知识问答服务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知识库知识来源权威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支持根据用户输入的疾病名称、症状描述等信息，结合患者个体特征，从知识库中检索匹配知识，生成个性化回答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支持对复杂疾病问题的多维度解答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2.1.5医疗智能数据应用助手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可结合相城区域医疗信息化建设项目中的临床、患者、科研、药品等多源医疗主题数据，为医院、药企、保险、监管等不同角色提供“对话即分析”的一站式数据服务能力</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服务内容包括但不限于自然语言即查询、实时临床决策支持、患者数据可视化与随访管理、科研数据快速探索、药品安全与疗效监测、资源配置与运营管理等。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2.1.5.1智能交互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支持自然语言查询与准确、自动生成执行的SQL语句，形成丰富图表展现并可视化交互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支持复杂问法及多轮对话</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支持提问添加到报告，报告可以分享和协同编辑</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支持提问推荐及自动关联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2.1.5.2增强分析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支持自动化生成智能数据洞察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可结合统计学逻辑和高级模型算法，对查询结果进行智能归纳和总结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2.2医防融合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2.2.1个性化疫苗处方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本项目需整合基层门诊诊疗系统患者信息、项目诊疗数据及基础AI大模型，构建个性化疫苗处方智能推荐机制，根据患者当日接种状态，自动生成疫苗推荐处方或正式疫苗处方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2.2.1.1接口管理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HIS系统调用H5页面接口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支持与HIS系统对接，实现医防融合疫苗处方系统的打开，同时验证患者信息等内容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HIS自助缴费接口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支持与HIS系统缴费功能对接，实现在医防融合疫苗处方系统中开具的相关疫苗在HIS系统中进行缴费。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HIS缴费成功数据查询接口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支持江苏省预防接种系统与HIS系统的对接，满足受种者缴费成功后，相关缴费成功的标记能够直接在江苏省预防接种系统中提供接种医生查看。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江苏省成人预防接种系统对接接口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支持医护人员通过医防融合处方系统开具的相关疫苗处方，健康询问、疫苗知情同意书的相关数据全部推送至江苏省预防接种系统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接种数据回传接口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支持针对医防融合系统推给省预防接种系统的处方数据，在预防接种系统中完成接种后，实现相关接种数据的回传功能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国家免疫规划平台档案调取接口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支持针对外省市异地人员，在江苏省平台无法调取到相关档案的人员，可通过国家免疫规划平台提供的接口，直接调取档案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江苏省疫苗管理系统对接接口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支持通过医防融合处方系统与江苏省疫苗管理系统对接，实现医护人员在开具处方时，能够调用省疫苗管理系统的数据，支持查看对应疫苗的库存量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相城区区域医疗数据接口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支持通过医防融合处方系统与区域医疗提供的数据交互，实现通过AI分析对临床医护人员提供精准分析的疫苗处方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2.2.1.2AI处方推荐算法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AI大模型结合患者历史诊疗等信息筛查推测出需接种疫苗的人群并通过人工智能通知该类人员推荐到预防接种单位进行疫苗接种。同时支持将该信息推送医院his系统，如若该类人群到医院诊疗，推荐医生开具疫苗处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2.2.1.3预防接种处方系统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疫苗登记功能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提供给临床医护人员选择疫苗进行登记的功能：</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支持展示疫苗库存信息</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支持能根据区域医疗相关AI算法提供相关疫苗界面的选择，并给出对应疫苗的建议原因</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支持展示相关受种者的病史、诊疗数据等信息，供医护人员查看</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针对当日不接种的人员，支持疫苗处方的打印功能。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疫苗询问和知情功能</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针对当日接种的人员，支持提供疫苗的选择</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支持按照江苏省统一的模板完成对应受种者的健康询问和知情同意功能，在单位配备相关硬件的情况下，满足受种者直接进行电子签名的签署</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支撑相关数据对接到江苏省成人预防接种系统。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接种签到功能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支持通过建设叫号、排队、显示系统进行签到排队和呼叫。</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智能声讯通知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支持自动进行声讯拨打电话提醒受种者前往接种的功能。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支持不同的声讯模板配置。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统计分析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支持针对生成的疫苗处方的人员，提供相关明细处方数据查询，提供多种查询条件筛选。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支持针对处方的达成率以及处方疫苗的接种率进行统计分析，提供查询条件筛选。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支持针对生成的处方信息，满足自动声讯通知的统计分析功能，提供查询条件进行筛选。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2.2.1.4江苏省成人预防接种系统改造</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登记系统改造</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针对与医防融合系统的对接，省成人预防接种登记系统需要进行相关改造以满足相关数据落地存档、流转功能。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健康询问功能改造</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针对与医防融合系统的对接，省成人预防接种系统健康询问模板要进行相关改造，确保健康询问数据以及受种者签字数据能够落地。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知情同意数据改造</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针对与医防融合系统的对接，省成人预防接种系统知情同意书模板要进行相关改造，确保知情同意数据以及受种者签字数据能够落地。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接种模板改造</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针对开具的疫苗处方，要对江苏省成人预防接种系统的接种模板进行改造以满足接种签到、缴费标识展示功能。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2.2.2个性化膳食与运动指导</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支持利用AI大模型动态生成高度个性化的膳食与运动指导建议，自动规避药物-食物禁忌、运动禁忌，确保建议的科学性与安全性。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医生端：支持一键调用AI指导功能，生成的方案一键打印教给相应患者，形成服务闭环。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患者端：支持患者通过手机号+短信验证的安全登录方式或扫描二维码来查看个性化方案，并通过反馈等功能参与自我健康管理。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2.2.2.1智能评估引擎</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支持整合以下基础信息数据：性别、年龄、职业、医保类型、体格指标、生活方式、既往病史、用药记录等</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支持整合以下疾病信息数据：高血压、糖尿病、高脂血症、肥胖症等疾病诊断及其病程与并发症情况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肾功能、痛风、心脑血管事件史、骨质疏松、认知功能障碍</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支持整合以下当地特色信息数据：采集具有苏州地方特色的饮食偏好（如喜甜、喜鲜）、日常运动习惯及过敏史等个体化生活信息。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支持基于个体健康数据，实现智能风险分级与方案适配。</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支持对存在明确运动或饮食禁忌的情况后台标记为“红色禁忌”不予推送方案。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支持对关键指标异常人群进行自动风险等级判断生成独特安全方案。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支持在排除禁忌与预警后，为适宜人群生成安全、可行的“绿色标准”干预方案。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2.2.2.2个性化膳食方案库</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支持高血压膳食方案</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支持糖尿病膳食方案</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支持高脂血症膳食方案</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支持肥胖症膳食方案。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2.2.2.3个性化运动方案库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智能分级模型</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支持三级智能运动分级模型，基于RPE自觉用力指数实现个性化运动方案推荐</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系统支持根据用户健康数据自动匹配运动阶段，实时触发禁忌判定与风险提示。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四大病种运动指导建议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支持针对高血压、糖尿病、高脂血症、肥胖症提供标准化运动指导，并结合本地提供运动场景以及设备资源的推荐。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安全机制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支持内容专业认证：所有运动教学视频须经权威体育科学学院专业认证。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支持安全风险告知：系统在用户启动运动方案前，通过强制弹窗进行运动风险提示，明确“运动风险自担”，履行完整安全告知义务。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2.2.2.4医防融合协同模块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医生端</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支持医生在门诊或随访后可一键点击“生成方案”，并支持纸质打印后随访指导患者</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支持所有居民的执行行为数据均自动回传并同步至区域医疗健康档案</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支持方案开具一个月后，系统还会自动向医生端推送电子问卷，方便医生对居民的执行行为进行便捷勾选与效果追踪。</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居民端</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支持医防融合的健康管理视图，对公卫档案、诊疗记录与行为数据进行汇聚</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支持用户便捷上传家庭自测血压、血糖等数据，系统可据此由AI动态生成并更新个性化健康建议。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2.2.3公卫一体化平台质控系统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2.2.3.1基础管理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质控日志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支持健康档案质控任务执行情况查询功能。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支持根据档案编号及质控时间范围筛选相应质控任务。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支持查看质控错误明细信息。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基础设置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支持基于完整性、有效性、规范性、一致性4个评价维度，梳理覆盖居民健康档案管理、慢病患者健康管理等模块共计千余个指标的评价指标体系。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档案质量综合评价算法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支持对完整性、有效性、规范性、一致性四个维度分别赋予一定的权重，得出每一份电子健康档案质量综合评价得分。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质控表单设置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质控表单选项管理支持从评价哪些业务模块、业务模块是否纳入质量评价总分、模块评价是否有效、模块包含哪些指标及指标怎么校验等多方面进行健康档案质量评价体系搭建。</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支持对质控指标维护，可对各质控模块中表单指标基本信息进行规范管理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支持指标汇总统计，可查看质控指标体系报表。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支持是否计入总分设置。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支持维护业务模块评价结果是否计入总分。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质控规则管理</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质控规则管理从四个维度权重设置、模块规范性校验设置、指标四个维度校验规则管理、质量等级设置等多方面进行规则体系搭建，实现对质控模块、指标、质量分级的规则维护管理</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支持档案质量等级设置，系统需对健康档案质量进行优秀/合格/不合格等级划分，并支持各个等级分值设置</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支持质控维度权重设置，需对完整性、有效性、规范性、一致性四个评价维度权重进行动态设置，为质控算法提供依据</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支持质控模块规范性校验设置，可对随访、体检、中医药健康管理等模块规范性评价标准规则管理，通过SQL语句配置对管理级别规范随访次数、年度体检次数、年度中医药随访频次等进行规范性校验</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指标校验规则设置，可对质控指标完整性、有效性、规范性、一致性四个维度的质控规则精细管理，各维度校验规则包含指标级别、校验内容、校验不通过提示，同时支持对校验内容从必填、内容、业务逻辑、一致性四个方向进行规则设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中间表生成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支持管理员档案质控中间表生成情况查询功能。</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支持按查询范围、最后生成时间等查询中间表生成情况</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支持对中间表重新生成。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2.2.3.2系统管理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2.2.3.2.1剩余质控任务查询</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支持执行中/未执行质控任务查询功能</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支持查看剩余质控任务明细</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支持查看下级机构质控任务分布明细</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2.2.3.2.2已质控任务分布</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支持已质控任务查询功能</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支持查看已质控任务明细</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支持查看下级机构已质控任务明细</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支持快捷进行重新质控</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支持对缺少项发起质控</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2.2.3.2.3检索同步情况查询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提供管理员检索同步情况查询功能。</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支持根据管理区域检索同步情况</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支持展示多库表档案数量差异情况</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2.2.3.2.4异常指标申诉及处理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各机构可对系统判定质控不通过的健康档案质提交异议申诉，系统管理员通过异常指标申诉与处理的机制，将各机构提出的健康档案质控异议进行指标异常处理。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异常指标申诉</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支持异常指标申诉结果查询功能</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支持申诉记录结果查看</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支持申诉记录检索功能</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支持查看申诉的健康档案中质控不通过的具体详情。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异常指标申诉处理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支持异常指标申诉处理功能。</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支持申诉记录查看</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支持申诉记录检索功能</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支持查看申诉的健康档案中质控不通过的具体详情，以及对系统判定质控不通过存在问题的地方进行调试确认，最后对申诉处理结果进行反馈。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2.2.3.2.5档案质控抽样</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管理者可通过档案质控抽样功能，根据业务实际需要进行档案质控抽样，进行数据真实性与准确性校验</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支持设置抽样人群、抽样范围及抽样比例进行档案质控抽样</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支持抽样记录查询及导出</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支持抽样明细查看</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支持抽样记录检索。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2.2.3.3档案质控服务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事中质控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设事中质控服务，对接现有健康档案系统，实现在健康档案服务记录的过程中，通过实时调用质控服务，发起当前表单信息的数据质控，并根据质控规则实时反馈质控结果与问题明细内容给医务人员，同时可将档案全局质控加入质控任务，对当前居民档案全周期服务记录进行事后质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支持医务人员根据返回的质控问题明细内容，可快速定位至问题模块、问题指标，并及时调整或完善业务数据。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事后质控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建设事后质控服务，对接现有健康档案系统，实现手动发起居民全周期档案数据质控，由后台质控引擎执行质控任务。</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▲支持医生通过居民质控列表查询、指标质控结果列表查询等查看从档案的完整性、有效性、规范性、一致性四个方面的质控整体情况。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中心质控</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建设中心质控服务，实现对区级管理者对健康档案数据进行统一质控，并反馈质控结果与明细信息</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支持生成相应的质控日志，利用数据分析与报告等体现中心健康档案数据质量，并进行相应的业务问题整改。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2.2.3.4档案查询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2.2.3.4.1个人查询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支持与健康档案管理机制充分融合，可按当前登录人员权限或管理层级限定查询范围。</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支持结果列展示居民基本信息、人群信息、档案质控得分、档案质量等级、责任医生、责任医生等</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支持居民档案检索功能</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支持对查询范围内的居民档案，进行批量重新质控</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支持查看居民质控明细信息。</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支持导出质控列表、质控明细</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支持居民质控明细图表分析</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2.2.3.4.2指标查询</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支持按区域/机构、质控模块、质控年份等方式查询指标质控结果列表</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指标质控结果列表通过质控模块、模块中专项规范性指标、4个维度指标情况，展示各模块各指标质控的不通过数、不通过率，同时按完整性、有效性、规范性、一致性四个维度展示分别不通过的指标数量与不通过率</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支持查看某些高频不规范指标的居民档案校验明细情况，根据实际情况进行数据纠正或修改后，可进行批量错误指标重新质控</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支持导出指标质控列表。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2.2.3.4.3规范校验查询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支持规范性校验结果查看。</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支持导出根据查询条件查询出来的质控列表</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支持规范性校验结果检索</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2.2.3.4.4随访情况查询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支持查询居民随访质控情况。</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支持导出根据查询条件查询出来的质控列表</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支持质控结果检索</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2.2.3.4.5统计分析</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提供档案质控相关统计报表，支持按区县、按医疗机构、按人群分类统计。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健康档案质量控制统计表</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支持查看健康档案质量分布情况</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支持居民档案质控检索，可根据管理地区、质控年份及人群分类进行筛选查看对应档案质控情况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根据质控业务开展情况，目前人群分类包含老年人、高血压患者及糖尿病患者</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支持地区下钻，可查看区域/机构档案质量报表</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支持已质控档案数下钻查看个人档案明细</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支持查询结果导出</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规范率统计表</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支持查看健康档案规范率分布情况</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支持根据质控模块展示个性化统计内容，高血压随访可展示随访人数、面访次数达标人数等内容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老年人体检可展示体检人数、体检次数达标人数等内容</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支持报表检索，可根据管理地区、质控年份及质控模块进行筛选查看对应档案质控情况</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支持地区下钻，可查看区域/机构档案规范率统计明细报表</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支持不规范档案数量下钻查看个人档案明细</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支持查询结果导出</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指标平均分统计报表</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指标平均分分布情况概况包含质控档案数、完整性/有效性/规范性/一致性指标情况（指标总数、通过数、通过率）及指标平均得分</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支持报表检索，可根据管理地区、质控年份及质控模块进行筛选查看指定档案质控情况</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支持地区下钻，可查看区域/机构档案指标平均分统计情况</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支持已质控档案数下钻查看个人档案明细</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支持查询结果导出</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规范档案覆盖率</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规范档案覆盖情况</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支持报表检索，可根据管理地区、质控年份进行筛选查看对应档案质控情况</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支持地区下钻，可查看区域/机构规范档案覆盖情况</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支持查询结果导出</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首页</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支持管辖权限内市、区县、机构等查询范围选择</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支持根据质控年份检索指定年份质控结果</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支持查看健康档案、老年人体检、老年人中医体质辨识、高血压随访、高血压体检、糖尿病随访、糖尿病体检等质控模块质控结果，包含质控数、质控率、档案质量分布情况、规范数、规范率等质控结果分析</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支持查看管辖机构指标平均分情况，以柱形图及折线图结合/列表的形式展示下级区域/机构的指标情况</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支持查看管辖机构档案规范性评价分布情况</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支持查看各区县、各机构档案规范率排名情况</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2.2.3.4.6重复档案筛查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支持与现有健康档案系统进行集成对接，实现重复档案筛查功能。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筛查规则设置</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支持从健康档案的档案状态、建档日期、家庭医生签约记录、慢病管理记录、健康体检记录、医疗就诊行为等维度设置筛查规则</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支持根据实际情况对筛查规则设定优先级</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支持当其中有档案存在异常状态时，则以档案状态正常的一份为主进行归并</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支持当档案都为正常，且无任何签约或慢病管理记录的，则以档案建立日期为主进行判断和归并。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支持结合归并规则，对健康档案进行分析判断，并对出现重复的档案按照优先级进行比对和判断，提供符合相应规则的内容和判断标记。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重复档案查询</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重复档案列表包含居民健康档案基本信息、签约机构、待归并档案数/确认数、归并状态等信息</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支持重复档案检索功能</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支持查看档案详情</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支持查看待归并档案列表</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支持查看重复档案分析结果</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2.2.3.4.7质控详情页面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支持查看居民质控明细信息。</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支持导出质控明细</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支持查看质控明细图表分析</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2.2.3.4.8定时服务</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支持档案质控生成服务以及同步服务根据设定的时间，进行全域范围内的档案质量控制评分</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支持档案质控数据生成后同步至检索服务</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支持单份档案进入定时质控任务。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2.2.3.4.9API服务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档案质控统一对外接口。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2.2.4疾病预防控制中心实验室管理系统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2.2.4.1客户服务平台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针对公共卫生网络中的社区服务中心、医院等用户提供检测预约登记、样品受理、进度查询、结果查看、报告下载、投诉与意见等功能。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检测预约登记</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支持通过客户服务平台进行在线检测预约登记</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支持针对不同的业务类型提供不同的预约界面和预约方式</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支持预约方式的配置。</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支持预约客户按要求填写相关基本信息表单，自动生成预约单号</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支持在确认预约完成后，自动将预约单推送至实验室信息管理系统中，中心工作人员可以在实验室信息管理系统中查看到推送的预约单。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支持与医院的HIS系统对接，获取任务、样品、检测等信息。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样品受理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支持样品送达现场后，疾控中心工作人员可以在系统中对预约信息进行受理确认，并生成一个受理号。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支持受理号与客户信息绑定，客户后期可以根据此受理号进行进度查询、报告下载等工作。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进度查询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支持在样品受理完成后，样品信息在系统中流转，检测进度会随着业务的开展不断变化，客户可在微信公众号实时查看到系统中的样品检测进度。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结果查看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支持客户通过客户服务平台进行结果查看。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支持看守所的用户，在网络互通的前提下，通过查询检测结果信息。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报告下载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支持客户通过客户服务平台，录入受理单或样品相关的信息后，可以浏览并下载原始记录、检验报告书，以及历史检验信息。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投诉与意见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支持用户在系统中填写投诉与意见信息，对服务态度、检测过程、检测质量、检测时限等进行投诉和建议。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支持对投诉和意见的处理结果反馈到填写人。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2.2.4.2检验检测业务流程管理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2.2.4.2.1送样检验业务流程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2.2.4.2.1.1业务受理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2.2.4.2.1.1.1受理录入管理</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支持在进行业务受理时，录入包括委托单位名称、详细地址、委托经办人、联系电话、生产厂家、是否退样、是否同意使用非标准方法、是否出具评价报告、检验检测结果评价、是否留样以及留样数量等内容</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支持多种录入方式，协助工作人员方便快速</w:t>
      </w:r>
      <w:r>
        <w:rPr>
          <w:rFonts w:hint="eastAsia" w:ascii="宋体" w:hAnsi="宋体" w:eastAsia="宋体" w:cs="宋体"/>
          <w:color w:val="auto"/>
          <w:sz w:val="21"/>
          <w:szCs w:val="21"/>
          <w:highlight w:val="none"/>
          <w:lang w:eastAsia="zh-CN"/>
        </w:rPr>
        <w:t xml:space="preserve">地</w:t>
      </w:r>
      <w:r>
        <w:rPr>
          <w:rFonts w:hint="eastAsia" w:ascii="宋体" w:hAnsi="宋体" w:eastAsia="宋体" w:cs="宋体"/>
          <w:color w:val="auto"/>
          <w:sz w:val="21"/>
          <w:szCs w:val="21"/>
          <w:highlight w:val="none"/>
        </w:rPr>
        <w:t xml:space="preserve">完成受理工作。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支持对委托方信息进行建立档案管理。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2.2.4.2.1.1.2样品信息管理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支持样品信息管理。病原类的样品信息应包括患者的姓名、性别、年龄、现住址、患者的发病日期、标本的采集日期等内容。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条码管理</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支持会根据不同样品类型自动生成样品编码，并经过加密后转换成唯一性的一维码或二维码</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支持和条码打印机进行集成，工作人员在完成受理登记之后，在系统中调用打印机，自动打印条码，将条码粘贴到样品上就实现了对样品的标记，后续样品管理活动只需要扫描该条码就能获取样品的全部信息。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留样管理</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支持对保健食品注册、保健食品复核、化妆品等业务类型进行留样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样品编码管理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支持根据不同样品类型、业务类型进行规范编码。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2.2.4.2.1.1.3检测方法管理</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在进行业务受理时，支持选择检测项目使用的检测方法</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对于没有能力检验的方法，支持在业务登记页面选择进行分包</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对于使用不是本中心认证认可范围内的方法进行检验时，系统会进行提醒</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支持某种方法在短时间内下样量过多，超出预警值（提前维护预警值）时，若再选用该方法，系统会进行超负荷提醒。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提供中心认证认可的项目和方法用黑色表示，未认证认可项目方法用红色表示。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要支持默认检测方法，以及评价标准与检测项目的自动匹配筛选功能。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支持自动纠错功能。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2.2.4.2.1.1.4多种下样模板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在业务受理选择检测项目时，支持提供多种类型的下样模板进行辅助下样。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支持模板中检测项目名称以及所使用的方法的维护。下样模板主要包括以下几种类型：按样品类型设置的模板、按照评价标准设施的模板、按照样品处理方式设施的模板。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2.2.4.2.1.1.5系统集成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支持手写板，快拍仪、扫描仪、双屏显示器等硬件集成。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2.2.4.2.1.1.6文件管理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在业务受理时，支持扫描存储相关文件。</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支持相关文件的查询</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支持文件的打印。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2.2.4.2.1.2合同评审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对于部分业务，可以人工选择是否需要进行合同评审，系统需要建立检验合同评审程序模块，该模块可以实现合同评审流程的自定义并可以和相关付款环节进行关联。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可以根据具体业务需求自动设置合同评审的流程，在整个流程的审批环节中，支持会签、批准、退回、转发等相关操作，所有的操作都将被记录，各操作人的电子签名也可以被抓取，并自动打印合同评审报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2.2.4.2.1.3条形码管理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样品条码信息</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支持扫描枪在扫描样品编号获取此编号的样品相关信息</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支持人工输入样品编号进行相关信息获取操作。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支持在权限体系上对样品信息获取进行控制，操作员仅能获取权限内的信息。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基于条形码全生命周期管理</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全生命周期中主要包括：样品登记交接、样品实验室内流转、样品检验、样品销毁等环节</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支持通过条形码进行样品的接收确认操作</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支持通过条形码实现杨盼在实验室内部或实验室直接样品流转</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支持通过条形码定位样品的录入界面直接录入结果</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支持通过条形码到样品存放台账，进行销毁登记。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2.2.4.2.1.4任务指派</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任务指派模块用于实验室进行内部任务的分派。</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默认指派对象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支持提前设置各种检测项目属于哪个实验小组以及哪个试验小组的哪个人，在任务指派时系统会自动抓取设施好的默认值</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支持一键完成所有任务指派工作。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按样品/时间/检测项目/组指派</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支持按照样品一个一个的指派</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支持根据受理时间、检测项目、任务所属的实验小组等维度进行指派。</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自动指派</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支持按照排班表自动指派</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指派后跟踪</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支持跟踪各任务的执行情况</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支持超期的任务给予红色报警提示。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任务自动提醒</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支持在系统中接收到任务提醒</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支持按照时间的长短和任务紧急程度进行自动排序。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2.2.4.2.1.5样品接收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支持样品接收环节打印样品标签，如送样任务标签、盲码样标签。</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支持手动批量接收和扫码接收样品两种方式。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支持对每次采集回来的样品进行接收。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支持记录样品交接信息，并自动生成样品交接单。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支持留样管理，留样到期后自动提醒样品管理员进行样品处置。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支持添加各种质控盲码样如密码平行、盲码样等，保障盲码样跟着项目同时进行，并且可以打印盲码样标签。</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2.2.4.2.1.6结果录入</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支持实验数据在结果录入模块录入到系统</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支持从操作规范化、质控提醒、数据自动计算等多个角度来对实验过程和实验结果进行控制。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支持样品录入和按批录入两种录入方式，使不同的人员针对不同的业务可快速录入结果信息。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支持按照仪器采集和手工录入等两种录入方式，分别实现仪器法和化学法的不同数据的录入。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规范化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支持根据检测项目及所使用的方法提前维护好数据录入模板。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质控手段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支持各类结果样品质控方式及同时存在多个质控手段的功能，包含：平行样、标准曲线（普通和对数）、质控样、加标回收、空白、阳性对照、阴性对照等，支持自动完成以上质控方式计算并与样品关联，且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支持样品质控进行溯源和仪器采集。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支持在实验过程中的智能提醒。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自动计算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支持仪器采集相关结果并自动运算最终结果，并在“报告结果”列中显示对应的处理后的结果。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支持按照计算公式的分析项自动计算。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支持和中心大型仪器进行接口，自动采集大型仪器的数据。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当原始分析记录输入后，根据在测试管理模块中预先定义的计算公式和修约规则，支持将自动计算出分析结果，自动对结果进行修约。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对于重复性检测分析，支持自动计算出重复性。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数据输入格式支持数值、文本等。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支持将图谱、文档等作为附件与原始数据一同保留在系统。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支持根据预先设定的指标对超标结果数据自动判级，并以不同颜色加以区分与突出显示。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支持多级规格指标和限值检查。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数据的修改权限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支持数据修改权限管控。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数据追溯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结果录入时，支持检验者自动或手动录入所用的仪器编号、仪器重要的操作条件、重要的化学品名称和批号等，并可以根据仪器的运行情况调整数据采集的仪器、调整对检测结果有影响的试剂批号和计量器具、浏览检验依据、标准、仪器操作指导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将所录入数据与仪器管理中预设的仪器精度、量程以及测试管理中分析项目的上限、下限进行比较并作适当提示，并可查询调出相同样品历史和相应原始记录作进一步比对，作相应的比对趋势图、控制图。</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对于消毒微生物多文字性描述且计算较为复杂的检测项目，支持Excel或其他第三方工具实现定制化的自动计算，支持独立界面进行仪器、试剂、实验详细说明信息的录入。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支持自动生成不同检测项目对应原始记录，并可在结果录入环节在线预览。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支持加标样、空白样、质控样类的实验室质控手段，能够对质控的超标结果进行提示。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支持实验人、实验房间、温湿度、标准溯源记录、辅助仪器实验室实验信息的记录、追溯。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支持在结果录入处自动生成、预览原始记录，便于实验人员较为直观地查看实验信息、结果。支持依据样品登录时确定的卫生评价标准对理化、消毒、食品、水、场所指标结果进行判断，超标结果用红色标出。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支持通过接口方式向省平台等第三方系统进行样品检测结果的对接。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2.2.4.2.1.7仪器接口管理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支持与仪器进行对接，获取数据。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支持仪器接口管理。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支持仪器和实验结果的关联。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支持仪器与报告之间双向溯源。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2.2.4.2.1.8数据审核</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数据审核管理</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支持样品列表信息展示</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支持按照样品列表查看样品下每个检测项目的检测结果</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支持某个检测项目查看该批样品的检测结果</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支持原始记录的跳转查看。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在数据审核时，系统对检测结果、样品状态等都进行多种智能提醒方式。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支持数据结果异常进行提醒。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支持对样品状态异常提醒。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历史追溯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支持查看到每个样品的、每个结果的历史操作记录。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退回复检</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支持退回复检流程对样品进行退回复检，支持按照检测项目退回，支持整个样品退回，支持按批次退回</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支持复检完成之后，重新提交结果进行审核</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支持退回记录（退回时间、退回原因、退回人、退回项目等）、原始结果、复检结果等都在系统中进行保留。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2.2.4.2.1.9检验报告生成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模板化要求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支持按各检测单位需求，对各类检测报告进行分类、整理、归纳，建立标准化报告模板库，模板需与样品类型精准匹配。</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样品类型支持分层级选择，样品进入报告合成阶段时，系统可根据已选择的样品类型，自动匹配对应报告模板，无需人工干预。</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支持自动生成Word、PDF等多种常用报告格式，可满足不同场景下的报告交付需求，格式导出后需保证内容完整、排版规范，无错乱、缺失。</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自动化要求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报告生成全程自动化，无需工作人员手动编制，系统获取匹配的报告模板后，自动完成报告合成。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支持自动抓取报告所需全部关键信息，包括但不限于：委托方信息、检测项目信息、样品基础信息、检测方法、评价标准、各规格样品检测结果、各检测项目评价标准值等。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支持报告自动评价功能，按报告类型差异化处理：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综合评价类报告（如食品毒理学报告）：系统需预先内置标准化评价模板，评价时自动调用对应模板，完成综合评价内容的自动生成，评价逻辑符合行业规范及相关标准。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安全性要求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具备严格的权限管控机制，报告查看、操作权限与系统角色权限体系深度绑定，未经授权人员无法查看任何报告内容。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支持操作日志全程记录，所有有权限人员对报告的查看、打印、编辑等操作均需详细记录，包括操作人、操作时间、操作内容等，日志可追溯、不可篡改。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草稿状态报告需自动添加“草稿”字样水印，水印不可手动去除、不可遮挡报告核心内容，确保草稿报告即使外泄，也无法作为正式报告交付给委托方，保障报告严肃性。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2.2.4.2.1.10检验报告审核和报告签发</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自动化的审核签发流程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不同业务类型、样品类型，灵活定制差异化审核签发流程，可自由配置审核签发顺序（如三级审核、四级审核），并可从系统人员管理体系中获取各环节审核签发人员信息，实现人员权限与报告类型的精准匹配。</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电子签名自动替换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支持与CA认证系统集成，可自动读取认证系统中存储的电子签名信息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同时内置电子签名管理系统，支持利用手写板采集到每个人电子签名并和账号进行绑定，在工作人员审核和签发报告时系统可以自动抓取签名插入到报告当中。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时间的抓取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可自动抓取报告审核、签发日期，同时支持抓取检测完成日期、数据审核日期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首页需标注检测人、检测完成时间、数据审核人员、审核完成时间的报告，系统可自动识别该样品下最后完成检测及数据审核的检测项目，抓取该项目的检测人员签名、检验完成时间，自动插入报告对应位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多科室联合签发</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针对检测项目涉及多类型（如化妆品检验中理化）的样品，支持各相关科室独立审核签发，各科室签发完成后系统自动合并报告并统一发出，最终签发日期自动抓取所有签发人员中最晚的签发日期。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签发退回功能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报告签发人员发现报告有错误，可以不同意签发并将报告退回到数据审核人员或检测人员，进行整改。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自动盖章功能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系统支持自动加盖CMA或CNAS章，并根据审批流程自动实现电子签名，线下盖骑缝章发出。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2.2.4.2.1.11报告书打印归档管理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多种打印方式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支持工作人员打印盖章后现场/邮寄发放、委托方在线登录下载并自动生成电子章插入封面，支持骑缝章加盖功能。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规范化管理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仅允许委托方缴费完毕后打印（特殊情况可单独授权）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打印份数严格遵循委托协议约定，禁止超量打印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打印发放后需在系统内完成确认操作。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归档管理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支持电子归档，归档文件含检测报告、受理单、原始记录、客户资料等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支持按文档类型（如免疫学检测样品、艾滋病检测报告）设置单独归档模式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已归档报告查询需符合相关质量管理体系要求。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智能化体系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具备委托单到期优先排序、报告领取逾期提醒、工作人员待打印任务数量提醒等功能。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报告的变更处理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支持客户异议评审后启动变更流程，含基本信息的变更和结果的变更两种模式。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2.2.4.2.2采样检验业务流程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2.2.4.2.2.1预约登记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支持现场采样委托的预约登记，受理人员接收预约后安排现场勘查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提供现场预约（疾控中心受理大厅）、线上预约（对外服务系统）两种方式。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支持建立客户预约档案，统一管理预约单位名称、联系人、联系电话、详细地址、检测目的、预约检测场所等相关信息。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预约完成后，自动向相关负责人推送提醒信息，督促其安排勘查工作。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2.2.4.2.2.2现场勘查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支持现场勘查员录入勘查信息及勘查结果，管理勘查信息与拟定的检测方案。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勘查信息管理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支持勘查人员通过现场平板录入现场基本信息（环境、面积、人员等），可拍摄多媒体资料并上传，勘查资料可与客户预约档案绑定备查。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检测方案管理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支持勘查人员根据勘查结果编写检测方案，包含采样点位、各点位检测项目、采样频次、工期、试剂耗材消耗、检测报价等内容。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方案编写完成后支持管理人员审核，审核通过后系统自动将最终方案及报价单发送给客户。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2.2.4.2.2.3合同评审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支持人工选择是否进行合同评审，具备检验合同评审程序模块，可实现评审流程自定义，并与付款环节关联。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自定义的评审流程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支持根据业务需求自动设置评审流程，审批环节支持会签、批准、退回、转发等操作，所有操作可记录，可抓取操作人电子签名，自动打印合同评审报告。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付款管理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支持签约委托方定期集中付款标记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支持按单委托方通过对外服务系统与银联挂钩在线付款，付款成功后自动同步付款信息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支持付款人上传付款凭证扫描件，工作人员可在系统中确认付款结果。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2.2.4.2.2.4受理登记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合同评审通过后进入受理登记环节，自动抓取预约登记中的客户信息、检测项目信息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现场检测受理登记额外包含采样方案管理模块（采样点位、检测项目、岗位、采样日期及频次管理等）。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2.2.4.2.2.4.1受理录入管理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支持录入委托单位名称、受检单位名称、详细地址、委托经办人、联系电话等相关信息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支持受理单复制、Excel录入、在线（现场）受理等多种录入方式。</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支持复制历史受理单并修改部分信息完成受理（同一客户、相同/类似检测项目）</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支持Excel模板导入受理（邮寄样品、电汇打款场景）</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支持与互联网系统对接，委托方可在线受理登记，工作人员审核通过后完成受理</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支持委托方现场登录专用账户填写受理信息，工作人员审核完成后完成受理</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支持委托方档案管理，首次委托自动建立档案，再次委托输入名称即可调阅档案并自动填充相关信息，无需重复录入。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2.2.4.2.2.4.2采样点位管理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支持根据采样方案设置采样点位，点位区域分为区域层级和具体点位层级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支持一键复制相同区域的点位信息，提高维护效率。</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2.2.4.2.2.4.3检测项目管理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支持两种检测项目维护方式：选中点位/区域批量添加检测项目、选中检测项目批量添加对应点位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支持点位与检测项目封装，可一键添加封装好的点位及检测项目，仅需修改具体点位信息。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2.2.4.2.2.4.4岗位管理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支持班组管理（含流水线相关所有岗位），可在班组下维护采样岗位及检测项目，支持班组复制（相同/类似班组）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支持岗位与点位关联，可设置岗位在各点位的停留时间，用于职业危害加权平均值计算。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2.2.4.2.2.4.5采样日期和采样频次的管理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支持设定采样天数和采样频次，部分检测项目可根据国家标准预设采样频次，无标准项默认1次，受理人员可调整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支持Excel导入等多种录入方式。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2.2.4.2.2.4.6样品信息管理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支持样品信息管理。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条码管理系统</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支持会根据不同样品类型自动生成样品编码，并经过加密后转换成唯一性的一维码或二维码</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支持和条码打印机进行集成，工作人员在完成受理登记之后，在系统中调用打印机，自动打印条码，将条码粘贴到样品上就实现了对样品的标记，后续样品管理活动只需要扫描该条码就能获取样品的全部信息。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留样管理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支持对保健食品注册、保健食品复核、化妆品等业务类型进行留样。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样品编码管理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支持根据不同样品类型、业务类型进行规范编码。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2.2.4.2.2.4.7检测方法管理</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在进行业务受理时，支持选择检测项目使用的检测方法</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对于没有能力检验的方法，支持在业务登记页面选择进行分包</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对于使用不是本中心认证认可范围内的方法进行检验时，系统会进行提醒</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支持某种方法在短时间内下样量过多，超出预警值时，若再选用该方法，系统会进行超负荷提醒。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提供中心认证认可的项目和方法用黑色表示，未认证认可项目方法用红色表示。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要支持默认检测方法，以及评价标准与检测项目的自动匹配筛选功能。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支持自动纠错功能。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2.2.4.2.2.4.8多种下样模板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在业务受理选择检测项目时，支持提供多种类型的下样模板进行辅助下样。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支持模板中检测项目名称以及所使用的方法的维护。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2.2.4.2.2.4.9系统集成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支持手写板，快拍仪、扫描仪、双屏显示器等硬件集成。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2.2.4.2.2.4.10文件管理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在业务受理时，支持扫描存储相关文件。</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支持相关文件的查询</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支持文件的打印。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2.2.4.2.2.5采样安排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支持根据受理信息自动计算采样所需耗材，方便实验室人员准备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支持安排采样日期、划分采样小组（默认两人一组），指定采样检测人和复核人。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支持个人工作量预警，当同一人员同一天安排两个采样任务时，系统自动提醒任务冲突。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2.2.4.2.2.6现场采样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支持移动平板录入原始采样信息，支持蓝牙打印机现场打印样品条码标签。</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平板录入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支持采样人员下载采样任务信息至平板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现场可录入原始采样信息，支持按点位、检测项目、日期三种录入方式，按日期录入可直接复制多日类似采样信息。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条码管理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支持平板与蓝牙条码打印机连接，现场打印条码并粘贴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返回单位后，实验室人员可扫码接收样品。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检测方案变动管理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支持采样人员在平板上修改检测方案，按变更后方案采样、打印条码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返回单位后可将变更方案同步至系统端。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签名管理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支持自动采集采样检测人、复核人签名（根据采样方案预设）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支持陪同人在平板上签字，签名转换为图片存入系统。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2.2.4.2.2.7样品接收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支持打印样品标签（送样任务标签、盲码样标签）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支持手动批量接收、扫码接收两种交接方式，可接收多周期多频次任务的单次样品。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支持记录样品交接信息，自动生成样品交接单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支持留样管理，留样到期自动提醒处置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支持添加各类质控盲码样，可打印盲码样标签，保障盲码样与项目同步进行。</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2.2.4.2.2.8结果录入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支持现场采样数据录入、实验室检测数据录入、数据综合处理三项功能。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2.2.4.2.2.8.1现场采样数据录入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支持两种同步方式：平板连接内网一键同步（按任务、按天、一键全部同步）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平板通过USB接口导出Excel数据，再导入系统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无需手动重复录入。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2.2.4.2.2.8.2实验室数据录入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支持样品录入、按批录入两种方式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支持仪器采集、手工录入两种录入方式，分别适配仪器法、化学法。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规范化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根据检测项目及方法预设数据录入模板，实验人员按模板规范录入信息。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质控手段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支持平行样、标准曲线、质控样等多种质控方式，自动计算并关联样品，支持智能提醒（误差、回收率、限值等），亮灯提示异常。</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自动计算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支持仪器工作站数据采集并自动运算最终结果，支持双击单元格自动计算，支持与大型仪器接口对接自动采集数据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自动计算分析结果、修约数据、判定超标结果并突出显示，可保留图谱、文档等附件，支持多级规格指标和限值检查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自动生成原始记录和报告。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数据的修改权限</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仅结果录入阶段可修改检测数据，其他环节有异议需退回实验人员修改</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数据追溯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支持录入仪器编号、试剂批号等相关信息，可比对仪器精度、量程等，可查询历史样品数据并生成比对图表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支持消毒微生物类项目定制化计算及详细信息录入，可在线预览原始记录。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2.2.4.2.2.8.3数据综合处理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支持系统根据样品编号自动获取现场采样数据与实验室检测数据并综合计算，无需人工干预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计算方式分两类：实验室结合现场数据计算最终结果、现场采样结合实验室数据计算最终结果。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2.2.4.2.2.9仪器接口管理</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支持与仪器进行对接，获取数据</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支持仪器接口管理。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支持仪器和实验结果的关联。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支持仪器与报告之间双向溯源。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2.2.4.2.2.10数据审核</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数据审核管理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支持校核人员、科室管理者逐级审核检验原始记录和结论，需修改或有疑问的可退回检验员，审核通过后数据生效。</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支持样品列表信息展示</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支持按照样品列表查看样品下每个检测项目的检测结果</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支持某个检测项目查看该批样品的检测结果</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支持原始记录的跳转查看。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在数据审核时，系统对检测结果、样品状态等都进行多种智能提醒方式。</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支持数据结果异常进行提醒</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支持对样品状态异常提醒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历史追溯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支持查看到每个样品的、每个结果的历史操作记录。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退回复检</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支持退回复检流程对样品进行退回复检，支持按照检测项目退回，支持整个样品退回，支持按批次退回</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支持复检完成之后，重新提交结果进行审核</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支持退回记录、原始结果、复检结果等都在系统中进行保留。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2.2.4.2.2.11检验报告生成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在数据结果审核完毕之后，进入到结果发布报告生成阶段，系统中这个模块最大的特点就是模板化、自动化和保密性。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模板化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支持按各检测单位需求，对各类检测报告进行分类、整理、归纳，建立标准化报告模板库，模板需与样品类型精准匹配。</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支持分层级选择，样品进入报告合成阶段时，系统可根据已选择的样品类型，自动匹配对应报告模板。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支持自动生成Word、PDF等多种常用报告格式，格式导出后需保证内容完整。</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报告生成全程自动化，无需工作人员手动编制，系统获取匹配的报告模板后，自动完成报告合成。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支持自动抓取报告所需全部关键信息。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支持报告自动评价功能，按报告类型差异化处理。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综合评价类报告（如食品毒理学报告）：系统需预先内置标准化评价模板，评价时自动调用对应模板。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具备严格的权限管控机制，报告查看、操作权限与系统角色权限体系深度绑定，未经授权人员无法查看任何报告内容。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支持操作日志全程记录，所有有权限人员对报告的查看、打印、编辑等操作均需详细记录。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草稿状态报告需自动添加“草稿”字样水印，且无法去除，确保即使报告草稿外泄，无法发出给委托方。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2.2.4.2.2.12检验报告审核和报告签发</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自动化的审核签发流程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支持根据不同业务类型、样品类型，灵活定制差异化审核签发流程，可自由配置审核签发顺序，并可从系统人员管理体系中精准获取各环节审核签发人员信息。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电子签名自动替换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支持与CA认证系统集成，可自动读取认证系统中存储的电子签名信息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同时内置电子签名管理系统，支持通过手写板采集人员电子签名，并与用户账号进行唯一绑定，审核签发环节系统可自动抓取对应人员电子签名，精准插入报告指定位置。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时间的抓取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可自动抓取报告审核、签发日期，同时支持抓取检测完成日期、数据审核日期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首页需标注检测人、检测完成时间、数据审核人员、审核完成时间的报告，系统可自动识别该样品下最后完成检测及数据审核的检测项目，精准抓取该项目的检测人员签名、检验完成时间，自动插入报告对应位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多科室联合签发</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若某个样品的检测项目涉及到多个类型，在签发该类报告时，系统支持各科室独立审核签发，签发完成后合并发出，最终签发日期抓取两个签发人中最晚签发的人员。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签发退回</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报告签发人员发现报告有错误，支持不同意签发并将报告退回到数据审核人员或检测人员，进行整改。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自动盖章</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系统支持自动加盖CMA或CNAS章，并根据审批流程自动实现电子签名，线下盖骑缝章发出。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2.2.4.2.2.13报告书打印归档管理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多种打印方式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支持工作人员打印盖章后现场/邮寄发放、委托方在线登录下载并自动生成电子章插入封面，支持骑缝章加盖功能。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规范化管理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仅允许委托方缴费完毕后打印（特殊情况可单独授权）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打印份数严格遵循委托协议约定，禁止超量打印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打印发放后需在系统内完成确认操作。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归档管理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支持电子归档，归档文件含检测报告、受理单、原始记录、客户资料等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支持按文档类型设置单独归档模式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已归档报告查询需符合相关质量管理体系要求。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智能化提醒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具备委托单到期优先排序、报告领取逾期提醒、工作人员待打印任务数量提醒等功能。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报告变更</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支持客户异议评审后启动变更流程，含基本信息的变更和结果的变更两种模式。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2.2.4.2.3应急检测流程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应急业务管理模块以突发情况时为疾控中心实验室提供及时、有序、准确的检测服务为核心，围绕应急资源管理、应急样品检测两大中心建设。</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2.2.4.2.3.1应急资源管理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支持整合人员、机器、物料、方法、环境等信息，生成动态的检测能力储备分析表，供管理人员实时查看中心各类检测能力储备情况。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人员配备情况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支持基于卫生专业人力资源搭建卫生应急体系，可设置应急领导组、应急专家库、应急队伍、应急值守队伍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突发事件上报后，可按组织体系完成上报、调查、处置，可根据疫情类别筛选专家、组建应急队伍、安排应急值守人员。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耗材库存情况</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支持按类别、用途构建应急物资信息库，可监督各市州应急物资储备情况</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仪器情况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支持展示中心各类仪器的种类、每类仪器的运行状态及可开展的实验类型，便于应急情况下快速判断仪器配备是否满足大量实验室检测需求。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2.2.4.2.3.2应急样品检测流程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支持依据各中心质量体系相关文件要求，专门设计应急样品检测流程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流程支持跳过非必要环节，可快速将样品送达实验室开展检测，检测完成后可补办相关手续，流程设置贴合各中心质量体系要求。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2.2.4.2.4职业卫生检测管理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2.2.4.2.4.1样品定点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支持固定场所和岗位两类定点管理，适配职业卫生检测场景需求。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支持设置生产车间层级，检测人员可选择采样车间，在车间下选择固定点位及检测项目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支持多车间检测信息复制修改，可便捷维护各车间检测日期及检测天数。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支持班组管理，可选择生产车间需检测的班组并逐一添加，可设定每个班组需检测的岗位数量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支持班组轮换机制，可在班组下维护白班、夜班等相关信息。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支持设置岗位与固定点位对应关系。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2.2.4.2.4.2采样管理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支持物料因素、毒物、粉尘三类采样管理，涵盖固定场所采样和个体采样，实现采样全流程管控。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物理因素采样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支持平板快速录入界面，可仅设定采样区域，现场可灵活增加采样点位、调整每个点位采样次数及读数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采样完成后，平板采样信息可同步至系统，系统自动计算结果并生成报告。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化学因素采样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支持采样仪器与样品关联管理，采样人员可在平板记录各点位所用采样仪器，采样完成后粘贴二维码标记样品，返回单位后实验室人员可扫码接收样品，便于结果溯源。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支持现场临时追加、修改采样点位，返回单位后可同步至系统，适配采样点位、日期不确定的场景。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2.2.4.2.4.3数据的综合处理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2.2.4.2.4.3.1样品的管理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支持样品条码管理。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2.2.4.2.4.3.2结果计算</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表格型数字：支持现状评价、年度评价、控制效果评价检测，可自动计算浓度、TWA、STEL、MAC、超限倍数、等效值、新风量等，自动评价，对超标工序/工段、检测项目进行提醒</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描述性文字：支持预评价、控制效果评价，可管理试验相关文字信息，支持从历史试验库选择并修改，原始记录、检验报告支持上标和下标</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图片或曲线图：支持所有业务类型，可单个或批量导入图片，支持多行多列图片排版。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支持自动抓取实验室检测结果、空白结果、气压、温度等信息，自动完成减空白、体积换算等操作计算最终结果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支持单样品双项目计算一氧化氮含量，自动完成含量差值计算及分子量转换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支持根据岗位与固定点位对应关系，自动计算各岗位化学伤害剂量。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2.2.4.2.4.3.3报告结果评价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支持检测结果自动评价，提前维护各检测项目MAC、最大超限倍数、PC-TWA、PC-STEL等评价方式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生成报告时可自动计算TWA、STEL、超限倍数等信息并完成最终评价，系统自动生成检测报告，审核及签发人员仅需完成审核操作。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2.2.4.2.5食品卫生检验管理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食品卫生检测涵盖一般食品、食品容器及包装材料等项目，涉及理化指标、细菌微生物、食品毒理学、辐射污染等检测内容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支持委托检测、监督抽检等业务类型。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2.2.4.2.5.1业务受理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支持按企业标准添加检测项目，可先维护被检项目企业标准，再通过该标准一次性添加所有需检测项目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支持普通食品三批一次检测场景下一次性添加多个样品。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支持食药监局抽检、食品安全风险监测等大批量样品信息快速输入或导入。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支持食品样品编号与省级、国家系统规则保持一致。</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2.2.4.2.5.2理化指标检验</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针对理化指标检测，系统从样品处理、标准溶液配制、计算公式、单位管理等方面提供完善功能支持。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按批录入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支持按批录入检测结果，可按检测项目创建批次，一次性录入多个样品的对应检测数据，贴合实验人员批量操作场景。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样品的处理模板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依据国家标准提前维护各检测项目的样品预处理模板，录入数据时可直接沿用模板，差异部分可在模板基础上修改。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检测方法与仪器的匹配</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提前匹配各检测项目不同检测方法对应的仪器及ELN计算公式参数，受理下样后可根据所选方法自动匹配对应仪器及计算参数。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计算公式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依据国家标准提前维护计算公式，实验室人员仅需录入分析项数值，系统自动完成结果计算。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单位换算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内置各单位换算系数，检测人员修改单位后，系统自动完成对应数值换算。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结果修约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支持FDA、ISO等多种修约方式，可根据客户需求自定义修约规则。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质控手段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支持平行样精密度自动计算、标准曲线自动生成及样品值代入计算，同时支持加标样、重复样等其他质控方式。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默认值</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可对稀释倍数、进样体积等分析项设置默认值，无变化时无需重复修改。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仪器采集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支持主流液相、气相、质谱仪等各类仪器的数据采集，可同步采集谱图及仪器结果，支持</w:t>
      </w:r>
      <w:r>
        <w:rPr>
          <w:rFonts w:hint="eastAsia" w:ascii="宋体" w:hAnsi="宋体" w:eastAsia="宋体" w:cs="宋体"/>
          <w:color w:val="auto"/>
          <w:sz w:val="21"/>
          <w:szCs w:val="21"/>
          <w:highlight w:val="none"/>
          <w:lang w:val="en-US" w:eastAsia="zh-CN"/>
        </w:rPr>
        <w:t xml:space="preserve">多</w:t>
      </w:r>
      <w:r>
        <w:rPr>
          <w:rFonts w:hint="eastAsia" w:ascii="宋体" w:hAnsi="宋体" w:eastAsia="宋体" w:cs="宋体"/>
          <w:color w:val="auto"/>
          <w:sz w:val="21"/>
          <w:szCs w:val="21"/>
          <w:highlight w:val="none"/>
        </w:rPr>
        <w:t xml:space="preserve">格式文件采集。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原始记录自动生成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支持自动生成原始记录，无需人工编写。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2.2.4.2.5.3辐射卫生检测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支持食品核素污染检测，提前设置各核素对应能量值，检测人员仅需录入核素比活度、结果标准差、探测下限即可。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录入核素污染检测结果时，提供监测仪器选择界面，支持提前设置原始记录模板并自动抓取相关检测数据。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2.2.4.2.5.4微生物检测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支持按不同检测方法设置对应分析项，并为各分析项设置默认值（默认未检出），实际结果为未检出时，实验人员可直接提交，系统自动生成相关原始记录。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微生物样品接收后，需在规定时间内启动检测，超时未启动时系统自动提醒。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2.2.4.2.5.5跨科室流转</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针对样品需多科室协同检测场景，从样品、数据、时间、退回四个维度进行精细化管理。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支持受理时设定各实验室样品分配数量，各科室仅接收分配给自己的样品，仅对自身接收样品进行数据录入、审核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支持根据检测项目及样品特性制定分配系数，自动计算客户需提供样品量及各科室分配量。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各科室仅负责本科室检测项目的结果录入、数据审核、报告审核及签发，对自身数据准确性负责。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时间的管理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约定报告最终完成时间的同时，设定各科室检测完成时限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若报告延期，可对未按时完成的科室单独考核。</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退回管理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样品下达后，科室因下样错误等原因退回时，仅退回本科室负责的检测项目，不影响其他科室检测流程。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2.2.4.2.5.6数据上报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支持自动生成需上报的数据格式，避免数据重复录入，提升上报效率。</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2.2.4.2.6传染病检验管理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支持病原体检测、分子生物学检测、免疫学检</w:t>
      </w:r>
      <w:r>
        <w:rPr>
          <w:rFonts w:hint="eastAsia" w:ascii="宋体" w:hAnsi="宋体" w:eastAsia="宋体" w:cs="宋体"/>
          <w:color w:val="auto"/>
          <w:sz w:val="21"/>
          <w:szCs w:val="21"/>
          <w:highlight w:val="none"/>
          <w:lang w:eastAsia="zh-CN"/>
        </w:rPr>
        <w:t xml:space="preserve">测等</w:t>
      </w:r>
      <w:r>
        <w:rPr>
          <w:rFonts w:hint="eastAsia" w:ascii="宋体" w:hAnsi="宋体" w:eastAsia="宋体" w:cs="宋体"/>
          <w:color w:val="auto"/>
          <w:sz w:val="21"/>
          <w:szCs w:val="21"/>
          <w:highlight w:val="none"/>
        </w:rPr>
        <w:t xml:space="preserve">多种检测方式。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2.2.4.2.6.1样品的采集、保存、运输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明确各类传染病样品种类，规范每种标本采集方式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检验人员接收样品后，需按标准在系统中确认采集结果，不达标可拒绝接收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样品采集后，支持条码枪现场打印标签并粘贴。</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支持样品保存、运输过程监控，若存储条件、运输时间不符合规定，系统自动报警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可自动生成《标本采样登记表》，支持打印存档，符合国家相关规定。</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2.2.4.2.6.2检测过程的管理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对传染病各类检测方法进行过程监控、仪器对接、辅助计算，记录全部操作信息，禁止不合格操作。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支持严格管控病毒分离、中和实验、RT-PCR、荧光定量-PCR等实验全流程，包括试剂配制、样品处理、接种观察、结果计算等环节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支持抓取荧光定量-PCR空白及样品扩增曲线插入原始记录，可根据扩增曲线及CT值判定检测结果。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2.2.4.2.6.3保密要求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按国家相关要求，对受检者信息、报告发放进行严谨管控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受检者信息通过授权体系控制，录入后单独加密存储，支持打印存档。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支持按国家规定设置报告样式（如艾滋病初筛/确证报告），管控报告查看、打印权限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授权人员操作需通过单独加密验证，保留操作痕迹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原始记录及报告支持电子或纸质存档。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2.2.4.2.7艾滋病检验管理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支持HIV-1/2抗体检测、HIV-1核酸定量检测、CD4+TL淋巴系统检测等，从检测报告、受检者信息、检测规范三个维度开展管理。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2.2.4.2.7.1检测报告管理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支持严格规范HIV-1/2筛查报告样式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确证实验时，录入env带、p24带出现情况，系统按预设规则自动出具阳性、阴性或抗体不确定报告。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2.2.4.2.7.2受检者信息管理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支持受检者信息自动录入受检者管理库，基本信息、流行病学史、临床表现、检测结果等加密存储，支持检测后咨询信息跟踪录入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支持基于信息库进行数据统计分析，自动生成《艾滋病咨询记录表》《艾滋病样品登记表》等相关表格。</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2.2.4.2.7.3检测规范管理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支持实验室制定质量保证、质量控制计划，建立内部质控制度，定期参与检测能力验证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全程严格监控样品采集、保存、运输、检测全环节。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2.2.4.2.8放射卫生检验管理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涵盖电离辐射源、医疗照射防护等放射卫生相关内容，支持设备验收、日常检测、从业人员职业卫生检测、现场检测全流程管理。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2.2.4.2.8.1数据采样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以每台仪器作为采样对象，单个仪器对应一份检测报告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接收检测任务后，自动生成对应仪器的采样模板，支持多台仪器同步生成多个模板，可下载至平板用于现场采样。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2.2.4.2.8.2数据处理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借助ELN技术实现辐射检测结果计算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以加速器线性计算为例，预留4种射线种类及5档预置值，支持现场灵活调整，录入测量值后，系统自动计算平均值、线性拟合并得出最终结果，支持射线类型、预置档位实时调整及自动重新计算。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2.2.4.2.8.3报告生成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预先设置每种仪器的多种检测报告模板，采样数据同步后，系统自动读取结果并生成对应仪器报告，自动完成签名替换、采样日期抓取</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支持报告编制人员选择检测项目，系统根据所选项目生成对应报告。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2.2.4.2.9水质检验管理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2.2.4.2.9.1下样管理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支持下样模板、评价标准下样，对纯化水、透析用水等样品进行检测项目封装，可直接选择封装项目包下样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自动匹配实验室检测仪器、耗材，支持设置稀释倍数、进样体积等分析项默认值。</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2.2.4.2.9.2检测方法和仪器的管理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支持同一检测项目多种认证方法及对应分析项、采集仪器的匹配，实验人员可为负责检测项目设定默认方法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支持ICP等仪器一次性采集多个样品、多个检测项目的结果。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2.2.4.2.10公共场所检验管理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2.2.4.2.10.1下样管理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按国家标准封装检测项目，提供公共用品检测模板，支持选择模板及检测房间数一键下样，自动生成试剂耗材清单推送至实验室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常规项目支持按房间复制采样信息，支持批量添加、修改多天采样信息。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2.2.4.2.10.2现场采样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支持采样前提前打印条码、下载任务，现场采样完成后直接粘贴条码。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2.2.4.2.10.3数据处理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支持两类数据处理：一是采样人员可直接得出检测值的项目，同步平板数据后自动生成报告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二是需结合实验室与现场采样数据计算的项目，支持结合气压、温度自动换算，完成综合运算并得出结果。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2.2.4.2.11职业卫生评价管理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支持职业病危害预评价、控制效果评价、现状评价三种业务类型，为评价报告管理提供数据支撑和线上审批支撑，覆盖评价全流程。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2.2.4.2.11.1数据支撑</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报告编制人可随时查询、调阅现场</w:t>
      </w:r>
      <w:r>
        <w:rPr>
          <w:rFonts w:hint="eastAsia" w:ascii="宋体" w:hAnsi="宋体" w:eastAsia="宋体" w:cs="宋体"/>
          <w:color w:val="auto"/>
          <w:sz w:val="21"/>
          <w:szCs w:val="21"/>
          <w:highlight w:val="none"/>
          <w:lang w:val="en-US" w:eastAsia="zh-CN"/>
        </w:rPr>
        <w:t xml:space="preserve">相关</w:t>
      </w:r>
      <w:r>
        <w:rPr>
          <w:rFonts w:hint="eastAsia" w:ascii="宋体" w:hAnsi="宋体" w:eastAsia="宋体" w:cs="宋体"/>
          <w:color w:val="auto"/>
          <w:sz w:val="21"/>
          <w:szCs w:val="21"/>
          <w:highlight w:val="none"/>
        </w:rPr>
        <w:t xml:space="preserve">资料，支持评价过程中文档、资料的系统存储及查阅。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2.2.4.2.11.2项目管理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支持针对职业卫生评价业务开展全流程项目管理。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2.2.4.2.11.3审批支撑</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支持评价报告草稿线上审核，审核人可查看原始资料、插入修改意见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支持多人会签功能，可同时查看报告并提出修改意见。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2.2.4.2.12学校卫生检验管理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以学校为检测主体，针对教室课桌、采光、噪声等物理因素指标开展检测，核心实现数据自动计算、报告自动生成及学校信息管理。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2.2.4.2.12.1数据自动计算和报告生成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支持采样数据录入预设模板，系统按模板公式自动计算最终检测结果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按检测对象预设报告格式，检测完成后自动抓取结果生成报告。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2.2.4.2.12.2学校信息管理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具备学校、学生基本信息、学生健康体检信息、学校教学生活环境卫生信息管理模块，支持Excel导入信息，可与学校管理系统对接。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2.2.4.2.13地方病检验管理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按国家地方病管理规范，涵盖地方病检测过程管理及检测数据汇总分析、上报功能，保障检测合规及数据可追溯。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2.2.4.2.13.1地方病的检测管理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按国家相关标准管控地方病样品采集、运输、实验室分析全环节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以尿碘检测为例，支持任务逐级下发，采样时录入采集对象、时间、采集量等信息，样品容器通过条码管理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支持与温控系统集成，监控样品保存周期及环境，超期自动提醒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实验室检测环节严格管控，保障结果准确。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2.2.4.2.13.2数据的汇总分析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检测完成后，采样及实验结果存入地方病管理数据中心，支持各级管理人员全程查看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支持按国家要求导出Excel数据，用于上报国家相关管理部门。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2.2.4.3电子原始记录管理（ELN）</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模板管理</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支持用户自定义电子记事本样式，提供ELN创建向导，可便捷</w:t>
      </w:r>
      <w:r>
        <w:rPr>
          <w:rFonts w:hint="eastAsia" w:ascii="宋体" w:hAnsi="宋体" w:eastAsia="宋体" w:cs="宋体"/>
          <w:color w:val="auto"/>
          <w:sz w:val="21"/>
          <w:szCs w:val="21"/>
          <w:highlight w:val="none"/>
          <w:lang w:val="en-US" w:eastAsia="zh-CN"/>
        </w:rPr>
        <w:t xml:space="preserve">地</w:t>
      </w:r>
      <w:r>
        <w:rPr>
          <w:rFonts w:hint="eastAsia" w:ascii="宋体" w:hAnsi="宋体" w:eastAsia="宋体" w:cs="宋体"/>
          <w:color w:val="auto"/>
          <w:sz w:val="21"/>
          <w:szCs w:val="21"/>
          <w:highlight w:val="none"/>
        </w:rPr>
        <w:t xml:space="preserve">将现有电子版本原始记录转化为ELN模板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支持用户自行设计多种原始记录模板，实现原始记录电子化</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支持扫描上传电子原始记录功能，放射卫生报告支持绘图功能。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支持规范整理食品类、保健食品、水质类等各类样品的通用电子原始记录表，统一规划模板，数据处理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支持自动计算和修约功能，输入必要信息后可自动计算最终结果，并按方法要求完成修约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提供类EXCEL功能，支持EXCEL通用函数、便捷修约函数引用与定义，可自定义修约函数开发定制。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实验流程管理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支持在电子记事本中定义实验步骤，可按实际实验分步录入数据，每一步骤可调用对应操作SOP。</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导出与存档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支持导出和打印功能，可直接打印还原纸质原始记录单样式，可导出Word、Excel、PDF等通用文档格式，系统可自动将ELN合成PDF方便审核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支持与检品卡、合同一同流转，可直接实现电子文件存档。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批量操作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支持合并检验、数据批量录入，适配常规检验批次量大、重复性高的场景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支持批量样品操作，如液相色谱实验可将同一批样品数据导入一个电子记事本处理。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引用与修改追溯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支持权限范围内引用他人溶液配制方法、标准曲线、实验结论等内容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支持记录修改追溯，可留存修改前后值、修改人、修改时间及修改理由。</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2.2.4.4实验室资源管理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2.2.4.4.1人员管理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组织结构</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支持分级定义中心各部门的不同岗位、分析组及每个分析组下的成员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用户登录系统后，系统自动将其可操作信息过滤至所属岗位、分析组权限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支持部门合并、撤销、人员转移等组织结构变动的全流程管理。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角色管理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可设置每个角色或用户的功能访问权限，根据人员角色分配权限，用户仅可执行经过授权的功能模块操作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授权后，用户在控制台仅能看到自身角色范围内的功能模块。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支持通过“培训计划”“培训实施”“证书管理”子模块实现职工培训闭环管理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支持建立技能、资质相关培训计划，明确培训内容、方式、费用等，完成申请与审批。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支持定义已审核培训的具体时间、地点、讲师、考核方式等，发放邀请并登记考核成绩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支持为考核合格人员授权上岗证，登记有效期并同步至人员资质库</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证书即将到期或过期时，系统可通过控制台、电子邮件提醒员工及实验室主管，证书过期人员不显示在检验员列表中。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2.2.4.4.2设备管理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（1）设备库管理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提供设备明细档案管理，记录</w:t>
      </w:r>
      <w:r>
        <w:rPr>
          <w:rFonts w:hint="eastAsia" w:ascii="宋体" w:hAnsi="宋体" w:eastAsia="宋体" w:cs="宋体"/>
          <w:color w:val="auto"/>
          <w:sz w:val="21"/>
          <w:szCs w:val="21"/>
          <w:highlight w:val="none"/>
          <w:lang w:val="en-US" w:eastAsia="zh-CN"/>
        </w:rPr>
        <w:t xml:space="preserve">设备</w:t>
      </w:r>
      <w:r>
        <w:rPr>
          <w:rFonts w:hint="eastAsia" w:ascii="宋体" w:hAnsi="宋体" w:eastAsia="宋体" w:cs="宋体"/>
          <w:color w:val="auto"/>
          <w:sz w:val="21"/>
          <w:szCs w:val="21"/>
          <w:highlight w:val="none"/>
        </w:rPr>
        <w:t xml:space="preserve">基本信息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显示设备状态，有权限用户可管理设备状态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支持上传设备操作说明书、相关SOP、维修联系人、维修记录单等附件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按检测设备、仪器仪表、计量器具、校准标准器、备品备件等分类管理设备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维护设备存储位置、保管人信息，方便查找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支持生成设备生命周期履历报表及设备利用率、维护记录等统计报表。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（2）设备使用管理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设有设备领用/归还管理模块，记录领用/归还人、时间等信息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对人员、仪器设备进行编码，采用二维码识别，扫码即可完成领用/归还记录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仪器状态非“可用/准用”时，限制领用操作。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（3）设备定期事件管理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可设置设备定期事件类型及周期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自动生成本次校验时间、上次检定/校准时间及结果、周期、下次检定/校准时间、检定/校准单位等信息，按周期自动提醒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校准、核查完成后，录入相关信息，系统自动更新下次校准时间及设备状态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可编制设备校准、期间核查计划，校准期间设备标识为送检状态，实验选用时自动过滤并提醒。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2.2.4.4.3样品管理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支持样品全生命周期管理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为每个样品分配唯一可设定编码并生成样品卡。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支持建立并维护留样信息及处置信息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自动生成留样台账和领取记录，支持手动分配留样位置。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支持以报告发放时间为留样起始时间，自动提示留样过期处理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留样销毁后在台账中标注，支持查询统计。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2.2.4.4.4方法管理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检测项目管理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支持分类管理检测项目信息，职业危害测试项目可分为物理因素、化学因素、生物因素等。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支持维护检测项目基本信息，可根据用时、费用自动预估检测任务完成时间及费用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支持为检测项目维护多种检测方法，及对应分析过程、使用仪器等信息。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检测方法管理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支持按方法、标准、版本维护方法标准库，国标、企标等标准入库后可供选用。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支持定义不同检测方法对应的分析过程、原始记录样式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支持配置方法启用、发布、到期日期，到期自动提醒标准查新，过期或未启用方法无法下样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支持标准入库审核，审核通过后归入方法库。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评价标准管理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支持维护评价标准信息，按标准为测试项目设定不同等级限定值。</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支持检验结果录入、报告编制时，自动根据指标限值和检测结果进行评价，警示超标样品、汇总评价结论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支持按产品类型设置检测项目排序，适配受理单、报告及原始记录需求。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2.2.4.4.5ELN模板管理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支持管理检测方法对应的ELN原始记录模板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可将线下标准化后的原始记录模板便捷配置到系统模板库</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支持用户通过ELN模板快速个性化定制原始记录模板。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2.2.4.4.6材料管理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支持管理实验用材料、标准溶液、试剂等信息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涵盖材料基本信息、库存、配置、领用管理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设定库存上下限，支持库存不足及有效期预警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可按库存量、领用人、科室、领用量等多维度统计分析库存信息。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样品测试关联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支持样品测试时，试剂耗材使用信息与材料出库功能关联</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自动显示材料剩余库存，检验人员使用后自动减少对应库存。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供应商资质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支持自动对应供应商信息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供应商资质到期时，同时提醒采购科室及库存管理人员核实查对。</w:t>
      </w:r>
      <w:r/>
    </w:p>
    <w:p>
      <w:pPr>
        <w:pStyle w:val="889"/>
        <w:ind w:left="0" w:firstLine="420"/>
        <w:jc w:val="left"/>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标准溶液</w:t>
      </w:r>
      <w:r>
        <w:rPr>
          <w:rFonts w:hint="default" w:ascii="宋体" w:hAnsi="宋体" w:eastAsia="宋体" w:cs="宋体"/>
          <w:color w:val="auto"/>
          <w:sz w:val="21"/>
          <w:szCs w:val="21"/>
          <w:highlight w:val="none"/>
          <w:lang w:val="en-US"/>
        </w:rPr>
        <w:t xml:space="preserve">配置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支持维护标准溶液配方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标准溶液按批号入库审核后，系统自动减少对应配方库存，保留标准溶液及对应配方的出入库痕迹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一个标准物质可配置多个配方。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标准菌毒种运送、传代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工作菌株入库时可关联储备菌株详细信息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系统根据实际情况自动增减对应菌株库存，保留操作痕迹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通过权限管理控制菌毒种运送、传代信息的浏览查看。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质控菌株</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支持记录质控菌株的质控指标、菌株名称、编号、质控方法等信息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保留操作痕迹，提供信息统计功能。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标准物质期间核查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支持根据实际情况建立期间核查计划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计划可批量发送给相关人员，到期自动提醒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材料期间核查合格前，系统不允许出具检测结果。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盘库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材料管理人员定期实际盘库后，可调整材料数量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系统保留盘盈盘亏痕迹，支持成本的盘盈盘亏结转。</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2.2.4.4.7文件管理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支持自定义受控文件清单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支持自动提示文件现行有效性，定期检索并记录检索方式、时间、结果及相关处理记录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实现质量手册、程序文件等文档的版本控制及质控编号规范化管理。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支持受控文件电子化批量发放、回收，自动生成发放、回收记录，支持发放记录扫描导入及在线电子签名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规范文件查阅权限及流程，支持文件查询、修订流程管理。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文件查阅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下发到科室及相关人员的文件，需接收后下载阅读，并反馈信息至发文人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接收人仅可浏览，不可打印、外传、随意修订，修订需走规范流程。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支持查询未下发至本人的文件，可通过文件名、关键词精准或模糊查询，可在“文件一览表”按全部、受控、持有人等条件查询。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流程控制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2.2.4.4.8合格供应商管理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具备合格供应商档案管理功能，每家一档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支持营业执照、质量保证证明、服务资质与范围等扫描导入系统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支持维护供应商基本信息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实现合格供应商评价流程，仅评价通过者可成为合格供应商。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2.2.4.4.9分包商管理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支持建立分包商档案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支持分包项目及分包商资质审批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支持在业务受理单中打印分包信息。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支持分包商评审流程化管理，分包方证明材料可随时扫描导入系统并支持查询。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2.2.4.4.10废弃物管理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支持详细记录废弃物</w:t>
      </w:r>
      <w:r>
        <w:rPr>
          <w:rFonts w:hint="eastAsia" w:ascii="宋体" w:hAnsi="宋体" w:eastAsia="宋体" w:cs="宋体"/>
          <w:color w:val="auto"/>
          <w:sz w:val="21"/>
          <w:szCs w:val="21"/>
          <w:highlight w:val="none"/>
          <w:lang w:val="en-US" w:eastAsia="zh-CN"/>
        </w:rPr>
        <w:t xml:space="preserve">相关</w:t>
      </w:r>
      <w:r>
        <w:rPr>
          <w:rFonts w:hint="eastAsia" w:ascii="宋体" w:hAnsi="宋体" w:eastAsia="宋体" w:cs="宋体"/>
          <w:color w:val="auto"/>
          <w:sz w:val="21"/>
          <w:szCs w:val="21"/>
          <w:highlight w:val="none"/>
        </w:rPr>
        <w:t xml:space="preserve">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支持在线生成、打印废弃物出库单、入库单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设置废弃物处理日期及提醒日期，提示医疗废弃物处理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保留所有操作痕迹，便于查询。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2.2.4.4.11环境管理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实验室来访管理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支持建立实验室来访数据库，存储来访信息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通过权限管理控制来访登记、查询、批示、浏览、打印操作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可与门禁系统关联，记录进出实验室人员名单及时间。</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紫外线消毒设施管理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支持建立紫外线消毒设施使用情况监测数据库，形成使用情况一览表并留存修改痕迹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通过权限管理控制设施使用情况的录入、查询、浏览操作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设施使用时间突破限值时，自动提示工作人员。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实验室基本环境管理</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支持建立需监控设施及实验室环境条件监测数据库</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无菌室管理</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支持建立无菌室环境条件监测数据库</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2.2.4.4.12委托方管理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管理委托方各类信息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可编辑委托方对外服务系统操作权限，管理服务跟踪记录、预付款、折扣等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支持查询单个委托方的全业务流程记录。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2.2.4.4.13试剂管理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记录试剂供应商所有信息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支持试剂购买全流程管理，记录领用、配置情况，实现库存不足报警</w:t>
      </w:r>
      <w:r>
        <w:rPr>
          <w:rFonts w:hint="eastAsia" w:ascii="宋体" w:hAnsi="宋体" w:eastAsia="宋体" w:cs="宋体"/>
          <w:color w:val="auto"/>
          <w:sz w:val="21"/>
          <w:szCs w:val="21"/>
          <w:highlight w:val="none"/>
          <w:lang w:eastAsia="zh-CN"/>
        </w:rPr>
        <w:t xml:space="preserve">、有</w:t>
      </w:r>
      <w:r>
        <w:rPr>
          <w:rFonts w:hint="eastAsia" w:ascii="宋体" w:hAnsi="宋体" w:eastAsia="宋体" w:cs="宋体"/>
          <w:color w:val="auto"/>
          <w:sz w:val="21"/>
          <w:szCs w:val="21"/>
          <w:highlight w:val="none"/>
        </w:rPr>
        <w:t xml:space="preserve">效期管理及库存实时更新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提供试液、试剂及对照品（标准品）有效期提醒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支持采购、领用申请与OA对接，采购审核完成后数据返回系统，完成供应商技术验收与评价。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验收入库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试剂耗材入库时，系统自动增加库存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支持所有试剂耗材条形码管理。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溶液配制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支持试剂稀释配制以适配实验需求，试剂耗材管理与样品检验对接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试剂领用配制后，系统自动扣除对应容量，实现库存自动更新。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领用申请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试剂耗材领用实行统一管理，需完成审批流程后方可领用出库。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归还申请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实验室人员可归还多余试剂耗材，归还后对应库存自动增加。</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使用登记</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记录检验试剂使用情况，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标准试剂处置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过期、失效检验试剂需走审批流程，审核通过后可进行销毁处理。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标准试剂审批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检验试剂管理员具备审批权限，可处理试剂领用、归还、销毁的审批申请。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分类维护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支持对检验试剂进行多级分类管理。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可统一管理试剂信息。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库存统计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可统计当前试剂实际库存情况。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库存盘存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可盘点近期试剂使用情况。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统计分析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可通过图表统计试剂库存情况。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2.2.4.4.14标准物质管理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涵盖标准物质全生命周期管理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报表可导出Excel</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实现电子标签化管理，精准控制试剂/耗材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可查询标准品消耗情况及全生命周期记录。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验收入库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具备新增入库、修改、删除、上传附件、导入、打印条形码、销毁、导出入库表、查看生命周期功能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记录入库编号、证书编号、受控号、标准品名称、规格、批号、验收人、生产单位等基础信息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支持按标准品名称、证书编号、受控号、生产单位、入库日期时间段查询。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领用申请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具备领用、修改、删除、提交、冲销、查看流程、导出功能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记录受控号、标准品名称、证书编号、浓度、领用人、领用日期等基础信息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支持按受控号、标准品名称、入库编号、证书编号、领用时间时间段查询。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领用归还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具备标准品归还、导出功能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归还时可读取未还完的领用数据，记录受控号、证书编号、领用量、使用量、可归还量等信息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导出信息包含受控号、标准品名称、归还容量、归还人、归还时间等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支持按受控号、标准品名称、证书编号、归还时间时间段查询。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具备新增、修改、删除、导入功能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记录标准品库存、报告编号、使用时间、备注等信息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支持按物质名称、使用人、证书编号、受控号、使用日期时间段查询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支持自动抓取检测过程中使用的标准品，生成使用记录。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标准品处置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具备新增、修改、删除、提交、查看流程功能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记录申请人、申请时间、销毁原因、处置方式、审批人等信息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支持按受控号、标准品名称、证书编号、申请日期时间段查询。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期间核查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具备新增、修改、删除、查看、上传附件功能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记录核查人、核查日期、核查方式、是否在有效期内等信息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核查不合格时，自动将标准品推送至处置模块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支持按受控号、标准品名称、证书编号、核查日期查询。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标准品配置记录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具备新增、修改、删除功能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库存记录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具备导出功能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库存盘存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具备导出功能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基础数据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标准品种类管理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标准品信息管理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2.2.4.4.15标准溶液管理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全面管理标准溶液相关信息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支持标准溶液稀释、比对、标定，可生成配置记录表、领用记录表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具备标准溶液使用前效期提醒功能。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2.2.4.4.16菌毒种管理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支持菌毒种库存信息、管理规范知识共享，实现菌毒种资源调动协调。</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支持送样信息填报及库存全生命周期管理，具备审批查询、使用申请审批等功能。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菌株分类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建立标准菌株维护功能。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菌株信息维护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建立菌株信息维护功能。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验收入库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支持从物资管理模块自动推送信息至标准菌株库。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工作菌株</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具备工作菌株划入展示功能。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领用记录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支持从工作菌株中领用标准菌株，记录领用相关信息。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可选择领用的标准菌株生成使用记录，使用后系统自动减少对应菌株库存。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标准菌株处置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支持标准菌株验收入库、领用及工作菌株的统一处置、销毁功能。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菌株审批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具备标准菌株审批功能。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统计分析</w:t>
      </w:r>
      <w:r/>
    </w:p>
    <w:p>
      <w:pPr>
        <w:pStyle w:val="889"/>
        <w:ind w:left="0" w:firstLine="420"/>
        <w:jc w:val="left"/>
        <w:spacing w:line="44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通过图</w:t>
      </w:r>
      <w:r>
        <w:rPr>
          <w:rFonts w:hint="eastAsia" w:ascii="宋体" w:hAnsi="宋体" w:eastAsia="宋体" w:cs="宋体"/>
          <w:color w:val="auto"/>
          <w:sz w:val="21"/>
          <w:szCs w:val="21"/>
          <w:highlight w:val="none"/>
          <w:lang w:val="en-US" w:eastAsia="zh-CN"/>
        </w:rPr>
        <w:t xml:space="preserve">表</w:t>
      </w:r>
      <w:r>
        <w:rPr>
          <w:rFonts w:hint="eastAsia" w:ascii="宋体" w:hAnsi="宋体" w:eastAsia="宋体" w:cs="宋体"/>
          <w:color w:val="auto"/>
          <w:sz w:val="21"/>
          <w:szCs w:val="21"/>
          <w:highlight w:val="none"/>
        </w:rPr>
        <w:t xml:space="preserve">展示标准菌株</w:t>
      </w:r>
      <w:r>
        <w:rPr>
          <w:rFonts w:hint="eastAsia" w:ascii="宋体" w:hAnsi="宋体" w:eastAsia="宋体" w:cs="宋体"/>
          <w:color w:val="auto"/>
          <w:sz w:val="21"/>
          <w:szCs w:val="21"/>
          <w:highlight w:val="none"/>
          <w:lang w:val="en-US" w:eastAsia="zh-CN"/>
        </w:rPr>
        <w:t xml:space="preserve">相关信息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2.2.4.5质量体系管理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支持内部评审、管理评审、质量监督、客户投诉、新工作评审、不确定度评定、期间核查、能力验证等功能。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2.2.4.5.1内审和管理评审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实现内部审核与管理评审的全过程线上跟踪管理。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支持编制审批内审年度计划、内审员授权及培训记录管理、编制内审表、开展科室内审、管理不符合项流程、编制批准下发内审报告。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支持编制审批质量管理评审计划、开展科室质量评审、接收专项管理报告、编制修订管理评审报告、批准下发年度管理评审报告、管理不符合项流程。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工作流与结构化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支持通过工作流管理实现流程自动化提醒，各级用户按节点处理任务。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支持通过系统控件将各流程节点信息结构化，设定必填项，强制符合体系要求填写。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文件一致性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支持文档管理员手工上传内审表、内审报告、管理评审会议记录、管理评审报告等文件至系统，确保线上线下文件一致，方便体系要求的后续溯源。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2.2.4.5.2质量监督与控制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计划与报告管理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支持编制批准质量监督计划框架、编制批准质量监督实施计划、管理质量监督不符合项流程、编制科室及中心质量监督报告。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流程化与结构化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支持通过工作流管理将质控流程化，系统自动提醒各级用户处理。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支持通过系统控件将各节点信息结构化，实现流程化、结构化、电子化管理。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2.2.4.5.3客户投诉管理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抱怨处理流程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质量负责人接收抱怨后，支持记录信息并调查核实</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若形成抱怨，支持追踪全化验过程并反馈最终结果解释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若不形成抱怨，直接告知客户结果。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流程化与结构化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通过工作流管理将抱怨流程化，系统提醒处理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通过系统控件将各节点信息结构化，支持按科室需求输出电子文件，规范管理与溯源。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2.2.4.5.4新工作评审管理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提供新工作评审管理模块，实现新工作评审的建立、审核、发布全流程管理。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通过工作流管理将新工作评审流程化，节点流转时系统自动提醒各级用户处理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通过系统控件将各节点信息结构化，强化过程控制与管理。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2.2.4.5.5不确定度管理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评定与应用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支持全实验步骤讨论、不确定度来源识别、计算分析，明确主导分量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用于测量结果及质量评定、表示、比较，实现实验室内外质量控制、新方法/新仪器可靠性确认、测试方法适用性确认、仪器合格判定。</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流程化与结构化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通过工作流管理将不确定度管理流程化，系统提醒处理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通过系统控件将各节点信息结构化，设定必填项，确保按体系要求填写，保障结果准确与合规。</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2.2.4.5.6不符合工作管理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支持对各类质控计划中发生的不符合项全流程管理。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2.2.4.5.7纠正措施管理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支持对不符合项纠正措施的全流程管理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2.2.4.5.8期间核查管理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管理员填写设备期间核查、检定周期信息，系统提前提醒相关人员安排维护与检定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将检定校准/期间核查信息结构化，支持生成各类统计报表，确保设备管理满足体系要求。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2.2.4.5.9能力验证管理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节点化管理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支持将能力验证划分为不同节点。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数据统计与展现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自动生成指标数据表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支持验证数据查询，通过多种图表直观展现分析结果。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2.2.4.5.10信息管理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支持信息系统（如工作站控制软件）的全生命周期管理。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支持信息系统功能确认审批流程，生成信息系统一览表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发生变更时，通过功能变更审批流程完成变更，保障信息系统稳定运行与合规性。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2.2.4.5.11风险机遇管理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支持内外部要素识别、评估分析、风险控制计划、监控记录全流程管理，系统自动计算风险等级。</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支持识别内外部环境要素，开展风险与机遇评估分析，编制风险控制计划，监控风险记录</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2.2.4.5.12外部审核</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数据准备与审核</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支持权限分为体系工程师数据准备权限、外部审核权限。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结果与整改管理</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支持上传外部审核结果报告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流程化与结构化</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将外部审核划分为不同节点，实现流程化管理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2.2.4.6生物安全管理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实验室安全检查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支持生物安全检查的申请、审核功能。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实验室废弃物处理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支持详细记录实验室废弃物处理全信息。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实验室事故处理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支持实验室事故的申请、审核功能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支持查询实验室事故申请单详细信息。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实验室消毒记录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支持实验室消毒记录的编制、提交及审核功能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支持查询各状态下实验室消毒记录审查情况。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实验室走廊消毒记录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支持实验室走廊消毒记录的编制、提交功能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支持查询实验室走廊历史消毒情况。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安全急救包使用记录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支持安全急救包使用记录的编制、提交功能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支持查询安全急救包历史使用情况。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材料安全数据单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支持材料安全数据单的编制、提交功能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填写完成提交后直接存档，支持查询历史维护的材料安全数据单。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年度安全计划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支持年度安全计划的编制、提交及审核功能，编制提交后经两级审核转为待执行状态，再经两级审核转为可实施的完成状态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支持查询各状态下年度安全计划单批准情况。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实验室出入管理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支持实验室出入的申请、审核功能，可填写申报出入相关信息，经科室及生物管理委员会两级审核完成流程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支持查询各状态下实验室出入申请单详细信息。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实验室生物危险度评估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支持实验室生物危险度评估的申请、审核功能，可填写申报评估相关信息，经科室及生物管理委员会两级审核完成流程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支持查询各状态下实验室生物危险度评估申请单详细信息。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消防系统的维护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支持消防系统维护的填写、提交及审核功能，经审核判定维护操作是否符合规范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支持查询各状态下消防系统维护情况。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废弃物处理（专项）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支持详细记录实验室废弃物处理相关信息。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废弃物交接管理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支持废弃物交接管理的编制、审核功能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支持查询各状态下废弃物交接管理情况。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2.2.4.7仪器数据采集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支持仪器数据自动采集功能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支持工作站仪器、硬件接口设备、软件协议设备的数据采集，实现具备条件的分析仪器数据自动上传。预留仪器数据采集接口，支持新购入设备的数据采集。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支持采集工作站报告及其他接口设备数据，直接采集检测数据并自动计算，谱图以附件形式存储，审核人员可直接查看检测结果及谱图。</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2.2.4.7.1与工作站软件集成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支持将工作站仪器测试报告输出或打印为PDF格式，无法直接输出文件的仪器可通过PDF虚拟打印机保存原始报告并对接系统。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支持系统自动保存文件至指定目录，智能处理分析文件报告，读取样品编号等信息，关联被检样品，根据预设公式自动完成最终检验结果计算，同时保存带谱图的文件。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配置采集服务，自动备份仪器工作站上的谱图和原始数据至服务器及数据库，匹配样品编号完成关联，无需设定特殊文件名，仅需输入系统样品编号即可。仪器工作站需配备网卡联网，可同时作为客户机使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2.2.4.7.2通过软件协议集成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提供数据库层面、文件层面、WebService/Restful接口等</w:t>
      </w:r>
      <w:r>
        <w:rPr>
          <w:rFonts w:hint="eastAsia" w:ascii="宋体" w:hAnsi="宋体" w:eastAsia="宋体" w:cs="宋体"/>
          <w:color w:val="auto"/>
          <w:sz w:val="22"/>
          <w:szCs w:val="22"/>
          <w:highlight w:val="none"/>
        </w:rPr>
        <w:t xml:space="preserve">多种通用接口方式</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支持中间件模式，支持软件服务器端与客户</w:t>
      </w:r>
      <w:r>
        <w:rPr>
          <w:rFonts w:hint="eastAsia" w:ascii="宋体" w:hAnsi="宋体" w:eastAsia="宋体" w:cs="宋体"/>
          <w:color w:val="auto"/>
          <w:sz w:val="21"/>
          <w:szCs w:val="21"/>
          <w:highlight w:val="none"/>
        </w:rPr>
        <w:t xml:space="preserve">端的安装维护及多种配置方式，兼容ModBus、ProfiBu、OPC/DDE等多种接口协议标准。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支持数据导入导出工具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2.2.4.7.3通过硬件接口集成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支持对具有硬件接口并提供串口指令的设备，通过硬件接口实现数据采集及远程控制，兼容串口、USB、网口等接口。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2.2.4.7.4数据处理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数据输入格式支持数值、文本等。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支持将图谱、文档等作为附件与原始数据一同保留在系统。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支持根据预先设定的指标对超标结果数据自动判级，并以不同颜色加以区分与突出显示。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支持多级规格指标和限值检查。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支持检验者上传WORD、PDF等排版格式的原始记录文件作为附件供审核。</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支持原始记录可逐条录入生成、导入受控原始记录表。</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支持打印及批量处理</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支持仪器工作站数据自动采集，根据预存公式或输入参数后自动计算、判定结果。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2.2.4.8平板现场检测管理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搭建平板移动端应用，解决现场检测（如职业卫生）网络不稳定等办公痛点，实现现场办公、采样、任务分配、数据共享等功能，提升现场工作效率，规范工作流程，具体要求如下：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2.2.4.8.1高兼容性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移动端应用支持IOS及android原生App</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兼容两大系统所有移动设备，屏幕分辨率适配所有IOS、android手机及平板设备。</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2.2.4.8.2表单形式展示与便捷录入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试验结果数据录入采用表单形式，与原有纸质记录展示一致，可结合各业务类型人员操作习惯定制录入方式。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2.2.4.8.3室外实验结果录入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任务管理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支持任务上传、下载、分配、批量传输、数据汇总功能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外网环境下，任务下载可通过中间服务器获取LIMS任务数据，经加密压缩传输至平板。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任务上传可按需选择任务、样品、测试项目等数据，保障传输及时、数据时效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热点环境下，仅负责人有权限进行任务分配及修改，接收人可将任务纳入个人列表。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现场数据录入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支持点位、样品信息的增加、删除及相关参数录入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可人工录入现场直读仪器检验结果，设置数据复核环节。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支持根据预设公式自动计算、修约实验结果，根据预设高低限自动评价结果合格性，不合格样品支持复测。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支持仪器选择，实验人员默认为当前登录用户。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具备数据验证功能，数据不完整则无法进行汇总、提交审核等操作。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2.2.4.8.4仪器数据同步录入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针对无工作站的仪器，支持通过平板应用直接录入、保存试验数据，替代人工抄写后再上传的传统方式，减少重复工作量。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2.2.4.8.5客户签名</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系统自动生成委托协议书及现场检测原始记录，客户（陪同人）可通过手写板完成电子签名，留存相关记录。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2.2.4.8.6质量监督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质量监督主管可编制监督计划，指定检查时间、监督员、监督内容并设置提醒时限。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监督员可通过平板接收待办任务，对人员操作、设施环境、检测方法、仪器设备等关键环节开展监督。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支持定制质量监督工作流程，涵盖计划审批、下发、记录填写、异常反馈、报告生成全环节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支持平板填写监督计划、记录，直接生成并打印监督报告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异常情况及监督报告可通过系统提醒功能推送至最高管理者、质量负责人等相关人员。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2.2.4.8.7库存管理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支持货品库存、入库、出库、盘存、出入库汇总、低限库存提醒及查询全管理。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支持平板摄像头扫描二维码、条形码，建立高效库存条码管理体系。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支持录入货品出入库、经办人员、供需单位等基本信息后，自动计算库存及出入库汇总数据，扫描条码可快速查询库存及位置信息。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支持库存统计。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2.2.4.8.8多媒体功能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支持现场试验过程拍照、摄像，具备绘制点位示意图、电子签名功能。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2.2.4.8.9打印功能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集成移动打印机驱动，支持现场通过蓝牙、WIFI快速打印现场原始表单、采样记录单，具备电子签名功能。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2.2.4.9统计查询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2.2.4.9.1数据查询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支持各类资源及客户相关信息的全方位查询与统计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支持自动记录样品流转过程，可凭样品编号查询样品在各部门的操作详情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支持按用户自定义条件，追溯查询编制、审核、批准等不同阶段的完整检测报告全文。</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支持按用户自定义条件及对应权限，可查询样品信息、原始记录、结果数据、评价结果、检测报告。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支持</w:t>
      </w:r>
      <w:r>
        <w:rPr>
          <w:rFonts w:hint="eastAsia" w:ascii="宋体" w:hAnsi="宋体" w:eastAsia="宋体" w:cs="宋体"/>
          <w:color w:val="auto"/>
          <w:sz w:val="21"/>
          <w:szCs w:val="21"/>
          <w:highlight w:val="none"/>
        </w:rPr>
        <w:t xml:space="preserve">按样品属性、项目、合格率、工作量进行统计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管理部门可汇总查询各部门一段时间内的工作量，支持相关报表打印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支持历史数据的查询与统计。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2.2.4.9.2统计分析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自动生成中心日常统计报表（日报、月报、季报、年报），支持用户自定义统计报表生成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具体统计功能如下：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样品状态统计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支持按日、按月、按单位统计当前不同状态的样品总数。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人员工作量统计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支持按日、按月、按单位统计每个人员（岗位）的工作量。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科室工作量统计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支持按月、按年统计科室工作量，按产品类型、检测项目逐项统计总数。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科室检验成本统计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根据检测项目分析费用，自动汇总各科室检测费用，支持按月、按年统计。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仪器利用率统计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支持按月、按年统计仪器分析项次汇总，全面掌握仪器设备使用情况。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分类业务量统计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支持按月、按年统计不同检验类型的业务量。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2.2.4.9.3高层决策查询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为高层管理者提供辅助决策功能，具体如下：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核心数据统计查询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支持实验室数量、设备等检测能力相关统计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各类样品信息查询统计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样品分析状态、进度及分析数据、结果查询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人员工作量统计。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仪器设备管理查询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可查询仪器设备运行状态、检定/校准/校验结果、仪器工作时间等管理信息。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客户相关统计查询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支持客户投诉、抱怨统计及原因分析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客户满意度调查结果查询统计。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灵活组合查询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基于所有结构化数据，支持灵活定制查询条件及结果，完成组合查询。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2.2.4.10标准查新及更新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支持标准查询，在线查询标准信息，通过输入关键词或相似词，系统自动模糊查询匹配。</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支持标准查新及提醒，根据中心的能力表，按一定的频次来查询是否存在过期、作废或变更的标准，以邮件或短信的方式通知中心标准管理员。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支持检测能力管理，管理中心的检测能力表信息，支持导入批量更新。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支撑通过导入的检测能力表数据进行比对。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支持标准下载，下载电子版标准，支持打印。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与系统接口同步，系统产生更新的标准提醒后，可以选择将更新的标准同步到系统中。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2.3临床辅助诊疗系统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2.3.1医学核心能力平台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具备医学知识库方面的服务及AI能力引擎</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2.3.1.1知识库服务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具备包括疾病知识、医学病例知识、疾病的症状知识、医学药品等知识服务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疾病知识库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支持涵盖基层常见疾病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医学知识库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支持涵盖药品基本信息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支持梳理药物相互作用、不良反应，保障用药安全同时标注医保信息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医学指南库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具备医学指南，涵盖从疾病诊断、治疗方案制定到康复护理等全方位的专业指导</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具备世界卫生组织、国家卫健委等卫生组织机构官网发布的具有权威性和普适性的医学指南。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具备人民卫生出版社、中华医学会指南，聚焦专业领域发布前沿指南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症状体征库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具备对各类常见症状进行详细描述，涵盖表现形式、发作特点与持续时间等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支持对部分症状进行分级量化，以评估病情严重程度。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检查检验库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支持记录各类常见检查检验项目的原理与目的</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经典案例库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支持收集整理基层实际诊疗案例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2.3.2智能问诊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具备智能问诊功能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2.3.2.1常见症状问诊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具备推荐基层医疗机构常见症状的问诊模板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2.3.2.2人体部位症状问诊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支持结合患者的年龄和性别，给出对应人体图，并按照人体部位进行症状分类，供用户点选相关症状进入问诊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2.3.2.3人体系统症状问诊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支持按照人体系统进行症状分类，供用户点选相关症状进入问诊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2.3.2.4其他症状问诊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支持用户在搜索框内查询及添加系统提供的标准症状以外的症状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2.3.2.5症状问诊路径资源推荐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具备针对性的症状问诊模板资源，供用户快速点选录入患者病史信息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2.3.2.6伴随症状推荐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支持根据当前录入的病历信息推荐进一步问诊症状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2.3.2.7一般情况问诊推荐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具备对患者的饮食、睡眠、精神、二便情况等一般情况的问诊资源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2.3.2.8病历自动生成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支持问诊信息填选结束后，根据采集的病史信息自动生成规范病历信息，并同步到门诊病历主诉和现病史输入框中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2.3.2.9继续问诊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支持加载上一次问诊模板的内容，继续完善问诊信息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2.3.3常用模版推荐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支持系统推荐医生其高频使用的病历模板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2.3.3.1常用模版推荐列表</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支持系统支持结合用户及病历模板的使用情况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支持按照模版使用频率由高到低排列显示。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2.3.3.2常用模版查看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支持用户查看具体的常用模板详情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2.3.3.3常用模版引用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支持用户对符合患者病历的模板进行引用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2.3.4就诊记录推荐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支持在医生接诊患者后，系统自动推送当前患者的近期就诊记录数据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2.3.4.1就诊记录推荐列表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支持系统自动推送当前患者的近期就诊记录数据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2.3.4.2就诊记录查看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支持系统提供患者全量就诊记录信息的查看功能。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2.3.5病历书写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支持选择常规书写的方式录入主诉、现病史等病历信息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支持系统提供联想词录入、个性化词条收藏等快捷录入操作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2.3.5.1就诊类型选择</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支持提供就诊类型选择</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2.3.5.2病历字段书写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支持提供常规病历字段书写功能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2.3.5.3体格检查智能校验</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支持自动对信息进行智能校验，若发现有异常，会进行提醒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2.3.5.4个性化词条收藏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w:t>
      </w:r>
      <w:r>
        <w:rPr>
          <w:rFonts w:hint="eastAsia" w:ascii="宋体" w:hAnsi="宋体" w:eastAsia="宋体" w:cs="宋体"/>
          <w:color w:val="auto"/>
          <w:sz w:val="21"/>
          <w:szCs w:val="21"/>
          <w:highlight w:val="none"/>
          <w:lang w:eastAsia="zh-CN"/>
        </w:rPr>
        <w:t xml:space="preserve">对</w:t>
      </w:r>
      <w:r>
        <w:rPr>
          <w:rFonts w:hint="eastAsia" w:ascii="宋体" w:hAnsi="宋体" w:eastAsia="宋体" w:cs="宋体"/>
          <w:color w:val="auto"/>
          <w:sz w:val="21"/>
          <w:szCs w:val="21"/>
          <w:highlight w:val="none"/>
        </w:rPr>
        <w:t xml:space="preserve">既往史、过敏史、个人史、家族史的录入，用户对经常录入的病历信息进行个性化词条收藏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2.3.5.5联想词录入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支持在医生录入病历信息时，给出如症状推荐等下一步问诊联想录入相关信息推荐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2.3.5.6历史主诉、现病史推荐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支持医生一键调出患者的历史主诉和现病史信息。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支持提供查询患者历史主诉、现病史信息的功能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支持一键快速引用完成病历信息书写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2.3.5.7诊断智能推荐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支持推荐可能的疑似诊断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支持基于大数据统计分析技术推荐医生的历史诊断和常用诊断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2.3.5.8诊断标化录入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w:t>
      </w:r>
      <w:r>
        <w:rPr>
          <w:rFonts w:hint="eastAsia" w:ascii="宋体" w:hAnsi="宋体" w:eastAsia="宋体" w:cs="宋体"/>
          <w:color w:val="auto"/>
          <w:sz w:val="21"/>
          <w:szCs w:val="21"/>
          <w:highlight w:val="none"/>
          <w:lang w:eastAsia="zh-CN"/>
        </w:rPr>
        <w:t xml:space="preserve">疑</w:t>
      </w:r>
      <w:r>
        <w:rPr>
          <w:rFonts w:hint="eastAsia" w:ascii="宋体" w:hAnsi="宋体" w:eastAsia="宋体" w:cs="宋体"/>
          <w:color w:val="auto"/>
          <w:sz w:val="21"/>
          <w:szCs w:val="21"/>
          <w:highlight w:val="none"/>
        </w:rPr>
        <w:t xml:space="preserve">似诊断topN与机构诊断的标准化映射</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2.3.5.9HIS信息同步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支持与HIS系统中患者信息、病历及诊断信息的同步功能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2.3.5.10收藏病历模版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支持用户经常使用的病历收藏至个人模板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2.3.5.11病历质检高亮提示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支持系统针对病历出现的不规范问题，在病历中高亮显示出不规范信息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2.3.6病历模版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支持提供多维度的病历模板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2.3.6.1系统模版</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具备通用模版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2.3.6.2科室模版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支持医生根据科室特点、常见疾病等创建科室通用模板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2.3.6.3个人模版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支持医生根据自身临床经验、书写习惯、常见疾病等创建个性化病历模板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2.3.7病历质检</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支持使用自然语言处理技术与医学知识库，从完整性、规范性等维度研判门诊病历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具备识别病历书写过程中存在的一系列问题，涵盖主诉及现病史等关键信息的缺失、医生因疏忽造成的病情记录偏差与逻辑错误，以及病历术语使用的不规范与不准确等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2.3.7.1病历格式质检</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支持对必填字段及字段内必填内容的缺失进行检测并提醒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支持对书写内容中存在不符合病历规范但不影响病历完整及可理解性的情况进行检测并提醒。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2.3.7.2病历内涵质检</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支持对主诉、现病史、体格检查及一般项目中存在前后信息不一致或逻辑矛盾的情况进行检测并提醒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2.3.7.3生命体征数值异常质检</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支持对体温、血压、脉搏、呼吸、心率等一般生命体征数值异常的进行识别、检测和提醒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2.3.7.4特殊病历监测识别</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对病历描述患者就诊目的是来院体检、取药、预防接种、孕产检、计生服务而非正常看病的情况进行判断并提示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2.3.7.5病历质检可解释性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支持对病历文书不同质控项给予对应的质控结果，为质控项提供可解释提示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支持对病历中存在质检问题的文本进行定位及高亮标记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2.3.8辅助诊断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支持针对基层诊疗的不同场景为医生提供个性化的辅助诊断决策支持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2.3.8.1TOP5推荐诊断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支持结合患者基本信息及临床表现，给出基层常见疾病推荐，并以数值或信号塔形式显示推荐诊断置信度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支持键将推荐诊断引用回写至门诊病历诊断输入框，且能映射回写机构本地诊断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2.3.8.2特殊疾病推荐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支持结合患者基本信息及临床表现，按传染病、职业病、罕见病、地方病四个维度给出可能的疾病推荐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支持一键将推荐诊断引用回写至门诊病历诊断输入框，且能映射回写机构本地诊断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支持展示推荐诊断按病种标签分类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支持展示推荐诊断对应的疾病等级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2.3.8.3诊断分组</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支持将患者可能出现的疾病按照系统/科室进行分组推荐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支持以数值或信号塔形式显示推荐诊断置信度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支持一键将推荐诊断引用回写至诊断管理页面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支持实现机构本地诊断的映射回写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2.3.8.4诊断推理可解释性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支持展示辅诊诊断推荐的路径图</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支持展示推荐诊断与鉴别诊断的溯源推理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支持展示辅诊诊断推荐的依据文本</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支持在疾病资源列表中呈现相关资源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支持查看来源依据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2.3.8.5诊断多样化推荐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支持系统能够对一些症状类疾病，按照常见病、危急病、传染病及少见病四个维度进行多样化诊断推荐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2.3.8.6危重病提醒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支持对于推荐的危重疾病，根据《急诊预检分诊专家共识》，并结合基层临床实际应用，给出“危急重”、“急重”、“急”三种不同等级的危重疾病等级标签</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2.3.9诊疗情况预警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支持对基层诊疗场景遇到的各种危急或疾病风险进行识别和提醒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2.3.9.1危急症提醒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支持对患者病历中出现的危急症给予相应的预警提醒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支持系统提供危急症状的临床意义和处置建议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2.3.9.2转诊疾病风险提醒及评估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支持依据患者当前病情及地区转诊标准，对满足转诊条件的患者给予提醒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支持提供转诊疾病对应的风险评估量表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支持提供推荐量表所参考的依据来源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支持在评估结束后，系统会给出转诊评估结果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2.3.9.3并发症筛查提醒及评估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支持系统依据患者病历和医生诊断，提醒医生当前患者可能出现的慢病并发症风险</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支持系统依据慢病并发症风险并推荐相关的筛查量表资源</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支持筛查结束后，可根据医生点选信息给出并发症诊断推荐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2.3.9.4危急值提醒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支持当患者的检查检验报告结果中存在危急值的情况时，系统能够及时给予相应提醒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支持检查检验报告结果的解读功能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2.3.10鉴别问诊</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支持疾病辅助问诊功能</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支持误诊学分析功能</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支持鉴别诊断，结合病历推荐鉴别诊断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2.3.10.1疾病辅助问诊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支持系统根据病历及医生已有的诊断信息，动态地为医生提供需要进一步问询的内容建议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支持在医生完成问诊信息的点选后，系统自动将采集到的这些问诊信息回写到病历中对应的字段输入框内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2.3.10.2误诊学分析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支持系统根据医生开立的疑似诊断，推荐容易被误诊为医生所开立的西医诊断的列表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支持提供误诊学推荐参考的静态资源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2.3.10.3鉴别诊断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支持结合患者的病历信息，系统为医生推荐所开立的西医诊断的鉴别诊断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2.3.11诊断质检</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支持结合病历内容，对医生开立的诊断进行与病历内容是否相符的校验性判断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支持在判定诊断不符合时进行原因分类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2.3.11.1诊断不适宜提示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支持对与病历信息存在不符问题的医生诊断进行诊断不适宜提示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2.3.11.2诊断不规范提示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支持对存在诊断名称书写不规范、症状体征类诊断、待查类诊断及诊断不完全问题的医生诊断进行诊断不规范提示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2.3.11.3诊断无依据提示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支持对在病历中无法找到明确依据信息的医生诊断进行诊断无依据提示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2.3.11.4诊断质检可解释性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支持系统根据诊断质检规则完成相关病历诊断质检，为质控项提供可解释依据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2.3.12疾病知识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支持系统提供推荐诊断疾病相关的症状、体征、检查检验、鉴别诊断等基础知识，以及部分症状对应的诊断临床思维图</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支持按照临床路径、指南、病例等分类对用户进行资源推荐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支持展示疾病量表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2.3.12.1疾病图谱资源推荐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支持推荐疾病相关的症状、体征、检查检验、鉴别诊断、并发症等要素知识资源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2.3.12.2疾病要素基础知识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支持精准定位疾病相关的症状、体征、检查检验、鉴别诊断等知识资源在疾病资源中的对应章节内容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支持对具体症状、体征、检查检验、鉴别诊断等疾病要素本身的资源进行定位</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2.3.12.3疾病文献资料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支持展示与疾病相关的各类资源列表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支持展示推荐诊断相关的临床路径、临床指南、典型病例、疾病量表的资源详情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2.3.12.4疾病知识图谱</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支持以直观的形式将疾病的知识得以呈现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支持即时搜索和历史搜索功能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2.3.13推荐诊疗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支持根据医生诊断智能推送通用检查项目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支持根据病历与诊断，精准推荐个性化检查项目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支持根据本地医疗场景，推荐本地可开展项目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支持推荐用药功能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支持健康宣教功能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2.3.13.1推荐检查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支持根据医生开立的诊断，智能推送与之匹配的通用检查项目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支持根据患者病历及医生诊断，深入挖掘患者个体病情特点，精准推荐适合患者的检查项目支持给出推荐所参考的关键信息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支持根据患者病情推荐本地医疗机构可开展的检查项目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2.3.13.2推荐检验</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支持根据医生开立的诊断，智能推送与之匹配的通用检验项目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支持根据患者病历及医生诊断，深入挖掘患者个体病情特点，精准推荐适合患者的检验项目，支持出推荐所参考的关键信息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支持根据患者病情推荐本地医疗机构可开展的检验项目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2.3.13.3推荐用药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支持结合患者病历及医生诊断，精准推荐适合患者个体情况的药品信息，并会给出推荐参考的关键信息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支持提示当前药品的主要不良反应信息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2.3.13.4健康宣教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支持基于患者病历及医生诊断信息，进行健康指导资源推荐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2.3.13.5治疗方案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支持根据医生开立的诊断，推送相应的通用治疗方案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支持根据患者的病历信息以及医生的诊断结果，推荐适合患者个体情况的治疗方案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2.3.14推荐病案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支持医生提交病历后，系统智能整合信息，筛选标注来源的典型病例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支持按相似度推荐相似病历，展示关键病情信息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2.3.14.1典型病历推荐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支持医生提交病历后，系统智能分析，融合患者病历与诊断信息，筛选推荐典型病例资源，标注名称和来源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2.3.14.2相似病历推荐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支持系统运用语义理解和格式分析技术，剖析当前病历信息，找出相似病历并按相似度排序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支持展开可见主诉、现病史等关键内容，辅助诊疗判断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2.3.15合理用药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支持根据合理用药审方引擎及知识库对医生所开处方进行智能审方处理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支持将审方结果为不合理的展示给开方医生，并提醒医生根据系统提醒内容进行修改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2.3.15.1用药不合理警示级别展示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支持系统根据各种用药不合理情况做出高、中、低不同警示级别的展示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2.3.15.2用药不合理原因展示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支持医生查看本次提交处方不合理问题类型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2.3.15.3用药不合理原因可解释性</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支持展示用药不合理原因可提供相应的可解释性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2.3.15.4不合理用药推荐用药方案</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支持系统判断不合理的用药，系统提供相应的推荐用药方案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2.3.15.5AI申方干预</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支持医生工作站根据用户需要按照审方问题严重程度对不合理处方/医嘱进行干预</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2.3.15.6药品说明书快速链接查询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支持用药不合理原因展示时，提供对应的药品说明书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2.3.15.7继续用药原因词条收录及快速饮用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支持系统提醒的不合理用药，医生可填写继续用药理由坚持用药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支持将常用的继续用药原因作为词条进行收录，并支持快速引用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2.3.15.8AI审核超市功能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支持在未接入药师审方时，系统配置AI审核不合理处方处理的超时时间</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2.3.16医技报告解读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支持对于报告单中单个项目的异常项，进行逐一单向解读，详细分析每个异常指标的具体情况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支持对单份报告单中的多个异常项，进行综合解读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支持合理给出诊疗建议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支持提供报告解读依据资源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2.3.16.1检查项目报告解读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支持系统针对检查报告单中的单个项目的异常项展开逐一单向解读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支持对单份报告单中的多个异常项进行综合解读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2.3.16.2检验项目报告解读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支持对检验报告单中的单个项目的异常项展开逐一单向解读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支持对单份报告单中的多个异常项进行综合解读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2.3.17医学检索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支持一般检索、高级检索、热门搜索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2.3.17.1检索方式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支持一般检索按照常规的检索关键词进行信息查找</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2.3.17.2用户近期搜索记录推荐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支持推荐用户近期的历史检索记录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2.3.17.3检索信息动态匹配</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支持根据用户输入的关键词实时关联相关信息，在用户输入过程中就提供可能的匹配结果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2.3.17.4第三方知识检索库集成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支持用户直接从平台访问到外部的专业数据库、期刊和其他医学资源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2.3.17.5医学检索知识更新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支持展示知识库中每种知识类型对应的更新频率</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2.3.17.6资源收藏管理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支持用户在检索过程中遇到有价值的文献、病例、知识点等，可一键收藏至“我的资源收藏列表”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2.3.17.7知识检索结果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支持提供关键词搜索、高级搜索、分类浏览等多种检索方式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2.3.17.8资源详情查看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支持提供详情查看功能，用户可以深入了解资源的内容、来源、作者等信息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2.3.17.9产品形态切换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支持小窗和全屏两种产品形态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2.3.17.10多模态录入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支持多模态的问题录入方式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2.3.17.11文本问答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支持用户输入框中输入想要咨询的文字内容，系统快速给出回答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2.3.17.12图片回答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支持用户上传相关图片后，系统使用OCR识别技术，精准定位关键特征，并结合用户输入的问题，输出针对性的回答结果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2.3.17.13文档回答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支持系统将用户导入的文档进行解读，给出详尽且有针对性的答案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2.3.17.14历史对话</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支持历史对话记录的查看、重命名和删除功能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2.3.18门诊日志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具备整合门诊业务数据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2.3.18.1指标统计</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支持对当前机构门诊病历、诊断、处方三类重点指标信息的统计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2.3.18.2日志列表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支持对当前机构门诊就诊信息的列表展示及excel导出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支持根据不同查询条件筛选列表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2.3.18.3日志详情</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支持查看患者门诊就诊详情信息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2.3.19运行监管系统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支持以可视化形式展现基层医疗机构基层人工智能辅助诊疗系统数据动态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2.3.7基层全科辅助诊断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全科辅诊诊断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支持常见病辅助诊断，覆盖病种不少于650种，适配基层门诊、综合医院病区等</w:t>
      </w:r>
      <w:r>
        <w:rPr>
          <w:rFonts w:hint="eastAsia" w:ascii="宋体" w:hAnsi="宋体" w:eastAsia="宋体" w:cs="宋体"/>
          <w:color w:val="auto"/>
          <w:sz w:val="21"/>
          <w:szCs w:val="21"/>
          <w:highlight w:val="none"/>
          <w:lang w:eastAsia="zh-CN"/>
        </w:rPr>
        <w:t xml:space="preserve">多种</w:t>
      </w:r>
      <w:r>
        <w:rPr>
          <w:rFonts w:hint="eastAsia" w:ascii="宋体" w:hAnsi="宋体" w:eastAsia="宋体" w:cs="宋体"/>
          <w:color w:val="auto"/>
          <w:sz w:val="21"/>
          <w:szCs w:val="21"/>
          <w:highlight w:val="none"/>
        </w:rPr>
        <w:t xml:space="preserve">诊疗场景，满足不同科室的日常诊断需求。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就诊信息整合维度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体格检查数据解析项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智能全科辅助诊断支持输出可能的疾病、诊断依据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个性化治疗方案：结合患者基础信息、既往病史等生成定制方案。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全科知识库。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指南更新。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交互方式。</w:t>
      </w:r>
      <w:r/>
    </w:p>
    <w:p>
      <w:pPr>
        <w:pStyle w:val="889"/>
        <w:ind w:left="0"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用户权限管理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支持按需更新AI模型算法、指南数据库及病例库，无需手动操作。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鉴别诊断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基于大模型能力，输出多模态辅助诊断结果及专业鉴别诊断结果。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输入支持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支持用户输入病历内容作为诊断分析依据。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支持用户输入检查检验结果作为诊断分析依据。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支持对输入中医和西医的病历文本进行分析。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支持大模型对输入内容中的模糊表述进行合理解读。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支持多段病历/检查结果合并输入后的综合分析。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异常识别</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支持大模型自动识别输入内容中的异常发现。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支持识别检查检验结果中的各类异常指标与体征。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支持识别体格检查中的异常体征并作为诊断依据。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支持对检查检验中的数值异常、形态异常进行双重识别。</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支持辅助诊断结果中对异常发现进行分类梳理。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诊断分析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支持大模型结合输入内容给出可能的疾病诊断结果。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支持大模型为给出的疾病诊断提供对应的诊断依据。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支持为单一病例给出多种可能的疾病诊断方向。</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支持诊断依据与输入的原始病历/检查结果精准对应。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支持结合患者年龄、病程特点进行个性化诊断分析。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支持智能体基于临床逻辑梳理诊断结果的优先级。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支持诊断依据的逐条罗列，与异常发现一一对应。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临床参考</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支持大模型推荐相关的临床指南作为参考。</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支持大模型给出进一步的检查方向建议。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支持进一步检查建议贴合疾病诊断的临床需求。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支持进一步检查建议区分实验室检查、影像学检查等类型。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支持进一步检查建议给出明确的检查项目名称。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支持大模型给出针对性的治疗方向建议。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支持治疗方向建议结合患者基础病史与当前症状。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支持治疗方向建议包含药物治疗、非药物治疗等维度。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支持治疗方向建议结合临床常规诊疗规范。</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结果输出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支持大模型以流式输出方式展示辅助诊断全结果。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支持流式输出内容的实时查看，无需等待全部加载。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支持辅助诊断结果的可视化展示，层次清晰。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2.3.8合理用药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门诊工作站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增加药品处方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具备拼音首字母模糊搜索、文本模糊查询具体药品的能力。</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支持用户在药品列表中填写药品用量、包装数量。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支持用户在药品列表中通过下拉框的形式选择用药频次和给药途径。</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AI合理用药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支持用户提交病历后，AI基于患者信息、病历信息、处方信息判断是否存在用药不合理。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具备展示AI判断用药不合理原因的能力。</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支持AI提供用药修改建议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支持用户调整处方后再次使用AI分析是否存在用药不合理。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具备AI分析诊断相关用药不合理的能力。</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具备AI分析用法用量相关用药不合理的能力。</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具备AI分析特殊人群用药不合理的能力。</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具备AI分析药物过敏冲突的能力。</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具备AI分析药物相互作用不合理的能力</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系统对接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支持与HIS系统对接，在不改变用户工作流程的情况下提供AI合理用药结果。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业务运维平台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机构管理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展示机构列表，具备基于机构名称、创建时间进行机构筛选的能力。</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具备新增、编辑、删除机构的能力，支持机构状态切换。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用户管理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展示用户列表，具备基于用户名进行机构筛选的能力。</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具备新增、编辑、删除用户的能力，支持用户状态切换。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2.4病历智能助手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2.4.1病历生成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1.医学标注文本转换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支持对语音或文本录入的各类医学文本进行深度解析。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支持智能区分不同类型的医学描述。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2.多类型病例生成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支持自动生成入院记录。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支持自动生成病程记录。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支持医生语音录入病历。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3.信息整合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支持自动整合患者各类检查检验结果、CT及MRI检查结论等，并将其合理融入病历文书中。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2.4.2病历润色</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支持将病程记录中模糊表述快速完成智能润色，将冗长、表意不明的句子重新组织。</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2.4.3病历语音录入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支持语音录入功能，医生口述病历内容，大模型可以自动将语音的输入转换为标准化的病历文书。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2.4.4病历质控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支持基于医学大模型的智能病历质控系统，自动解析门诊病历书写中的不规范条目、逻辑冲突、重要信息缺失等问题。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支持基于医学大模型的智能病历质控系统，自动解析住院病历书写中的不规范条目、逻辑冲突、重要信息缺失等问题。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支持实时动态反馈质控结果。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2.5AI影像辅助诊断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2.5.1胸部疾病筛查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支持同时识别多种常见胸部病变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支持从肺实质到纵隔结构的全方位评估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支持对CT影像进行全肺自动分割</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支持对CT影像进行逐层分析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支持通过多尺度特征融合技术捕捉≤5mm微小结节的细微特征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支持结合假阳性抑制算法，辅助良恶性判断。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2.5.2骨骼智能筛查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具备第二类管理类别中华人民共和国医疗器械注册证，需包含“骨密度计算机辅助检测软件”字样。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支持骨折、骨密度评估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支持骨骼自动分割算法提取全身骨骼结构</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支持对肋骨、椎体、髋关节等关键骨骼区域进行精细化检测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可识别裂隙骨折、青枝骨折等细微损伤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2.5.3心血管疾病智能筛查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所投产品的钙化积分功能需经过临床验证，验证深度学习算法可以提供可靠的三种钙化积分量化结果，并可以进行心脏风险分层-进行心血管疾病风险分层管理。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支持评估冠状动脉血管系统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支持冠脉钙化检测模块通过Agatston积分自动计算系统，精确识别钙化斑块并量化积分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2.5.4头颈CTA智能辅助诊断系统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支持头颈CTA诊断流程的智能化升级与全流程自动化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支持影像数据拉取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支持智能后处理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支持智能辅助诊断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支持结构化报告输出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支持从影像数据自动调取到结构化报告生成的医疗诊断全流程无人工干预</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支持利用人工智能算法完成影像后处理与病灶识别、分析，输出标准化的结构化诊断报告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2.5.5冠脉CTA智能辅助诊断系统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产品资质与性能要求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支持冠状动脉血管增强CT影像诊断流程的智能化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支持影像自动重建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支持自动后处理计算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支持病灶精准检出、血管狭窄程度判定</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支持斑块定性定量分析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支持结构化智能报告生成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覆盖冠状动脉CT诊断核心环节，替代传统人工操作流程，显著提升诊断效率与结果准确性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2.6中医智能辅助诊疗系统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2.6.1中医智能问诊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2.6.1.1常用病症</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提供部分常见病做单独集中展示，方便医生选择。</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提供至少1700多种常见病症所关注的相关症状，基于人工智能算法服务，辅助指引医生临床疾病重点症状问诊。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为内科、外科、妇科等九大科室提供常见病的智能问诊策略，辅助医生完成临床问诊过程，支持以点选方式采集患者症状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2.6.1.2主症状智能问诊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系统支持录入患者主症状，症状采集问卷为主症特征设置了标准化采集项，支持医生通过勾选完成信息采集。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2.6.1.3伴随症状/体征问诊推荐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系统支持根据患者主症状问诊内容进行伴随症状/体征的问诊内容推荐，并可根据伴随症状/体征的已选内容进行二次多轮推荐，引导医生完善内容后进行智能辨证。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2.6.1.4中医四诊及一般情况问诊推荐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系统支持根据患者主症状、伴随症状/体征问诊内容进行中医四诊及一般情况的问诊内容推荐，包含望诊、闻诊、舌象、脉象等类别症候，引导医生完善内容后进行智能辨证。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2.6.1.5症候互斥选择</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支持医生开出的处方如触及禁忌规则，系统可自动提醒医生。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在医生开具处方时，该药品用量超过或</w:t>
      </w:r>
      <w:r>
        <w:rPr>
          <w:rFonts w:hint="eastAsia" w:ascii="宋体" w:hAnsi="宋体" w:eastAsia="宋体" w:cs="宋体"/>
          <w:color w:val="auto"/>
          <w:sz w:val="21"/>
          <w:szCs w:val="21"/>
          <w:highlight w:val="none"/>
          <w:lang w:eastAsia="zh-CN"/>
        </w:rPr>
        <w:t xml:space="preserve">低于</w:t>
      </w:r>
      <w:r>
        <w:rPr>
          <w:rFonts w:hint="eastAsia" w:ascii="宋体" w:hAnsi="宋体" w:eastAsia="宋体" w:cs="宋体"/>
          <w:color w:val="auto"/>
          <w:sz w:val="21"/>
          <w:szCs w:val="21"/>
          <w:highlight w:val="none"/>
        </w:rPr>
        <w:t xml:space="preserve">国家建议使用量时系统将报红提示，从而实现智能化的提醒服务。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2.6.1.6症状属性选择</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支持对症状程度、加重因素、好发时间等属性进一步，供用户完善症状的详细信息。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2.6.1.7关联疾病问诊推荐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系统支持在进行主症状问诊时，系统根据已选症候数据，进行相关疾病的问诊模板联想推荐，医生可切换至具体的中医疾病模板继续问诊，快速进行辨证。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2.6.1.8自定义症状填写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在中医智能问诊中，系统支持对用户对症状等内容进行补充输入，以记录模板中尚未收录的症状情况，丰富完善病历的记录。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2.6.1.9患者体征信息提取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提供患者既往诊疗信息的收集、管理、存储和展现的功能，使医护人员能够全面掌握患者既往诊疗情况。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支持新患者创建档案，系统生成患者唯一识别号，做到一人一档。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2.6.1.10疾病问诊模板推荐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系统支持通过疾病名称或与疾病相关的主要症状名称搜索到对应的中医疾病问诊模板，进行该疾病的主症状、伴随症状/体征、中医四诊及一般情况的模板症候推荐，引导医生问诊录入后进行智能辨证。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2.6.1.11常用中医疾病问诊模板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系统列出基层常见中医病症，供用户点选后快速进入该疾病的问诊模板，进行该疾病的主症状、伴随症状/体征、中医四诊及一般情况的模板症候推荐，引导医生问诊录入后进行智能辨证。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2.6.1.12辨证指数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系统支持在问诊过程中，根据问诊已选择的症候数据，自动计算展示当前处方置信度，供医生选择。</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2.6.1.13辨证诊断提示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在问诊过程中，系统支持展示当前问诊智能辨证诊断、证型推荐，供医生问诊时参考。</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2.6.1.14辨证图解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系统支持可视化动态分组展现当前患者历次就诊情况分析，包括诊断时间轴、症状频次、中草药使用频次、症状变化时间轴、舌脉变化时间轴等帮助医生更直观、便捷进行患者就诊分析。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2.6.1.15疾病证型图谱</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系统支持可视化展示中医疾病和证型和相应症状的关系，帮助医生更直观</w:t>
      </w:r>
      <w:r>
        <w:rPr>
          <w:rFonts w:hint="eastAsia" w:ascii="宋体" w:hAnsi="宋体" w:eastAsia="宋体" w:cs="宋体"/>
          <w:color w:val="auto"/>
          <w:sz w:val="21"/>
          <w:szCs w:val="21"/>
          <w:highlight w:val="none"/>
          <w:lang w:eastAsia="zh-CN"/>
        </w:rPr>
        <w:t xml:space="preserve">地</w:t>
      </w:r>
      <w:r>
        <w:rPr>
          <w:rFonts w:hint="eastAsia" w:ascii="宋体" w:hAnsi="宋体" w:eastAsia="宋体" w:cs="宋体"/>
          <w:color w:val="auto"/>
          <w:sz w:val="21"/>
          <w:szCs w:val="21"/>
          <w:highlight w:val="none"/>
        </w:rPr>
        <w:t xml:space="preserve">了解该疾病辨证特点。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2.6.1.16症候解释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在中医智能问诊中，系统对于部分症候提供解释说明，辅助医生理解。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2.6.1.17疾病知识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分别提供中医内科、外科、妇科、儿科、眼科、耳鼻喉科、骨伤科、中老年病科、疼痛科常见疾病知识查询，支持以病名检索知识，并定时更新相应知识库。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2.6.1.18舌象解释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医生使用中医智能问诊判别病人舌象情况时，提供舌象描述解释，辅助医生进行判别。</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2.6.1.19脉象图解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医生使用中医智能问诊判别病人脉象情况时，提供脉象描述解释，辅助医生进行判别。</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2.6.1.20重新问诊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系统支持医生在问诊过程中支持一键重新问诊操作，无需逐一删除已选择的症状信息等内容。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2.6.1.21继续上次问诊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医生可从历史记录列表中选取就诊病人，继续进行上次问诊操作。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2.6.1.22中医病历生成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根据症状采集内容，系统自动计算，推导出相应证候、方剂、治法、方药，并自动填充中医诊断数据。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中医电子病历模板定制：根据临床专科、病种或管理要求实现自由定制、维护电子病历格式，在病例模板制作期间，提供多种层次的结构化功能，体现出辨证施治，望、闻、问、切四诊，舌象，脉象及发病节气等中医特色的内容。系统可自动填充诊断数据，并具备中医特色电子病历的定制与填写能力。</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2.6.2中医电子病历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2.6.2.1个性化词条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根据临床专科、病种或管理要求实现自由定制、维护电子病历格式，电子病历的个性化定制能力，为既往史、过敏史等高频信息词条化存储与快速引用提供基础。</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2.6.2.2病历症候采集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提供针对性的症候问诊模板资源供用户快速点选录入患者症候及程度信息，提高中医病历录入的准确性与一致性，点选式症状采集的操作逻辑，可直接支撑症候及程度信息的标准化录入，保障AI辨证的信息准确性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2.6.2.3病历舌象点选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系统支持舌面图像采集与AI识别分析，舌象的采集与结构化记录能力，支撑舌象信息的点选录入。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2.6.2.4病历脉象点选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系统支持脉诊波形图采集与AI识别分析，脉象的采集与结构化记录能力，支撑脉象信息的点选录入。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2.6.2.5中医诊断录入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提供中医疾病名与中医证候名供医生选择，并支持关键字模糊搜索，提高医生病历书写效率。</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2.6.2.6中医证型录入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提供中医证候名供医生选择，并支持关键字模糊搜索，提高医生病历书写效率。</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2.6.2.7中医诊断多证型添加</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系统支持添加多个中医诊断及证型，也支持同一个诊断增加多个证型。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2.6.2.8中医个人病历模板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系统支持中医电子病历模板个性化定制，电子病历的个性化定制能力，可延伸支撑个人病历模板的保存与复用。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2.6.3中医病历库管理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2.6.3.1中医个人保存模板展示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可将当前书写的病历存为个人模板，支持查找和删除。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2.6.3.2中医病历模板引用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支持医生在录入相似病历时，将保存的模板病历一键调用，提高病历的书写效率。</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2.6.3.3中医模板检索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支持通过模板的名称对其进行中医病历模板关键字检索。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2.6.4中医病历质检</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2.6.4.1中医病历完整性质控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支持对输入的信息进行完整性质控，确保患者的个人信息输入完整。若关键信息出现字段为空，会自动识别、检测、提醒不完整的内容。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2.6.4.2中医舌象矛盾质控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系统支持对舌象点选时提供矛盾质控，提高中医病历录入的准确性与一致性。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2.6.4.3中医脉象矛盾质控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系统支持对脉象点选时提供矛盾质控，提高中医病历录入的准确性与一致性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2.6.5中医智能辨证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2.6.5.1继续问诊提醒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通过中医智能问诊生成病历后，因所选的症候信息不足，无法给出中医辨证结果时提醒医生返回问诊。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2.6.5.2推荐中医证型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系统结合中医病症、症候、舌像、脉像等信息运用A.I.算法给出可能的中医证型推荐及其对应治法。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2.6.5.3中医证型要素展示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系统提供推荐证型相关的症候、舌像、脉像、治法基础知识，并支持资源点击查看。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2.6.5.4推荐中药方剂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系统根据辨证结果推荐相应证型的中药处方。包含中药方剂名称、组成、用法和功效等描述。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2.6.5.5方剂智能调整</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系统推荐中药处方可根据症状与程度的不同会进行智能调整。针对同</w:t>
      </w:r>
      <w:r>
        <w:rPr>
          <w:rFonts w:hint="eastAsia" w:ascii="宋体" w:hAnsi="宋体" w:eastAsia="宋体" w:cs="宋体"/>
          <w:color w:val="auto"/>
          <w:sz w:val="21"/>
          <w:szCs w:val="21"/>
          <w:highlight w:val="none"/>
          <w:lang w:val="en-US" w:eastAsia="zh-CN"/>
        </w:rPr>
        <w:t xml:space="preserve">症</w:t>
      </w:r>
      <w:r>
        <w:rPr>
          <w:rFonts w:hint="eastAsia" w:ascii="宋体" w:hAnsi="宋体" w:eastAsia="宋体" w:cs="宋体"/>
          <w:color w:val="auto"/>
          <w:sz w:val="21"/>
          <w:szCs w:val="21"/>
          <w:highlight w:val="none"/>
        </w:rPr>
        <w:t xml:space="preserve">型不同症状进行中药种类可智能调整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对于同一方剂，可根据症状或程度的不同，中药用量可进行增减。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2.6.5.6方剂的中药知识图解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系统对中药提供知识图解，以供医生直观了解中药形态、性味与功效等。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2.6.5.7推荐穴位</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系统推荐的治法内容中，会配套提供相应的针灸指压治疗的穴位推荐。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2.6.5.8推荐穴位图解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系统对穴位提供知识图解，以供医生直观了解穴位基本知识，其中会对穴位进行图解，帮助医生取穴。</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2.6.5.9推荐中成药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系统推荐的治法内容中，会配套提供相应的中成药推荐。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2.6.5.10推荐中成药说明</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系统支持对中成药提供基础知识说明，供医生快速了解。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2.6.6合理用药提醒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2.6.6.1禁忌症审核-中药饮片配伍审查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根据中药禁忌配伍规则（十八反十九畏），在开立相应中药时给出提示。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2.6.6.2禁忌症审核-妊娠期妇女中药用药审查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系统支持判断患者是否在妊娠，根据中医禁忌症说明信息在开立相应草药时给出提示。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2.6.6.3药品毒性警示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系统支持提供中药毒性警示信息，协助医生进行草药处方开立。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2.6.6.4诊断禁用药提醒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系统支持结合患者病历诊断信息，审查中药处方中是否存在与该患者禁用的药品。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2.6.6.5重复用药提醒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系统支持根据对处方进行同种、同类药品审核，监控判断是否有用药重复并提示。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2.6.7患者复诊管理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2.6.7.1中医历史病历查阅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针对复诊患者，默认带出上次病历信息至病历书写界面，医生可通过就诊记录，选择任意一次的就诊记录引用至病历模板进行查阅，协助复诊。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2.6.7.2中医历史病历引用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系统支持对提供的历史病历进行一键引用，协助医生便捷填写复诊病历。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2.6.8中医知识库应用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2.6.8.1中医知识图谱</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系统构建中医知识图谱数据库，包含中医疾病、</w:t>
      </w:r>
      <w:r>
        <w:rPr>
          <w:rFonts w:hint="eastAsia" w:ascii="宋体" w:hAnsi="宋体" w:eastAsia="宋体" w:cs="宋体"/>
          <w:color w:val="auto"/>
          <w:sz w:val="21"/>
          <w:szCs w:val="21"/>
          <w:highlight w:val="none"/>
          <w:lang w:val="en-US" w:eastAsia="zh-CN"/>
        </w:rPr>
        <w:t xml:space="preserve">症</w:t>
      </w:r>
      <w:r>
        <w:rPr>
          <w:rFonts w:hint="eastAsia" w:ascii="宋体" w:hAnsi="宋体" w:eastAsia="宋体" w:cs="宋体"/>
          <w:color w:val="auto"/>
          <w:sz w:val="21"/>
          <w:szCs w:val="21"/>
          <w:highlight w:val="none"/>
        </w:rPr>
        <w:t xml:space="preserve">型、症候、处方等相关分支属性知识。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系统需支持提供中医图谱疾病可按照汉字、首拼、全拼的模糊查询功能。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系统需支持对于中医图谱提供图例说明。</w:t>
      </w:r>
      <w:r>
        <w:rPr>
          <w:rFonts w:hint="eastAsia" w:ascii="宋体" w:hAnsi="宋体" w:eastAsia="宋体" w:cs="宋体"/>
          <w:color w:val="auto"/>
          <w:sz w:val="21"/>
          <w:szCs w:val="21"/>
          <w:highlight w:val="none"/>
        </w:rPr>
        <w:tab/>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系统支持展示中医疾病所涉及的证型内容，可选择展示全部疾病-证型关系或者疾病的单一证型关系。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2.6.8.2知识分类数据库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西医疾病：支持8000+西医疾病查询。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中医疾病：支持《2021修订版中医标准术语》1000+中医疾病查询。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名医验方：收录1500+名医验方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名医医案：收录1000+名医医案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中医古籍：收录300+中医古籍</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中药材：收录8000+中药材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中医经典方剂：收录20000+中医经典方剂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中医成方制剂：收录2600+中医成方制剂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中医适宜技术：收录1000+中医适宜技术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经络腧穴：收录300+经络腧穴</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知识图谱：收录300+知识图谱</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舌像与脉学：收录常见舌像图例和脉象知识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2.7其他应用产品AI能力适配</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2.7.1区域病理中心</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2.7.1.1AI病理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1.人工智能诊断用户模块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支持用户根据诊疗需求灵活选择不同器官系统的专用算法，通过可视化界面完成从模型匹配到分析的全流程操作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2.胃部智能诊断工作站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支持同步识别慢性胃炎、萎缩性胃炎、胃腺癌等7类常见病变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支持系统使用取材部位智能分割技术，自动整合多部位诊断结果生成结构化报告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支持热力图病变定位与分级可视化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具备器官定位快速标注功能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支持诊断结果回溯与AI评估反馈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3.肠部智能诊断工作站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支持管状腺瘤、肠腺癌等肠道特异性病变识别模型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支持热力图双维度呈现病变区域分布与严重程度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支持系统内置病理报告自动采图定位功能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支持腺体结构异常分型与标准化报告智能生成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宫颈细胞</w:t>
      </w:r>
      <w:r>
        <w:rPr>
          <w:rFonts w:hint="eastAsia" w:ascii="宋体" w:hAnsi="宋体" w:eastAsia="宋体" w:cs="宋体"/>
          <w:color w:val="auto"/>
          <w:sz w:val="21"/>
          <w:szCs w:val="21"/>
          <w:highlight w:val="none"/>
        </w:rPr>
        <w:t xml:space="preserve">辅助诊断系统</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支持病例管理、切片管理、病例检索、切片检索。</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具有良好的兼容性扫描完成后即开始分析，无需人工进行额外干预。支持手动上传数字切片文件进行分析，且上传进度可跟踪可暂停；支持浏览器关闭后自动导入上次上传进度，并能够在上传界面查看磁盘利用率。</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基本信息模块：支持登记维护病例信息，包括患者姓名、年龄、性别、当前诊断以及样本号、取样部位、采样日期、收样日期、样本类型等基本信息的录入和查询，用于展示病例的基本情况。</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对数字切片根据病种分类，支持列表模式和数据集模式查看已入库数据。</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各字段均支持模糊搜索、下拉、范围筛选或正倒序排列，且支持多条件组合筛选，支持按阴性/阳性筛选数据，批量导出。</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玻片标签识别：玻片标签识别支持OCR识别。</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病例或切片字段数据支持导出至Excel，支持导出指定数据或筛选结果。</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图像浏览：放大、缩小、实时倍率、适合窗口、原始大小、全屏切换、图像拖动、自由笔&amp;矩形绘制ROI、选择、测量、查看病例基本信息和附件信息等。</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标注工具：可自定义细胞病变标签分类名称和标记线条颜色及备注，并与诊断描述用语关联。支持在图像上增加标注，并计算标记框的周长、面积。能够右键选中标记框对标记框进行修改标签分类、删除、加入报告、裁剪快照操作。支持ROI的绘制与修改，添加修改备注，调整ROI形状和大小，位置移动，ROI删除。支持自由笔（自由图形）标注、矩形标注、多边形标注、打点标注、测量工具。</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图像调节：支持图像调节功能，可根据显示图像的效果调整图像的颜色、亮度、对比度、伽马值。</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病例查询：病例列表支持病理号、切片名、患者姓名的模糊/精确、区间、排除或等于、时间范围、时间段等查询功能，支持按阴性/阳性、成像质量筛选数据。选中的数据能够被导出（导出所选或导出全部）。</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用户界面采用B/S架构，兼容主流浏览器，支持多切片同屏浏览，可选择同步或异步浏览，支持切片旋转对比。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2.7.2慢病防治中心</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2.7.2.1横向：打通“防-筛-治-管-控-研”全链路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包含预防、筛查、诊治、管理、质控环节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包含开展健康教育、健康管理与体检筛查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包含开展基础检查与门诊初诊识别高风险人群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包含常规治疗、康复及用药指导</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包含患者档案管理与随访跟踪</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包含对全流程开展质量管控与示范指导</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2.7.2.2纵向：构建“基层-区级-市场”三级协作网络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以基层机构为基础，开展一、二、三级预防工作，完成人群初筛、诊断治疗及档案管理、随访跟踪。</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包含承担远程诊断与常规治疗，通过上下联动为患者提供康复、用药指导，衔接院内外诊疗服务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包含根据数智化平台制定标准规范、开展科研攻关，实现疾病全周期全流程精准管理，提升防治质量。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2.7.2.3多种形式、多种场景、多种角色预防与宣教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多种形式预防与宣教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智能评估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支持基于年龄、性别、生活习惯、家族病史等多维度信息，自动生成风险等级报告及个性化饮食、运动等预防建议。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智能随访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支持建立患病人群智能随访体系，可自动复诊提醒、采集康复数据并同步医生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支持治疗方案调整、康复指导与心理干预</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报告解读与药品咨询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支持检测报告通俗化解读及用药咨询服务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智能宣教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支持通过视频、图文等形式开展线上线下智能健康宣教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多场景预防与宣教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线上场景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支持手机端、网页端开展风险评估、随访咨询等慢病防治服务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线下场景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支持在医疗机构布设宣教载体开展院内科普，面向社区、学校、企事业单位开展健康讲座与义诊，提供面对面慢病防治指导</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多种角色预防与宣教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患者自身</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支持以患者为核心，通过智能评估掌握健康风险，使用智能随访、报告解读及用药指导，规范用药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患者亲属</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支持为亲属提供报告解读与用药咨询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医疗机构及医护人员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支持基层机构开展智能评估与风险人群初筛干预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上级医生通过智能随访制定个性化方案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医护人员依托线上线下开展健康宣教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2.7.2.4一站式数智化慢病筛查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智能量表筛查：AI驱动的初筛“前哨”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量表自查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支持以AI赋能慢病风险量表自查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支持基于AI大模型与临床指南，智能生成高危因素的筛查量表。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智能采集与分析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支持通过语音交互、智能提示完成信息采集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支持AI算法自动分析数据，精准评估患病风险，输出分级风险报告。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基层应用价值</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支持基层医疗机构及家庭医生开展规模化初筛</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影像AI辅助诊断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支持CT影像分析，自动输出报告与诊断建议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支持AI标注影像数据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2.7.2.5数智化慢病专科全流程诊断平台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AI驱动标准化慢病防治基石</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支持AI整合国内外权威慢病诊治指南、最新临床研究及临床实践数据，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支持日常诊疗辅助</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专病大模型辅助诊断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支持多模态数据诊断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治疗方案与专病诊疗AI个性化定制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支持基于患者年龄、性别、基础疾病等详细信息给出干预建议，实时监测病情变化并动态调整方案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智能手术规划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支持手术规划辅助，大模型多维度解析处理CT、MRI等医学影像数据，精准识别病灶关键信息并完成毫米级三维重建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2.7.2.6数智慢病患者一站式管理与服务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智能化人群分级与画像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支持人群分级与画像功能，AI整合患者临床数据、基础健康信息及生活习惯等多维度数据，构建精准分级与画像系统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智能化慢病宣教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支持基于人群画像与分级结果，AI定制个性化宣教内容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智能建档与随访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支持AI自动采集整合相关信息生成电子健康档案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支持电子健康档案同步至机构信息系统与患者端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支持依据患者风险等级及治疗阶段，智能规划随访周期与内容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智能指导与跟踪</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支持AI为医生提供实时智能指导跟踪支持。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支持患者出现指标异常、未按计划随访或治疗时，自动触发预警并推送重点关注名单及干预建议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支持医生通过AI个性化干预方案库，快速匹配药物剂量调整、康复计划优化等适配调整策略。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2.7.3肿瘤防治中心</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2.7.3.1肺癌专病的筛诊治管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肺癌智能筛查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支持肺癌早筛功能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支持肺癌早诊早治与随访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数智肺癌专科多模态诊断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支持肺癌专科辅助诊断、疾病鉴别诊断、检查检验建议、智能影像诊断、智能随访等功能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肺癌多模态治疗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支持全病程管理实时跟踪患者治疗指标，动态调整方案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肺癌跟踪管理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支持智能随访提醒，AI集成健康管理系统，结合患者病历、治疗方案及随访需求，自动生成个性化随访计划。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支持通过短信、APP、电子邮件等多形式发送复诊、体检、用药等提醒。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支持根据患者反馈实时调整随访方案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肺癌专病库及科研</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具备肺癌多模态专病库功能，整合临床诊疗、影像、病理、基因组学及随访数据，经标准化清洗与结构化存储，形成覆盖疾病全周期的高质量多维度数据库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具备科研转化平台，依托专病库搭建一站式科研转化平台，集成数据检索、统计分析等全功能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2.7.4区域医疗协同业务监管平台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具备区域健康数字主管服务与区域智慧健康与决策功能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2.7.5健康服务中心</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医生端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支持系统为医生提供集成了最新临床指南的决策支持工具。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支持医生按不同病种一键制定标准化随访计划。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支持将每次随访的详细结果实时同步至居民健康档案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支持内置生活干预指导功能。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支持医生通过平台推送个性化的饮食健康建议。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支持医生通过平台推送运动健康建议。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居民端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支持根据每个人的健康档案生成定制化的管理方案。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支持推送与患者相关科普内容。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支持用户随时查询自己的各项用户权益。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支持在线咨询功能与医生沟通。</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监督端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支持查看患者疾病风险预测、健康状态评估、诊疗方案优化及健康管理干预。</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支持查看集成的数据化运营看板。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支持监控疾病筛查覆盖人数、关键病种随访完成率等核心运营指标。</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支持通过数据化运营看板对个案随访记录进行在线抽查。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支持通过数据化运营看板对群体性干预效果进行趋势分析。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健康服务包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健康服务包包含多项智能医疗设备与智能终端</w:t>
      </w:r>
      <w:r/>
    </w:p>
    <w:p>
      <w:pPr>
        <w:pStyle w:val="889"/>
        <w:ind w:left="0" w:firstLine="420"/>
        <w:jc w:val="left"/>
        <w:spacing w:line="44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3区域</w:t>
      </w:r>
      <w:r>
        <w:rPr>
          <w:rFonts w:hint="eastAsia" w:ascii="宋体" w:hAnsi="宋体" w:cs="宋体"/>
          <w:color w:val="auto"/>
          <w:sz w:val="21"/>
          <w:szCs w:val="21"/>
          <w:highlight w:val="none"/>
          <w:lang w:eastAsia="zh-CN"/>
        </w:rPr>
        <w:t xml:space="preserve">医疗</w:t>
      </w:r>
      <w:r>
        <w:rPr>
          <w:rFonts w:hint="eastAsia" w:ascii="宋体" w:hAnsi="宋体" w:cs="宋体"/>
          <w:color w:val="auto"/>
          <w:sz w:val="21"/>
          <w:szCs w:val="21"/>
          <w:highlight w:val="none"/>
        </w:rPr>
        <w:t xml:space="preserve">协同应用中心建设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3.1区域影像中心升级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3.1.1影像诊断服务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支持与江苏省卫生健康云影像平台紧密结合，实现影像数据的高效管理和共享。</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3.1.1.1影像列表管理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支持实时查看基层医疗机构上传至省影像云平台的影像队列。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支持管理影像数据。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支持与基层医院信息系统（HIS）中的病人基本信息和相关诊疗信息进行深度关联。</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3.1.1.2影像阅片功能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支持影像中心的医师利用专业的阅片器查看患者的高清影像图片。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支持多种影像格式，确保医师能够在任何时间、任何地点访问和分析影像数据。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3.1.1.3报告撰写与签章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支持医师在完成影像阅片后，为基层医疗机构撰写详细的影像报告。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支持系统在报告撰写过程中，调用患者在江苏省卫生健康云影像平台上的历史影像报告以及历次就诊记录。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报告完成后，支持医师通过电子签章进行签名，确保报告的正式性和合法性。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3.1.1.4报告回写至基层系统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影像报告撰写并签名后，系统支持自动将报告回写至基层的影像归档和通信系统（PACS）。</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支持基层PACS系统负责将报告打印并提供给患者，实现影像报告的无缝流转和患者获取。</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3.1.1.5影像会诊机制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对于那些基层单位未能诊断的复杂影像，系统支持与上级部门的会诊平台对接。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支持基层医疗机构选择上级会诊医院并提交会诊申请。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系统支持依据上级医院专家的排班情况，预约合适的会诊时间。</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系统能够通过基层HIS系统获取患者的基本信息和相关诊疗信息，为会诊提供必要的背景资料。</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3.1.1.6会诊报告的接收与反馈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系统能够发起会诊请求，还能对接上级部门的会诊平台，接收上级单位的会诊报告。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支持影像中心医师在收到会诊报告后，将其反馈至基层PACS系统。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3.1.2远程影像教学服务</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典型病例库服务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支持根据医院专长、重点科研方向或目前医院通过多种方式累积的非电子化的病例，最终确定需要构建的典型病例库。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支持典型病例库影像数据入库、查询，对外提供典型病例数据服务。</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远程影像培训教学服务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支持面向区域内讲师、医生、规培人员，全面覆盖典型病例选取、课程设置安排、学员签到、读片展现、课堂记录、考查测验、统计分析等各环节。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提供全面教学管理，支持课程安排，讲师指定及课程内容设定。</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支持课堂过程内容记录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支持多媒体交互式读片过程，实现线上实时互动沟通。</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支持读片信息查询与统计分析。</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远程影像考试服务</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支持针对区域范围内医护人员进行医学影像诊断相关的考试活动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支持考试试卷的选题策略设置。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支持题库目录，维护考试题的分类。</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支持影像题库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支持在线考试、在线评卷、考试成绩统计查询等功能。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3.1.3影像AI诊断</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支持在肺癌筛查场景中，自动检出CT影像中的肺结节，精准标注结节位置、大小、密度、CT值等特征，判定良恶性概率并生成结构化报告。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支持针对乳腺钼靶影像，自动分割乳腺组织，识别良恶性钙化灶并进行BI-RADS分类。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支持影像特征提取与量化分析（如肿瘤体积测量、密度变化趋势）。</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3.1.4数字云胶片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支持以标准化格式（DICOM）存储肿瘤患者影像数据，替代传统物理胶片，实现影像的数字化查阅与共享。</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支持患者完成肿瘤相关影像检查后，通过移动端或电脑端获取云胶片访问链接，随时查看高清影像（支持缩放、窗宽窗位调整、多帧对比）。</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支持医护人员在诊疗、随访、会诊时，通过授权快速调阅患者历史云胶片，无需依赖物理胶片传输。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支持云胶片与电子病历、检验报告关联，形成完整诊疗档案。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3.1.5影像中心运营分析服务</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管理驾驶舱服务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支持实时、动态监控影像中心运行情况，驾驶舱显示关键指标的概览。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当关键指标或质量问题超出设定的阈值时自动发出警报并及时通知管理者。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支持多维度数据的交叉分析帮助发现潜在的关联和趋势。</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提供数据透视表和交互式图表，支持用户根据需要进行数据挖掘和即时查询。</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统计分析报表服务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支持多维数据统计，集中展现指定时间区间内区域影像业务质量情况。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质控统计维度包括医疗机构、医务人员、工作组等，质控数据统计。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影像业务检查维度统计。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支持申请会诊、远程诊断、会诊记录、教学考试的平台运营管理统计分析。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3.2区域心电中心升级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3.2.1网络架构调整</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支持基于云环境部署云平台基础服务。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支持部署卫生院和会诊中心医院检查中心服务，为区域业务开展和数据归档提供支撑。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支持与区域内HIS系统的接口对接，完成心电云平台与区域内其他医疗信息系统的互联互通。</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支持获取检查信息，同时供第三方系统调阅心电数据。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支持在卫生院部署动态心电记录仪和检查工作站，由卫生院医护人员完成对患者挂盒、下盒操作，采集完成后数据自动上传云平台。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支持在人民医院和中医院设立动态心电远程会诊中心，负责处理卫生院传输的动态心电数据。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支持通过云平台的调度功能，将乡镇数据调度至指定会诊中心进行诊断。</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支持通过匹配业务压力自动调度。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支持诊断完成后，报告回传至卫生院，同时归档至云平台。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支持卫生行政部门通过云平台调阅、查看各卫生院动态心电图报告，最终实现整个区域内所有静息心电、动态心电的统一调阅查看。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云平台为卫生健康局提供监管质控以及大数据统计分析服务。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3.2.2平台架构升级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支持将老的平台架构升级成私有云模式，原先的数据需要导入新平台，实现数据大屏展示和质控分析等功能。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支持通过将平台架构从传统的三层架构模式升级为云平台模式。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支持业务量增长横向扩展，提升整体系统运行流畅度、为拓展多种业务类型提供基础。</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支持每个服务之间的高度自治，并且独立分库。</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云基础服务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支持统一的服务接入方式，使用负载均衡集群，CDN加速等技术满足高负载，高并发场景。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支持提供统一的入口，可以同时包含数十数百个微服务，便于统一管理接口。</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数据库服务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支持关系型数据库集群、ES数据库集群、MQ消息集群，分布式文件系统为心电平台提供数据保障。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存储服务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支持存储大量的报告业务数据、多种格式的心电图数据、海量的报告日志数据、实时的内存数据。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支持采用高可靠性、高性能的分布式超融合存储，为平台提供数据保障，随着业务量的增长。</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支持后期存储的平滑扩容。</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数据治理服务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支持目前区域心电系统中各卫生院心电数据的归档和整理，使得数据用于平台归档统计。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支持开放平台接口和数据标准，接入符合平台规范的第三方系统的心电数据。</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归档服务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支持将治理后的数据归档到云，并用于大屏展示。</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时间同步服务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支持负责平台时间同步。</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Web后台服务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支持用于web端数据统计分析等。</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卫健委大屏展示前端服务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支持准备数据，然后大屏展示的功能。</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卫健委大屏展示服务端服务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支持处理数据汇总，统计相关的后台服务。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3.2.2.1服务器部署</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支持对现有区域心电系统进行升级。支持在不影响业务流程的前提下完成系统的平滑升级。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私有云平台服务器：支持部署平台服务，卫健委大屏系统、诊断中心大屏系统、应用基础管理后台，根服务、业务分析监管系统、AI质控平台。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医院（会诊中心）服务器：支持部署院内一体化服务，实现静息心电和动态心电远程会诊。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基层医疗机构服务器：支持部署院内一体化服务，实现社区卫生服务中心心电数据上传，电生理报告归档。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动态心电服务器：支持部署动态心电检查服务。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3.2.2.2数据清洗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支持基于心电云平台建立统一心电云数据中心，将业务系统中的心电数据经过抽取、清洗转换之后按照一定的标准规范加载到数据仓库。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支持按照项目需求去配置不同的数据标准规范。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支持质量规则配置、质量监控、问题处理等功能，及时发现并分析数据质量问题。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支持存储大量的心电业务数据、动态分析报告数据、海量的报告日志数据、实时的内存数据。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支持通过维护管理数据标准。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支持为医院提供远程心电数据存储服务，为监管部门提供数据监管服务。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3.2.2.3心电大数据展示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支持利用大数据可视化展示系统，通过区域内心电检查、诊断、资源分布、业务时效等数据的分析挖掘，对区域内的业务资源进行精准定向指导和调整优化。</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支持以具体数字和指标为依托，通过专业设计样式，展现远程心电运营价值。区域大数据监管大屏基于GIS技术，直观展示当前接入的医疗机构的分布情况。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检查量：从检查数据上传的角度，可按月显示检查量的数据趋势及某段时间范围内检查量的区域分布，以及各检查机构的业务排名。</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诊断中心：支持直观显示区域内有几家诊断中心，诊断医生的数量，同时支持显示诊断医生的业务排名。针对具体的诊断中心，支持显示该诊断中心的年诊断量、月诊断量，诊断医生数量及当前在线的诊断医生数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诊断分级：支持通过饼图展示，统计时间内正常、危急、阳性、采集不良的数据分布情况，同时显示危急和阳性心电图在总体中的占比。</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诊断分布：支持显示统计时间内平台AI和医生诊断符合率对比，心电AI已支持各类诊断疾病分类，包含房性早搏、室性早搏、房颤、预激、右束支阻滞、左束支阻滞、急性心肌梗死、左右手接反等。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月度业务时效分析模块：支持统计月度平均检查用时、调度用时和诊断用时，按照时间占比进行时效展示。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质控专家：心电数据平台负责质控专家资源和专家介绍信息的展示。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3.2.2.4业务指标分析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支持通过对报告调度状态实时监控、诊断中心业务多维度分析，结合心电AI对心电检查流程分析和心电诊断质量评估，实现心电检查流程规范化、诊断标准化。</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支持基于对全市心电数据的质控分析，复用质控成果，出具的质控结论可以作为本辖区辅助检查结果互认的依据。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支持通过对采集质量、病人信息完整度、诊断报告质量、报告规范、诊断时效、疑难病例、危急值数据等不同维度的心电质控指标的分析。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支持按照市、县到具体的诊断中心不同层级，按照月份、季度、半年、一年等时段出具质控报告。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支持基于质控报告统一医疗政策和标准，进而推进心电检查诊断业务的规范化管理。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3.2.2.5质控抽查工具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支持实现过程质控和事后质控并行，提升诊断质量改进的效率。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支持从病种、诊断医生、诊断时效、诊断结论、与AI符合性等多个维度建立质控任务，对心电诊断质量进行抽检。</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3.2.2.6心电AI应用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支持于心电图检查等各个业务流程，提升临床使用体验和工作效率。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3.2.3诊断中心升级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3.2.3.1会诊业务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支持在心电诊断中心安装新的诊断客户端作为会诊端。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支持实现静息心电会诊，同时拓展开展动态心电远程会诊业务。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静息心电和动态心电数据从基层医院传输上来之后，支持通过平台调度功能，在后台配置各个社区卫生服务中心对应的会诊医院。由诊断中心医院诊断完成之后，支持在社区卫生服务中心打印报告，提交给患者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3.2.3.2院内心电业务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诊断中心医院院内心电系统保持现状不变，维持现有业务流程。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3.2.4基层检查端升级</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静息心电业务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支持对第三方心电采集设备的接入。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对于具有网络传输能力的数字心电图机，可以直接与心电平台相连，心电数据采集完成后由心电图机直接上传至平台。对于不具备网络传输能力的心电图机，提供工作站连接的方式。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支持对目前的心电检查客户端进行升级，通过心电检查客户端与机构现有心电设备相连，获取设备检查数据并同时上传云平台。</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动态心电业务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支持对第三方的动态心电图报告进行归档上传。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对于新采购的动态心电设备，支持在社区卫生服务中心部署动态心电检查客户端，实现设备的挂盒和下盒操作，动态心电数据可通过平台上传至诊断中心进行远程诊断。</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3.2.5区域胸痛中心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3.2.5.1胸痛急诊绿色通道信息管理系统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支持以急诊胸痛患者为中心，以急诊胸痛患者诊疗路径为主线，通过移动终端采集急诊胸痛患者全程详细的诊疗信息。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支持智能通知相关科室，检查结果自动反馈。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智能评分支持对患者进行专科评分，并自动形成评估结果。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3.2.5.2胸痛手术信息管理系统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支持详细全面地记录手术的过程信息，重要的时间节点信息，并自动关联该患者胸痛表单。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3.2.5.3快速检测设备数据采集系统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在急诊科床旁，支持利用快检设备为急救患者进行血样快速分析并自动传输检测结果至相关系统，以微信方式智能推送快检结果至专家组辅助诊断，快检结果关联至胸痛患者档案。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3.2.5.4胸痛综合档案管理系统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诊疗结束后，系统支持给胸痛患者生成完整的信息档案。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3.2.5.5胸痛直报国家数据填报平台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系统支持通过数据审核员审核校验后将胸痛患者的档案自动上传至胸痛中心数据填报平台，完成胸痛中心认证标准所要求有效信息的准确录入。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支持按照胸痛中心建设要求设置三级审核程序，保障数据的准确。系统支持对接国家胸痛中心数据填报平台。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3.2.5.6胸痛数据挖掘分析及质控系统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支持有效掌握胸痛中心的关键指标。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支持通过指标统计并参照胸痛中心认证标准，对医院胸痛急救流程进行对比与质量把控。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3.2.6区域卒中中心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3.2.6.1卒中急诊绿色通道信息管理系统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急诊绿色通道信息管理系统以急诊卒中患者为中心，以急诊卒中患者诊疗路径为主线，通过移动终端采集急诊卒中患者全程详细的诊疗信息。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支持救治过程中医护人员通过急诊绿色通道信息管理系统，实现患者救治过程中重要时间节点采集，智能通知相关科室，检查结果自动反馈。智能评分，支持对患者进行专科评分，并自动形成评估结果。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急诊卒中患者绿道诊疗路径管理</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支持以卒中患者绿道诊疗路径为主线。</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卒中评分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系统支持智能评分，详细记录医护人员在给卒中患者救治过程中对患者进行各种评分记录。其中包含FAST评估、NIHSS评分、GCS评分、ASPECTS评分。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多科室协同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实现与卒中值班医生、急诊检验、急诊影像、导管室、重症手术室等多科室协同，实现急诊绿道卒中患者在诊疗过程中一键通知功能。</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质控管理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支持对急诊绿道患者的诊疗数据进行采集、汇总、自动分析，为急诊绿道卒中患者的救治质控提供数据支撑。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支持手工录入数据，可支持对血检报告、心电图报告、CT片子、CT报告拍照上传附件。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支持静脉溶栓适应症评估和禁忌症评估，卒中医生根据急诊医生已完成的适应症评估，为患者审核静脉溶栓适应症评估。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卒中医生可以通过授权的方式，由急诊护士通过手机感应卒中医生工牌上的NFC识别医生身份，由护士完成适应症评估录入。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支持将溶栓知情谈话提供给卒中医生，记录卒中医生与患者或患者家属进行溶栓知情谈话信息。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支持给家属查看溶栓治疗获益和风险示意图和栓知情谈话标准视频。支持对知情同意书进行拍照上传附件。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支持通过时间轴回顾患者救治过程中，各个节点重要时间按时间先后顺序的形式展现在时间轴上。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3.2.6.2卒中手术信息管理系统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支持通过系统详细全面地记录手术的过程信息重要的时间节点信息，并自动关联该患者卒中表单。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支持手工或卒中表单创建手术记录：通过手工创建或卒中表单创建手术记录信息，包含患者信息、手术信息、术前用药和生命体征。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术前准备支持采集知情同意书，手术室医护人员确定，导管室激活时间，患者到达导管室时间。</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手术过程信息采集：支持采集手术过程中重要的时间节点信息如手术开始时间、开始穿刺时间、造影开始时间、造影结束时间等信息。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术前术后造影采集：支持对手术前后的造影进行拍照对比，以及对典型病例的相关数据进行分享和共享。</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3.2.6.3卒中综合档案管理系统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诊疗结束后，支持给卒中患者生成完整的信息档案，包含急诊信息、卒中诊疗信息、患者转归信息。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3.2.6.4卒中患者随访系统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支持制定随访计划，针对卒中患者开展术后随访跟踪业务，随访医生能够根据随访计划跟踪患者健康情况。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卒中患者出院后，支持医院为该患者创建术后随访任务，结合该患者的术后情况定制适宜的术后随访计划。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支持通过友好的方式提醒医生随访计划即将到达，当随访计划到达时按照随访制度录入随访指标。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支持创建随访任务、添加随访计划，并设置随访任务提醒、结束、查询和导出以及随访统计等。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3.2.6.5卒中直报国家数据填报平台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支持通过人工或系统审核校验后将卒中患者的档案自动上传至卒中中心数据填报平台，完成卒中中心认证标准所要求有效信息的准确录入。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系统支持对接国家卒中中心数据填报平台（脑防委）和中国卒中中心联盟数据平台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支持基于数据填报平台导医台、急诊科、神内科等医护人员进入快速填报界面，填报或修改业务关键数据。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支持将患者的档案通过人工或系统审核校验后自动上传至相应的国家数据填报平台，完成急危重症患者建设标准所要求有效信息的准确录入。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支持患者救治数据集中汇总展示，形成患者的综合档案并通过接口上传国家平台。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3.2.7卒中数据挖掘、分析及质控系统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系统包含数据总览、患者总览、患者类型统计分析、治疗方式统计、治疗结果统计、质控分析、对标质控要求进行统计分析、来源医院统计、卒中患者转归统计和急诊工作量查询等。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质控系统支持在符合国家要求的基础上，根据医院需要及结构化数据库进行自定义统计。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支持自动统计查询时间段内各个质控点依从性完成程度。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支持自动统计查询时间段内各个质控点未完成的原因。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支持点击对应的统计图，可以显示出对应的质控点信息或质控点未完成原因列表。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支持统计查询时间段内卒中急救患者人数、入径人数、患者入径率。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支持自动查询时间段内统计卒中急救患者未入径或变异出径原因占比。</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支持统计皆以柱状图、饼状图或曲线图显示。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3.3区域检验中心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3.3.1核心业务流程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支持基层医疗机构向上级医疗机构实验室的检验委托业务流转。</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支持通过统一的标本外送平台实现跨机构标本外送检验业务。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支持通过医院与临检中心、辅助临检中心、第三方实验室进行业务协同，实现区内检验医疗资源的整合，提高基层医院检验能力。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支持基层医院通过平台查询打印报告。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3.3.2建设内容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3.3.2.1区域检验数据中心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支持平台统一检验字典库，实现区域检验数据格式的标准化。</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支持集中存储检验数据，统一管理检验数据。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支持实现区域检验中心的数据存储中心-区域检验中心，解决数据存储的介质、结构、内容等。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支持提升整个区域的检验信息化水平，实现检验结果的数据共享，支撑检验数据与其他平台系统的数据交换，加强检验质量管理水平。</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3.3.2.1.1区域字典标准统一管理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支持区域字典统一管理，统筹管控区域内各类数据的定义、编码及释义。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支持整合多领域数据构建标准库，借助集中平台便捷进行创建、修改、审核，保障数据一致规范。</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基础标准字典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该功能主要聚焦于为各类数据提供规范依据。支持定义数据的基础格式、编码规则以及关键术语释义。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支持通过统一标准，确保不同系统间数据的一致性与兼容性。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支持在数据录入、处理及分析流程中，有效减少错误，提升数据质量与工作效率，为业务开展筑牢数据基石。</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字典包括但不限于：标准科室、婚姻情况、文化程度、婚姻情况、检验项目类型、结果状态、样本类型。</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业务标准字典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支持规范平台业务标准字典，支持对字典内容的增删改查。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支持统一检验流程，保障区域内检验业务规范、有序开展。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字典需涵盖：标检验项目、检验医嘱、检验仪器、微生物、药敏试验结果状态、标本种类、试验方法等。</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字典对照维护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字典对照维护关联各方检验术语，统一数据口径，让不同机构间数据互通，保障检验信息流畅传递。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支持各机构下载字典模版、导入字典内容，平台可根据字典名称一键匹配，并且支持手动维护修改。</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仪器项目设置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支持仪器与检验项目关联，确保仪器精准执行检验任务，保障结果可靠。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3.3.2.1.2区域条码统一管理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编码格式规则统一管理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支持编码格式、规则统一管理，支持实现区域检验数据的共享、条码统一。</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区内所有检验条码的编码必须规范，支持根据指定编码格式生成。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条码生成作废后，不可再次使用。编码格式例如：XX0000000001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支持平台记录区域内所有机构条码规则。</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条码样式统一管理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支持统一条形码样式，或还是采用各系统原有的条形码样式，打印的样本标签应有明确的标识，区分各个不同的小组。预置条码部分供相应的样本分组说明。</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样本采集信息的记录。</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条码采集统一管理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所有采集人员的粘贴方式必须严格按要求进行统一，粘贴方式、底部距离、各种采集管的差距，都要按标准操作，并做好统一培训。</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条码跟踪管理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支持扫描条码实现样本跟踪管理。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3.3.2.1.3区域检验数据采集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申请单信息采集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需包括机构代码、申请单号、申请时间等的采集。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样本信息采集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需包括样本类型名称、样本类型代码等的采集。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报告信息采集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需包括报告代码、报告名称、仪器名称等的采集。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质控数据信息采集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需包括质控批号、偏倚、机构ID等的采集。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3.3.2.1.4区域检验数据治理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支持基于标准字典库，与不同医疗机构提交上来的字典数据进行映射，对采集到的检验项目、仪器等检验信息进行转换清洗。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支持对采集的数据字段进行校验，保证数据的完整性、合规性。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3.3.2.1.5区域检验数据安全管理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支持验证数据在传输时是否启用Https协议，检查加密证书的有效性及合规性。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支持通过模拟网络嗅探等攻击手段，检验加密后的数据包能否抵御窃取。</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支持对检验样</w:t>
      </w:r>
      <w:r>
        <w:rPr>
          <w:rFonts w:hint="eastAsia" w:ascii="宋体" w:hAnsi="宋体" w:cs="宋体"/>
          <w:color w:val="auto"/>
          <w:sz w:val="21"/>
          <w:szCs w:val="21"/>
          <w:highlight w:val="none"/>
          <w:lang w:val="en-US" w:eastAsia="zh-CN"/>
        </w:rPr>
        <w:t xml:space="preserve">本</w:t>
      </w:r>
      <w:r>
        <w:rPr>
          <w:rFonts w:hint="eastAsia" w:ascii="宋体" w:hAnsi="宋体" w:cs="宋体"/>
          <w:color w:val="auto"/>
          <w:sz w:val="21"/>
          <w:szCs w:val="21"/>
          <w:highlight w:val="none"/>
        </w:rPr>
        <w:t xml:space="preserve">等方面的数据进行对称加密/非对称加密处理，在数据传输过程中采用加密网络传输协议https，在端到端之间保证数据安全。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3.3.2.2区域检验交互中心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支持通过制订一定的数据交换规则和标准实现各系统之间、各系统与临床检验中心平台的数据交换。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支持建立标准的数据交换和集成，将原先分布在各业务系统的信息交换整合到区域检验平台上。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支持患者在各家医疗机构都能享受同等质量水平的检验服务，方便基层医院。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支持在统一的平台上进行数据的挖掘和分析</w:t>
      </w:r>
      <w:r>
        <w:rPr>
          <w:rFonts w:hint="eastAsia" w:ascii="宋体" w:hAnsi="宋体" w:cs="宋体"/>
          <w:color w:val="auto"/>
          <w:sz w:val="21"/>
          <w:szCs w:val="21"/>
          <w:highlight w:val="none"/>
          <w:lang w:eastAsia="zh-CN"/>
        </w:rPr>
        <w:t xml:space="preserve">，为</w:t>
      </w:r>
      <w:r>
        <w:rPr>
          <w:rFonts w:hint="eastAsia" w:ascii="宋体" w:hAnsi="宋体" w:cs="宋体"/>
          <w:color w:val="auto"/>
          <w:sz w:val="21"/>
          <w:szCs w:val="21"/>
          <w:highlight w:val="none"/>
        </w:rPr>
        <w:t xml:space="preserve">实现检验平台管理层的一站式决策创造条件。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3.3.2.2.1区域检验数据共享管理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支持存储送检机构的检验数据以及供各级医疗机构进行查询</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支持实验室通过定制查询条件来查询数据中心的共享数据。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3.3.2.2.2区域检验数据交换服务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支持各实验室通过定制查询条件来查询数据中心的共享数据，平台对各实验室定制的查询条件进行解析，并返回相应的结果。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送检机构接口服务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需包含外送样本上传接口服务、外送样本撤销接口服务、获取未处理的退还样本信息列表接口服务等。</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检验机构接口服务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需包含获取单个样本信息接口服务、获取未接收样本列表接口服务、报告撤销接口服务等。</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公共接口服务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需包含获取平台机构列表接口服务、上传机构字典接口服务等。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3.3.2.2.3区域检验接口配置管理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需包括接口类型、接口提供厂商、等信息配置。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支持必填校验机制：字段前“*”标识为必填项，强制用户填写关键信息，确保提交数据的完整性。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支持操作执行功能：能够保存及取消所做的数据交换服务操作。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接口管理：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接口账户列表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机构基础信息配置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机构代码列表</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配置接口列表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接口运行状态</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接口匹配</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字典匹配列表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日志列表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日志查询</w:t>
      </w:r>
      <w:r/>
    </w:p>
    <w:p>
      <w:pPr>
        <w:ind w:firstLine="422"/>
        <w:spacing w:line="440" w:lineRule="exact"/>
        <w:tabs>
          <w:tab w:val="left" w:pos="42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接口账户设置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接口账户列表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机构基本信息配置</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配置接口列表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3.3.2.2.4区域检验数据接口监控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支持通过特定的数据接口管理软件来协助区域管理人员管理数据。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支持实时跟踪接口运行状态，详细记录接口调用的时间、请求参数、响应结果及状态。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3.3.2.2.5区域检验平台日志管理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提供操作日志管理功能，支持区域检验数据的日常操作记录管理。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3.3.2.3区域标本外送系统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支持根据外送医嘱项目、外送机构等自定义配置外送标本的目的检验机构。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支持各家医院LIS系统将检验项目传入检验标本外送平台系统中，作为自己的申请项目，并把其作为检测的依据和数据的来源。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支持检验标本外送平台接收并保存医院的检验申请，第三方检验机构或其他大型综合性医院通过与外送平台的标准化统一接口，获取医院的检验申请并进行检验。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支持完成检验后，第三方检验机构或大型综合性医院通过与外送平台的结果返回接口，第一时间把检验报告和检验异常信息返回到平台，由平台把检验报告推送并保存到医院LIS系统，完成外送标本的检验。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3.3.2.3.1外送数据一览表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支持外送数据一览表展示功能，可同屏展示今日外送一览、按机构查询标本数据统计、不合格样本列表，支持同界面历史外送数据一览表便捷查询。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筛选外送信息。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外送一览表。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3.3.2.3.2样本发送</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扫码添加样本</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支持通过扫码将样本快速添加至外送列表。</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未发送列表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支持一键获取机构的未发送样本，便捷快速查询出未发送样本信息列表。</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外送样本列表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支持通过列表展示所有外送样本。</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外送样本发送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支持选择外送样本列表进行发送操作，支持单个发送，也支持多个打包发送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发送后系统会自动生成打包码，可通过打包码快速查询打包码内所有样本信息。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未发送样本查询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支持未发送成功的样本信息自动筛选，可直接跳至未发送清单直接查看相关样本信息。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样本清单打印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支持根据发送的样本信息生成样本清单，支持清单打印功能。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3.3.2.3.3样本接收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样本接收需包括扫码接收样本、接收样本列表、未接收列表、撤销接收。</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扫码接收样本</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支持通过扫码将送检样本添加至接收清单，一键完成所有样本接收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支持扫描打包码批量接收样本。</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接收样本列表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支持通过列表展示所有接收样本</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支持不能接收样本可自动过滤显示在接收界面。</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未接收列表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支持一键获取机构的未接收样本，便捷快速查询未接收样本信息列表。</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撤销接收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支持通过条码号查询已接收样本，进行撤销接收操作。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3.3.2.3.4样本查询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样本查询需包括扫码查询样本、样本明细列表、样本检验结果列表等。</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扫码查询样本</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支持扫描条码查询样本记录</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支持可通过送检机构、条码号、打包码筛选送检样本信息，查看送检样本状态</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样本明细列表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支持通过列表展示查询样本的明细信息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样本检验结果列表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支持已审核的样本可在线查看相关检验结果获取结果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样本获取方式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支持接口自动获取样本信息，同时支持手动获取三方实验室返回的样本信息，并可根据日期范围、选中样本、批量单个三种方式获取。</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3.3.2.3.5样本流转跟踪</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支持自动跟踪外送检验标本从基层医疗机构向上级医疗机构流转全过程。</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支持从医院申请外送到配送人员收货再到机构验收，记录各时间节点的操作人员信息、操作时间等信息，医院及检验机构可随时查看标本信息。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人员信息跟踪</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时间信息跟踪</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样本信息跟踪</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3.3.2.3.6统计报表查询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系统支持对外送的不合格样本数据进行统计查询。</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不合格样本查询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不合格样本统计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外送报告召回记录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3.3.2.3.7外送统计报表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系统记录所有外送标本的详细信息数据以及相应费用。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支持通过检索送检时间、送检机构、检验机构等检索条件对列表内容进行检索，可根据统计结果生成数据列表。</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统计列表</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信息检索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统计分组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个性化条件组合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3.3.2.4区域检验报告管理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3.3.2.4.1外送报告协同共享服务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支持实验室完成检验后，将检验报告发布到区域检验平台，实验室可以从区域检验平台中下载检验报告单数据，其他授权医院也可以从网上直接访问查询、打印检验报告单。</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查询报告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支持可通过送检机构、条码号、样本状态等条件查询患者报告样本报告明细列表。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支持通过列表展示查询样本报告详细信息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项目结果信息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支持列表直接查看相关项目结果信息，并且支持检验报告的异常数据有颜色标注</w:t>
      </w:r>
      <w:r>
        <w:rPr>
          <w:rFonts w:hint="eastAsia" w:ascii="宋体" w:hAnsi="宋体" w:cs="宋体"/>
          <w:color w:val="auto"/>
          <w:sz w:val="21"/>
          <w:szCs w:val="21"/>
          <w:highlight w:val="none"/>
          <w:lang w:eastAsia="zh-CN"/>
        </w:rPr>
        <w:t xml:space="preserve">。</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导出报告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支持单个或批量导出报告。</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打印报告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支持链接打印机后一键打印报告。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3.3.2.4.2患者报告信息整合管理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支持查询各机构上传到数据中心的患者报告，</w:t>
      </w:r>
      <w:r>
        <w:rPr>
          <w:rFonts w:hint="eastAsia" w:ascii="宋体" w:hAnsi="宋体" w:cs="宋体"/>
          <w:color w:val="auto"/>
          <w:sz w:val="21"/>
          <w:szCs w:val="21"/>
          <w:highlight w:val="none"/>
          <w:lang w:val="en-US" w:eastAsia="zh-CN"/>
        </w:rPr>
        <w:t xml:space="preserve">按照</w:t>
      </w:r>
      <w:r>
        <w:rPr>
          <w:rFonts w:hint="eastAsia" w:ascii="宋体" w:hAnsi="宋体" w:cs="宋体"/>
          <w:color w:val="auto"/>
          <w:sz w:val="21"/>
          <w:szCs w:val="21"/>
          <w:highlight w:val="none"/>
        </w:rPr>
        <w:t xml:space="preserve">条件进行查询，并支持导出报告。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3.3.2.5区域检验质量管理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支持通过对全区域检验数据进行汇总分析，聚焦重点数据，并以更容易被理解、更直观的方式进行展示。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支持将区域实验室数据、区域检验汇总数据、区域检验质控数据、区域检验协同数据、区域检验报告数据等分别汇总到大屏上展现。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3.3.2.5.1区域室内质控监督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支持通过平台设定各类检验项目的室内质控规则，自动采集数据并绘制质控图，实时分析数据是否合规。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支持记录失控情况，可疑数据登记，并协助工作人员查找原因、采取纠正措施。</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业务流程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数据采集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数据清洗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支持管理员通过上报的质控数据观察数据的准确性和上报及时性，并对可疑数据进行可疑登记。</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实验室质控数据实时上传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支持实验室质控数据实时上传。</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质控数据实时中控</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支持对各机构已上报质控数据进行实时监控，循环显示各个单位的质控情况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支持可对区域内</w:t>
      </w:r>
      <w:r>
        <w:rPr>
          <w:rFonts w:hint="eastAsia" w:ascii="宋体" w:hAnsi="宋体" w:cs="宋体"/>
          <w:color w:val="auto"/>
          <w:sz w:val="21"/>
          <w:szCs w:val="21"/>
          <w:highlight w:val="none"/>
          <w:lang w:eastAsia="zh-CN"/>
        </w:rPr>
        <w:t xml:space="preserve">各</w:t>
      </w:r>
      <w:r>
        <w:rPr>
          <w:rFonts w:hint="eastAsia" w:ascii="宋体" w:hAnsi="宋体" w:cs="宋体"/>
          <w:color w:val="auto"/>
          <w:sz w:val="21"/>
          <w:szCs w:val="21"/>
          <w:highlight w:val="none"/>
        </w:rPr>
        <w:t xml:space="preserve">机构数据进行全局查看，快速掌握各机构质控数据上报情况。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支持通过质控日期个性化查询指定日期内数据情况。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支持以卡片形式查看各机构的详细质控上报情况。</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质控数据查询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支持按检验项目、时间、机构等多维度精准检索。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支持快速定位查看各类室内质控数据。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支持查看各机构质控数据上报状态，分析各机构质控情况。</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质控图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提供L-J图与Z-分数图展示。L-J图直观呈现检测数据随时间的波动</w:t>
      </w:r>
      <w:r>
        <w:rPr>
          <w:rFonts w:hint="eastAsia" w:ascii="宋体" w:hAnsi="宋体" w:cs="宋体"/>
          <w:color w:val="auto"/>
          <w:sz w:val="21"/>
          <w:szCs w:val="21"/>
          <w:highlight w:val="none"/>
          <w:lang w:eastAsia="zh-CN"/>
        </w:rPr>
        <w:t xml:space="preserve">，有</w:t>
      </w:r>
      <w:r>
        <w:rPr>
          <w:rFonts w:hint="eastAsia" w:ascii="宋体" w:hAnsi="宋体" w:cs="宋体"/>
          <w:color w:val="auto"/>
          <w:sz w:val="21"/>
          <w:szCs w:val="21"/>
          <w:highlight w:val="none"/>
        </w:rPr>
        <w:t xml:space="preserve">助于发现趋势性、周期性变化。Z-分数图将数据标准化，精准反映单个数据偏离程度。</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质报报表统计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支持自动采集整合数据，精准计算项目开展率、变异系数不合格率、项目在控率等指标。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支持以直观图表呈现，助力管理者清晰掌握区域检验质量动态，快速定位问题。</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智能检查判断分析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支持通过设置的判断规则，或组合规则，检查上传的数据</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可以进行趋势分析。</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可疑数据回访登记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发现有问题的QC数据时，可以进行登记。支持为追溯分析提供便利，助力全面把控区域检验质量。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3.3.2.5.2室内质控室间对比</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系统支持区域内跨机构之间的实验室仪器质控数据比对管理，可通过选择精确的日期或范围内的时间筛选仪器质控数据。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支持通过选择仪器、质控品、批次编号进行精准的质控数据筛选。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管理者可通过选择比对机构进行跨机构仪器质控数据对比，系统支持通过youden图展示比对情况。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支持在比对界面可查看区域内总上报数据量、所有实验室上报CV、SD等值。</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系统支持以表格形式展现所有机构的本室数据量、上报CV、SD、CVI、SDI等数据。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系统支持通过项目名称，快捷定位到需要查找的项目。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3.3.2.6区域检验数据分析管理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3.3.2.6.1区域TAT数据分析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数据总览</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机构统计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3.3.2.6.2区域不合格样本分析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数据总览</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机构不合格样本统计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单家机构统计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统计报表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3.3.2.6.3区域检验能力分析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机构统计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统计报表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3.3.2.6.4区域检验报告分析</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数据总览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报告类型占比</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报告年龄分布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统计报表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3.3.2.6.5区域检验结果分析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检验项目类型统计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结果指标统计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3.3.2.6.6区域检验工作量分析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支持自定义采集时间段内、统计某一家或全区域医疗机构的具体检验工作量。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支持统计某机构、某年龄段、某地区做某个医嘱的标本数量、某个医嘱或项目的标本工作件数、金额、数量等。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支持以图表形式（如折线图）展示工作量数据，直观反映工作量的分布和变化。</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3.4区域病理中心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3.4.1手术标本管理系统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3.4.1.1流程描述</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手术室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支持手术医生在HIS系统中开具带申请序号或医嘱号的病理检查申请。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支持在手术室进行手术并采集标本之后，在HIS系统的病理申请单中录入手术所见信息、标本明细信息、标本离体时间。</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标本间</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标本标签打印：支持工作人员通过部署在标本间的手术标本管理系统提取病理电子申请信息，然后打印出带标本条码的标签贴于标本袋或标本瓶上。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标本整理：支持在标本整理间对收集的标本进行固定，固定后通过手术标本管理系统逐个扫描标本袋条码进行核对，核对完成后记录标本固定时间。</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标本送出：支持工作人员在手术标本管理系统中打开当日送检标本列表，依次扫描所有标本袋标签，与计划送检的标本进行匹配，扫描并匹配完成后打印带汇总条码的标本送检清单，将汇总清单和标本一并送往病理科。</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病理科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标本送到病理科后，可通过手术标本管理系统扫描需要接收的标本明细条码标签或申请单条码进行标本核对接收确认，针对有问题的标本可以通过手术标本管理系统进行拒收并反馈拒收原因。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被评价为合格的标本需进行正式接收和登记，随后进入病理科内部处理流程直至出具正式病理报告。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3.4.1.2手术标本管理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标本间与客户机维护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支持标本处理间维护。</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标本明细提取及标签打印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支持提取标本明细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支持打印标本袋标签，贴在标本容器上。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标签打印的内容：条码号、病人姓名、标本名称、打印时间、打印次数等。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支持打印汇总标签，汇总标签内容：汇总标签条码、申请序号、申请单类别、病人姓名、所选择标本数量、打印时间等信息，汇总标签需要通过报表设计工具设计，系统中所有打印的汇总标签内容相同。</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标本核对与取消核对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支持巡回护士通过扫描需要核对的标本条码号对其负责的相关手术室送出的标本进行核对。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支持扫描需要核对的标本条码号。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支持标本单个扫描，扫描之后将选中此标本并改变背景色，扫描到该申请单最后一个条码时，自动将申请单和条码修改为已核对。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支持批量打印条码、取消核对当前申请单。支持取消核对与当前选中标本相同核对时间的所有标本。</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标本送检</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支持通过送检管理模块，可针对已核对未送检的标本打印标本送检清单。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已核对未送检的标本才能打印标本送检清单。默认送检当前标本间的标本，可控制能否送检其他标本间标本。</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送检清单查询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打印过后的送检清单，支持通过送检清单查询页面能显示出来或者重复打印。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3.4.1.3病理科标本接收</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标本接收流程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申请单和标本到了病理科，支持在病理科的标本接收处通过标本签收工作站扫描需要接收的标本条码号，并与该条码号所关联的申请单下的所有条码进行核对，当扫描完该申请单下的所有标本条码时，可将申请单和标本状态修改为“已接收”。</w:t>
      </w:r>
      <w:r/>
    </w:p>
    <w:p>
      <w:pPr>
        <w:ind w:firstLine="422"/>
        <w:spacing w:line="440" w:lineRule="exact"/>
        <w:tabs>
          <w:tab w:val="left" w:pos="42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取消接收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支持针对已完成接收的申请单或标本进行“取消接收”处理。</w:t>
      </w:r>
      <w:r/>
    </w:p>
    <w:p>
      <w:pPr>
        <w:ind w:firstLine="422"/>
        <w:spacing w:line="440" w:lineRule="exact"/>
        <w:tabs>
          <w:tab w:val="left" w:pos="42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申请单查询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通过病理申请单列表的查询功能，病理科可查询当天尚未完成接收的病理申请单，以便及时了解即将送检的病理检查申请项目。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3.4.2相城人民医院病理质控与资料管理系统软件升级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苏州市相城人民医院已经建设病理质控与资料管理系统，现需要为病理质控与资料管理系统软件进行升级。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需升级为B/S架构，需对服务器及工作站电脑进行同步升级。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医生办公室需新增3台综合报告工作站，安装3套综合报告管理模块PathRPT-TBS。主任管理工作站需进行取消审核、统计相关工作量、查询重要报告修改痕迹、进行诊断质控和技术质控的量化统计等管理性工作。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图像采集设备方面，需采用科室现有带Twain32接口的数码摄像头。</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取材室需配备1套包埋盒打号机接口模块PathEPC。技术室需配备1套玻片打号机接口模块PathSPC。免疫组化室需配备1台特检工作站，安装特检管理模块PathTJ。</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3.4.3信息系统评级接口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3.4.3.1定制微信平台接口</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报告列表查询</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病理按照文档提供报告列表查询接口</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支持返回该患者某段时间内所有病理检查的结果列表。</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报告明细查询</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病理按照文档提供报告明细查询接口，支持用报告编号入参查询</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支持返回该报告编号的病理文字诊断信息</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3.4.3.2定制抗肿瘤药物上报接口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支持医院作为调用方。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支持以视图方式进行对接。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需提供B16-2病理检查记录与B16-3分子病理检测记录两个接口</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需按照全国抗肿瘤药物临床应用监测数据上报说明文档格式提供数据视图，需配合提供病理系统已有的数据</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需配合医院补全相关必填字段。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3.4.3.3定制医嘱闭环接口</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病理申请单新增</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支持提供申请单新增消息接收服务，接收平台推送的申请单消息</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支持对申请单消息进行解析和保存</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支持返回接收成功或失败消息</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支持病理系统登记时，从本地申请单消息中提取信息</w:t>
      </w:r>
      <w:r>
        <w:rPr>
          <w:rFonts w:hint="eastAsia" w:ascii="宋体" w:hAnsi="宋体" w:cs="宋体"/>
          <w:color w:val="auto"/>
          <w:sz w:val="21"/>
          <w:szCs w:val="21"/>
          <w:highlight w:val="none"/>
          <w:lang w:eastAsia="zh-CN"/>
        </w:rPr>
        <w:t xml:space="preserve">；</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病理申请单更新</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支持提供申请单更新消息接收服务，接收平台推送的申请单修改消息</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支持对申请单消息进行解析和验证，若该申请单已在病理系统登记，则拒绝接收</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支持验证通过后，更新申请单信息</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支持返回成功或失败消息</w:t>
      </w:r>
      <w:r>
        <w:rPr>
          <w:rFonts w:hint="eastAsia" w:ascii="宋体" w:hAnsi="宋体" w:cs="宋体"/>
          <w:color w:val="auto"/>
          <w:sz w:val="21"/>
          <w:szCs w:val="21"/>
          <w:highlight w:val="none"/>
          <w:lang w:eastAsia="zh-CN"/>
        </w:rPr>
        <w:t xml:space="preserve">；</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检查申请状态更新</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支持病理申请状态发生改变时，向平台推送消息</w:t>
      </w:r>
      <w:r>
        <w:rPr>
          <w:rFonts w:hint="eastAsia" w:ascii="宋体" w:hAnsi="宋体" w:cs="宋体"/>
          <w:color w:val="auto"/>
          <w:sz w:val="21"/>
          <w:szCs w:val="21"/>
          <w:highlight w:val="none"/>
          <w:lang w:eastAsia="zh-CN"/>
        </w:rPr>
        <w:t xml:space="preserve">；</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病理报告信息查询</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支持第三方根据患者ID、就诊次数、申请单号等条件来实时查询已审核的病理报告信息</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支持查询该申请单号下所有的病理报告PDF文件调阅路径</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支持查询Web形式的病理报告浏览器链接地址</w:t>
      </w:r>
      <w:r>
        <w:rPr>
          <w:rFonts w:hint="eastAsia" w:ascii="宋体" w:hAnsi="宋体" w:cs="宋体"/>
          <w:color w:val="auto"/>
          <w:sz w:val="21"/>
          <w:szCs w:val="21"/>
          <w:highlight w:val="none"/>
          <w:lang w:eastAsia="zh-CN"/>
        </w:rPr>
        <w:t xml:space="preserve">；</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病理报告发布</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支持病理系统在报告审核时，将报告信息发布到平台</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支持设置报告发布延迟，病理医生审核报告后若发现问题可及时取消审核并修改，避免发布错误的报告</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提供独立工具，支持查看报告发布状态，进行重传等操作</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支持生成报告PDF文件，向平台提供调阅路径</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支持提供Web形式的病理报告浏览器，向平台提供报告浏览链接地址</w:t>
      </w:r>
      <w:r>
        <w:rPr>
          <w:rFonts w:hint="eastAsia" w:ascii="宋体" w:hAnsi="宋体" w:cs="宋体"/>
          <w:color w:val="auto"/>
          <w:sz w:val="21"/>
          <w:szCs w:val="21"/>
          <w:highlight w:val="none"/>
          <w:lang w:eastAsia="zh-CN"/>
        </w:rPr>
        <w:t xml:space="preserve">；</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病理报告召回</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支持病理系统在取消审核报告时，将消息发布到平台，同步召回报告，报告审核后，重新推送。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3.4.3.4定制病案归档系统接口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病理报告审核时，支持调用归档系统WebService归档服务，进行报告归档。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病理报告取消审核时，支持调用归档系统取消归档接口，删除报告。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病理报告取消审核时，支持获取该报告当前归档状态，根据归档状态判断用户是否可以取消审核报告。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3.4.3.5定制危急值平台接口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支持通过定制危急值接口，实现如下功能：</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定制危急值接口，实现危急值信息推送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提供病理危急值登记模块，支持用户进行危急值登记。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支持将登记的危急值上传到平台。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支持查看危急值的处理状态，以及临床处理相关信息。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危急值回复接收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病理系统提供危急值处理反馈接收服务，接收临床反馈的危急值处理消息。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支持对危急值处理消息进行解析和保存，同步修改对应危急值的处理状态。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支持通过危急值界面查看对应危急值的处理状态。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3.4.3.6定制单点登录接口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支持单点登录程序调用单点登录接口，传入用户登录的加密信息。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支持单点接口调用登录安全验证接口进行验证，若验证失败则终止登录。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支持验证通过后，单点接口将平台用户映射为业务系统用户，进行本地安全验证。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支持验证通过后，进入病理系统对应的功能模块（可配置）。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3.4.3.7定制360视图调阅接口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支持病理系统调用对方提供的基于患者主索引的360视图接口，以查阅相关临床信息。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支持先通过病理号查询出住院号、病人ID号、门诊号等信息，然后使URL传递参数方式，调用360视图的网页页面，实现调阅360视图的功能。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3.4.3.8定制主数据同步接口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支持科室信息同步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支持接收平台科室字典的注册和修改信息，采用WebService+XML方式同步。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支持人员信息同步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支持接收平台人员字典的注册和修改信息，采用WebService+XML方式同步。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3.4.3.9定制患者主索引改造接口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支持患者基本信息的查询服务。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支持患者基本信息的更新服务。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3.4.3.10定制CDA数据中心接口</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CDA文档生成、CDA字段补全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CDA标准中存在一些病理科无法提供的字段。</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CDA共享文档注册服务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支持病理报告审核时，调用平台服务，注册CDA共享文档。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3.4.3.11定制CA系统接口</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CA用户绑定</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改造用户管理模块，支持将系统用户与CA证书编码绑定。</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CA身份验证</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支持调用CA接口，获取KEY的唯一编码（OID），与当前登录用户的CA绑定信息做对比，若对比结果不一致，则验证失败</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支持调取签名验签服务器服务（http服务）的验证证书接口对证书的合法性、有效性进行验证</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支持调用数字签名接口，传入任意字符串测试签名是否可用，CA接口在第一次签名时会弹出密码窗口，进行PIN验证。</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CA签名</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用户进行报告审核操作之前，系统需验证用户的CA身份验证状态，若用户未进行验证，则进行CA登录验证，验证失败时禁止审核报告。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支持配装需要签名的信息，调用CA签名接口进行签名。</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支持签名成功后调用验签接口进行验证。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支持验证通过后在数据库中保存证书的公钥、签名原文、公钥、签名结果等信息。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时间戳签名</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支持将个人证书签名完成后的签名结果作为时间戳签名的原文，调取时间戳服务进行签名。</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支持签名成功后，调用验证时间戳签名接口进行验签。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支持验证通过后，在数据库中保留签名结果。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签名查询及验签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支持开发病理报告签名查询工具，通过病理号查询特定病理报告历次的签名数据。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支持开发病理报告签名验证工具，对指定病理报告的签名数据和时间戳进行验证。</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报告格式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支持所有库类型病理报告格式设计。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3.4.3.12定制门诊自助打印系统接口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支持定制门诊自助打印系统接口，将审核后的病理报告PDF和相关地址提供给自助打印系统，由医院统一的自助打印系统中来查询并打印病理报告。</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审核病理报告时需生成PDF格式的病理报告</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病理系统需提供WebService服务供门诊自助打印系统调用，获取报告信息</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病理系统需提供WebService服务供门诊自助打印系统调用返回打印状态。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3.4.3.13电子病历五级评级配合</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需配合评审针对已完成的各项接口进行微调测试</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需配合信息化评级进行病理系统部分功能调整升级</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实施工程师评审前需配合提供评审质量文档、截图、数据整理等需求</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实施工程师评审需远程或现场保障。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3.4.4数字病理影像平台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支持在病理科诊断环节，配备高清双屏数字阅片工作站。</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支持根据实际需求与已经建设好的病理质控与资料管理系统无缝对接。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字病理影像平台需由3台病理网络中央服务器和1套分布式存储系统及病理科数字阅片管理系统构成。平台需配置3台机架式服务器，其中一台服务器用于安装应用软件，一台用于部署数据库服务，一台用于数字切片图像解析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病理科诊断室各报告工作站软件需进行升级，同时各工作站需配备双屏显示器，部署病理图像储存查看软件。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现有病理质控与资料管理系统需进行整体升级，融合数字病理影像平台病例管理软件，结合病理信息系统的责任医生分配模块，进行数字阅片任务综合管理，实现基于数字切片的定向复片、多级复片体系。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支持提供精确、全面的统计工具。</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数字阅片任务综合管理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支持结合病理信息系统的责任医生分配模块。</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阅片病例信息的统一管理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支持医生在进行数字阅片时，可通过系统方便查阅病人基本信息、临床病史信息、肉眼所见及取材明细、完整的切片列表及病理检查申请单信息。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数字切片图像的统一管理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支持从数字切片扫描系统获取并解析数字切片文件，将数字切片文件按照切片条码号自动归档到病理系统中与对应病例进行统一存储管理，通过分布存储系统实现大规模扩展与易管理性的统一。</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切片扫描设备的统一管理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支持主流厂商设备扫描的数字病理切片格式，通过将不同厂商的数字切片进行整合，实现统一的数字切片浏览。</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数字切片图像统一浏览及编辑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支持截取病理数字切片部分图像或全屏图像，也可对数字切片图像进行测量及标注。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支持截取病理数字切片部分图像的功能，也支持快捷截取屏幕全屏，截取的图片可下载或删除。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支持选择截图作为病理图文报告的图像部分用于病理报告发放。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支持同一个病例列出多个数字切片，并能实时切换显示。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提供矩形、圆形、椭圆、多边形、曲线、测量距离、定点等多种方式标注切片并支持再查看、修改和删除。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支持通过切片标注功能，实时测量切片某个区域的大小或长度。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支持将页面上的比例尺、缩放、方向键、标注、缩略图隐藏或者显示。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支持图像调节功能，可根据显示图像的效果调整图像的颜色、亮度、对比度、伽马值。</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支持使用1:1模式，快速以最大扫描倍数打开数字切片。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数字切片浏览界面与病理诊断录入界面支持在同一个界面实现。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支持提取病理数字切片缩略图、标签图、概览图，并能通过缩略图导航查看切片。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支持使用1:1模式，快速以最大扫描倍数打开数字切片。</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基于数字切片的“定向复片”体系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系统需提供基于数字切片的定向复片、多级复片功能，初诊意见和复片意见单独保存备查，上级医生可对初诊意见及前一级复片意见进行结果评价。</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精确、全面的统计工具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系统需采用高清双屏工作站进行数字阅片，真实、精确记录医师数字阅片过程的原始信息。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系统支持从用户工作量维度和样本TAT工作时间维度两个方面提供精确、全面的统计报表工具。</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质控管理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系统支持对上传后的数字切片图像进行图像质控，图像质控通过后方可进行阅片，如质控未通过，可提示技术员重新扫描并重新上传。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系统需提供指定条件的随机抽查，抽查后可查看对应的数字切片文件并对诊断结果进行质控抽查。</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亚专科及WHO分类管理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支持根据肿瘤疾病分类维护对应的亚专科分类和WHO病名分类及对应的ICD0编码。后期可根据编码检索。</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诊断标注及统计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系统需提供诊断标注功能，由具有权限的医生对数字切片的图像进行诊断标注并设置对应标注区域的标签，诊断标注标签可供其他拥有查看权限的医生调阅和查看。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3.4.5病理会诊平台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支持与各协同医院的病理信息系统及数字切片扫描系统进行连接。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平台需由3台中心平台服务器、多台不同用途数量的工作站构成。需配置3台机架式服务器，其中一台服务器用于安装应用软件，一台用于部署数据库服务，一台用于存储和调阅数字切片图像。需在机房服务器配备1套平台管理模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支持多层次权限设置，对不同用户的功能访问权限精确控制，并支持灵活的角色层级管理。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支持基础字典数据管理，灵活处理数据增减修改，配置字典编码生成规则，支持设置系统级参数。支持构建机构层级体系，精准控制报告与敏感数据的浏览范围，并通过特殊规则满足跨机构信息调阅需求。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支持实时监控平台运行，记录敏感操作日志，管理数据上传下载记录，为系统审计和安全追溯提供支持。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需提供1套阅片申请及样本送检模块（可支持≤15个客户端），每家二级医院或社康中心需配备1套。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需通过全自动数字切片扫描仪扫描切片上传至病理协同平台。该工作站需配备的通用硬件有工作站电脑、条码扫描枪、高拍仪。</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对于各专家需分别配备1套专家阅片模块（需支持≤10个客户端）。专家端审核后的疑难病例诊断报告，诊断中心相关医生支持进行下载打印。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区域医疗中心在区域协同平台样本接收处需配备1台样本签收工作站、1套样本签收工作站软件、1台条码扫描枪及1台高拍仪。</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支持通过定制协同医院HIS系统接口软件（需支持≤15个客户端），实现病理会诊平台系统可从协同医院HIS系统中提取患者相关信息，诊断中心发布会诊报告后，病理会诊平台需回传病理报告至协同医院HIS系统中。</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3.5区域预约资源中心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支持整合区域内医疗机构的床位、门诊号源、体检数据等核心资源。支持通过智能分配与实时监控，优化资源配置效率。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支持向资源需求机构开放权限，医生可根据患者需求直接线上预约资源提供机构资源。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支持通过智能分配与实时监控，优化资源配置效率。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3.5.1资源预约中心架构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需基于区域医疗平台，整合区域内所有资源提供机构的门诊号源等核心医疗资源，构建统一数据标准，统一资源管理、统一服务途径、在线实时预约、动态调配及数据分析平台。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3.5.2资源集成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支持各资源提供机构（包含基层医疗机构、二三级医院及区域医疗机构）进行资源注册。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支持区域内各级各类资源需求机构，发起资源预约申请，由资源提供机构审核后完成资源预约。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支持通过系统配置，实现多层级预约、上下级双向预约、跨区域医疗预约等多种预约模式。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3.5.2.1统一入口管理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支持面向区域内所有资源需求机构开放权限，对接并无缝嵌入其HIS系统。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支持在诊疗过程中，以统一弹窗形式，便捷进入区域资源预约中心，提供各类资源预约统一标准化服务。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支持医生根据患者需求直接线上预约资源提供机构资源，避免患者重复奔波。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支持通过智能分配与实时监控，优化资源配置效率，缓解资源分布不均与供需矛盾，减少患者等待时间，提升医疗服务的公平性、可及性及整体满意度。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支持以页面单点集成模式，扩展集成区域内其他各类可预约的医疗资源，实现对后续各类扩展的医疗资源预约入口、查询入口的统一集成及统一管理。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3.5.2.2门诊号源集成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支持通过标准API接口对接资源提供机构的业务系统，实时获取和更新各科室的门诊号源资源，获取科室、排班、号序段等信息，并将辖区内所获取到的所有门诊号源资源进行整合。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3.5.3体检预约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支持对团体的预约体检信息进行管理及查询。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支持对团体成员自动智能分组，支持批量设置团体成员的预约体检信息。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支持对团体成员的体检项目详情，进行查阅、修改操作。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3.5.3.1管理团体基本信息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支持为单位建立体检档案，登记单位基本信息和体检时间。</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支持登记管理体检单位信息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3.5.3.2管理团体成员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支持在系统界面，手动输入团体成员信息，也支持从本地导入。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3.5.3.3自定义智能分组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支持根据团体成员自身性质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支持单位多次体检时，支持单位档案号和人员的体检号保持唯一。</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当单位团体多次预约体检时，支持继承上一次的体检分组和体检组合。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3.5.3.4设置体检人员基本详情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支持对团体成员的基本信息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3.5.3.5个性化体检项目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支持为不同的分组设定费用定额，在体检登记时可以根据客人的要求增加自费项目。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若个人还需设置一些个性化的体检套餐/项目，支持制定新的体检项目或减去没有进行的体检项目。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3.5.3.6管理团体体检详情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支持根据检索条件，日期范围，单位名称等，智能搜索体检单位。</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团体成员信息支持以列表方式清晰直观呈现，可查看其体检项目，也可对其体检详情进行修改。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3.5.3.7自动打印导检单或标签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系统后台设置，支持自动打印体检人员的体检指引单和相关的条形码标签，打印单位预约分配表和体检报价表。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支持团体的上门预约、电话预约信息。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支持手动输入以及Excel文件批量导入功能，导入数据支持按姓名、身份证号、电话号码等综合条件自动识别同一个。</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3.5.4门诊号源预约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支持集中统筹区域内医疗机构门诊号源信息，并向资源需求机构开放权限。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支持患者就诊时，医生根据病情需求，直接通过系统为其预约资源提供机构相应科室或专家的门诊号源。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3.5.4.1号源业务流程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患者就诊时，支持资源需求机构的门诊医生，按需主动打开并进入门诊号源预约子系统。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支持系统获取患者本次就诊的基本信息。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支持资源需求机构的门诊医生，选择预约医院、预约科室、预约日期、预约医生及就诊时间段，确认预约信息后提交预约。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支持资源提供机构His系统，自动判断当前患者的建档状态并按需自动完成建档。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支持建档后自动完成预约，并返回预约结果至门诊号源预约子系统。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支持患者在预约就诊当日，持有效证件到院签到、缴费后就诊。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支持资源需求机构，在预约提交后，医生可按需选择取消本人已提交的预约信息。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3.5.4.2号源预约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支持为资源需求机构医生提供可预约门诊号源查询服务</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支持资源需求机构医生选择目标医疗机构排班情况</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预约完成后，支持患者在就诊当日到目标预约医疗机构就诊。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3.5.4.3取消预约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支持申请医生取消患者尚未就诊的门诊号源预约申请。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3.5.4.4门诊号源预约查询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支持资源需求机构医生查询本人发起的门诊号源预约申请记录，通过列表展示预约详细信息。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3.5.4.5号源预约接口</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资源（号源）需求方对接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支持与资源（号源）需求方业务系统对接</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资源（号源）提供方对接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支持与资源（号源）提供方业务系统对接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3.6双向转诊中心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3.6.1转诊申请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支持医生在诊疗过程中发起申请。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支持系统与院内HIS系统门诊医生工作站进行对接，当医生在诊疗过程中发起申请时，系统可从HIS系统获取患者相关信息并自动填写申请单，医生可进行确认、修改。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3.6.1.1门诊转诊申请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支持从HIS系统中代入患者姓名、性别、身份证号、住址等基本信息和本次诊疗的主诉、现病史、诊断等诊疗信息。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支持根据转诊的实际情况录入转诊原因，转入机构、转入科室、期望转入日期等转诊信息。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提交转诊申请后，支持对转诊单进行打印。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3.6.1.2住院转诊申请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支持从HIS系统获取患者姓名、性别、身份证号，住址等基本信息和本次诊疗的主诉、现病史、诊断等诊疗信息。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支持获取转诊信息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提交转诊申请后，支持对转诊单进行打印。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3.6.1.3转诊预约</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号源预约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支持预约转入的机构、转入科室、转入日期和医生信息。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支持与区域号源预约数据接口或者预约系统进行对接。</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床位预约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支持预约转入的机构、转入科室、转入日期、医生、病区和床位信息。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支持与区域床位预约数据接口或者预约系统进行对接。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3.6.2我的转诊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3.6.2.1申请记录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支持医生查看所提交的历史转诊申请记录。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支持点击单条申请记录可以查看转诊单详情和流程节点。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为方便医生更好地跟踪转诊单，支持取消转诊申请。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3.6.2.2接诊管理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支持医生查看所提交的历史接诊记录。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支持点击单条申请记录查看接诊详情和流程状态，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3.6.2.3转诊跟踪</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支持转诊操作流程全链路审计追踪。</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支持系统完整记录转诊申请、审核、接诊等各个环节的操作人、操作时间和操作内容。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支持在转诊单上显示目前转诊单的状态以及每一步的节点。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支持医生和管理员一站式、清晰地追踪每一笔转诊申请的完整状态。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3.6.3转诊审核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支持审核医生对本机构/本区域医生发起的转出申请或者转入到本机构/本区域的转诊单进行审核，审核转入的科室、医生信息和转诊原因信息。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3.6.3.1转入审核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支持审核医生对于本机构转入的转诊单进行审核，审核完成则进入已审核列表中，未审核则在待审核列表中。</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支持按照患者信息、转诊类型、申请日期检索转诊单。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支持点击列表中的审核按钮开始审核，审核通过进入下一步转诊流程，审核不通过则需要填写不通过的理由。</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支持点击查看按钮可以查看转诊单详情，点击打印按钮可以打印转诊单。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3.6.3.2转出审核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支持审核医生对本机构转出的转诊单进行审核，审核完成则进入已审核列表中，未审核则在待审核列表中。</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支持按照患者信息、转诊类型、申请日期检索转诊单。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支持点击列表中的审核按钮开始审核，审核通过则进入下一步转诊流程，审核不通过则需要填写不通过的理由。</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支持点击查看按钮可以查看转诊单详情，点击打印按钮可以打印转诊单。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3.6.3.3全区审核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支持区域医疗牵头机构管理人员对区域医疗内所有的转诊单进行审核，审核区域医疗内机构转出的转诊申请单。审核完成会进入已审核列表中，审核不通过会在待审核列表中。</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支持按照患者信息、转诊类型、申请日期检索转诊单。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支持点击列表中的审核按钮开始审核，审核通过进入下一步转诊流程，审核不通过则需要填写不通过的理由。</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支持点击查看按钮可以查看转诊单详情，点击打印按钮可以打印转诊单。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3.6.4报表统计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3.6.4.1转出统计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支持统计本机构在一定时间内的转出人次，包括门诊转出和住院转出人次。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支持按照转出机构、转入机构名称、转诊类型和申请日期进行统计。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支持统计门诊转出人次、住院转出人次、转出总人次、转出接诊人次和接诊率，点击单个指标数字可以查看转出明细信息。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支持查看具体转出人员信息和接诊状态，点击详情可以查看转诊单详细信息。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3.6.4.2转入统计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支持统计本机构在一定时间内的转入人次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支持按照转出机构、转入机构名称、转诊类型和申请日期进行统计。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支持统计门诊转入人次、住院转入人次、转入总人次、转入接诊人次和接诊率，点击单个指标数字可以查看转出明细信息。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支持查看具体转出人员信息和接诊状态，点击详情可以查看转诊单详细信息。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3.6.5转诊提醒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3.6.5.1待审核提醒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支持审核医生登录转诊系统时，如有新的转诊单需要审核会有待审核提醒。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3.6.5.2待接诊提醒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支持医生登录转诊系统时，如有新的转诊单需要接诊会有待接诊提醒。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支持与协同客户端进行对接，会通过短信或协同客户端消息提醒的方式，通知接诊医生进行接诊。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3.6.6转诊接口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3.6.6.1页面集成接口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支持与医院业务系统对接，实现医护人员在医生站访问转诊系统。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3.6.6.2转诊预约接口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支持与医疗机构信息系统对接，实现医生转诊的时候可以预约号源信息。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3.7远程会诊中心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3.7.1远程门诊专栏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3.7.1.1远程门诊首页</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支持整合远程门诊预约、候诊查询、门诊信息、预约记录等远程门诊相关业务入口，形成远程门诊首页门户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提供远程门诊业务快捷入口，支持直观展示远程门诊业务模块。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支持就诊卡片提醒，直观提醒患者按时就诊，避免患者错过预约，耽误病情诊断并造成资源浪费。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3.7.1.2远程门诊预约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需提供线上预约远程门诊诊疗服务，支持用户通过远程门诊预约模块预约远程专家门诊就诊服务。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支持用户查看远程门诊服务中心近期有排班的专家信息，根据就诊需求选择医生、就诊日期选择、时间点选择、就诊机构选择、就诊诊室选择、确认预约六步完成在线预约远程门诊服务。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针对预约资源多、查询困难问题，支持面向用户提供根据医院、科室及就诊日期筛选医生功能。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预约远程门诊过程中，支持面向用户提供资料补充渠道。例如在挂号时，患者有需要补充的资料希望专家重点关注的，可在确认预约页以图片的形式补充上传资料。</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3.7.1.3候诊查询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支持患者挂号成功后，通过专家远程门诊的候诊查询业务快捷入口，查看远程门诊平台产生的待诊记录，以及各记录下的候诊排队情况、当前就诊号次等。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支持患者根据候诊排队情况，临近就诊时，再前往指定远程门诊室进行候诊。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3.7.1.4门诊信息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支持患者自行调阅远程门诊平台产生的历史远程门诊记录。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支持调阅专家远程门诊就诊时产生的门诊报告。展示内容需包含：就诊科室信息、医生信息、诊断信息、就诊时间等就诊信息以及药品名称、服用指导（用法、用量）等处方信息。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3.7.1.5预约记录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支持患者自行调阅远程门诊平台产生的历史预约记录，支持查看详细的预约信息。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支持历史预约记录根据就诊状态进行分类，划分为：已预约、已取消、已作废、已完成四种历史记录。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支持患者通过就诊状态进行筛选记录，查看预约信息。展示内容需包含：就诊机构、就诊科室、就诊诊室、医生信息、就诊时间等预约信息。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已预约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支持患者选择已预约的记录进行取消预约、查看候诊队列、补充上传资料等。</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已取消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患者取消预约成功后，支持预约记录状态自动从已预约切换为已取消。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支持释放号源资源并关闭取消预约、查看候诊队列、补充上传资料等通道。</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已作废</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逾期未到院就诊的预约记录</w:t>
      </w:r>
      <w:r>
        <w:rPr>
          <w:rFonts w:hint="eastAsia" w:ascii="宋体" w:hAnsi="宋体" w:cs="宋体"/>
          <w:color w:val="auto"/>
          <w:sz w:val="21"/>
          <w:szCs w:val="21"/>
          <w:highlight w:val="none"/>
          <w:lang w:eastAsia="zh-CN"/>
        </w:rPr>
        <w:t xml:space="preserve">；</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已完成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已经完成挂号就诊的记录。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3.7.2医院HIS系统改造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远程门诊服务平台需提供web端“号源预约”页面，挂载在HIS的门诊收费处。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3.7.2.1号源预约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在基层医院的挂号窗口，向窗口医生出示医保卡或电子医保凭证，由窗口医生根据患者需求选择远程门诊医生、日期、时间点、就诊诊室等资源，协助患者进行远程专家门诊号源的预约以及挂号结算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支持已经预约远程专家门诊服务的患者，在就诊当天前往就诊医院的挂号窗口，向窗口医生出示医保卡或电子医保凭证，进行远程专家</w:t>
      </w:r>
      <w:r>
        <w:rPr>
          <w:rFonts w:hint="eastAsia" w:ascii="宋体" w:hAnsi="宋体" w:cs="宋体"/>
          <w:color w:val="auto"/>
          <w:sz w:val="21"/>
          <w:szCs w:val="21"/>
          <w:highlight w:val="none"/>
          <w:lang w:eastAsia="zh-CN"/>
        </w:rPr>
        <w:t xml:space="preserve">门诊</w:t>
      </w:r>
      <w:r>
        <w:rPr>
          <w:rFonts w:hint="eastAsia" w:ascii="宋体" w:hAnsi="宋体" w:cs="宋体"/>
          <w:color w:val="auto"/>
          <w:sz w:val="21"/>
          <w:szCs w:val="21"/>
          <w:highlight w:val="none"/>
        </w:rPr>
        <w:t xml:space="preserve">的挂号结算服务。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3.7.3上级医生处置端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支持依托专线音视频技术，整合并呈现患者全维度健康信息，共享给专家远程进行调阅，为专家提供全面、深入的诊断与决策支持。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支持病历书写、远程处置开方等能力，支持实现双向回写机制，远程诊疗结果自动回传至源系统、诊疗状态实时同步更新等，确保诊疗闭环可追溯。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3.7.3.1门户首页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支持汇聚并展示线下挂号成功的患者信息列表，支持集成全景患者视图，遵循患者挂号的时间顺序，自动生成并实时更新可视化候诊队列。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支持展示医生排班信息、号源统计数据等，赋能精准时间规划。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支持医生筛选/选中患者信息，对患者进行接诊/退诊等操作，从而处理全流程的医疗诊疗事务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3.7.3.2健康状况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支持在医生接诊患者时，提炼患者零散的健康档案与医疗数据，整合并呈现患者全维度健康信息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体征信息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支持展示当前接诊患者最新的体征信息。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健康档案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支持点击“健康档案”按钮，自动唤起健康档案浏览器，并进入到当前选中/接诊的患者的电子健康档案。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3.7.3.3补充资料调阅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支持展示用户在预约远程门诊时用户以照片的形式补充上传的重点病情资料。</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专家在接诊时，支持通过补充资料快捷功能入口调阅这部分患者希望专家重点关注的资料。</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3.7.3.4在线看诊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支持面向医生提供创建与记录电子病历信息功能。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支持上级专家远程对患者远程进行问诊处置时，通过该功能可完整记录本次就诊信息。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支持通过规范采集主诉、现病史、既往史等核心要素，实现病况统筹与精准诊断，确保诊疗过程可追溯、可评估，符合医疗质量管控要求，最终形成从诊疗记录到质量监控的完整闭环。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门诊病历书写</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支持医生记录患者的主诉信息等。</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诊断书写</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支持医生根据看诊情况输入诊断的名称/首拼进行检索诊断字典，可鼠标滚动选中或快捷键操作选中，添加诊断结果。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自动保存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支持医生书写过程中实时自动保存病历书。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3.7.3.5视频问诊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支持在远程诊疗过程中，通过视频问诊，开展医患面对面的有效沟通，在视频中可实时获取到患者面部神情、个人健康状态等信息。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支持搭建内外网双通的视频组件，建立安全、流畅的音视频通讯道。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支持将视频组件内置嵌入医院的医生工作站，通过视频组件连接远程门诊室处置候诊系统的音视频通讯道，实现医生与患者跨物理空间的面对面交流。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支持医生接诊患者时，自动向患者所在远程门诊室的处置候诊系统发起视频通话请求。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3.7.3.6药品目录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支持在远程开方过程中，面向上级坐诊专家提供药品目录调阅功能。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支持在医生开方时，根据所选择的处方类型和处方分类，动态过滤出（获取）当前接诊患者所在机构药房的药品信息，并生成药房目录供医生调阅。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支持处方流转至基层就诊机构时，基层机构药房有相匹配、充足的药品供患者现场结算取药。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3.7.3.7远程开方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支持在就诊过程中实现医生远程开具处方单。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处方中的药品需根据患者所就诊机构的药房实时更新药品目录及库存数据。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当医生开方完毕后，系统支持自动与患者所就诊机构的药房开展处方信息交互，患者在当前就诊机构即可直接结算并领取药品。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支持医生开具一张/多张处方单。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支持每张处方单可以包含一种/多种药品信息。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支持医生筛选/选择每张处方针对的处方诊断。</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支持开具药品时检索药品库存等。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支持医生输入药品的名称/首拼进行检索药事字典。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支持切换处方分类，不同的处方分类，对应不同的药品目录。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3.7.3.8消息提醒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支持系统通过语音播报主动向诊室内协助的医护人员推送关键提醒。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支持根据接诊状态智能启停播报。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支持新增时，语音播报提醒新增待诊信息并自动更新待诊患者列表。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为确保信息有效传达，支持医生停留在首页界面，且有待诊患者数据时，系统自动启动语音循环播报。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播报逻辑支持按系统挂号的先后顺序，依次语音播报所有未接诊患者的信息。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诊中智能暂停功能。当系统监测到上级专家的状态变为“诊中”（即开始接诊当前患者）时，所有循环播报及新增挂号播报需自动暂停。待当前接诊结束后，系统支持根据接诊状态的变化，自动恢复后续的提醒与播报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3.7.4基层诊室候诊端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支持远程门诊室内协助的医护人员根据候诊队列中上级专家的接诊情况，引导患者进入远程门诊室就诊。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支持用户患者进入远程门诊室就诊后，与上级专家连通语音视频通讯进行远程通话问诊。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3.7.4.1候诊队列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支持根据排班管理系统的排班数据，展示当前诊室服务的上级专家的待诊列表，远程门诊室内协助的医护人员可根据候诊队列中上级专家的接诊情况，引导患者进入远程门诊室就诊。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支持候诊队列根据上级专家的接诊情况，实时刷新队列数据，重点提示上级专家的当前接诊患者信息以及下一位患者的信息。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3.7.4.2诊疗信息同步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支持医生诊毕后，自动整合诊疗过程中生成的电子病历、处方明细、沟通记录文件等信息，生成本次就诊报告。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3.7.4.3视频通讯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系统需嵌入视频组件，通过连通医生处置站的音视频通讯道，实现医生与患者跨物理空间的面对面交流。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支持在远程诊疗过程中，患者与医生建立视频通讯沟通沟通病情时，实时看到医生的工作神情、态度。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支持医生在视频中实时获取到患者面部神情、个人健康状态等信息，还原线下诊疗的“现场感”。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支持上级专家接诊本机构患者时，响应上级专家发起的视频通话请求。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3.7.5后台管理系统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3.7.5.1基础管理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该模块需包含机构管理、科室管理、机构人员管理、角色权限配置等功能。</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机构管理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支持机构主体新增、删除、机构信息维护、机构服务配置等功能。</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机构资源管理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支持机构管理员对本机构的科室、人员等资源进行管理。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支持新增、维护、删除科室、科室服务配置、科室医生关联。</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支持新增、维护、删除人员信息、同步人员后台管理账号。</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诊室管理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支持对远程门诊室进行新增、删除、远程门诊室信息维护等操作。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角色权限配置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支持根据人员角色进行配置综合管理其对应的服务权限。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3.7.5.2字典管理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该模块需包含诊断字典管理、给药途径字典管理、给药频次字典管理、处方分类等功能。</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诊断字典管理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支持对各机构的诊断字典进行新增、删除、导入、启停、一键导入等管理。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用药方式字典管理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支持对给药频次字典、给药途径字典进行管理。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支持新增、维护、删除给药频次，支持根据机构主体，进行单机构个性化定制给药频次字典管理。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支持新增、维护、删除给药途径，支持根据机构主体，进行单机构个性化定制给药途径字典管理。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处方分类管理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支持进行新增、删除、新增、维护、删除处方分类等综合性操作，支持根据机构主体，进行单机构个性化定制给处方分类管理。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3.7.5.3排班设置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排班设置是远程门诊运行的核心节点，该模块需包含班次设置、诊室排班管理、专家排班管理等功能。</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班次设置管理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支持机构主体新增、删除、班次信息维护、班次启停等时令基本信息的配置。</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专家排班管理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支持对专家进行远程排班管理。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支持新增、编辑和停诊。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支持一个排班关联多个分点。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支持编辑排班信息中的服务信息、挂号费等信息。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支持编辑号源信息。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支持加号、停号、设置号源是否可预约等操作。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支持设置排班计划，自动生成排班数据。</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诊室排班管理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支持对基层医生设置诊室排班，用于</w:t>
      </w:r>
      <w:r>
        <w:rPr>
          <w:rFonts w:hint="eastAsia" w:ascii="宋体" w:hAnsi="宋体" w:cs="宋体"/>
          <w:color w:val="auto"/>
          <w:sz w:val="21"/>
          <w:szCs w:val="21"/>
          <w:highlight w:val="none"/>
          <w:lang w:eastAsia="zh-CN"/>
        </w:rPr>
        <w:t xml:space="preserve">登录</w:t>
      </w:r>
      <w:r>
        <w:rPr>
          <w:rFonts w:hint="eastAsia" w:ascii="宋体" w:hAnsi="宋体" w:cs="宋体"/>
          <w:color w:val="auto"/>
          <w:sz w:val="21"/>
          <w:szCs w:val="21"/>
          <w:highlight w:val="none"/>
        </w:rPr>
        <w:t xml:space="preserve">基层诊室候诊端。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支持新增排班、删除排班、编辑排班等操作。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3.7.5.4统计分析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需建立全面数据分析支撑平台，对数据进行统计分析，既满足医疗机构内部业务的统计分析，也满足卫生管理部门对医疗卫生机构的分析监督管理。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统计字段需包含：预约量、挂号量、挂号收费金额、处方开具情况等。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3.7.6系统对接集成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3.7.6.1平台接口开发与his集成对接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支持开发医生预约信息推送、门诊数据推送、处方信息推送、药房库存查询等接口服务。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患者通过专家远程门诊预约远程门诊号源后，平台支持自动将患者的预约信息推送上传至患者对应的基层服务站点HIS系统中。</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医生处置站远程开方时支持调用平台的药房库存查询接口，将患者所就诊的基层服务站点的药品库存信息读取至工作台，供医生远程开方使用。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医生利用医生处置站完成对患者的问诊后，平台支持自动集成本次问诊的挂号信息、门诊信息、处方信息等诊疗数据，支持通过接口对接对应的HIS系统，确保诊疗数据的完整性。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3.8区域审方中心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3.8.1部署模式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系统需采用集中部署、分级协同的架构模式，以区域审方中心为核心枢纽，通过卫生专线连接区域内所有医疗机构。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3.8.2区域审方中心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医生开具药物处方（医嘱）后，平台支持基于统一规则库，立即进行智能审查，并提示不合理用药问题，医生自查后可返回修改或提请药师审核。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若医生提请药师审核，平台支持将提请审核的处方（医嘱）传入区域审方中心，由审方中心药师进行人工复核。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审查过程中，药师支持就处方（医嘱）的用药问题与开嘱医生实时互动沟通，直到处方（医嘱）通过审查，进入处方（医嘱）管理流程的下一环节，实现事前审方干预效果。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3.8.3区域质控中心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支持基于区域平台标准化系统点评规则，平台可对区域内医疗机构进行全量处方或医嘱的自动点评，也可由点评中心药师定期抽取处方点评。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点评完成后，支持药师将点评结果反馈给相应的医生，医生可对药师的点评结果进行确认或申诉，并最终由药师审结任务。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3.8.4区域监控中心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全区不合理用药问题，包括门诊/住院系统审查问题类型、门诊/住院系统审查问题严重程度、医疗机构问题数量排名。</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全区药师审方干预情况</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全区处方点评情况</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全区重点用药指标情况，包括医疗机构</w:t>
      </w:r>
      <w:r>
        <w:rPr>
          <w:rFonts w:hint="eastAsia" w:ascii="宋体" w:hAnsi="宋体" w:cs="宋体"/>
          <w:color w:val="auto"/>
          <w:sz w:val="21"/>
          <w:szCs w:val="21"/>
          <w:highlight w:val="none"/>
          <w:lang w:eastAsia="zh-CN"/>
        </w:rPr>
        <w:t xml:space="preserve">抗菌药物</w:t>
      </w:r>
      <w:r>
        <w:rPr>
          <w:rFonts w:hint="eastAsia" w:ascii="宋体" w:hAnsi="宋体" w:cs="宋体"/>
          <w:color w:val="auto"/>
          <w:sz w:val="21"/>
          <w:szCs w:val="21"/>
          <w:highlight w:val="none"/>
        </w:rPr>
        <w:t xml:space="preserve">使用指标、医疗机构基本药物使用指标、中药饮片使用指标。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3.9慢病防治中心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3.9.1专项疾病管理应用平台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3.9.1.1管理平台（PC端）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3.9.1.1.1监测知识库管理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系统需提供疾病筛查的异常条件的判断范围以及分层危险级别判断条件，同时通过知识库支撑筛查规则设置，实现疾病患者诊断标准、异常界值预警及其他自定义配置。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系统需包括监测规则设置和标准值域管理。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监测规则设置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支持查询、编辑、查看专项疾病的监测规则内容</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支持新增专项疾病的监测规则</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支持批量删除设置完成的监测规则。</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标准值域管理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系统需提供数据标准化工具对疾病指标在不同机构进行</w:t>
      </w:r>
      <w:r>
        <w:rPr>
          <w:rFonts w:hint="eastAsia" w:ascii="宋体" w:hAnsi="宋体" w:cs="宋体"/>
          <w:color w:val="auto"/>
          <w:sz w:val="21"/>
          <w:szCs w:val="21"/>
          <w:highlight w:val="none"/>
          <w:lang w:eastAsia="zh-CN"/>
        </w:rPr>
        <w:t xml:space="preserve">标准</w:t>
      </w:r>
      <w:r>
        <w:rPr>
          <w:rFonts w:hint="eastAsia" w:ascii="宋体" w:hAnsi="宋体" w:cs="宋体"/>
          <w:color w:val="auto"/>
          <w:sz w:val="21"/>
          <w:szCs w:val="21"/>
          <w:highlight w:val="none"/>
        </w:rPr>
        <w:t xml:space="preserve">化归一处理。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支持查询、查看标准化处理的结果。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支持多类型指标的新增、匹配、启停、维护等操作。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支持本地EXCEL文件导入指标的功能，方便医疗机构录入本院的指标信息。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3.9.1.1.2疾病监测预警管理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基于区域医疗卫生业务系统数据，支持根据自定义配置的监测规则和设定的任务调度规则，监测获取疾病疑似人群，并提供管理工具，对疑似人群进行下发到机构的操作，以完成疑似人群进行临床诊治，诊治完成的患者需分级展示。</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监测任务调度管理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支持疾病监测任务自定义配置调度功能。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支持查询各疾病设定的调度任务，从而实现资源合理调度。</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疾病疑似人群管理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支持疑似人群概况统计展示，并支持查看疑似人群列表。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支持在疑似人群列表中根据关键词或条件查询目标疑似人群或者疑似个案信息。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支持查询结果导出功能，并可查看历史导出记录。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支持对疑似人群下发到分院机构的功能。</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疾病分层人群管理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支持确诊风险人群概况统计展示，并支持查看风险分层人群列表。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支持在风险分层人群列表中根据关键词或条件查询目标风险分层人群或者个案信息。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支持查询结果导出功能，并可查看历史导出记录。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需提供AI预分级工具，根据分层规则对确诊风险人群进行预分级，以供责任医生引用。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3.9.1.1.3全专融合团队管理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支持维护专科医生列表和自定义组建团队。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全专融合团队管理需包括专科医生管理和团队管理。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专科医生管理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支持根据医院来添加专科医生的功能。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支持本地文件导入医院信息和医生团队信息来新增医院和新增医生。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支持查询、删除、编辑医院和医生。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支持对医生在系统中担任的角色的配置。</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团队管理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支持自定义创建新增团队，包括创建团队信息、添加成员等功能。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支持查询团队的信息。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支持删除、编辑团队的信息。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3.9.1.1.4联合评估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支持可视化展示联合评估全程管理状态，医生方便获取需要处理的事务以及下一步需要完成的事务。</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管理机构待分配</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支持用户查询待下发到管理机构的人员列表，并可对目标人员下发到管理机构的操作。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责任医生待分配</w:t>
      </w:r>
      <w:r/>
    </w:p>
    <w:p>
      <w:pPr>
        <w:ind w:firstLine="420"/>
        <w:spacing w:line="440" w:lineRule="exact"/>
        <w:tabs>
          <w:tab w:val="left" w:pos="420" w:leader="none"/>
        </w:tabs>
        <w:rPr>
          <w:rFonts w:hint="eastAsia"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rPr>
        <w:t xml:space="preserve">支持查询待下发到责任医生/管理团队的人员列表，对选中的目标人员提供数据下发操作功</w:t>
      </w:r>
      <w:r>
        <w:rPr>
          <w:rFonts w:hint="eastAsia" w:ascii="宋体" w:hAnsi="宋体" w:cs="宋体"/>
          <w:color w:val="auto"/>
          <w:sz w:val="21"/>
          <w:szCs w:val="21"/>
          <w:highlight w:val="none"/>
          <w:lang w:val="en-US" w:eastAsia="zh-CN"/>
        </w:rPr>
        <w:t xml:space="preserve">能。</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联合评估人员跟进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▲支持查询各筛查业务流程环节状态下的疑似人群列表，并且可以根据关键词、条件等在列表中查询目标疑似人员。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支持查看该人员的详细内容。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支持对查询结果导出，并查看导出的历史记录。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提供责任医生对疑似人群进行全流程的闭环管理工具。</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联合评估人员审核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支持审核状态快捷查询、以及关键词、条件查询基层医生发起的联合评估申请列表</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支持查看申请详情。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需提供专科医生审核操作功能。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3.9.1.1.5随访管理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支持提供确诊风险人群分级动态随访管理操作工具，。</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患者管理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支持按照分级类型展示患者列表，并可查看分级统计结果。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支持分级标签快速查询、以及关键词、条件查询确诊风险人群。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支持查看患者的详细内容，查看的详细内容需包括：年度随访分级及随访情况与计划、居民健康档案、疾病筛查档案、分级和随访表单内容信息，并且支持对这些表单进行编辑操作。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支持按EXCEL模板导入随访单、随访用药内容，并查看导入历史记录。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支持批量删除患者操作。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支持手动新增创建随访患者信息，即新增疾病专项档案。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支持在随访管理不理想情况下，调用双向转诊平台门诊预约号源接口，对患者进行向上转诊操作，并且等治疗稳定后，支持对患者进行向下转诊操作。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待分级列表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支持列表展示待分级处理事务，可通过查询、查看操作调阅列表中患者的详细信息。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支持针对随访管理过程中出现指标控制不理想、分级标签一年未调整、或者从未对患者进行分级管理的情况进行预警提醒，医生处理预警情况可进行重新分级、重新引入指标等操作。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待随访列表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支持列表展示待随访处理事务，可通过查询、查看调阅列表中待随访患者的详细信息。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支持自动采集随访数据、手工录入随访数据功能，医生可根据随访数据对本次随访情况进行评估，以完成本次随访计划。</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患者转诊接收列表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支持列表展示转诊患者信息。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支持跟踪患者转诊接收情况、查看患者转诊接收后的档案信息。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3.9.1.1.6查询统计</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疾病筛查管控情况统计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支持展示按区县、机构查询统计疾病筛查管控情况。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支持下钻查看数据详情操作。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支持查询结果导出，和下钻数据详情导出，并支持查看导出记录。</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疾病筛查分级统计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支持展示按区县、机构查询疾病筛查分级情况。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支持下钻查看数据详情操作。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疾病随访情况统计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支持展示按区县、机构查询疾病随访情况。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支持下钻查看数据详情操作。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疾病双向转诊统计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支持展示区县、机构查询疾病双向转诊情况，并支持下钻查看数据详情操作。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支持查询结果导出，和下钻数据详情导出，并查看导出记录。</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并发症统计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支持展示按区县查询随访过程中并发症数量统计值，并支持查看区县并发症详情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支持并发症编辑功能。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3.9.1.1.7预约管理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康复下转</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支持康复下转的患者查询、详情和下转进度查看。</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门诊预约上转管理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支持门诊预约上转的患者查询、详情和上转进度查看。</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住院预约上转管理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支持住院预约上转的患者查询、详情和上转进度查看。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3.9.1.1.8疾病档案抽样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支持提供按机构对疾病档案进行随机抽样审核管理工具，并汇成抽样统计报表，对疾病档案的质量进行监管。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3.9.1.1.9用户角色权限管理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支持自定义维护系统用户角色权限。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3.9.1.2AI专病辅助诊疗（PC端）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3.9.1.2.1专病知识库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支持辅助医生对疑似人群和确诊人群进行诊疗。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3.9.1.2.2护士助手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护士助手应用场景主要是诊前服务。</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挂号疑似疾病人员提醒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支持患者在门诊窗口挂号时候，护士助手调用疾病疑似人群查询接口，对窗口工作人员进行提醒，并予以重选挂号或者继续挂号操作。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挂号疾病确诊风险人员提醒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支持患者在门诊窗口挂号时候，护士助手调用疾病确诊风险人群查询接口，对窗口工作人员进行提醒，并予以重选挂号或者继续挂号操作。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诊前护士台疑似疾病人员建档提醒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支持患者到护士台报道时候，护士助手调用疾病疑似人群查询接口，对护士进行提醒，并可对未建立居民健康档案的患者进行建档操作。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诊前护士台疾病确诊风险人员随访提醒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支持患者到护士台报道时候，护士助手调用疾病待随访人群查询接口，对护士进行提醒，提醒护士对患者进行随访管理。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诊前护士台疾病随访管理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支持随访提醒后，护士直接进入查看该患者的随访计划内容，并完成诊前随访工作。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3.9.1.2.3医生助手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支持提供医生在诊疗室接诊场景下的疑似疾病人群和确诊风险人群的AI专病辅助诊疗服务。</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集成工作台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支持医生在院内系统上查看所属机构分配的疑似人群列表，按疾病管理流程节点展示各节点状态下的人群，并支持对其进行统计展示，提供各节点状态下对人群的管理工具。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支持查看所属机构随访管理的全部确诊风险人群列表，列表支持以卡片形式展示风险人群的基本信息、分级标签、正在随访的病种、随访计划、上次随访时间、复诊记录、各疾病随访结果等信息。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支持提供随访管理工具。</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AI专病辅助诊疗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支持医生在接诊患者时候，医生助手调用疾病疑似人群查询接口、疾病确诊风险人群查询接口，并进行弹窗提醒。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支持医生调阅疑似人群的基本信息、筛查原因、异常指标、疑似标签、健康画像等信息，基于知识库推荐引擎在诊中辅助医生完成疾病从筛查到诊治流程。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支持调阅查看风险人群的疾病专项档案、随访管理、健康画像等内容，提供随访过程中异常值预警、分级调整智能预警、随访计划提醒等内容。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支持基于知识库推荐引擎在诊中辅助医生完成疾病的随访计划内容。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支持医生助手与院内系统进行打通，直接完成门诊小结、电子病例、以及检验检查、处方的开单操作，避免医生重复操作。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健康画像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需包括患者基本信息、现有健康问题、管理计划、重要指标、异常指标预警、近期诊疗情况等内容。以全貌展示患者的健康信息，以供医生决策。</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3.9.1.3疾病管理（医生移动端）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3.9.1.3.1首页（工作台）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需展示家庭医生疾病管理的今日待办事项、处理待办事项入口、以及查看患者管理信息的入口。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3.9.1.3.2联合评估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支持疾病筛查业务在医生团队内部进行联合评估管理，并按照初筛疑似人群管理流程状态进行分类管理，并与管理平台信息实时同步。</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联合评估跟进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列表需展示医生管辖范围内的待跟进人员，支持医生查看待跟进人员的详细信息，也支持对待跟进人员进行操作，需包括记录跟进结果、关闭流程、排除等。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疾病管理支持调用转诊平台预约号源信息接口，支持给患者预约门诊，修改患者基本信息（地址信息）。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联合评估发起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列表需展示医生管辖范围内的待评估人员，支持医生查看待评估人员的详情，并可以进行发起联合评估操作，实现团队协作。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联合评估审核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列表需展示查医生发起联合评估待审核人员列表，支持查看待审核人员详情，并进行审核操作。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支持医生撤回发起联合评估功能。</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联合评估建档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列表需展示医生管辖范围内，联合评估审核完成后的待建档人员列表</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支持医生查看联合评估审核建议详细内容，能够创建疾病专项档案。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3.9.1.3.3疾病管理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用于疾病建档后对纳入管理的患者进行分级随访管理，支持新建疾病专项档案，并与管理平台信息实时同步。</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疾病管理卡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疾病管理卡支持查询家庭医生管辖范围内患者列表，并且按风险等级分类展示.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支持查看患者个人管理卡详情。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管理卡提供管理操作功能。</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患者分级管理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分级需展示查询家庭医生管辖范围内患者列表，并且可查看详情。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支持在风险分级类别下新增患者，即新增疾病专项档案。</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待随访管理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列表支持展示家庭医生管辖范围内待随访人员，并可查看详情。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在随访管理过程中，支持随访表单自动生成，也可以手工填报，支持根据随访表单数据，对异常指标进行预警提醒。患者的随访结果由医生审核随访表单予以判定。</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专病管理扩展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支持构建基于电子健康档案、区域医疗内诊疗数据等的智能化随访提醒系统，通过整合相关数据，为高血压、糖尿病、脑卒中患者建立动态随访数据库。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系统需依据临床指南预设各病种随访规则，自动计算下次随访日期，并在到期前3-7天通过多渠道触达患者，提醒内容需包含复诊项目、科室信息及预约链接。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支持医生端实时查看随访执行率与失访预警。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支持个性化调整随访周期。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3.9.1.3.4患者转诊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支持展示患者双向转诊的进度。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3.9.1.3.5远程问诊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对接远程会诊中心，支持展示远程问诊待接诊患者列表，医生可以查看问诊内容，以多种方式对患者提供诊疗意见。</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在线问诊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在线问诊支持查询待接诊列表。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支持视频、语音、图文接诊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支持视频、语音、图文传输诊疗意见。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支持在线调阅患者的档案信息、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支持查看接诊消息提示、问诊对话提示。</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健康宣教</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支持医生在线推送疾病宣教知识给患者，供患者阅读或者答题。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3.9.2专项疾病基础服务平台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3.9.2.1疾病专项数据库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支持搭建疾病数据中心，从各个业务系统汇集数据。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支持对区域内的慢病数据统一管理、统一采集、统一应用。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从全民健康信息平台、公共卫生信息系统、医院HIS等系统采集患者慢病数据，如：基础信息、体征信息、疾病史、检查检验指标、合并症、并发症、筛查记录、分级记录、随访记录、危险因素、遗传疾病、治疗目标、治疗策略、生活方式干预、用药情况、不良反应、禁忌症、人群分类、诊疗记录等患者慢病相关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支持将采集的数据进行标准化处理，支持统一标准进行管理。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3.9.2.2AI筛查模型</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大数据智能筛查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支持基于大数据分析技术与疾病筛查/监测知识库从疾病专项数据库中筛选疾病早期监测疑似人群名单。</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风险预测筛查模型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支持在疾病专项数据库的基础上采用自然语言处理、逻辑回归、随机森林、贝叶斯、极端梯度提升等多种人工智能算法进行处理分析，训练风险预测筛查模型，辅助早期慢性疾病筛查快速推进。</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疾病知识库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支持汇集疾病筛查知识、疾病诊疗知识、疾病随访管理知识、疾病健康管理知识、疾病分级规则等。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疾病筛查知识支持汇聚疾病患者的鉴别诊断、症状、危险因素、关键指标等信息，支持包含疾病筛查的异常条件的判断范围以及分层危险级别判断条件，支持通过知识库支撑筛查规则设置，实现疾病患者诊断标准、异常界值预警及其他自定义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疾病诊疗知识支持汇聚疾病诊断指南、临床检查、用药方案等信息，基于对患者下的诊断，支撑医生助手推荐对应的诊疗服务内容。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疾病随访管理知识支持涵盖疾病分级随访计划。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疾病健康管理知识支持汇聚疾病相关的运动处方、营养处方、科普教育内容，以支撑数字健康管理、患者端的个性化科普宣教。</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疾病分级规则支持根据疾病风险评估规则，实现对患者自动分析。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3.9.2.3业务系统对接</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现有HIS对接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支持对接门诊挂号，用于患者到院挂号时候，查询患者是否是疾病疑似/确诊人群，是否变更挂号科室或者继续挂号。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支持对接护士台，用于患者到护士台就诊报道的时候，查询是否是疾病疑似/确诊人群，护士可根据预警进行健康档案建档或诊前随访。</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支持医生工作平台嵌入诊中服务，用于辅助医生专病诊疗，并把门诊小结与HIS系统对接，信息同步到HIS，完成医生的诊疗工作。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现有公卫系统对接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支持调阅居民健康档案、慢病管理自动报卡、自动采集慢病数据等。</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对接数字家医改造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支持对接疾病管理（医生移动端）应用，以及用户体系对接。</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转诊平台对接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支持对接区域转诊平台预约资源，为患者一站式双向转诊服务，并可跟踪转诊进度。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3.9.3健康服务中心</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3.9.3.1出院随访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3.9.3.1.1系统管理</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机构管理</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支持医疗机构的新增、修改、删除等操作</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支持接入医疗机构通过接口注册上传机构信息至平台</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支持根据机构级别、医院等级进行查询检索，支持根据机构编码、机构名称进行检索定位。</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支持医院通过接口形式将注册机构信息上传至平台，支持变更信息同步上传至平台。</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标准科室管理</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支持标准科室新增功能</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支持对已存在科室进行基本信息修改以及状态启停设置</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w:t>
      </w:r>
      <w:r>
        <w:rPr>
          <w:rFonts w:hint="eastAsia" w:ascii="宋体" w:hAnsi="宋体" w:eastAsia="宋体" w:cs="宋体"/>
          <w:color w:val="auto"/>
          <w:sz w:val="21"/>
          <w:szCs w:val="21"/>
          <w:highlight w:val="none"/>
          <w:lang w:val="en-US" w:eastAsia="zh-CN"/>
        </w:rPr>
        <w:t xml:space="preserve">可按</w:t>
      </w:r>
      <w:r>
        <w:rPr>
          <w:rFonts w:hint="eastAsia" w:ascii="宋体" w:hAnsi="宋体" w:eastAsia="宋体" w:cs="宋体"/>
          <w:color w:val="auto"/>
          <w:sz w:val="21"/>
          <w:szCs w:val="21"/>
          <w:highlight w:val="none"/>
        </w:rPr>
        <w:t xml:space="preserve">名称进行查询检索，支持对查询条件的重置。</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组织科室管理</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支持组织科室新增、修改以及删除等操作</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支持组织科室同级新增以及子级新增、以及设置组织科室对应的标准科室</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支持对配置的标准科室进行修改操作</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支持对组织科室进行服务配置，添加或移出已配置服务</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支持按机构名称、科室类别、以及状态进行筛选，支持按科室名称进行检索定位。</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支持医院通过接口形式将组织科室信息上传至平台，支持变更信息同步上传至平台。</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机构医生管理</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支持医生信息新增、修改、删除等操作</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支持新增或编辑时设置组织科室以及配置挂号关联科室</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支持按机构级别、所属科室、状态以及是否允许登录进行医生筛选</w:t>
      </w:r>
      <w:r>
        <w:rPr>
          <w:rFonts w:hint="eastAsia" w:ascii="宋体" w:hAnsi="宋体" w:eastAsia="宋体" w:cs="宋体"/>
          <w:color w:val="auto"/>
          <w:sz w:val="21"/>
          <w:szCs w:val="21"/>
          <w:highlight w:val="none"/>
          <w:lang w:eastAsia="zh-CN"/>
        </w:rPr>
        <w:t xml:space="preserve">；</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支持按医生姓名进行检索定位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支持将医生信息同步到系统用户角色以及同步系统用户后查看账号信息、重置密码等操作。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支持医院通过接口形式将机构医生信息上传至平台，支持变更信息同步上传至平台。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3.9.3.1.2基础配置</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随访配置管理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支持按医院编号、医院名称进行检索。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支持维护医院的随访基础服务配置。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支持配置医院的自动制定随访计划。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支持配置医院的失访控制。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支持配置医院的问卷来源。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支持配置医院的随访负责人信息，同时可以配置该负责人是否为当前机构的随访医生。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支持按门诊、在院、出院等患者来源，负责随访的科室、人员、随访计划时间等条件自动创建随访计划。</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随访规则管理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支持按规则名称、随访周期类型进行检索。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支持按固定周期、自定义周期设置随访周期。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支持对随访周期进行管理。</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问卷分类管理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支持添加、维护和删除问卷分类。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3.9.3.1.3知识库管理</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短信模板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支持短信自动发送和手动发送。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支持设置短信模板。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支持手动批量发送短信。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支持短信内容编辑、目标号码的批量选择、目标号码分组（通讯录创建）。</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随访问卷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支持按问卷名称、问卷类型、创建时间、科室进行检索。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支持新增维护问卷基本信息、问卷题目信息。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支持问卷关联科室。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支持制定随访问卷，在维护问卷的同时可以维护题库信息，将问题加入题库。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支持题库问题直接引入当前问卷。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支持为题目设置分值，以及设置问题提示。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支持设置机构通用问卷、科室通用问卷，支持问卷按科室进行权限控制。</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随访题库管理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支持预设各种类型的问题模板集，医院可以根据需要组成各类问卷。</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随访策略管理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支持按策略名称、所属科室进行策略筛选。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支持预设随访策略。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支持随访策略配置多次随访计划，根据随访规则自动生成相应次数的随访计划。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支持查看随访策略的基本信息。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支持预览随访策略的内容。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支持配置不同的随访方式。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支持为不同种类的随访患者提供不同的随访计划和随访内容。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3.9.3.1.4随访管理</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随访制定</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支持按患者姓名等方式进行信息检索，展示患者的基础信息。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支持为患者制定随访计划时配置计划的名称、随访医生、随访方式、随访日期等内容。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支持根据随访策略快速生成随访计划模板，医生可以在随访策略的基础上进行调整。</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▲支持多种随访方式，包括人工电话随访、机器人电话随访、问卷随访、到院随访和上门随访，支持按照已制定和未制定进行区分展示。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支持对接大模型数据决策中台实现随访计划制定时AI个性化生成患者的随访计划、康复建议、宣教提醒和用药提醒等内容。</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随访列表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支持列表式查看患者的随访计划以及为患者执行随访任务。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支持其他医生执行科室内所有患者随访任务。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支持医生填写完随访问卷后填写随访报告。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支持医生为患者填写随访报告时，查看患者在居家康复期间测量的健康数据。</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智能语音触达</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支持电话随访由智能机器人对患者进行随访。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支持随访过程中通过AI智能语音呼叫助手，选择对应的话术，系统自动拨打电话，电话内容会以语音和文本的形式记录下来。</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智能体接入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支持无缝对接大模型数据决策中台。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支持生成患者个性化的随访方案以及针对性的康复计划。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3.9.3.1.5外呼机器人</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机器人管理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支持配置不同场景机器人，支持配置机器人的话术以及话术中的不同问题进行配置。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支持患者按键回答以及语音回答两种模式。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支持配置机器人问题参数。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支持话术配置问题路径。</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支持配置机器人提问内容，以及当患者超时未回答时进一步的进行提问。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支持直接跳转到下一个问题。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支持根据患者的回答进行判断是否挂机还是问题跳转。</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支持一览查看当前机器人所配置的话术内容数量、参数变量数量等。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支持配置语义引擎，根据语义内置语义引擎对患者的回答进行分析命中。</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支持调试机器人，通过文本模拟患者回答内容调试机器人回答内容，以判断当前机器人模型是否达到应用的条件。</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语义库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支持新增意图，维护意图内的语料数据和规则数据。</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日志管理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支持查看当前机器人的使用情况。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支持查看详细信息。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支持查看简要信息。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支持查看对话信息，以对话的形式展示机器人以及患者的回答情况。</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任务管理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支持创建外呼任务。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支持查看所有外呼任务列表。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支持按手机号码查询外呼情况。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支持导出外呼号码列表。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支持按手机号查询外呼记录。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支持试听通话录音。</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外呼机器人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支持新建机器人。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支持配置外呼最大时长、外呼时间段、失败重试等内容。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支持查看外呼机器人列表。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支持配置外呼机器人黑名单等内容。</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规则管理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支持配置外呼规则。</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数据大屏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支持查看外呼患者性别分布、各业务数据量包括外呼量、接通量、平均时长等内容。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支持查看话务量分布情况。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支持查看被通话患者情绪分布情况。</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数据统计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支持按话务指标查看数据。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支持查看话务及业务波动情况。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支持查看通话时长波动情况。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支持查看对话轮次分布情况。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3.9.3.1.6宣教系统</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系统管理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支持配置业务系统需要用到的合集。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支持配置业务系统需要用到的标签。</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支持配置对接业务系统需要用到的接口和地址。</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宣教素材库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支持宣教人员手动上传相关素材到素材库。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支持允许对宣教素材进行分类或重命名操作进行分类整理。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支持在撰写编辑宣教文章时上传的图片、音视频素材自动保存到素材库。</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宣教文章库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支持宣教文章的增删改查，维护标题、副标题、来源、作者、封面图、排序值、标签等信息。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支持在文章编辑器中对正文进行富文本编辑排版，支持在正文中插入图片和音视频素材。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支持预览文章在电脑端和手机端的阅读效果。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支持发布到知识库合集中或者推送给指定患者。</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宣教知识库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支持对接多个业务系统时分别管理系统下合集内容。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支持多个业务系统共用素材库和文章库，同一篇文章允许属于多个合集。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支持管理合集内文章，可以向合集内添加或移除文章，或改变文章在当前合集的上下架状态。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支持生成文章在当前合集内相应的二维码，允许扫码阅读。</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支持统计系统合集下文章的阅读量等数据。</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宣教任务管理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支持创建宣教任务时选择宣教文章、宣教目标、宣教时间，定时任务允许取消、暂停、继续或修改推送时间。</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支持同时建立一组多个的宣教任务，形成宣教计划，可以统一查看管理。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支持在执行宣教任务时，发送短信提醒患者前往C端进行查看。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支持宣教人员追踪任务进度、患者阅读情况，记录并在系统展示已读或未读数据。</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宣教业务统计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支持按时间查询宣教文章、任务的统计数据。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支持统计数据的导出。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3.9.3.1.7统计报表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支持出院随访完成率统计。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支持出院随访及时率统计。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支持出院随访跟踪。</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支持出院随访结果统计。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3.9.3.1.8患者端</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患者随访接收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支持患者查看医生制定的随访计划和历史随访情况。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支持患者通过短信接收消息提醒。</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宣教列表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支持患者查看所有推送给自己的宣教文章、宣教视频等内容。</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健康管理工具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支持自我健康管理检测，分为血压、血糖、血氧等指标的测量，以及数据的记录。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支持绘制患者指标变化趋势图，长期监测患者的健康状况。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支持患者的异常测量指标自动同步至医生随访平台进行预警。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3.9.3.1.9医生端</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随访列表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支持通过手机进行患者问卷的填写以及随访报告的填写。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支持通过手机摄像头进行拍摄或者录制或相册上传随访报告中所需的影像资料。</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随访历史</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支持医生查看该患者的历史历次随访情况。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3.9.3.1.10患者管理业务场景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构建以“患者为中心”的患者管理业务场景，对需要后续跟进的患者，尤其是门诊复诊与出院康复患者，进行全流程、精细化的跟踪管理。</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场景业务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门诊诊毕患者支持根据随访配置中的规则自动生成门诊随访计划。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住院出院患者支持根据随访配置中的规则自动生成门诊随访计划。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随访医生可以结合患者情况结束患者的随访任务。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门诊随访医生可以根据患者情况调整患者后续的随访时间。</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统计分析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支持门诊统计，用于查询机构下发到平台的所有患者类型是门诊的数据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支持住院统计，支持按病区查询住院患者数据。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支持病区工作量统计，统计各病区患者的患者复诊情况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支持按病区查询患者详情。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支持业务部门工作量统计，展示业务部门对病区以及门诊患者的首次未复诊患者的持续跟进情况。支持展示具体患者信息。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支持未住院患者统计跟踪，统计医生觉得应该进行住院治疗的门诊患者，实际未住院的患者跟进情况，支持展示具体患者信息。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3.9.3.1.11数据集成和系统对接</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原有云HIS对接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支持对接his系统，实现出院、门诊、在院的病人数据等数据的交互。</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原有公卫系统对接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支持对接公卫系统，实现患者的家庭医生签约数据、随访计划数据等的交互。</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原健康档案浏览器对接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支持对接区域健康档案浏览器功能，展示患者的门诊、住院、检查、检验等信息。</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大模型数据决策中台对接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直接对接大模型数据决策中台，用于根据患者的医嘱信息</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住院小结信息生成患者个性化的随访建议。</w:t>
      </w:r>
      <w:r/>
    </w:p>
    <w:p>
      <w:pPr>
        <w:pStyle w:val="889"/>
        <w:ind w:left="0" w:firstLine="422"/>
        <w:jc w:val="left"/>
        <w:spacing w:line="44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接口服务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提供出院随访方案下发服务接口服务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出院随访医生指派接口服务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出院随访结果上传接口服务等。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3.10肿瘤防治中心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系统需与相城区卫健委统建系统进行数据和应用集成。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相城肿瘤数智化一体防治体系建设系统需通过和相城区数据中心对接获取所有医疗数据。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面向医护的WEB和APP需对接相城区统一协作平台，WEB端需通过统一协作平台进行单点登录，用户基于授权访问。APP端内容需集成到统一协作平台APP内，进行单点登录，用户基于授权访问。相城肿瘤防治中心与MDT中心系统业务交互的地方需通过统一协作平台进行应用侧的页面调用和传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3.10.1预防模块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3.10.1.1科普预防应用PC端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登录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支持与相城区业务协同平台用户体系打通，通过手机号或账号+密码，或手机号+验证码登录访问PC管理后台。</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居民科普中心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作为科普后台管理端需维护编辑科普知识内容，进行内容分类，设置发布审核和启停功能。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科普内容支持绑定相关病种根据病种快速检索科普知识。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科普类型需包括图文科普管理、视频管理、直播管理，可统计科普内容的浏览量、点赞量、收藏量等数据。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支持维护编辑首页bannner轮播图，发布后展示</w:t>
      </w:r>
      <w:r>
        <w:rPr>
          <w:rFonts w:hint="eastAsia" w:ascii="宋体" w:hAnsi="宋体" w:cs="宋体"/>
          <w:color w:val="auto"/>
          <w:sz w:val="21"/>
          <w:szCs w:val="21"/>
          <w:highlight w:val="none"/>
          <w:lang w:eastAsia="zh-CN"/>
        </w:rPr>
        <w:t xml:space="preserve">在</w:t>
      </w:r>
      <w:r>
        <w:rPr>
          <w:rFonts w:hint="eastAsia" w:ascii="宋体" w:hAnsi="宋体" w:cs="宋体"/>
          <w:color w:val="auto"/>
          <w:sz w:val="21"/>
          <w:szCs w:val="21"/>
          <w:highlight w:val="none"/>
        </w:rPr>
        <w:t xml:space="preserve">患者端。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平台知识库中心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支持编辑维护平台科普标准知识库。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科普内容支持绑定相关病种快速检索科普知识，支持统计科普内容的浏览量、点赞量、收藏量等数据。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居民科普中心下相关机构支持引用维护平台知识库中科普内容。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3.10.1.2科普预防医护端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登录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支持与相城区业务协同平台用户体系打通，通过手机号或账号+密码，或手机号+验证码登录访问医护端APP。</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消息通知管理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作为医护移动端APP，支持对后台审核的科普内容进行消息通知提醒，方便医护人员实时查看发布后的科普内容及通知公告列表。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3.10.1.3科普预防居民端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登录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支持与苏周到APP用户体系打通，通过手机号或账号+密码，或手机号+验证码登录。</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科普专区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作为居民端小程序科普专区栏，首页醒目banner图支持轮播科普摘要信息方便用户查看，支持设置搜索区域能够快速检索科普预防相关内容。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支持设置科普中心专区按病种、按科普类型分类检索查看相关科普预防知识内容，居民可点赞、收藏科普内容。</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消息通知管理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科普预防知识发布的内容，支持在消息通知栏快速查看通知摘要列表。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3.10.2筛查模块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3.10.2.1筛查应用PC端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居民筛查中心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作为筛查后台管理端，居民筛查中心需包括群体性筛查管理、机会性筛查管理、主动性筛查管理多种筛查管理类型。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筛查的人群患者需纳入到筛查人员库，支持对筛查人员库中的人群进行分级管理。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群体性筛查管理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支持新建维护筛查任务基本信息。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支持新增筛查内容、设置筛查评估规则、设置维护筛查协议知情同意书。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支持设置筛查对象，可批量导入或自定义肿瘤数字化平台库内人员对象，可自定义目标筛查人数。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支持筛查任务设置启停操作，能够提前终止筛查任务。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支持筛查任务下载二维码，居民通过扫任务二维码可快速进行任务登记。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设置任务监控模块支持查看筛查任务完成情况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支持设置查询功能，可查看筛查任务对象问卷填写详情、根据任务评估规则查看筛查结果，支持查询结果导出功能。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筛查对象支持手动加入临床筛查，能够录入检查检验结果指标。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支持对接院内系统同步临床筛查检查检验结果指标数据。</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机会性筛查管理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支持对接院内系统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支持按处理状态管理高风险患者。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支持移除高风险患者，并录入移除原因。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支持将高风险患者分配到相应病种团队，按病种进行分组管理。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主动性筛查管理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支持查看填写问卷的主动性筛查患者的筛查记录及详情。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支持对主动性筛查患者批量设置标签，进行分类管理。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筛查人员库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支持查看纳入群体性筛查、机会性筛查、主动性筛查的患者列表及筛查详情。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支持对筛查患者批量设置标签，按标签、按病种分配到相应团队进行管理。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筛查知识库中心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作为筛查知识库模板后台管理端，支持维护筛查所需的基础量表及宣教表单，能够对量表及表单进行编辑、删除、绑定病种、审核发布等相关操作。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主动筛查量表库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支持对问卷分类进行维护。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支持增删改问卷详情。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支持复制引用平台量表库内容。</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群体性筛查量表库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支持对问卷分类进行维护。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支持增删改问卷详情。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支持复制引用平台量表库内容。</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群体性筛查宣教库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支持对资讯分类进行维护。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支持增删改宣教详情。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支持复制引用平台宣教库内容。</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群体性筛查宣教审核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支持对群体筛查维护的宣教内容单个/批量审核。</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待办事件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支持查看待完成筛查任务汇总及详情数据。</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筛查通知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支持按时提醒医生待处理高风险患者，查看各团队符合高风险的患者，可详情查看筛查管理列表。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3.10.2.2筛查应用医护端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消息通知管理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作为医护移动端APP，支持按时提醒医生待处理高风险患者消息，查看各团队符合高风险的患者，可通过消息通知列表直接查看筛查患者详情信息。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居民筛查中心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需包括群体性筛查、临床筛查、机会性筛查多种筛查类型。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筛查的人群患者纳入到筛查人员库，支持对筛查人员库中的人群进行分级管理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群体性筛查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支持查看群体性筛查任务进行中/已结束的任务。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支持通过评估结果、招募机构、是否加入临床筛查筛选患者，将患者加入临床检测。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任务执行时，支持扫描患者二维码，快速获取患者基本信息。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支持查看计划筛查目标/实际已筛查人数，指定对象已完成/未完成人数，患者完成情况及其详情。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支持新增筛查对象。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支持查看临床筛查任务患者列表，可将筛查对象加入临床检测，并支持代填患者问卷。</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临床筛查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支持查看进行中的临床筛查列表。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支持新增筛查对象，绑定筛查检查检验项目及结果。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支持查看历史临床筛查任务，查看筛查对象报告及其结果。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支持对接院内系统，同步筛查对象报告及其结果。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机会性筛查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支持根据院内制定筛查规则，通过对接数据接口定时执行筛查任务，提取待处理患者列表。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支持查看患者满足筛查规则的报告内容。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支持加入管理/移除患者，移除时填写移除原因。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支持查看筛查任务的人员结果。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支持通过姓名、患者来源、时间、管理病种、备注筛选患者。</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筛查人员库</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支持通过患者姓名模糊搜索群体性筛查、机会性筛查、主动性筛查的筛查人群。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支持通过日期、年龄、性别、筛查方式快速检索患者。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支持按照标签分类管理患者。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支持查看患者筛查详情。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支持查看患者“群体性筛查、机会性筛查、主动性筛查”记录。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支持新建患者专病档案，维护管理病种、疾病状态分类、分组。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3.10.2.3筛查应用居民端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筛查专区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作为居民端筛查专区栏，支持健康普查（群体性筛查）、健康自查（主动性筛查），对应显示普查记录、自查记录。</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健康普查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支持展示已下发的群体性筛查任务列表，居民可通过扫码认领或手动查看的方式进入小程序筛查页面进行问卷、量表等内容的填写，填写完成后系统根据评估规则自动生成评估结果，可进行评估结果查看。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临床筛查项目结果出具后，支持进行结果报告查看，筛查任务完成后，可进行筛查结果详情查看。</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健康自查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支持居民自主进行健康问卷、量表内容的填写，填写完成后系统根据规则自动评估生成得分，判定风险等级，可进行自查结果详情查看。</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个人中心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支持筛查记录查看、用户信息查看编辑、就诊人信息查看编辑，支持居民投诉建议入口。</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普查记录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支持查看正在进行中的筛查任务。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支持查看进行中筛查任务详情及任务具体清单。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支持查看已经结束的历史任务详情及任务完成情况。</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自测记录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支持多癌种自主评测，根据评测结果给予建议性提示。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支持查看历史自测筛查列表详情。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3.10.3诊治模块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3.10.3.1诊治医护端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患者主索引管理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作为医护诊治后台管理端，支持通过患者主索引服务和第三方系统进行数据对接，展示患者基本信息及就诊信息。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全息档案管理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支持通过数据采集服务与数据中心对接，将全息档案数据</w:t>
      </w:r>
      <w:r>
        <w:rPr>
          <w:rFonts w:hint="eastAsia" w:ascii="宋体" w:hAnsi="宋体" w:cs="宋体"/>
          <w:color w:val="auto"/>
          <w:sz w:val="21"/>
          <w:szCs w:val="21"/>
          <w:highlight w:val="none"/>
          <w:lang w:eastAsia="zh-CN"/>
        </w:rPr>
        <w:t xml:space="preserve">以</w:t>
      </w:r>
      <w:r>
        <w:rPr>
          <w:rFonts w:hint="eastAsia" w:ascii="宋体" w:hAnsi="宋体" w:cs="宋体"/>
          <w:color w:val="auto"/>
          <w:sz w:val="21"/>
          <w:szCs w:val="21"/>
          <w:highlight w:val="none"/>
        </w:rPr>
        <w:t xml:space="preserve">普通模式或时间轴模式提取至肿瘤防治数字化平台进行患者全流程就诊数据管理展示。</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患者管理域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支持将采集到的患者基本信息、挂号信息、出入院登记信息、诊断信息、接诊信息等数据归并入患者管理域数据模型中进行处理展现。</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医嘱域模型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支持将采集到的门诊药品、检验、检查、治疗、手术等处方数据和住院药品、检验、检查、输血、手术、护理、治疗、膳食等医嘱数据归并入医嘱域模型中进行处理展现。</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实验室域模型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支持将采集到的申请登记信息、标本信息、临检及生化报告、微生物报告、病理报告等数据归并入实验室域进行处理展现。</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观察域模型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支持将采集到的观察域、观察报告、生命体征观察信息、过敏信息、观察信息等数据归并入观察域进行处理展现。</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病历域模型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支持将采集到的病历主数据、病历分段数据、病历样式数据、病历全文索引、非结构化病历数据、医院门诊病历等数据归并入病历域进行处理展现。</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病案域模型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支持将采集到的病案首页、病案诊断、病案手术等数据归并入病案域进行处理展现。</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手术域模型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支持将采集到的手术登记、手术记录、手术诊断、手术麻醉信息、术后苏醒信息、手术参与人员等数据归并入手术域进行处理展现。</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护理域模型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支持将采集到的医嘱执行记录、护理记录、不良反应记录等数据归并入护理域进行处理展现。</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健康核心指标管理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支持对接数据中心检验报告数据，支持按时间轴展示核心健康指标结果项数据。</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治疗管理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支持按照患者诊疗手段，记录患者诊疗过程。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3.11消毒供应中心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3.11.1消毒供应中心管理模块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3.11.1.1回收管理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支持临床科室消毒灭菌物品包扫条码回收。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条码丢失支持无条码回收。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支持拼音首字母和名称方式查找物品包。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支持展现包内器械明细。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支持回收包加急处理。加急包在配包、灭菌等环节有加急提醒。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支持根据临床回收申请单，批量完成回收。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支持回收批量预扫描，能批量回收不同科室器械，快速放入篮筐。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支持临床回收包数量与临床申请包数量对比，查看已回收和未回收对比。</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3.11.1.2清洗管理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支持物品包清洗智能分类提示，每批次关联记录清洗环节工序所有信息，包含清洗责任人员、网篮、清洗设备、清洗程序、清洗时间、审核时间、清洗器械等信息。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支持双人审核机制，记录异常及处理结果。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支持对接清洗设备，能够通过清洗设备对接实时获取设备运行参数，动态显示，并核实清洗是否符合质量要求。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支持对清洗消毒后的器械进行人工判断，判断清洗消毒是否合格，部分合格的情况可选择其中某一把器械不合格，并选择不合格原因，不合格原因可制作模板供选择。</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清洗设备运转异常，可以支持整锅转移，并记录转移原因。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支持通过高拍仪拍照方式，将清洗机打印的物理参数拍照上传系统。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3.11.1.3配包管理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支持记录配包环节工序操作信息。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支持图文并茂显示包图片、关联网篮信息。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支持根据回收数量，系统自动统计需要配包的数量，配包人员查看系统即可知道当前所需配包任务量，并点击自动打印所需各条码标签。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支持同一类包配包数量可自我选择，未完成的配包任务会一直停留在配包界面中。</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对于无回收动作，需要增加的配包任务，支持在新增任务中进行添加。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支持特殊器械进行配包注意事项提醒。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对于回收清点记录的物品丢失和损坏，支持自动提醒对应包相应缺损记录，提醒操作员补充器械。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支持过期包直接从配包重新开始，无需回收清洗，重新打包后直接开始灭菌。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支持配包前绝缘检测管理，满足绝缘检测要求后才能进行配包，并记录绝缘检测信息。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3.11.1.4灭菌管理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支持每批次关联记录灭菌环节工序所有信息，需包含灭菌责任人员、灭菌设备、开始时间、结束时间、灭菌程序等信息。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支持灭菌操作规范提醒，双人审核机制，记录异常及处理结果。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支持对接灭菌设备，能够通过灭菌设备对接实时获取设备运行参数，动态显示，并核实灭菌是否符合质量要求。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支持选择灭菌设备编号，选择灭菌程序，完成灭菌。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支持完成灭菌操作后，系统生成该灭菌设备该次灭菌总条码。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支持灭菌时，扫描到植入物的无菌包时，系统会自动勾选生物监测类型，无需人工点选。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支持灭菌时，系统可提醒该灭菌设备当日是否做BD测试，如果未做，不可以进行消毒包灭菌。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系统支持扫描器械包时，验证灭菌方式，低温物品不能进入高温炉灭菌。设立自动识别错误操作功能。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3.11.1.5灭菌审核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支持登记灭菌审核结果、审核人、审核时间，并有灭菌不合格批量召回提示功能。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支持扫描设备该次灭菌的总条码，系统自动识别灭菌编号、灭菌类型、灭菌时间等，然后人为判定该次灭菌是否合格。</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支持点击判定合格的灭菌锅次内的无菌包方可进入无菌库进行存储或发放，否则系统不予发放，如有灭菌包审核不合格，在系统中有登记，并支持转入配包审核阶段。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支持采用高拍仪拍照方式，将灭菌设备打印的物理参数拍照上传系统。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3.11.1.6发放管理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支持根据临床申领情况进行物品包发放，可以批量发放。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支持根据各科室包预订量进行无菌包发放，系统自动显示需要发放的科室名称及无菌包名称、数量。未能发放的无菌包另有显示转下次（自动）。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支持选择科室名称，根据科室预订的一次性无菌物品数量，扫描科室条码系统自动显示该科室需要发放的一次性无菌物品的清单、名称、数量，发放人员可选择点击发放。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支持借包物品发放。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支持高温灭菌锅次未达冷却30分钟，不可以放行的要求。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3.11.1.7外来器械管理</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对于外来器械供应商供应的外来器械包，供应室支持登记外来器械供应商名称及包名称，使用患者、使用医生等信息</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支持对于使用后的外来器械包进行二次回收并清洗消毒后才可交还给外来器械供应商。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外来器械登记时，支持根据手术排班信息记录手术病人信息。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支持外来器械登记时填写包内明细物品。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支持外来器械登记时分包，包大小，是否含有植入物，是否加急。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3.11.2临床消毒物品追溯管理</w:t>
      </w:r>
      <w:r>
        <w:rPr>
          <w:rFonts w:hint="eastAsia" w:ascii="宋体" w:hAnsi="宋体" w:cs="宋体"/>
          <w:color w:val="auto"/>
          <w:sz w:val="21"/>
          <w:szCs w:val="21"/>
          <w:highlight w:val="none"/>
        </w:rPr>
        <w:tab/>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3.11.2.1科室申领管理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支持临床科室已使用包回收申请。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支持临床科室回收申请包设置模板。</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支持根据使用过的包自动生成回收申请。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支持临床科室向供应室消毒包借用。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支持临床科室之间消毒包借用。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3.11.2.2科室接收确认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w:t>
      </w:r>
      <w:r>
        <w:rPr>
          <w:rFonts w:hint="eastAsia" w:ascii="宋体" w:hAnsi="宋体" w:cs="宋体"/>
          <w:color w:val="auto"/>
          <w:sz w:val="21"/>
          <w:szCs w:val="21"/>
          <w:highlight w:val="none"/>
          <w:lang w:eastAsia="zh-CN"/>
        </w:rPr>
        <w:t xml:space="preserve">登录</w:t>
      </w:r>
      <w:r>
        <w:rPr>
          <w:rFonts w:hint="eastAsia" w:ascii="宋体" w:hAnsi="宋体" w:cs="宋体"/>
          <w:color w:val="auto"/>
          <w:sz w:val="21"/>
          <w:szCs w:val="21"/>
          <w:highlight w:val="none"/>
        </w:rPr>
        <w:t xml:space="preserve">本科室接收确认界面，系统自动提示需要接收确认的无菌包，接收确认的人员扫描供应中心发放的无菌包，最终供应中心发放的无菌包名称及数量与接收到的无菌包名称和数量一致，则点击确认，完成接收确认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若缺少包，则系统支持将未接收的包名称及数量停留在接收确认界面中以便后期继续接收。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对于非科室需要接收的无菌包，扫描包条码时，系统支持自动提示该包为非本科室接收的无菌包。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支持扫描物品发放清单，批量进行接收。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3.11.2.3无菌包开包检查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支持临床使用科室对无菌包进行使用前的开包前</w:t>
      </w:r>
      <w:r>
        <w:rPr>
          <w:rFonts w:hint="eastAsia" w:ascii="宋体" w:hAnsi="宋体" w:cs="宋体"/>
          <w:color w:val="auto"/>
          <w:sz w:val="21"/>
          <w:szCs w:val="21"/>
          <w:highlight w:val="none"/>
          <w:lang w:eastAsia="zh-CN"/>
        </w:rPr>
        <w:t xml:space="preserve">检查</w:t>
      </w:r>
      <w:r>
        <w:rPr>
          <w:rFonts w:hint="eastAsia" w:ascii="宋体" w:hAnsi="宋体" w:cs="宋体"/>
          <w:color w:val="auto"/>
          <w:sz w:val="21"/>
          <w:szCs w:val="21"/>
          <w:highlight w:val="none"/>
        </w:rPr>
        <w:t xml:space="preserve">，可查看是否存在湿包，或者指示卡是否变色等异常，如发现不良可以通过系统反馈给消毒供应中心。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支持临床使用科室对无菌包进行退包，可查看包内器械物品是否清洗合格或者器械是否正确，如发现不良可以通过系统反馈给消毒供应中心。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3.11.2.4使用登记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支持确认使用患者，在系统中录入患者住院号，系统支持自动通过HIS系统识别患者信息，并显示患者姓名、性别、年龄、病区等信息。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支持对需要使用的无菌包，直接扫描包外条形码，系统自动识别包信息。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3.11.3追溯管理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3.11.3.1包追溯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支持通过无菌包条码追溯无菌包整体流程日志。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支持反向追溯清洗、灭菌批次，同一批次其他无菌包信息。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支持追溯包的全生命周期，每一个流程追溯信息。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3.11.3.2患者追溯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支持通过患者唯一编码（病历号）追溯患者就诊期间所使用的所有无菌包信息。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3.11.3.3设备追溯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支持通过设备锅次、锅号、批次追溯到设备运行时清洗消毒、灭菌的器械、无菌包信息。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3.11.4质量管理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3.11.4.1召回管理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支持将不合格产品召回，以免造成医疗事故。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支持在发布完召回信息之后，科室用户登录系统看到召回的信息，并且提示用户需要将特定的包退回，在完成召回之后消毒供应中心可以看到召回信息。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支持召回范围可根据日期、灭菌炉、炉次灵活选择进行召回。</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3.11.4.2过期包管理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支持对于将要过期的物品可以进行过期预警，提示科室及时使用，防止物品过期造成损失。</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支持对于已经过期的物品，系统及时给出提示预警，已过期物品系统限制不可以进行发放和病人使用，更有效</w:t>
      </w:r>
      <w:r>
        <w:rPr>
          <w:rFonts w:hint="eastAsia" w:ascii="宋体" w:hAnsi="宋体" w:cs="宋体"/>
          <w:color w:val="auto"/>
          <w:sz w:val="21"/>
          <w:szCs w:val="21"/>
          <w:highlight w:val="none"/>
          <w:lang w:eastAsia="zh-CN"/>
        </w:rPr>
        <w:t xml:space="preserve">地</w:t>
      </w:r>
      <w:r>
        <w:rPr>
          <w:rFonts w:hint="eastAsia" w:ascii="宋体" w:hAnsi="宋体" w:cs="宋体"/>
          <w:color w:val="auto"/>
          <w:sz w:val="21"/>
          <w:szCs w:val="21"/>
          <w:highlight w:val="none"/>
        </w:rPr>
        <w:t xml:space="preserve">保障了医疗质量。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3.11.5统计分析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3.11.5.1工作任务完成情况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支持筛选每周、每月、每年或一段时间，回收，清洗消毒、配包、灭菌、发放的工作任务情况，已完成情况，未完成情况，方便护士长对科室工作进行评估。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3.11.5.2清洗不合格查询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支持统计一段时间内清洗机清洗不合格的统计，可记录清洗机、清洗网篮、不合格的器械名称、不合格数量、不合格原因、以及处理建议，方便科室持续</w:t>
      </w:r>
      <w:r>
        <w:rPr>
          <w:rFonts w:hint="eastAsia" w:ascii="宋体" w:hAnsi="宋体" w:cs="宋体"/>
          <w:color w:val="auto"/>
          <w:sz w:val="21"/>
          <w:szCs w:val="21"/>
          <w:highlight w:val="none"/>
          <w:lang w:eastAsia="zh-CN"/>
        </w:rPr>
        <w:t xml:space="preserve">地</w:t>
      </w:r>
      <w:r>
        <w:rPr>
          <w:rFonts w:hint="eastAsia" w:ascii="宋体" w:hAnsi="宋体" w:cs="宋体"/>
          <w:color w:val="auto"/>
          <w:sz w:val="21"/>
          <w:szCs w:val="21"/>
          <w:highlight w:val="none"/>
        </w:rPr>
        <w:t xml:space="preserve">改善工作质量。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3.11.5.3设备运行状况统计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支持分别记录清洗设备和灭菌设备的运行情况，方便护士长对所有设备每天运行情况进行监控。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3.11.5.4人员工作量统计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支持以人员条件进行查询时，可以看出这个月这个人在哪个工作岗位，做了哪些事，方便护士长对科室人员工作量进行评估。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3.11.5.5消毒包状况统计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系统支持查看供应室已经灭菌后的包的状况，在病区，或在供应室的一个状况，实时</w:t>
      </w:r>
      <w:r>
        <w:rPr>
          <w:rFonts w:hint="eastAsia" w:ascii="宋体" w:hAnsi="宋体" w:cs="宋体"/>
          <w:color w:val="auto"/>
          <w:sz w:val="21"/>
          <w:szCs w:val="21"/>
          <w:highlight w:val="none"/>
          <w:lang w:eastAsia="zh-CN"/>
        </w:rPr>
        <w:t xml:space="preserve">地</w:t>
      </w:r>
      <w:r>
        <w:rPr>
          <w:rFonts w:hint="eastAsia" w:ascii="宋体" w:hAnsi="宋体" w:cs="宋体"/>
          <w:color w:val="auto"/>
          <w:sz w:val="21"/>
          <w:szCs w:val="21"/>
          <w:highlight w:val="none"/>
        </w:rPr>
        <w:t xml:space="preserve">监控院内消毒包的分布情况。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3.11.5.6外来器械收费统计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支持对一段时间内的外来器械消毒费用进行统计，方便科室及财务做相关消毒费用的统计说明。</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3.11.5.7科室支出统计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支持成本核算管理，可以分类计算消毒供应中心内各项作业成本及消耗，并汇总统计。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3.11.5.8异常处理查询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支持科室工作人员在追溯系统操作时的一些非常规操作：如：修改、删除、任务终止形成的统计报表，方便护士长管控和规范科室内工作人员的工作。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3.11.5.9使用科室接收、关联病人统计</w:t>
      </w:r>
      <w:r>
        <w:rPr>
          <w:rFonts w:hint="eastAsia" w:ascii="宋体" w:hAnsi="宋体" w:cs="宋体"/>
          <w:color w:val="auto"/>
          <w:sz w:val="21"/>
          <w:szCs w:val="21"/>
          <w:highlight w:val="none"/>
        </w:rPr>
        <w:tab/>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支持查询供应室对于临床科室消毒包的发放、以及科室的接收、未接收、使用、未使用的明细情况统计。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3.11.6质量控制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3.11.6.1满意度调查统计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支持医院各个科室及各卫生院科室对消毒供应中心满意度结果展示出来。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3.11.6.2物品包装质量缺陷记录</w:t>
      </w:r>
      <w:r/>
    </w:p>
    <w:p>
      <w:pPr>
        <w:ind w:firstLine="420"/>
        <w:spacing w:line="440" w:lineRule="exact"/>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支持统计出包装不合格的数量及原因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3.11.6.3清洗不合格统计</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支持统计清洗器械的不合格数量及原因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3.11.6.4灭菌不合格统计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支持统计出灭菌不合格的数量及原因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3.11.6.5发放不合格统计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支持统计发放不合格的数量及原因，并计算发放合格率。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3.11.6.6过期包统计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支持统计某时间段内累计未召回的过期包数量。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3.11.7区域化统计查询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3.11.7.1追溯信息查询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支持根据消毒物品包条码、灭菌信息、名称信息、清洗信息，查询某个包的回收、清洗、包装、灭菌、发放、使用病人的相应信息。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3.11.7.2物品包数据统计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支持查询某卫生院某一时间段内某种物品包的回收、清洗、包装、灭菌、发放数量的统计。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3.11.7.3设备使用情况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支持统计一段时间内设备的使用次数及状态情况。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3.11.7.4设备维修记录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支持显示设备的维修时间、厂商等记录数据。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3.11.8区域化数据分析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3.11.8.1手术情况分析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支持对区域内各院手术量的对比、手术分布情况及时间段进行分析。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3.11.8.2病人情况分析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支持区域内各院病人籍贯地数量对比、住院病人、门诊病人对比</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3.11.8.3使用登记分析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支持区域内各院手术病人无菌包使用登记依从性数据分析对比。</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3.11.8.4外来器械统计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支持区域内各院外来器械使用量的统计分析。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3.11.8.5用包量分析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支持分析区域内各卫生院的消毒灭菌包使用数量，并分析用包数量上升下降趋势。</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3.11.9区域化质量控制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3.11.9.1满意度调查统计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支持展示医院各个科室及各卫生院科室对消毒供应中心满意度结果。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3.11.9.2包装不合格计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支持统计出包装不合格的数量及原因，如包装破损、器械缺失、包装密闭不严等情况分析，并计算不合格率，并根据月度情况标示上升下降趋势。</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3.11.9.3清洗不合格统计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支持统计清洗器械的不合格数量及原因，如有血迹、水渍等情况并计算不合格率，并根据月度情况标示上升下降趋势。</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3.11.9.4灭菌不合格统计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支持统计出灭菌不合格的数量及原因，如湿包、生物监测不合格、化学监测不合格等并计算不合格率。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3.11.9.5召回统计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支持统计召回物品的数量。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3.11.9.6过期包统计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支持统计某时间段内累计未召回的过期包数量。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3.11.10区域化通知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3.11.10.1通知发布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支持通过系统平台针对区域内用户进行通知发布。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3.11.10.2抽检公告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支持对无菌包及相关耗材等抽检情况进行信息公告。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3.11.11区域化反馈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3.11.11.1监督反馈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支持根据汇总数据，对辖区内医院推送监督反馈信息，督促下级单位落实整改。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3.12医疗协同平台区级场景适配服务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3.12.1统一组织架构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3.12.1.1组织机构</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组织机构新增</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支持新建组织机构节点，涵盖公立医院、基层医疗卫生机构、行政处室、科室等多种机构类型。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新增组织时，需设置组织名称、统一社会信用代码、机构类型、上级归属关系、负责人信息、联系方式、地理地址等基础属性。</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组织机构查看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支持提供组织信息查看。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支持查看任意组织节点的完整信息集合。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具备差异化信息展示能力，可根据机构类型动态呈现专属字段。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支持行政单位展示职能职责与编制规模，支持展示组织当前状态、创建时间、最后更新人等数据。</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组织机构编辑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针对已存在的组织机构，系统提供完善的编辑功能。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支持对组织名称、描述、负责人、联系方式、层级归属、属性标签等信息进行修改和更新，以适应组织架构调整、职能变更或人事变动等实际需求。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编辑过程中支持调整组织在树中的父节点归属，实现跨部门迁移，自动校验层级逻辑合理性，防止出现循环引用或非法结构。</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组织机构注销</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当某组织机构因撤销、合并或职能终止等原因不再使用时，管理员可通过“注销”功能将其从活跃组织树中移除。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系统支持提示该组织下是否仍有在职人员、关联业务数据，防止误删导致业务中断。</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组织机构查询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系统支持对超过4万家机构的一次性高效加载与组织架构树构建，采用分页加载与懒加载技术，保障大体量数据下的响应速度与用户体验。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支持通过组织名称、统一编码等多种关键词进行模糊搜索或组合条件筛选，快速定位目标机构。</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组织机构合并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为应对机构整合、重组等管理需求，系统提供组织机构合并功能。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支持将两个或多个现有组织整合为一个新的统一组织节点。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支持合并过程明确指定新组织的名称、上级单位、负责人及组织属性，并选择成员归属规则（如全部保留、按角色筛选等），系统自动处理成员关系迁移与权限继承。</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组织机构排序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支持通过拖拽方式直接调整组织机构在同级节点中的显示顺序，满足按重要性、成立时间或管理习惯进行排序的个性化需求。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拖拽过程中系统支持实时预览排序效果，并在释放后立即更新数据库中的排序权重字段，确保前后端一致性。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3.12.1.2人员管理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用户查询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支持自动生成完整、可交互的组织架构树，管理员可通过展开/折叠各级节点快速浏览全市4万余家机构的人员分布情况。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支持点击任一组织机构后，系统实时加载并展示该部门下的所有在职用户列表。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用户列表支持分页显示。</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搜索查询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支持全局搜索功能，用户可在组织架构树顶部的搜索框中输入关键词，系统即时匹配相关组织或人员信息。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支持多维度查询。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搜索结果支持以高亮形式展示匹配内容，并自动展开组织树路径，定位到具体节点。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支持一键跳转查看详情页面。</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用户新增</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支持管理员选择目标组织机构后，可以新增用户，录入用户基本信息，如姓名、性别、出生日期、身份证号、手机号等。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支持新增用户后自动生成用户的初始密码。</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用户编辑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支持具备相应权限的管理员对已存在用户的各类信息进行修改和更新，适用于员工信息变更、岗位调整、联系方式更新等日常管理场景。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编辑内容需涵盖基础信息、联系方式、工作信息、安全设置等。</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用户离职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当员工因退休、辞职或解聘等原因离开单位时，支持管理员通过“离职”操作将其账户状态标记为“已离职”，系统自动解除其所有业务系统的登录权限，防止账号被继续使用。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支持完整保留离职用户的数据。</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用户禁用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支持管理员对存在安全风险、长期未登录、涉嫌违规操作或处于调查期间的用户执行“禁用”操作，临时中止其系统访问权限。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支持禁用后，用户无法登录“苏卫通”APP及任何接入平台的业务系统，但其个人信息、权限配置、通讯录关系等数据仍保留在数据库中，状态清晰标识为“已禁用”。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支持用于临时管控场景，如员工休假、岗位调整过渡期、账号异常登录预警等，避免直接删除造成数据丢失。</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支持禁用状态随时解除，恢复原有权限，无需重新创建账号。</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恢复在职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支持针对误操作离职、返聘人员或借调期满返回等情况，系统提供“恢复在职”功能，允许授权管理员将已离职用户重新激活为在职状态。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支持恢复过程中，系统自动还原其原有的组织归属、岗位信息、角色权限、通讯录关系及系统偏好设置，减少重复配置工作量，保障业务连续性。</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重置密码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支持管理员通过“重置密码”功能帮助忘记密码、无法登录或账号被锁定的用户恢复访问权限。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支持系统生成符合复杂度策略的随机强密码（如8位以上，含大小写、数字、特殊字符），并通过绑定的手机号以加密短信形式发送给用户。</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部门调整</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支持用户跨部门、跨机构的组织调动管理。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支持管理员将用户从原部门移出并加入新部门，实现组织内人员流动的线上化、规范化处理。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支持调整过程中，系统自动解除其在原部门的所有角色权限，并根据新部门的默认权限模板或管理员指定规则重新赋权，确保“权随岗变”。</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用户注销</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提供“用户注销”高风险操作功能，用于彻底删除不再需要保留的用户记录。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支持注销前系统强制弹出二次确认对话框，并要求输入超级管理员密码或动态验证码，防止误操作。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支持一旦确认，该用户的全部个人信息、权限配置、登录日志、消息记录等数据将从主数据库中永久清除。</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用户排序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支持在同一部门或组织节点内，通过直观的拖拽方式调整用户在人员列表中的显示顺序，满足按职务高低、资历深浅、管理习惯或特定业务需求进行排序的个性化要求。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支持拖拽过程中系统实时预览排序效果，释放后立即更新数据库中的排序权重字段，确保前后端一致性。</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角色授权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支持管理员选择特定用户，进入角色授权界面，从系统预设的精细化角色库中（如“科室管理员”、“信访受理员”、“数据上报员”、“应用管理员”等）勾选所需角色并完成授权。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系统支持多角色叠加授权，满足复合型岗位需求。</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角色收回</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当用户岗位变动、职责调整、项目结束或权限过期时，支持管理员通过“角色收回”功能移除其不再需要的角色权限，落实最小权限原则，降低安全风险。</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3.12.1.3管理员管理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提供管理员信息查询功能。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支持按管理员类型、所属机构、姓名、账号、创建时间、状态（启用/停用）等多维度条件进行组合筛选，快速定位目标管理员账户。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支持查询结果以列表形式展示管理员的基本信息、所属类型、授权部门范围、关联应用系统及最后登录时间等关键字段。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支持分页浏览。</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新增</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支持管理员新增一种新的管理员类型，以适应不断变化的组织结构或新增业务系统的管理需求。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支持新增时填写管理员类型的名称（如“互联网医院运维管理员”）、描述、适用层级（市级/区级/机构级/科室级）及创建人信息。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删除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当某类管理员类型因组织调整、系统下线或职能取消而不再需要时，支持通过“删除”功能将其从系统中移除，避免冗余权限模型干扰管理。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支持删除前系统进行严格校验，若该类型下仍存在已授权的人员账户，则禁止删除并提示“请先解除所有人员授权”，确保数据完整性。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对于已无关联人员的管理员类型，系统支持执行删除操作，删除后该类型定义将从权限库中永久清除，无法恢复。</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部门授权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支持为每类管理员配置其可管理的组织部门范围，实现基于组织架构的权限隔离。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支持管理员在权限设置界面选择该类管理员可管辖的机构层级（如仅限本单位、可管理下属区域医疗成员单位）、具体部门节点（如内科、检验科）或虚拟组织（如MDT团队）。</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系统资源授权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为确保管理员仅能访问和操作其职责范围内的系统功能，系统提供细粒度的“系统资源授权”功能。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支持管理员为某类管理员勾选其可使用的系统模块与操作权限，如“用户新增/编辑/注销”、“角色创建与管理”、“日志查看与导出”、“组织架构调整”、“密码重置”等。</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应用授权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支持为管理员类型配置其可访问和管理的应用系统范围，实现跨系统权限的统一管控。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支持管理员在授权界面从已接入平台的业务系统中选择该类管理员有权管理的应用。</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授权人员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完成管理员类型定义及权限配置后，支持通过“授权人员”功能将该管理权限赋予具体的用户账号，实现权限的落地执行。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3.12.1.4角色管理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角色创建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提供直观、易用的角色创建向导界面。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创建角色时，支持填写角色名称（如“区域医疗信息管理员”）、角色编码（系统自动生成或手动设置）、角色描述（说明适用范围与职责）等基本信息，确保角色定义清晰、语义明确。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支持创建过程中选择角色所属层级（如市级、区级、机构级、科室级）便于后续分类管理。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角色查询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提供角色查询功能。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支持管理员按角色名称、角色编码、创建时间、所属层级、创建人、状态（启用/停用）等多维度条件进行精确或模糊搜索，快速定位目标角色。</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查询结果支持以列表形式展示角色的基本信息、权限范围、已分配人数、最后更新时间等关键字段。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支持点击查看详情页，查看该角色所拥有的全部应用权限与资源权限明细。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角色删除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当某角色因业务调整、系统下线或职能取消而不再使用时，支持管理员通过“删除”功能将其从系统中移除，避免冗余角色积累导致权限混乱。</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支持删除前系统进行严格依赖性校验：若该角色下仍存在已分配的用户，则禁止删除并提示“请先解除所有人员的角色绑定”，确保数据完整性与业务连续性。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对于无关联用户的角色，系统支持执行删除操作，删除后该角色定义及其权限配置将从权限库中永久清除，无法恢复。</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支持操作时触发二次确认，防止误删。</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角色授权应用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支持为每个角色配置其可访问和使用的应用系统范围，实现跨平台权限的统一管控。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支持管理员在角色编辑界面从已接入协同平台的业务系统中选择该角色有权使用的应用。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支持授权后，用户在“苏卫通”APP或PC端门户中仅能看到并进入已授权的应用模块，未授权系统将不可见或灰显禁用。</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授权资源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提供细粒度的资源权限授权功能。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支持管理员为角色精确分配其可操作的系统功能点与数据范围，实现最小权限原则。</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支持资源授权界面以树形结构展示平台所有模块。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系统支持权限的批量分配与批量撤销。</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角色分配</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完成角色定义与权限配置后，支持管理员通过“角色分配”功能将该角色赋予具体的用户账号，实现权限的落地执行。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3.12.1.5应用管理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系统提供标准化的应用注册入口，允许管理员或系统对接负责人填写待接入应用的基本信息，启动接入流程。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支持注册时提供应用名称、唯一编码（AppID）、所属单位、负责人及联系方式、应用类型（如医疗业务类、管理类、公共服务类）、部署方式（本地化/云部署）、访问地址（WebURL或API网关地址）等关键字段。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支持注册提交后进入审批流程，由平台管理员和技术团队评估其安全性、兼容性与必要性，审批通过后方可生成接入凭证并启用。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支持所有注册操作均记录创建时间、操作人及IP地址，形成完整的接入审计轨迹。</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编辑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对于已注册的应用，支持管理员根据业务发展或技术调整需求，对其基本信息进行修改和更新。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编辑内容需涵盖应用名称、负责人信息、访问地址变更、接口版本升级、认证方式调整、功能描述更新等。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编辑操作需经过权限校验，仅限平台超级管理员或该应用的归属管理员可进行修改。</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删除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当某应用因系统下线、功能合并或安全风险等原因不再使用时，支持管理员通过“删除”功能将其从平台应用目录中移除，停止其与平台的集成关系。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支持删除前系统进行严格依赖性检查：若该应用仍被其他系统调用、存在活跃用户授权、或有未完成的数据同步任务，则禁止删除并提示具体依赖项，防止误操作导致业务中断。</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对于确认无关联依赖的应用，系统支持执行删除操作，删除后该应用将不再出现在“苏卫通”APP门户、单点登录列表及权限配置界面中。</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支持操作由平台超级管理员完成，并触发二次确认机制确保操作安全。</w:t>
      </w:r>
      <w:r/>
    </w:p>
    <w:p>
      <w:pPr>
        <w:ind w:firstLine="422"/>
        <w:spacing w:line="440" w:lineRule="exact"/>
        <w:tabs>
          <w:tab w:val="left" w:pos="42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授权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支持将已接入平台的应用系统授权给特定用户或角色，实现按需访问的精细化权限控制。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支持管理员在应用详情页进入“用户授权”界面，选择目标用户或通过角色批量赋权，将其纳入该应用的可访问名单。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支持授权后，用户在登录“苏卫通”APP或平台门户时即可看到该应用图标，并通过单点登录（SSO）机制无缝跳转至目标系统，无需重复输入账号密码。</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密钥</w:t>
      </w:r>
      <w:r>
        <w:rPr>
          <w:rFonts w:hint="eastAsia" w:ascii="宋体" w:hAnsi="宋体" w:cs="宋体"/>
          <w:b/>
          <w:bCs/>
          <w:color w:val="auto"/>
          <w:sz w:val="21"/>
          <w:szCs w:val="21"/>
          <w:highlight w:val="none"/>
        </w:rPr>
        <w:t xml:space="preserve">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为保障应用与平台之间的安全通信，系统提供独立的密钥管理功能，用于生成、查看、重置和吊销应用的接入密钥（AppSecret）。</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在应用注册并通过审批后，系统支持自动生成一对唯一的AppID与AppSecret，作为身份认证凭证，用于API调用时的身份验证与签名加密。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支持管理员在应用详情页查看当前密钥。</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提供应用信息查询功能。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支持管理员按应用名称、AppID、所属单位、负责人、接入状态（正常/停用/待审批）、应用类型等多维度条件进行组合筛选，快速定位目标应用。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支持查询结果以列表形式展示应用的基本信息、接入时间、最后更新人、当前状态、调用频次统计及授权用户数等关键指标，便于统一监控与管理。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3.12.1.6权限控制引擎</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权限控制引擎是协同平台安全体系的核心中枢，负责统一定义、管理并强制执行用户对系统资源的访问控制策略，确保“最小权限原则”和“权责分离”在全平台范围内落地。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引擎需采用多维度、可扩展的权限模型，支持基于角色的访问控制（RBAC）与基于属性的访问控制（ABAC）相结合的混合授权机制，实现细粒度、动态化、上下文感知的权限管理。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所有用户请求在进入业务逻辑前均需经过权限引擎的实时鉴权，确保只有经过授权的用户才能访问其权限范围内的应用、功能模块、数据资源及操作接口。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引擎需支持高并发、低延迟的权限判断，具备完善的审计日志记录能力，</w:t>
      </w:r>
      <w:r>
        <w:rPr>
          <w:rFonts w:hint="eastAsia" w:ascii="宋体" w:hAnsi="宋体" w:cs="宋体"/>
          <w:color w:val="auto"/>
          <w:sz w:val="21"/>
          <w:szCs w:val="21"/>
          <w:highlight w:val="none"/>
          <w:lang w:eastAsia="zh-CN"/>
        </w:rPr>
        <w:t xml:space="preserve">满足</w:t>
      </w:r>
      <w:r>
        <w:rPr>
          <w:rFonts w:hint="eastAsia" w:ascii="宋体" w:hAnsi="宋体" w:cs="宋体"/>
          <w:color w:val="auto"/>
          <w:sz w:val="21"/>
          <w:szCs w:val="21"/>
          <w:highlight w:val="none"/>
        </w:rPr>
        <w:t xml:space="preserve">访问控制、安全审计的合规要求，并为未来智能化权限推荐与风险行为识别提供技术基础。</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访问控制策略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权限控制引擎需支持多种灵活、可组合的访问控制策略，适应复杂多变的医疗业务场景与组织管理需求。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系统默认启用基于角色的访问控制（RBAC）作为基础权限模型，同时支持基于属性的访问控制（ABAC）作为动态补充，允许管理员根据业务规则定义复杂的权限逻辑。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策略需涵盖用户身份、组织归属、岗位职责、时间窗口、访问终端、数据敏感级别等多个维度，实现“谁在什么条件下可以对哪些资源执行何种操作”的精准控制。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所有策略需通过可视化界面进行配置与管理。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支持策略版本控制与灰度发布，确保变更过程安全可控。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支持策略变更后实时生效，并自动同步至所有接入系统的权限决策点。</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基于角色的访问控制（RBAC）</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系统需采用标准化的基于角色的访问控制模型，将权限打包为“角色”单元，实现权限的集中管理与高效分配。</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支持管理员预先创建各类业务角色，并为每个角色配置其可访问的应用系统、可操作的功能菜单及具体操作权限。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支持用户通过被赋予一个或多个角色来获得相应权限，实现“用户-角色-权限”的间接绑定，降低权限管理复杂度。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支持角色继承、角色组、临时角色（带有效期）等高级特性，满足多层级、动态化管理需求。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当角色权限发生变更时，支持所有已分配该角色的用户自动继承新权限，提升策略一致性。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系统记录角色权限变更与用户角色分配的完整审计日志，支持权限追溯与合规审查。</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基于属性的访问控制（ABAC）</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为应对传统RBAC模型在灵活性与动态性上的局限，系统引入基于属性的访问控制机制。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支持根据用户、资源、环境等多维属性动态计算访问权限。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所有ABAC决策过程可追溯，支持策略调试与合规审计。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3.12.1.7统一登录</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账号密码登录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支持用户通过手机号、身份证号或工号作为唯一账号标识进行登录，满足不同用户群体的使用习惯。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用户在登录界面输入账号后，需填写符合复杂度策略的登录密码，系统支持通过加密将凭证传输至认证服务端进行校验。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系统内置密码强度检测机制，首次登录或密码重置后需强制修改初始密码，防止弱口令风险。</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为防止暴力破解，系统支持实施登录失败锁定策略（如连续5次错误后锁定账户15分钟或触发短信验证），并支持图形验证码辅助防护。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支持所有密码均采用不可逆加密算法SM3存储，确保即使数据库泄露也无法还原明文密码，全面保障用户账户安全</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手机动态码登录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在登录界面选择“短信登录”，输入已绑定的手机号码后，系统通过安全接口调用短信网关发送6位随机验证码，并设置有效期限（通常为5分钟）和刷新频率限制（如60秒内不可重复发送），防止短信轰炸攻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支持验证码生成采用强随机算法，并与用户会话绑定，确保一次性使用且不可预测。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支持用户在有效期内输入正确验证码即可完成身份认证，系统自动校验验证码时效性与正确性。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系统支持记录每次验证码发送与验证的日志。</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扫码登录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支持当用户在PC端选择“扫码登录”时，系统自动生成一个包含唯一会话标识的动态二维码，该二维码具有时效性（如60秒过期）并采用加密编码，防止被截获复用。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支持用户使用“苏卫通”APP的扫一扫功能识别二维码后，APP端提示用户确认登录请求。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支持认证成功后，PC端自动跳转至系统首页，无需再次输入账号密码。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3.12.1.8工作台</w:t>
      </w:r>
      <w:r/>
    </w:p>
    <w:p>
      <w:pPr>
        <w:ind w:firstLine="422"/>
        <w:spacing w:line="440" w:lineRule="exact"/>
        <w:tabs>
          <w:tab w:val="left" w:pos="42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待办事项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支持每项待办任务以卡片或列表形式呈现，需包含任务标题、简要描述、发起人、所属系统、紧急程度标识（如高/中/低）、截止时间及剩余天数等关键信息，帮助用户快速识别优先级并合理安排处理顺序。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系统支持按业务类型、截止时间、紧急程度等维度进行筛选与排序，便于聚焦重点任务。支持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用户点击任一待办事项后，系统支持通过单点登录（SSO）或深度链接技术，无缝跳转至该任务在原业务系统中的详细处理页面，无需二次登录。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支持所有待办事项状态实时更新，处理完成后自动从列表中移除或标记为“已办”。</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待办事项统计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支持通过可视化图表（如柱状图、饼图、进度环图等）直观展示用户在指定周期内（如本周、本月）的待办任务完成情况与分布特征。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支持系统统计待办总数、已办数量、超期任务数、各业务系统任务占比、日均处理量等多维度指标，并以图形化方式呈现趋势变化，帮助用户识别工作高峰期与瓶颈环节。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支持按时间范围（日/周/月）、任务类型（审批类、处理类、反馈类）进行数据钻取分析。</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通知公告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支持集中展示由上级单位、本级管理部门或系统自动推送的重要通知、政策文件、会议安排、系统升级公告等消息。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支持每条公告以简洁摘要形式列出，包含标题、发布单位、发布时间、阅读状态（已读/未读）及重要性等级（如普通、重要、紧急），确保用户第一时间掌握关键信息，避免遗漏。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支持未读公告通过角标或颜色高亮提示，增强视觉提醒效果。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我的应用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支持以图标矩阵或列表形式，集中展示用户根据其角色权限所拥有的所有可访问应用系统入口，实现“一个门户，通达所有”的集成访问体验。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支持图标按常用度、使用频率或自定义分组排列。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支持用户拖拽排序与分组管理。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支持点击任一应用图标，系统根据应用跳转：对于卫健委自建且已集成的业务系统，支持无缝单点登录（SSO），用户无需再次输入账号密码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对于部省条线系统或外部系统，支持通过安全链接直达其官方登录页面，并可预填充账号信息（如支持）。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支持用户将常用应用添加至首页快捷区，进一步提升访问效率。</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功能直达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支持管理员根据岗位职责预设常用功能链接。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支持用户根据个人习惯自定义添加常用功能入口。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支持每个直达链接指向目标系统内的具体功能页面，支持点击后通过深度链接技术直接打开对应页面，最大限度减少操作步骤。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3.12.1.9个人中心</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密码修改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支持用户在登录状态下自主更新个人账户的登录密码，增强账户安全性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支持用户依次输入当前密码以验证身份，再填写新密码并进行二次确认，系统支持全程对密码进行前端加密传输以保障数据安全。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支持系统实时进行密码强度评估，并以可视化方式反馈合规性，引导用户设置强密码。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支持密码修改成功后，系统自动记录操作日志，并可选择性地在其他已登录终端触发安全登出，确保账户状态一致性。</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手机修改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支持用户更新绑定的手机号码，确保联系方式的准确性与时效性，便于接收系统通知、验证码及紧急提醒。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支持操作时，用户先输入原手机号接收验证码以验证当前所有权，再输入新手机号并获取二次短信验证码进行确认，实现“双端验证”机制，防止号码被恶意篡改。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支持系统对新手机号进行格式校验与唯一性检查，避免重复绑定或无效号码录入。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支持变更成功后，平台自动同步更新该用户在组织通讯录、权限系统、消息推送服务中的联系方式，并向新旧手机号分别发送变更通知，提示用户及相关管理员。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若用户因更换设备或离职等原因无法接收原手机验证码，系统支持提供“人工申诉”通道，经管理员审核后可走特殊流程完成更换，兼顾安全性与灵活性。</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安全登出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支持用户主动结束当前会话，清除本地浏览器或设备上的认证凭据。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支持点击“登出”按钮后，系统立即向认证中心发送注销请求，使当前用户的访问令牌（AccessToken）失效，防止后续非法请求。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支持系统选择性地清除本地缓存数据，避免敏感信息残留。</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对于多标签页或多个应用同时登录的场景，登出操作触发全局会话终止机制，确保所有关联系统的登录状态同步失效。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支持系统记录每次登出的时间、设备类型与IP地址。</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支持异常登录行为分析。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支持“自动登出”策略，当用户长时间无操作（如30分钟）时自动跳转至登录页。</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消息提醒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支持集中管理用户接收到的所有系统级和个人化消息。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个人中心需显示未读消息总数，并可展开查看各类消息的分类计数。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支持按时间倒序排列最新消息摘要。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支持用户点击消息数量或“查看详情”按钮后，直接跳转至“我的消息”列表页面，查阅完整内容并进行已读标记、删除或转发操作。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系统支持消息的优先级分级推送（如紧急消息弹窗提示）、多终端同步阅读状态，并可设置免打扰时段以适应不同工作场景。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支持所有消息均基于用户权限动态生成，确保信息传递的准确性与安全性。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3.12.1.10通知公告</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新增</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需支持具备权限的用户创建新的通知公告内容。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支持用户进入编辑界面后，通过富文本编辑器设置标题、正文格式、插入图片、超链接或上传附件。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支持在发布前，选择目标接收对象，支持按组织架构、角色、人员名单或自定义群组进行精准定向发布。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支持设置公告属性，如紧急程度、有效期限、是否需要回执确认等。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若内容尚未完成，支持用户点击“保存草稿”，系统自动将当前编辑内容连同格式、附件一并存入个人草稿箱，便于后续继续编辑与完善。</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草稿箱</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支持为用户提供一个私有的临时存储空间，用于管理尚未完成或暂不发布的通知公告内容。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支持用户在草稿箱中查询自己保存的所有草稿，列表需展示草稿标题、创建时间、最后修改时间及关联的附件信息。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支持按时间排序或关键词搜索快速定位。</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支持点击任一草稿条目，系统恢复原始编辑状态。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草稿箱支持对多个草稿执行批量删除操作，帮助用户清理无效内容。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支持系统设置自动保存机制（如每3分钟自动备份一次），防止因浏览器崩溃或网络中断导致内容丢失。</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支持所有草稿仅对创建者可见，保障信息私密性与安全性。</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待审核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支持集中展示当前用户有权限审核但尚未处理的通知公告列表，适用于设置了审批流程的单位或部门。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支持系统根据预设的审核规则，将待审公告推送到相应审核人任务列表中。</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列表信息需包括公告标题、发布单位、创建人、提交时间、紧急程度及目标接收范围，帮助审核人快速判断优先级。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支持用户点击查看公告详情，评估内容合规性、准确性与发布必要性。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支持对于内容不完整或存在错误的公告，可选择“退回并填写意见”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对于符合要求的，则进入“审核”环节完成审批。</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审核</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支持保障通知公告内容合规与流程规范，支持审核人对已提交的公告进行最终确认。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支持审核人在“待审核”列表中选择某条公告，进入审核页面查看完整内容、附件及发布范围，并根据组织管理制度判断是否予以通过。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系统支持填写审核意见（通过/不通过）及具体说明理由，便于发布人理解修改方向。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支持审核通过后，公告状态变更为“待发布”，进入发布队列</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若审核未通过，则状态变为“审核未通过”，并通知原创建人进行修改。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审核操作需记录审核人、时间、IP地址及审核结论，形成完整审计轨迹。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系统支持多级串联或并联审核流程配置，适应复杂组织架构下的信息发布管理需求。</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审核未通过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支持集中管理被审核人驳回的通知公告，帮助发布者及时了解问题并进行修正。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支持展示所有因内容错误、格式不规范、发布范围不当或违反政策等原因未通过审核的公告条目。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支持用户点击任一条目查看原始内容与审核意见，在此基础上进行修改和完善。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支持修改完成后重新提交审核，系统保留历史版本记录，便于追溯变更过程。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支持管理员定期分析“审核未通过”数据，识别常见问题并开展针对性培训，优化整体发布效率与规范性。</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发布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支持将已通过审核的公告正式推送给目标接收对象，完成信息传递的最后一步。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支持用户在“待发布”列表中查看所有已审核通过但尚未发布的公告，确认内容无误后点击“发布”按钮，系统即刻启动推送机制。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支持立即发布和定时发布两种模式：立即发布即时触达所有接收方</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定时发布可设定具体发布时间（如会议前提前1小时），实现精准投放。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支持发布成功后，公告状态更新为“已发布”，并生成唯一的发布编号与时间戳。</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系统支持发布前预览效果，确保格式正确。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对于重要公告，支持启用“强制弹窗”或“短信提醒”机制，确保关键信息不被遗漏。</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已发送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支持为信息发布者提供一个完整的发布历史记录库，便于追溯与复盘。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支持展示用户本人或本部门所有已成功发布的通知公告。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支持用户点击任一条目查看发布详情、原文内容、附件及阅读反馈数据。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支持按时间范围、公告类型、紧急程度等条件进行筛选与导出，用于生成信息发布报告或迎检材料。</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支持系统自动统计发布频次、覆盖人数、平均阅读率等指标，帮助管理者评估信息传达效果。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所有已发送公告支持长期归档保存，支持全文检索，满足合规审计与知识管理需求。</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已接收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支持面向普通用户，集中展示其个人接收到的所有通知公告信息，确保不会遗漏重要消息。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支持系统按时间倒序排列公告列表，每条信息显示标题、发布单位、发布时间、紧急程度标识及阅读状态（未读/已读）。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支持未读公告以加粗或角标形式突出显示，增强视觉提醒。</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支持用户点击公告即可查看完整内容。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支持附件下载、页面打印及“标记为已读”操作。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支持系统记录用户的阅读时间与设备信息，形成已读回执并反馈给发布方，便于掌握传达效果。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对于需要确认回复的公告，支持用户在阅读后提交反馈意见或电子签名，实现双向互动。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支持与移动端“苏卫通”APP消息中心实时同步，保障跨终端信息一致性。</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自定义群组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支持用户根据日常工作需要，创建并管理常用的发布对象集合，提升批量通知的效率与准确性。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支持用户新建群组，并通过组织树选择成员或手动添加特定人员，系统自动保存成员列表。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群组支持重命名、编辑成员、删除等操作，便于动态维护。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支持在发布通知时，发布者直接从“自定义群组”下拉菜单中选择目标群体，无需重复勾选人员。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支持群组仅对创建者可见，保障数据隐私。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系统支持群组使用频次统计，未来可结合AI推荐高频联系人，进一步优化信息发布体验。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3.12.1.11统计分析</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统计分析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支持丰富的统计分析工具，涵盖服务调用量统计、用户访问行为分析、功能使用热度、服务响应性能监控等多个维度。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支持按日、周、月等时间周期查看各类指标变化趋势，识别高峰期与异常波动。例如，可分析某应用接口的平均每秒调用次数（QPS）、响应时长、错误率，评估其稳定性与负载能力</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也可统计不同岗位用户对特定功能模块的使用频率，发现潜在优化点。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分析结果支持多条件筛选与组合查询，如“仅查看三级医院在近30天内的访问情况”。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系统内置智能预警机制，支持当关键指标超出预设阈值（如登录失败率突增50%）时自动触发告警，辅助运维团队快速响应。</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支持所有分析过程均可追溯原始数据来源，确保结论真实可信。</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台账生成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支持定时自动生成标准化的统计分析台账，形成结构化、规范化的运营记录档案。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台账类型需包括但不限于：用户登录台账、应用访问台账、功能直达使用台账、角色与应用授权台账等。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支持配置生成周期、存储路径及保留策略。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台账内容需包含详细字段定义与数据说明，确保可读性与一致性。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对于重要台账，支持发送邮件或站内信通知指定责任人查阅，提升信息传达效率。</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组织机构及用户分析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支持系统统计并展示全区机构的总数。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支持对注册用户进行多维分析。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支持对比不同时间段的数据变化趋势，辅助资源调配与政策制定。</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所有数据支持下钻查看，例如点击某区县可查看其下属所有机构的用户明细，实现从宏观到微观的逐层穿透分析。</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应用分析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支持系统统计并展示当前接入的应用总数、按业务领域分类的数量分布、各机构平均接入系统数等宏观指标。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支持深入分析各应用的授权情况。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支持查看单个应用的“授权增长曲线”，识别推广成效显著或滞后的系统。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支持分析结果用于评估各业务系统的价值贡献度，指导后续集成优先级与资源投入方向。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支持结合使用活跃度数据，识别“高授权低使用”的“僵尸应用”，推动系统整合与淘汰。</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使用分析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支持系统自动计算并展示关键活跃指标</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支持按组织、部门、岗位角色等维度细分活跃数据。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支持生成趋势图展示活跃度随时间的变化，识别节假日效应、政策影响或推广活动带来的波动。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对于长期不活跃用户，系统支持标记并生成清单，便于管理员开展唤醒计划或权限清理。</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排名</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支持系统基于登录次数、访问时长、功能调用频次等综合指标，自动生成“应用登录排行榜”，按日、周、月发布前10名应用名单。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排行榜支持多维度筛选，如“仅显示市级机构的应用排名”或“按基层医疗机构排序”。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支持排名结果以醒目方式在管理看板展示，并可配置为自动推送至相关责任单位，增强透明度与责任感。</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看板</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支持将各类统计分析结果以图表形式集中展示，实现“一屏掌控全局”。</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支持用户自定义创建个人或部门级看板，灵活添加折线图（展示趋势变化）、柱状图（对比数据高低）、饼图（显示占比结构）、散点图（揭示相关性）、仪表盘（监控关键指标）等多种图表类型。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支持拖拽布局、主题切换、数据联动（点击某图表联动刷新其他图表），提升交互体验。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支持预设多套模板（如“机构运营看板”、“安全审计看板”、“应用健康度看板”），满足不同角色的管理需求。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支持设置访问权限，确保敏感数据仅对授权人员可见。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支持所有看板内容定时刷新、导出或分享，是管理者进行日常监控、会议汇报与决策支持的重要工具。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3.12.1.12日志信息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日志列表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支持按时间倒序展示符合权限范围的所有日志条目。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支持按时间范围、操作类型、模块、操作结果、IP地址等多条件组合筛选，快速定位目标记录。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列表支持分页加载与导出功能，便于生成审计报告。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对于失败操作，支持以红色标识突出显示，便于安全排查。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支持用户通过点击列表项进入“日志详情”页面，查看更完整的上下文信息。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日志详情</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支持按时间倒序展示符合权限范围的所有日志条目。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支持按时间范围、操作类型、模块、操作结果、IP地址等多条件组合筛选，快速定位目标记录。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列表支持分页加载与导出功能，便于生成审计报告。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对于失败操作（如登录失败、权限拒绝），系统支持以红色标识突出显示，便于安全排查。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支持用户通过点击列表项进入“日志详情”页面，查看更完整的上下文信息。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统计图表分析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支持在原始日志数据基础上，提供强大的统计图表分析能力，将海量日志转化为直观的可视化洞察。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支持生成各类图表，如：按日/周/月统计的“操作总量趋势图”、各操作类型的“占比饼图”、不同IP地址的“地理分布热力图”、失败操作的“类型分布柱状图”等。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支持分析特定用户的操作频次、高峰时段，识别异常行为模式（如非工作时间频繁登录）。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对于机构管理员，支持生成“本机构用户操作活跃度排行榜”、“各科室权限变更统计”等管理视图。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支持分析结果嵌入自定义看板。</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支持定时刷新与告警设置。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3.12.1.13用户与组织机构同步</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用户组织机构数据初始化</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支持对接市级平台，将相城区组织机构及用户数据同步至相城。</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用户组织机构数据同步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支持对接市级平台，将在市级平台变更的用户数据同步至相城，将在相城变更的用户数据同步至市级平台，确保市级与相城组织架构与用户保持一致。</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3.12.2统一消息及业务协同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3.12.2.1“苏卫通”移动端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登录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支持通过账号密码方式进行登录认证并登入的过程。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支持通过移动端应用二维码的时候扫码完成web页面的登入操作，此过程可直接获取已经登录的移动端用户身份信息，无需输入帐号密码的过程。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支持登录完成后，用户与服务端建立网络连接，同时可以完成拉取用户相关的配置。</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通讯录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支持用户查看好友、群组和组织架构。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支持在知道姓名时，通过全局搜索查找。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支持在不清楚姓名时，通过组织机构层层查找。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常用联系人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支持显示最近沟通过的IM联系人，按照最近联系过的时间降序排序。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支持用于用户可以快速查找会话频次较高的通讯录用户，直接发起新的会话，使得高频用户更易查找。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新的好友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支持显示好友添加信息列表，并且显示相应状态。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支持用户查看自己和他人发出的好友申请。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支持用户选择同意或拒绝。</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支持新的好友页，展示好友的昵称、接受状态以及头像信息。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我的好友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支持用户查看我的好友列表，我的好友以好友名称首字母</w:t>
      </w:r>
      <w:r>
        <w:rPr>
          <w:rFonts w:hint="eastAsia" w:ascii="宋体" w:hAnsi="宋体" w:cs="宋体"/>
          <w:color w:val="auto"/>
          <w:sz w:val="21"/>
          <w:szCs w:val="21"/>
          <w:highlight w:val="none"/>
          <w:lang w:val="en-US" w:eastAsia="zh-CN"/>
        </w:rPr>
        <w:t xml:space="preserve">声</w:t>
      </w:r>
      <w:r>
        <w:rPr>
          <w:rFonts w:hint="eastAsia" w:ascii="宋体" w:hAnsi="宋体" w:cs="宋体"/>
          <w:color w:val="auto"/>
          <w:sz w:val="21"/>
          <w:szCs w:val="21"/>
          <w:highlight w:val="none"/>
        </w:rPr>
        <w:t xml:space="preserve">序排列。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支持展示好友的名称、头像等信息。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支持按照首字母分组排序，以及支持好友昵称的模糊搜索功能。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我的群组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支持用户查看自己加入和创建的群组，点击则进入相应的群聊会话。</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支持群组根据我创建以及我加入两种场景进行分列，切换可以展示不同场景的群组列表。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全部联系人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支持显示全部联系人并按照姓名首字母升序排序。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支持根据字母分区。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支持针对联系人的模糊搜索操作。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支持展示对应的联系人昵称、头像缩略图以及所在的组织架构。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组织机构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支持显示组织机构，普通用户：从上向下，展现3级</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白名单用户：全部展示。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支持用户展示其昵称、头像以及所在的组织架构。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支持普通用户按照+3展示对应的上下级人员信息，白名单用户可以全部预览。</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会话</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支持单人会话、群组会话和临时会话。</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支持会话快捷操作、会话管理、群管理等设置。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会话列表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会话列表需包含单人会话、群组会话，临时会话等。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支持消息列表排序规则，按照每个会话最后一条消息的发送时间降序排列。</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会话列表需显示会话名称、最后一条信息和时间，会话未读信息数量等元素。</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会话列表支持显示“@我”“特别关注”“稍后处理”功能，支持显示最大未读消息数量。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会话管理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支持会话创建、移除会话。</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支持会话创建，针对通讯录当中用户发送消息之后，对应的会话将保留在会话列表。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支持移除会话，通过左滑展示对应的删除按钮，一键删除对应的会话。</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快捷操作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支持会话快捷操作</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移动版本支持左滑快捷设置置顶、移除功能。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Pad版本支持长按、PC版本支持鼠标右键设置置顶、移除、消息免打扰、一键已读、快捷清空聊天记录等功能，如果会话类型为群组，还可以快捷选择群设置。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会话设置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会话设置分为成员管理、群管理。</w:t>
      </w:r>
      <w:r/>
    </w:p>
    <w:p>
      <w:pPr>
        <w:ind w:firstLine="420"/>
        <w:spacing w:line="440" w:lineRule="exact"/>
        <w:tabs>
          <w:tab w:val="left" w:pos="420" w:leader="none"/>
        </w:tabs>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成员管理支持添加、移除群成员</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群设置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支持查看群二维码、设置、解除消息免打扰。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支持置顶会话。</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支持群主解散群。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支持修改用户在本群的昵称，可以对群做备注，置顶聊天以及群消息开启免打扰。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支持可以修改群名称，群描述，以及发起群公告。</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支持扫描群二维码入群。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群管理</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群设置支持修改群名称、群介绍，展示群成员列表。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支持转让群主、配置管理员。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支持生成二维码。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支持退出群解散群、置顶群、消息免打扰操作。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支持解散群，或者清空群聊天记录。</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群成员</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支持添加、移除成员，展示群成员列表。</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支持从通讯录列表，选择对应的用户（按好友选、按架构选），添加入群。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支持展示已选择用户列表。</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消息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支持用户发送多种消息类型，方便用户发送和接收不同类型的消息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消息类型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支持文字、语音、图片、短视频、卡片、位置、表情等多种消息类型。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位置消息和语音消息，移动和PAD版本支持发出和查看，PC端仅支持查看。</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消息操作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支持消息已读、未读、复制、回复、删除、转发、收藏、撤回、稍后处理等操作。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支持群主、管理员撤回其他用户发的信息。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消息查询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支持搜索查找历史消息。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支持查看对应的消息发送人、发送时间，以及命中的发送消息具体内容，并通过加亮的方式显示。</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音视频通话和多人会议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支持音频、视频通话，支持静音、解除静音、邀请好友入会、全员静音的操作。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支持1:1的音频或视频通话。</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多人会议，需在约定的人数限制范围内发起。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语音通话</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支持进入会话聊天页面后，点击通话按钮，选择通话类型为语音通话。</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等待对方接听语音电话，支持可以设置是否静音和听筒模式。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支持完成音频通话之后，双方均可以发起结束音频会话操作。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视频通话</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支持视频通话，支持一对一视频通话，可以进行静音、关闭摄像头操作</w:t>
      </w:r>
      <w:r>
        <w:rPr>
          <w:rFonts w:hint="eastAsia" w:ascii="宋体" w:hAnsi="宋体" w:cs="宋体"/>
          <w:color w:val="auto"/>
          <w:sz w:val="21"/>
          <w:szCs w:val="21"/>
          <w:highlight w:val="none"/>
          <w:lang w:eastAsia="zh-CN"/>
        </w:rPr>
        <w:t xml:space="preserve">。</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支持双方均发起音视频通话。</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支持通话完成后，双方均可以结束对话。</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多人会议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预约会议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支持创建预约会议，可以查看预约列表并邀请参会人。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预约完成后，支持查看预约会议的具体信息，包含会议时间、会议主题，暴露开始会议的链接入口。</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发起会议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预约完成的会议，支持邀请新的成员、查看成员状态、复制入会号等信息。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支持用户通过开始会议的入口发起会议。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支持用户选择参会成员立即开始会议。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加入会议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支持用户通过邀请、入会号等方式加入会议。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会议发起人员如果清楚知道具体参会人信息，支持选择并发起呼叫的方式邀请入会。</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如果不清楚参会人员信息，需要参会人员自行加入会议，支持通过入会号加入会议。</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全局内容检索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支持联系人、群组、消息等全局内容检索。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会话内消息检索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支持会话内消息、文件、图片/视频、链接等内容检索。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支持检索完成的结果，高亮显示匹配的内容信息。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全局检索议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支持全局搜索，根据搜索文字进行模糊匹配，匹配联系人、群组、聊天记录内容并展示。</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支持展示部分联系人、群组和聊天内容，如果内容</w:t>
      </w:r>
      <w:r>
        <w:rPr>
          <w:rFonts w:hint="eastAsia" w:ascii="宋体" w:hAnsi="宋体" w:cs="宋体"/>
          <w:color w:val="auto"/>
          <w:sz w:val="21"/>
          <w:szCs w:val="21"/>
          <w:highlight w:val="none"/>
          <w:lang w:eastAsia="zh-CN"/>
        </w:rPr>
        <w:t xml:space="preserve">多于</w:t>
      </w:r>
      <w:r>
        <w:rPr>
          <w:rFonts w:hint="eastAsia" w:ascii="宋体" w:hAnsi="宋体" w:cs="宋体"/>
          <w:color w:val="auto"/>
          <w:sz w:val="21"/>
          <w:szCs w:val="21"/>
          <w:highlight w:val="none"/>
        </w:rPr>
        <w:t xml:space="preserve">3条，则展示前3条，并且显示查看更多按钮，点击则跳转对应的标签页。</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我的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支持展示用户的信息。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支持查看姓名、收藏消息、二维码等信息，不支持修改姓名、手机号、组织架构等数据。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作为系统功能的入口，支持查看跟处理当前用户相关的设置。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我的收藏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支持收藏、查看和修改消息。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支持完成消息的收藏操作。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支持用户在收藏中查看并管理自己收藏的消息。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支持增删改收藏标签。</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支持查看、删除收藏消息，收藏的消息按照收藏时间由新到旧排序。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我的二维码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支持用户展示自己的二维码，其他客户可以扫码添加，同时支持下载保存二维码。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支持通过对应的二维码扫码，进行用户识别跟添加操作。</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白名单用户</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支持白名单权限控制。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支持白名单之间自由聊天，非白名单之间可以自由聊天</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白名单标签的领导，白名单领导最后一条消息发送时间与非白名单用户有12小时自由通话时间。</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支持首次创建，双方均提醒为临时会话。</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支持超过12小时后，非白名单用户要回复白名单，支撑出现提示，需加好友才能继续会话。支持仅对非白名单用户提醒并注明：当前为临时会话，当前会话已超时，需加好友继续会话。</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支持非白名单找白名单领导聊天，必须加好友，才能聊天语音。</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支持白名单用户之间进行拉群，非白名单用户不能拉白名单用户入群。</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对接PC门户消息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支持通过定制开发的方式，将PC门户消息通过对接IM自定义通知消息API，对单用户进行系统消息通知。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支持用户直接在IM的对话框，通过系统消息的方式，获取到对应的PC门户消息细节。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3.12.2.2消息推送引擎</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支持与统一用户中心、组织架构、权限系统深度集成，实现基于角色、部门、岗位、自定义群组的精准定向推送。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3.12.2.3多渠道消息发送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支持根据消息类型、紧急程度与用户偏好，选择最优的传输通道进行信息投递。</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短信发送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支持向用户绑定的手机号发送文本消息，适用于高优先级、需即时确认的场景，如登录验证码、密码重置等。</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系统通知</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支持在平台内部（Web端与“苏卫通”APP）通过弹窗、站内信、消息中心角标等形式推送消息，适用于非紧急但需用户知晓的信息，如普通公告发布、审批结果反馈、新应用上线提醒等。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系统通知支持携带操作按钮（如“立即处理”），实现消息与业务的闭环。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多渠道整合</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支持引擎与“苏卫通”移动端深度集成，确保消息在APP内实时接收、状态同步（已读/未读）。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支持离线推送。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支持用户在移动端直接查看消息详情、处理关联业务，实现“消息即服务”的移动办公模式。</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3.12.2.4协同业务事项</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支持具备权限的管理员或业务负责人将需要跨系统协作的业务流程在平台上进行标准化登记。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支持注册时填写事项的核心元数据。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支持注册成功后，事项进入“未发布”状态，仅对创建者和审核人员可见。</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编辑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支持事项创建者或具有管理权限的用户对已注册但未发布或已发布的协同业务事项信息进行修改和更新。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支持用户修改事项的名称、描述、应用系统归属、图标、目标URL地址等核心属性。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系统支持版本管理，每次编辑操作均生成新的版本记录，保留历史变更内容，便于追溯。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对于已发布的事项，支持编辑后重新提交审核（根据平台策略），确保变更内容合规。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支持编辑界面与注册界面一致，操作流程熟悉，降低使用门槛。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支持所有编辑操作均记录详细日志。</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发布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支持将已注册并审核通过的协同业务事项正式推向使用环境。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支持发布前，系统进行最终校验，确保所有必填信息完整、URL有效、图标可加载。</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下架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支持用于临时或长期停止某个协同业务事项的对外服务，但保留其在系统中的所有元数据和历史记录，以便未来可能的恢复。</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当某项业务因系统维护、流程调整、政策变更等原因需要暂停时，支持管理员执行下架操作。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支持下架后，该事项从所有用户的功能入口中移除，用户无法再发起新的协同请求，但已发起的流程可继续处理直至完成。</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注销</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支持对完全废弃、永久不再需要的协同业务事项执行的最终清除操作。</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注销是不可逆的，通常在业务系统退役、事项被新流程完全替代或经长期评估确认无使用价值后执行。</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协同业务事项授权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支持确保只有被授权的应用、机构、科室或人员才能发起或参与特定的协同业务。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支持管理员根据组织架构、业务角色或自定义群组，为已发布的协同事项分配访问权限。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支持授权信息与统一权限控制引擎联动，当用户尝试访问未授权事项时，系统支持拒绝并提示。</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支持为用户提供一个信息检索入口，支持用于查找和管理平台内所有已注册的协同业务事项。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支持用户通过关键词、分类、所属系统、发布状态、创建时间等多维度条件进行筛选和搜索，快速定位目标事项。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支持点击任一事项条目，进入“服务详情”页面，查看其完整信息。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详情页还需包含授权信息，展示当前已被授权的机构、科室或用户列表，便于了解服务覆盖范围。</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3.12.2.5协同业务场景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协同场景注册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支持创建一个新的协同业务场景的初始步骤，允许管理员或业务设计者在平台上定义场景的全局属性与基础框架。</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注册时支持填写场景名称、详细描述、推送终端。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协同场景修改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支持授权用户对已注册但未发布或已发布的协同业务场景的基本信息进行调整和优化。</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支持用户修改场景的名称、描述、推送终端范围、发送对象类型等核心属性。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支持版本控制，每次修改均生成新的版本记录。</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协同场景注销</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支持对已确认永久废弃、不再使用的协同业务场景执行的彻底清除操作，标志着该场景及其所有配置从平台中移除。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支持在业务流程完全被替代、相关系统下线或经长期评估确认无价值后进行。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支持执行注销前，系统进行严格的安全检查，确保该场景无正在进行的协作流程，且无关联的应用系统或用户正在依赖其服务。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支持注销成功后，该场景的所有入口、API、消息回调等均失效。</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协同场景授权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支持只有被授权的应用系统才能调用或集成该场景。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与针对用户或机构的授权不同，此授权是面向“应用系统”的，支持用于建立系统间的协作关系。</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授权过程在管理后台完成，支持管理员选择目标场景和需要授权的应用系统（通过其AppID识别）。</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授权后，支持目标系统通过平台提供的API接口，携带有效凭证来启动该场景。</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协同场景参数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支持定义调用该协同业务场景时所需传递的输入数据结构。</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参数定义支持采用结构化方式，明确列出调用方必须或可选提供的信息字段。</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支持定义每个参数的名称、数据类型、是否必填、默认值及描述。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平台提供参数定义界面，支持添加、编辑、删除参数项。这些参数在场景被调用时由发起系统传入，并在后续的流程执行、消息卡片生成、业务事项触发中被引用，确保信息的准确传递与上下文关联。</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协同场景事项</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支持建立协同业务场景与具体“协同业务事项”的关联关系，将原子化的业务操作整合到一个宏观的协作流程中。</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支持一个协同场景关联一个或多个协同业务事项，这些事项构成了场景执行过程中的具体步骤。</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当场景被启动时，支持平台根据预设逻辑，自动引导用户或系统执行这些关联事项，或将其作为待办任务推送给相关人员。</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协同场景配置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机器人配置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支持管理员为场景指定一个或多个“机器人”（Bot），这些机器人在群聊中作为虚拟成员存在，负责自动执行任务，如接收指令、查询信息、更新状态、推送提醒、调用API等。</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支持配置时定义机器人的名称、头像、功能权限及响应逻辑。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对接群安装协同应用回调信息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支持确保当场景在群聊中被使用时，平台能正确接收来自消息引擎（“苏卫通”群聊）的事件回调。</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支持管理员配置回调URL、验证Token等信息，使平台服务器能安全地接收群内的消息、按钮点击、卡片提交等事件，并据此驱动场景流程的下一步。</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协同场景消息卡片配置</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支持呈现给用户交互式消息卡片，提升信息展示的丰富性与操作的便捷性。</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支持管理员配置卡片的标题、内容区域。</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支持配置每个按钮可的行为。</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协同场景业务请求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支持实现在协同场景的执行过程中，向其关联的、且用户或机构有权限访问的协同业务事项发起调用的能力。</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当场景流程推进到需要执行具体业务操作时，支持系统自动或根据用户在消息卡片上的点击，调用此功能。</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支持首先检查目标业务事项的授权状态，确保调用方（用户或系统）具备相应权限。</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支持利用在“协同场景参数”中定义的上下文数据，填充目标事项所需的请求参数。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支持通过统一认证接口服务，以安全的方式向目标业务系统发起请求，触发该事项的处理流程。</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协同场景业务推送</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支持接收来自关联的协同业务事项的状态更新或结果信息，并将其转化为结构化的消息卡片，主动推送到预设的群聊或单聊会话中，实现信息的闭环反馈。</w:t>
      </w:r>
      <w:r/>
    </w:p>
    <w:p>
      <w:pPr>
        <w:ind w:firstLine="422"/>
        <w:spacing w:line="440" w:lineRule="exact"/>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协同业务场景查询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支持为管理员和授权用户提供一个全面的信息视图，用于检索、浏览和审计平台内所有的协同业务场景。</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支持用户通过场景名称、关键词、创建时间、状态等条件进行筛选和搜索。查询结果以列表形式展示，点击任一场景可进入“详情”页面。</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3.12.3应用集成服务</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3.12.3.1统一用户认证接入支撑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支持将相城本地个性化的应用接入协同平台。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支持开展接入咨询与技术指导，帮助各应用系统充分理解协同平台的接入流程、接口规范及数据交换要求。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支持协助完成联调测试，涵盖用户认证、组织机构同步、数据接口调用等关键交互环节，全程跟踪问题整改与接入进度。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支持提供上线切换保障服务，制定切换方案，协调资源，确保各系统在正式接入协同平台后实现平稳过渡与稳定运行。</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3.12.3.2协同场景建设支撑</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支持将相城本地个性化的应用协同接入协同平台。</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支持开展对接咨询与技术指导，帮助各场景应用方准确理解接入标准、接口协议及消息卡片配置等技术要求。</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支持联调测试，重点协助完成与协同卡片消息推送及弹窗等关键功能的对接验证，全程跟踪问题闭环与接入进度。</w:t>
      </w:r>
      <w:r/>
    </w:p>
    <w:p>
      <w:pPr>
        <w:ind w:firstLine="420"/>
        <w:spacing w:line="440" w:lineRule="exact"/>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支持提供上线切换保障服务，确保各协同场景在正式运行环境中稳定、可靠地发挥作用。</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4综合监管中心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4.1区域医疗综合监管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4.1.1区域医疗统一运营监管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4.1.1.1统一人力资源监管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核心指标分析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支持从基本情况、卫生技术人员分析和趋势分析三大维度，对卫生人员总量、技术构成及关键配比指标进行多期监测与对标。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基本情况统计指标包括：卫生人员总数、卫生技术人员数、编制人数、编外人员数、医护比、每千人口医师人数、每千人口医师数、每千人口护士数。</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卫生技术人员分析统计指标包括：卫生技术人员构成、年龄分布、性别分布、职称构成、学历构成。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趋势分析统计指标包括：各指标近5年趋势、各指标本年度趋势。</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人力资源明细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支持机构人力资源明细统计功能，对各机构的卫生人员配置数据进行全量记录与可追溯查询。</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4.1.1.2统一财务运营监管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财务洞察总览</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支持通过关键财务指标的实时监控与多期对比，对核心财务数据进行深度分析。统计指标包括：总收入、总支出、收支比、医疗收入、业务活动费用、总资产、总负债、资产负债率。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收支管理分析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支持收入分布、支出构成及医保内外收入占比等多维度分析，对区域医疗财务收支进行深度下钻与结构优化。</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统计指标包括：总收入分布、总支出分布、门诊住院收入分布、医保内外收入分布、门诊总收入分布、住院总收入分布。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财务趋势分析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支持对关键财务指标的长期趋势追踪，进行多期对比与规律分析。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统计指标包括：总费用与总支出趋势、资产与负债趋势、医疗总收入趋势。</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财务机构分析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支持通过各医疗机构财务指标的横向对比与排名分析，对财务数据进行机构维度解析。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统计指标包括：各医疗机构的总收入、总支出、医疗活动收入、医疗活动费用、资产总计、负债总计。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4.1.1.3统一物资耗材监管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支持设备管理总览、设备管理分析、设备管理机构表和设备管理明细表四大维度，对设备的数量、价值、分布及使用状态进行全方位监控与效益评估。</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设备管理总监统计指标包括：设备总数、设备总额、万元以上设备数、万元以上设备总额、万元以上设备数量占比、万元以上设备金额占比。</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设备管理分析统计指标包括：设备采购数量月趋势、设备采购金额月趋势、设备入库数量月趋势、设备入库金额月趋势、设备出库数量月趋势、设备出库金额月趋势、设备类型分布等。</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设备管理机构表统计指标包括：各机构的设备数量、设备总值、万元以上设备数量、万元以上设备总值。</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设备管理明细表统计指标包括：设备名称、设备分类、所属单位、采购数量、采购单价、采购时间、生产日期、设备用途。</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4.1.2区域</w:t>
      </w:r>
      <w:r>
        <w:rPr>
          <w:rFonts w:hint="eastAsia" w:ascii="宋体" w:hAnsi="宋体" w:eastAsia="宋体" w:cs="宋体"/>
          <w:color w:val="auto"/>
          <w:sz w:val="21"/>
          <w:szCs w:val="21"/>
          <w:highlight w:val="none"/>
          <w:lang w:eastAsia="zh-CN"/>
        </w:rPr>
        <w:t xml:space="preserve">医疗</w:t>
      </w:r>
      <w:r>
        <w:rPr>
          <w:rFonts w:hint="eastAsia" w:ascii="宋体" w:hAnsi="宋体" w:eastAsia="宋体" w:cs="宋体"/>
          <w:color w:val="auto"/>
          <w:sz w:val="21"/>
          <w:szCs w:val="21"/>
          <w:highlight w:val="none"/>
        </w:rPr>
        <w:t xml:space="preserve">服务监管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4.1.2.1区域医疗诊疗服务监管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门急诊</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支持整体概况和门急诊就诊构成深度分析两大维度，对区域医疗内门急诊服务总量、结构特征及变化趋势进行统一监测与多维度剖析。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整体概况统计指标包括：门急诊人次、门诊人次、急诊人次、中医诊疗人次、预约诊疗人次、近5年门急诊趋势、本年度门急诊趋势。</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门急诊就诊构成分析统计指标包括：按机构类型分析、按科室分类分析、门诊就诊机构排行、各机构门诊就诊情况。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住院</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支持整体概况和住院就诊构成深度分析两大维度，对区域医疗内住院服务总量、患者流向及效率指标进行统一监测与多维度分析。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整体概况统计指标包括：出院人次、二三级医院出院人次、入院人次、二三级医院入院人次、门诊出院人次比、二三级医院出院人次比、近5年住院就诊趋势、本年度住院就诊趋势。</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住院就诊构成分析统计指标包括：按机构类型构成分析、按科室分类构成分析、住院就诊机构排行、各机构住院就诊情况。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手术</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支持整体概况和手术构成深度分析两大维度，对区域医疗内手术服务总量、技术结构及难度分布进行统一监测与多维度评估。</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整体概况统计指标包括：出院患者手术台次数、日间手术台次数、出院患者微创手术台次数、出院患者四级手术台次数、出院患者三级手术台次数、出院患者手术占比、日间手术占择期手术比等。</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手术量业务构成分析统计指标包括：按机构类型分析、手术量机构排行、各机构手术情况。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检查检验</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支持整体概况和检查检验业务构成深度分析两大维度，对区域医疗内检查检验服务总量、项目分布及机构协同情况进行统一监测与多维度剖析。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整体概况统计指标包括：检查人次、二三级医院检查人次、检验人次、二三级医院检验人次、病理人次、二三级医院病理人次、近5年检查检验趋势、本年度检查检验趋势、检查检验项目服务人次排行。</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检查检验业务构成分析统计指标包括：按机构类型分析、检查检验机构排行、各机构检查检验情况。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医疗效率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支持通过整体概况和医疗效率深度分析两大维度，对区域医疗内医师工作负荷、床位使用效率等核心效率指标进行统一监测与多维度对标。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整体概况统计指标包括：每名执业医师日均门诊工作负担、每名执业医师日均住院工作负担、床位使用率、平均住院日、近5年趋势、本年度趋势。</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医疗效率分析统计指标包括：按机构类型分析、医疗效率机构排行、各机构医疗效率情况。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4.1.2.2区域医疗质量安全监管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手术质量</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支持整体概况和手术质量深度分析两大维度，对区域医疗内手术并发症、感染率等质量指标进行统一监测与多维度比对。</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整体概况统计指标包括：手术患者并发症发生率、手术患者并发症发生例数、出院患者手术台次数、Ⅰ类切口手术部位感染率、Ⅰ类切口手术部位感染病例数、Ⅰ类切口手术台次数、近5年手术质量趋势等。</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手术质量分析统计指标包括：按机构类型分析、手术质量机构排行、各机构手术质量情况。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单病种质量</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支持整体概况和单病种质量深度分析两大维度，对区域医疗内单病种诊疗效率、费用进行统一监测与多维度比较。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整体概况统计指标包括：单病种例数、平均住院日、出院患者占用总床日数、次均费用、总出院费用、单病种病死率、病死人数、近5年趋势、本年度趋势。</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单病种质量分析统计指标包括：按机构类型分析、单病种机构排行、各机构情况。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4.1.2.3区域医疗药品使用监管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基本药物</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支持整体概况和基药使用深度分析两大维度，对区域医疗内基本药物使用率、品种配置等进行统一监测与多维度评估。</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整体概况统计指标包括：门诊患者基本药物处方占比、门诊患者基本药物处方使用占比、住院患者基本药物使用率、住院患者基本药物种类使用占比、近5年基药使用趋势、本年度基药使用趋势。</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基药使用分析统计指标包括：按机构类型分析、基药使用机构排行、各机构基药使用情况。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抗菌药物</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支持整体概况和抗菌药物使用深度分析两大维度，对区域医疗内抗菌药物使用强度、使用率等进行统一监测与多维度对标。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整体概况统计指标包括：抗菌药物使用率、住院患者住院抗菌药物使用率、抗菌药物使用强度（DDDs）、近5年抗菌药物使用趋势、本年度抗菌药物使用趋势。</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抗菌药物使用分析统计指标包括：按机构类型分析、抗菌药物使用机构排行、各机构抗菌药物使用情况。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4.1.2.4区域医疗收支运营监管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医疗收入</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支持整体概况和医疗收入深度分析两大维度，对区域医疗内医疗收入总量、结构特征及变化趋势进行统一监测与多维度剖析。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费用控制</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支持整体概况和费用控制深度分析两大维度，对区域医疗内均次费用、费用结构及增长趋势进行统一监测与多维度比较。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费用控制分析统计指标包括：按机构类型分析、按机构等级分析、费用控制机构排行、各机构费用控制情况。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4.1.3区域医疗公卫服务监管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4.1.3.1区域医疗基本公卫监管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健康档案</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支持整体概况和健康档案管理深度分析两大维度，对区域医疗内健康档案建档率、电子化率及使用活跃度进行统一监测与多机构对标。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健康档案管理分析统计指标包括：按建档人群分析、机构排行、各机构健康档案管理情况。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健康教育</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支持整体概况和健康教育管理深度分析两大维度，对区域医疗内各类健康教育活动的资源投入、实施覆盖面及实施效果进行统一监测与多维度分析。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健康教育管理分析统计指标包括：机构排行、各机构健康教育开展情况。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预防接种</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支持整体概况和预防接种管理深度分析两大维度，对区域医疗内预防接种建证率、疫苗接种覆盖率及接种安全进行统一监测与多期追踪。</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预防接种管理分析统计指标包括：机构排行、各机构预防接种情况。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0~6岁儿童健康管理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支持整体概况和0—6岁儿童健康管理深度分析两大维度，对区域医疗内儿童健康管理率、新生儿访视率等核心指标进行统一监测与多机构比较。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0—6岁儿童健康管理分析统计指标包括：机构排行、各机构情况。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孕产妇健康管理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支持整体概况和孕产妇管理深度分析两大维度，对区域医疗内早孕建册率、产后访视率等关键指标进行统一监测与多期对比。</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孕产妇健康管理分析统计指标包括：机构排行、各机构健康教育开展情况。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老年人健康管理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支持整体概况和老年人健康管理深度分析两大维度，对区域医疗内老年人健康管理率及服务覆盖情况进行统一监测与多维度评估。</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整体概况统计指标包括：65岁以上老年人数、65岁以上老年人健康管理数、老年人健康管理率、近5年趋势、本年度趋势。</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老年人健康管理分析统计指标包括：机构排行、各机构老年人健康管理情况。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高血压患者管理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支持整体概况和高血压患者管理深度分析两大维度，对区域医疗内高血压患者管理率、规范管理率及血压控制率等核心指标进行统一监测与多机构对标。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整体概况统计指标包括：高血压患者管理率、高血压患者规范管理率、管理人群血压控制率、高血压患者管理体检率、高血压患者管理规范随访率、近5年趋势、本年度趋势。</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高血压患者管理分析统计指标包括：机构排行、高血压人群分布情况、各机构高血压患者管理情况。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型糖尿病患者管理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支持整体概况和糖尿病患者管理深度分析两大维度，对区域医疗内糖尿病患者管理率、规范管理率及血糖控制率等关键指标进行统一监测与多期追踪。</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糖尿病患者管理分析统计指标包括：机构排行、糖尿病人群分布情况、各机构糖尿病患者管理情况。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4.1.4区域医疗远程医疗监管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4.1.4.1区域医疗业务协同监管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双向转诊</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支持整体概况、转诊分析和转诊明细三大维度，对上转、下转人次、比例、机构参与情况及病种分布进行统一展示与深度下钻。</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转诊分析统计指标包括：转诊患者基本情况、门诊住院转入趋势、转诊机构排名、转诊诊断疾病、转诊科室分布。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转诊明细统计指标包括：患者姓名、性别、年龄、转诊类型、转诊方向、转出机构、转出科室、转诊日期时间、诊断结果、转入机构、转入科室、转诊原因。</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对区域双向转诊数据统一展示分析，包含整体概况、转诊分析和转诊明细等维度，可查看各运营指标不同时间跨度数据。</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远程会诊</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支持总体概况、会诊分析和会诊明细三大维度，对会诊申请量、报告量、参与机构数量及疾病谱分布进行统一展示与多维度剖析。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会诊分析统计指标包括：会诊患者基本情况、申请会诊机构排名、疾病诊断分布。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会诊明细统计指标包括：患者姓名、性别、年龄、申请机构、申请日期、申请医生、申请原因、会诊机构、会诊医生、报告诊断、报告时间。</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4.1.4.2区域医疗资源共享监管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区域影像</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支持总体概况、影像分析和影像明细三大维度，对影像检查项目数、申请与报告人次、报告率、诊断费用及机构协同情况进行统一展示与多维度分析。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影像分析统计指标包括：检查项目排行、影像检查类型、影像检查结果、危机值提示、影像诊断费用、各申请机构报告情况。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影像明细统计指标包括：患者姓名、性别、年龄、检查类别、检查项目、检查部位、申请机构、申请科室、申请日期、报告机构、报告日期、检查结果、检查费用。</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区域心电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支持总体概况、心电分析和心电明细三大维度，对心电检查项目数、申请与报告人次、报告率、诊断费用及机构覆盖情况进行统一展示与趋势追踪。</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心电分析统计指标包括：远程心电异常占比、患者来源分布、心电类别分布、远程心电诊断病种统计、远程心电危急占比、患者年龄性别分布、远程心电受邀量时间趋势、远程心电申请量时间趋势等。</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心电明细统计指标包括：患者姓名、性别、年龄、申请机构、申请医生、受邀机构、受邀医生、检查项目名称、检查时间、是否异常、是否危急值、诊断名称、报告时间、报告医生。</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区域检验</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支持总体概况、检验分析和检验明细三大维度，对检验项目数、申请与报告人次、报告率、总费用及危急值提示等情况进行统一展示与深度下钻。</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检验分析统计指标包括：检验项目排行、检验类别分布、危机值提示、检验总费用分布、各申请机构报告情况。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检验明细统计指标包括：患者姓名、性别、年龄、检验类别、检验项目、申请机构、申请科室、申请日期、报告机构、报告日期、检验结果、检验费用。</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区域病理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支持总体概况、病理分析和病理明细三大维度，对病理检查的申请量、受理量、报告量、报告率及诊断费用进行统一展示与深度分析。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理分析统计指标包括：病理检查患者基本情况（门诊、住院）、病理检查人次趋势（门诊、住院）、诊断费用（门诊、住院）、检验总费用分布、各申请机构报告情况、病理检查项目名称、病理检查处理方法等。</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病理明细统计指标包括：患者姓名、性别、年龄、申请机构、申请日期、报告机构、报告日期、病理检查项目、病理检查处理方法、病理检查部位、病理检查诊断名称。</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4.2领导驾驶舱</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4.2.1实时门诊大屏</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支持核心指标、实时态势、疾病诊断、检验检查及明细记录5大可视化模块，对区域门急诊业务进行实时感知、趋势分析与异常提示。</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4.2.1.1核心指标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指标包括：当日门诊人次、当日急诊人次、近7日门急诊人次、当月门急诊人次、当年门急诊人次、当日挂号人次。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4.2.1.2门诊实时态势</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指标包括：当日分时门诊人次、近7日门诊人次趋势、当月门诊人次趋势、当年门诊人次趋势、门诊与急诊人次占比。</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4.2.1.3疾病诊断监测</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指标包括：门诊主要诊断疾病人次排名。</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4.2.1.4检验检查监测</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指标包括：门诊检验人次。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4.2.1.5实时门诊明细记录</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指标包括：患者姓名（脱敏展示）、证件号码（脱敏展示）、就诊日期时间、医疗机构、就诊科室、诊断疾病。</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4.2.2综合监管大屏</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支持医疗服务总览、费用结构、工作负荷、质量安全和机构明细4大可视化模块，对门急诊、住院、手术、用药、检验检查及收费结算进行多维度监管分析。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4.2.2.1医疗服务总览</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指标包括：门急诊总人次、入院总人次、出院总人次、在院人次、检查申请人次、医疗总费用。</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4.2.2.2医疗费用与收入结构</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指标包括：门诊总费用、住院总费用、门诊次均费用、住院次均费用、自付金额及占比、医保基金支付金额及占比、药品费用、检查费用、化验费用、治疗费用、手术费用、材料费用。</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4.2.2.3工作负荷</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指标包括：各机构门急诊人次、各机构入出院人次、各科室门急诊人次、各科室住院人次、各机构手术/操作例数、各机构检验检查申请量。</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4.2.2.4机构明细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指标包括：各机构门急诊人次、入院人次、出院人次、平均住院日、手术/操作例数、医疗总费用、门诊次均费用、住院次均费用。</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4.2.2.5公共卫生驾驶舱</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支持核心指标、健康档案、妇幼健康、老年健康、中医药服务、慢性病管理、传染病防控、预防接种八大可视化模块，对12类基本公卫服务进行全过程监测与效果评价。</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核心指标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指标包括：建档人数、老年人管理率、孕产妇管理率、建证率。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健康档案管理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指标包括：建档率、使用率、动态更新率。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妇幼健康管理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指标包括：新生儿访视率、0—6岁儿童健康管理率、早孕建册率、产后访视率。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老年人健康管理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指标包括：接受健康管理人数、老年人健康管理率。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中医药健康管理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指标包括：65岁以上老人中医药健康管理率、0-36月儿童中医药健康管理率。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高血压健康管理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指标包括：高血压规范管理率、管理人群血压控制率、高血压患者规范管理人数、最近一次随访血压达标人数、已管理的高血压患者人数。</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糖尿病健康管理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指标包括：糖尿病规范管理率、管理人数血糖控制率、糖尿病患者规范管理人数、最近一次随访血糖达标人数、已管理的糖尿病患者人数。</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传染病及突发公共卫生事件统计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指标包括：登记传染病病例数、报告传染病病例数、传染病疫情报告及时率、突发公共卫生事件数、报告突发公共卫生事件数、突发公共事件报告及时率。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预防接种管理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指标包括：各传染病疫苗接种情况。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4.2.3协同业务大屏</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支持双向转诊、区域影像、区域检验和会诊协同四类区域协同业务，对申请、流转、执行、报告和服务效率进行全过程监测，推动医疗资源共享与跨机构协同。</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4.2.3.1双向转诊驾驶舱</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核心指标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指标包括：当年转出人次、累计转出人次、当年回转人次、累计回转人次、转诊患者数、参与转诊机构数。</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转诊趋势</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指标包括：转出人次月度趋势、回转人次月度趋势、门诊转诊趋势、住院转诊趋势。</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机构转诊排名</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指标包括：转出机构人次排名、转入机构人次排名、转出科室人次排名、转入科室人次排名。</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转诊明细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指标包括：患者姓名（脱敏展示）、性别、证件号码（脱敏展示）、转诊类型、转诊日期、转诊原因、诊断、转出机构及科室、转入机构及科室、转诊医生。</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4.2.3.2区域影像驾驶舱</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支持区域影像概况、费用分析、类型统计、地理分布、机构对比、科室分析、效能排名七大可视化模块，对影像检查申请量、报告量、诊断费用及资源利用效率进行多维度动态监测。</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区域影像概况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指标包括：覆盖机构、报告率、申请量、报告量。</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影像总费用</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指标包括：区域影像总收入金额、区域影像总收入金额较上年增幅。</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影像类型统计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指标包括：各影像类型报告量及占比</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地图数据</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指标包括：各区域机构申请量、各区域机构报告量。</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申请报告量机构分布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指标包括：各区域机构申请量、各区域机构报告量。</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影像申请科室占比</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指标包括：各科室申请量及占比。</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影像报告率机构排名</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指标包括：各区域机构报告率排名。</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4.2.3.3区域检验驾驶舱</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支持区域检验概况、费用分析、类型统计、机构对比、科室分析、效能排名6大可视化模块，对检验项目申请量、报告量、检验费用及资源利用情况进行实时追踪与多维度分析。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区域检验概况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指标包括：覆盖机构、报告率、申请量、报告量。</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检验总费用</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指标包括：区域检验总收入金额、区域检验总收入金额较上年增幅。</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检验类型统计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指标包括：各检验类型报告量及占比</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申请报告量机构分布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指标包括：各区域机构申请量、各区域机构报告量。</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检验申请科室占比</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指标包括：各科室申请量及占比。</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4.2.4区域医疗监管大屏</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4.2.4.1人力资源驾驶舱</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支持核心指标、性别年龄分布、技术人员构成、职称结构、学历构成、年度趋势、辖区分布、岗位类别八大可视化模块，对区域医疗人才队伍的数量、结构、分布及变化趋势进行全方位监测与分析。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核心指标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指标包括：职工总数、在编人员总数、编外人员总数、卫生技术人员总数。</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职工性别年龄分布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指标包括：男性总数及占比、女性总数及占比、按年龄分布。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卫生技术人员分布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指标包括：卫生技术人员类型分布及占比、医护比</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执业医师数/注册护士数（含助理）、每千人医生数、每千人护士数。</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职称构成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指标包括：卫生技术人员职称构成。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学历构成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指标包括：卫生技术人员学历构成。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职工人数年趋势</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指标包括：近5年职工人数变化。</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职工辖区分布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指标包括：各辖区职工人数</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职工岗位类别</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指标包括：各岗位类别职工人数。</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4.2.4.2财务监管驾驶舱</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支持核心指标、总收支趋势、收支结构、机构排名、医疗收支趋势、收支分布、机构统计7大可视化模块，对区域医疗财务状况、收支结构、资产负债等进行多维度动态监测与分析。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核心指标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指标包括：总收入及同比、总支出及同比、收支结余及同比、资产负债率及同比。</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总收支趋势</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指标包括：近x年总收入、近x年总支出、近x年收入支出比。</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总收支分布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指标包括：收入类型分布、支出类型分布。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总收支机构排名</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指标包括：总收入机构排名、总支出机构排名。</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医疗收支趋势</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指标包括：总收入机构排名、总支出机构排名。</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医疗收支分布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指标包括：医疗收入类型分布、医疗支出类型分布。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医疗收支机构统计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指标包括：各机构医疗收入、各机构医疗收入占总收入比、各机构门诊收入、各机构住院收入。</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4.3医疗卫生智慧监管平台</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4.3.1首页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支持展示用户关注的指标，以图表的方式展示。包含违规项目总数量、违规项目总金额、门诊违规信息、住院违规信息、违规等级趋势、违规类型趋势等。点击支持跳转到明细数据，支持下钻。</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4.3.2区域数据分析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4.3.2.1医院违规情况总览</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支持汇总相城区卫健委下属各医疗机构数据，统计各家医院违规情况指标，以图表的方式展示。包含违规项目总数量、违规项目总金额、门诊违规信息、住院违规信息、违规等级趋势、违规类型趋势等。</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点击支持跳转到明细数据，支持下钻。</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4.3.2.2医保规则库管理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支持根据自身医院情况，利用规则模型池进行灵活、自主的规则配置，打造符合医院实际情况、动态可配的医疗服务监控规则库。</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4.3.2.3医保规则配置</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支持根据自身医院情况，利用规则模型池进行灵活、自主的规则配置，打造符合医院实际情况、动态可配的医疗服务监控规则库。</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支持医保规则管理功能</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系统支持院内医保审核规则库动态维护，</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系统支持自定义不同错误类型、医疗类型的医保审核规则。</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提供初始化规则库</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4.3.3医保事前提醒</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支持与各医疗机构HIS系统对接，支持对住院医嘱、住院护理、住院手术、预出院、门诊医嘱等各类操作进行实时违规判断，对于存在超临床违规和超医保规则的情况，系统将立即发出警示。</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4.3.3.1医生医嘱提醒</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支持开具门诊医嘱时，根据医嘱内容对其合理性、合规性给出实时判断，并进行消息反馈，当有异常（违规）时，立即以弹窗的方式提醒医师。支持将所有事前违规提醒记录系统存档，支持数据导出。</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4.3.3.2出院登记提醒</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支持与各医疗机构HIS系统对接，支持对住院在院病人的全部医嘱信息、计费信息，进行最后一次审查，以了解其已发生的医嘱、费用信息的合理性，及时拦截出院前违规。</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支持将所有事前违规提醒记录系统存档，支持数据导出。</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4.3.3.3出院预结算质控</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支持与各医疗机构HIS系统对接，支持对住院在院病人的全部医嘱信息、计费信息，进行最后一次审查，以了解其已发生的医嘱、费用信息的合理性，及时拦截出院前违规。</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支持将所有事前违规提醒记录系统存档，支持数据导出。</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4.3.3.4事前提醒日志和统计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支持记录所有在使用过程中产生的医保违规提醒数据，支持进行门诊事前提醒和住院业务事前提醒的统计分析功能。</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4.3.4医保事中干预</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支持定时对在院患者的处方、费用进行审核，支持处理和展示所有违反规则的数据，支持按个别科室单独执行查询审核。</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4.3.4.1在院自纠自查</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针对院内住院且未出院的患者，支持定时/即时的方式查询在院患者的费用明细，比较审核规则，支持展示在院患者的医保违规情况。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4.3.4.2在院违规分析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针对最新的在院违规检测进行统计分析，支持展示当前在院违规次数、金额、涉及科室、涉及医生等。</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4.3.4.3收费规范咨询</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支持对院内临床常见、常犯、常咨询问题进行整合公布。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4.3.5医保事后追溯</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本系统支持在每天的某一时刻对相城区卫健委下属各医疗机构过去一天门诊和出院发生的所有处方、费用记录进行审核，并记录下所有违规、提醒的项目。</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4.3.5.1门诊违规检测</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针对院内门诊患者，支持定时查询门诊患者的费用明细，比较审核规则，即时展示门诊患者的医保违规情况。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4.3.5.2出院违规检测</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针对院内已出院患者，支持定时查询出院患者的费用明细，比较审核规则，即时展示出院患者的医保违规情况。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针对所有已出院的患者，查询其所有违规明细，支持按照病案号、姓名、性别等查询条件。</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4.3.5.3出院违规分析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针对所有的出院违规检测进行统计分析，支持从违规次数、违规金额、违规等级、违规科室医生排名、违规类型、常见问题等多方面统计，整体查看出院违规情况。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4.3.5.4门诊违规分析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针对所有的门诊违规检测进行统计分析，支持从违规次数、违规金额、违规等级、违规科室医生排名、违规类型、常见问题等多方面统计，整体查看出院违规情况。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4.3.6平台系统管理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系统提供针对应用的账户、密码、权限管理功能，支持不同账号不同权限不同菜单的管理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支持对系统用户登录的日志进行记录。</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4.3.6.1用户管理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支持平台用户综合管理，包含新增、修改、删除、导入、导出、重置密码等功能。</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4.3.6.2角色权限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支持平台角色权限综合维护，包含新增、修改、删除、菜单权限分配、数据权限分配等功能。</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4.3.6.3菜单管理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支持平台各模块的菜单名称以及位置信息等维护。</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4.3.6.4日志管理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支持记录系统登录日志，以及关键功能按钮的操作日志记录。</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4.3.7系统健康监测</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4.3.7.1任务执行状态监测</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支持根据当前系统运行状态计算系统整体健康度得分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支持对门诊和住院分别监测系统任务执行状态，并以红绿色区分问题预警和正常运行状态。</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支持展示医嘱监测、预出院监测、住院监测、门诊任务监测等任务最后一次执行时间，针对任务未执行成功的进行预警。</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4.3.7.2科室运行状态监测</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支持查看科室调用情况总览。</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支持查看各科室具体接口调用情况，提供科室上次调用时间、本月累计调用次数、昨日调用次数等。</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支持查看今日科室调用接口的实时调用情况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支持按照柱状图降序统计调用接口科室情况。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4.4医疗卫生人力资源管理系统</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支持对区域内所有医疗卫生机构的人力资源进行统筹管理和调配</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支持人员数据与各业务系统数据同步、对接、互联互通。</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支持人员信息变更记录可追溯，多维度统计报表查看。</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数据重构</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通过字段，字段属性，表单，表单关系等的自定义功能，支持业务内容无限扩充。</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权限管理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支持权限管理，满足企业机构，政府机构，以及集团化应用的多种需要。</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界面定义</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支持用户界面定义，支持用户个性以及不同业务处理的需要。</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自动服务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支持邮件服务及短信中心的功能。</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在线用户</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支持查看在线用户的相关信息。</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数据接口</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支持多数据源的接口功能，支持系统与其他的应用系统无缝集成。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业务预警</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支持面向所有类型字段和刻录的预警设置。</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信息发布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支持新闻、公告、规章制度等信息的发布，支持反馈功能。</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代码维护</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支持标准与修改，系统支持国家人事部的国标代码库，支持维护以及新增的功能。</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报表中心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支持按照报表样式和数据项目间的逻辑关系，通过配置报表分析系统实现报表。</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用户日志</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支持记录用户进入系统后的相关操作信息。</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4.4.1数据治理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支持发布信息标准，统一代码表，下属机构执行数据对标。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支持开发标准接口，打通国家、省、市各级平台，实现数据实时同步与共享。</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4.4.2机构规划</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支持多层级组织结构，支持进行部门合并及拆分，机构移动时，支持将移动部门内的人员一起移动。</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支持维护机构各类信息</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支持组织机构成立、作废及员工编制管理功能，支持多院区树状架构。</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支持独立权限机构管理功能，支持共同体单位成员薪资帐套独立核算及发放的管理</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支持虚拟机构管理功能，支持共同体单位成员对外派人员或临时项目小组的管理</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支持组织结构图及岗位管理图直接打印或输出图表，支持穿透式查询功能，直接查询到员工个人的详细信息。</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支持部门预变动管理，实现分级机构规划对应人员编制、成本预算管控</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支持历史切片管理，支持调阅历史上的组织机构图（当时的组织机构、人员信息等）</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4.4.3岗位规划</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支持建立基于区域医疗标准的岗位体系，支持按照不同的单位级别或者按照不同的岗位序列进行分组管理</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支持与区域医疗招聘、培训、职业规划、考核、资产管理等模块关联。</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支持岗（职）位全方位信息的管理</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支持生成基于岗（职）位信息的各类样式的岗（职）位说明书</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支持与部门信息结合实现岗位编制管理</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支持查询某岗位现任员工信息或者历任员工信息。</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4.4.4员工管理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支持自由定义需要管理的各类员工信息，自定义字段信息、各附表信息等。</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支持自由定义员工各类异动流程</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支持批量完成合同的新签、续签、变更、解除等业务</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支持追朔至历史任意时点查阅历史人事相关信息</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支持对员工的各类附件及照片进行管理，并可在自定义工牌报表时，自动读取相关照片进行工牌设置。</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支持员工工号、司龄、工龄可按规则自动生成。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支持自定义各类警戒提示</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支持多表组合查询功能及灵活的待选参数，可将系统内人员的任何信息作为条件进行组合查询，结果可导出Excel、TXT等格式。</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4.4.5执业资格管理和职称评聘</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支持注册、变更、备案、注销等线上申请、审批。系统自动校验信息。</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支持对即将到期的执业证书、需校验资质等，通过多渠道自动提醒本人及机构。</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支持与省级平台对接，统一回传学分，自动标记未达标人员，限制其职称申报。</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支持评审专家库动态维护，系统随机抽取，专家在线评分，全程留痕，结果一键公示。</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支持允许竞聘人上传自己的详细信息，同时流程化配置可提高竞聘效率</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4.4.6招聘管理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支持部门负责人提出招聘需求、人员增编的申请，并通过招聘计划进行需求的实施和管理，招聘计划可以进行变更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支持招聘费用的录入和统计。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支持招聘渠道管理：支持多种渠道的管理，根据招聘计划，可在多个不同渠道上进行岗位的发布。</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支持招聘门户和移动端内推。</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支持品牌管理，可定制介绍、发展历程、核心管理团队、职场成长等内容的定制，并可生产推广链接和二维码。</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支持简历管理：支持邮箱导入，自动或手动从配置的邮箱中导入简历，导入后出现在未分配简历。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支持上传文件进行简历解析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支持手动填写简历信息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支持使用插件从招聘门户下载简历，将出现在未分配简历中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支持批量招聘，可直接通过Excel批量导入简历。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支持候选人管理。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支持未分配简历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从邮箱和插件导入简历，根据职位进行分配。</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支持推荐给用人部门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将简历推荐给指定面试官或者职位设置的默认面试官，面试官可进行审核。</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支持推荐其他职位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一份简历可参与多个职位的面试，也可在推荐的同时淘汰当前职位的简历。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支持跟进提醒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设置一段时间后给自己发送站内提醒内容，可发邮件提醒。</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支持淘汰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将该应聘者淘汰到职位中设置的淘汰人才库中。</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支持添加测评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选择量表通过邮件发送测评邀请。</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支持添加面试安排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选择面试时间、类型、地点、面试官安排面试，可选择已添加的通知模板，安排成功后将发送邮件通知面试官和候选人。</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支持通过DHR选择面试官。</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支持邀请候选人更新信息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发送登记表给候选人更新简历。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支持导出简历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导出原始简历为pdf或根据申请表导出excel简历。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支持面试反馈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催促面试官对面试进行反馈，取消面试安排、修改面试安排。</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支持创建offer</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设置入职时间、职位、地点、待遇，通过邮件发送给候选人。</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支持确认入职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候选人确认offer后，根据实际情况确认是否已入职。</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支持导入简历到DHR</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确认入职后，直接将简历导入至DHR中，避免重复填写。</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支持人才池管理：人才池支持可视化、详细数据两种的展示方式，支持对企业的内部人才、离职人才以及招聘过程中的高价值人才进行管理。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支持招聘分析：可根据HR、招聘专员等不同的维度进行招聘全流程的分析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支持招聘需求、计划的分析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支持内部推荐的分析。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支持甄选管理：可进行结构化招聘方案的管理，支持简历评审、面试安排、背景调查、人才测评的自定义流程规划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支持面试官的管理，可进行面试官津贴设置。</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4.4.7入职管理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支持自定义扫码填写的内容模板，支持对不同人群设置多个模板方案。</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支持生成入职二维码，应聘者通过扫描二维码，账号</w:t>
      </w:r>
      <w:r>
        <w:rPr>
          <w:rFonts w:hint="eastAsia" w:ascii="宋体" w:hAnsi="宋体" w:eastAsia="宋体" w:cs="宋体"/>
          <w:color w:val="auto"/>
          <w:sz w:val="21"/>
          <w:szCs w:val="21"/>
          <w:highlight w:val="none"/>
          <w:lang w:eastAsia="zh-CN"/>
        </w:rPr>
        <w:t xml:space="preserve">登录</w:t>
      </w:r>
      <w:r>
        <w:rPr>
          <w:rFonts w:hint="eastAsia" w:ascii="宋体" w:hAnsi="宋体" w:eastAsia="宋体" w:cs="宋体"/>
          <w:color w:val="auto"/>
          <w:sz w:val="21"/>
          <w:szCs w:val="21"/>
          <w:highlight w:val="none"/>
        </w:rPr>
        <w:t xml:space="preserve">，进行信息补录。</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支持将简历导入人才库。</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支持面试通知、offer信息模板自定义，可发送到各应聘者邮箱或者手机短信。</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支持应聘者确认入职报到后将简历上的信息转化为人事相关的入职信息，HR补充后，自动生成入职登记表，打印。支持员工签字后，扫描上传到员工个人档案。</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4.4.8考勤管理</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支持班次设置：可设置任意多个班次，每个班次不限刷一卡次数，可设置向前或向后跨天</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支持休息日：自定义的企业休息日可关联加班倍率计算</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支持考勤规则：可为不同岗位与不同职位的员工设置任意多个考勤规则</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支持排班管理：提供自动排班（免排班）、自动轮班、图形化排班、事后排班及网络排班等多种排班功能，提供医院特色排班模式，科室排班，行政总值班等。</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加班管理：提供多种加班单据（加班申请）录入方式：可按用户要求根据标准出勤时间自动生成平时或节假日加班单（免录入加班单）、可批量录入加班单，可导入excel格式加班单，将加班时间结转成补休时间</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请假管理：可设定任意多个请假类别（包括但不限于年休假、事假、病假、公出、调休等等），可处理年休假的自动计算、加班时间与请假的冲抵、并可自动汇总年度各类请假总时间，可批量录入请假单、可导入excel格式请假单</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支持移动考勤（手机、微信GPS）。</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支持刷卡记录管理：离职人员的考勤卡重复使用、遗失考勤卡的补发、支持人工快速补签卡（系统根据班次自动生成时间），系统自动记录人工签卡以区别正常刷卡数据，可记录补签卡的原因，并进行统计分析</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支持日结果管理：支持通过数据重构功能按用户需求自由定义考勤结果栏目，并可通过公式编辑器按用户的考勤制度定义各考勤栏目的算法，包括全勤奖、夜班补贴、伙食补贴、加班倍率、请假、迟到、年休假等</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支持日结果（异常）处理：支持对指定的任意时间段所选择的员工的各类异常类型，包括所有异常、迟到、早退、旷工、请假、缺卡等进行快速处理。所有结果的原始参考数据可在同一界面显示</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支持月结果汇总：可对任意时间段的考勤结果汇总，汇总结果项直接参与薪资计算</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支持考勤报表：可按用户需求生成各类基于系统内数据的统计报表，输出内容及报表参数均可由用户设定。</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4.4.9出国（境）管理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支持护照，来往港澳通行证，来往台湾通行证等证照的申办，上缴，领用，归还等全流程线上化管理，包括保管地点，有效时间等台账。</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4.4.10领导驾驶舱管理</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支持各级管理者通过图形化的数据掌握当前资源分布情况。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支持重组数据整合，引入各类数据进行统计分析，可自定义各类统计分析</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支持综合报表、图形、自动穿透数据查。支持引用软件数据综合查询器，并可实现穿透式查询。</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支持展示人力不同结构维度的数据与分析，如：在岗人数、男女比例、学历情况，数据对比情况（当月入职/离职/调入情况、前X个月入职/离职/调入分析情况）。</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支持根据权限选择组织进行查看，数据自动更新。</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支持展示当月缺勤统计、平时加班分析、周末加班分析、事假统计分析、漏打卡统计分析等。</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4.4.11流程管理</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支持任务执行人设置。可以为任意组织架构、职位、职员的上下级关系、权限拥有者</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支持任务可以有多个执行人，而且可以转交他人，如果执行人出差，还能授权某人代理</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流程支持分支、合并、同步、异步、循环、人工、自动、子流程多种应用模式，并且支持多选一互斥模式的复杂业务</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引擎采用异步处理方式，支持大数据量大并发</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流程支持多种启动方式，可以在个人工作台启动流程，也可以在业务系统处理业务时自动触发</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任务处理与业务无缝集成，支持任务在消息中心显示处理，也可以在业务系统中完成后自动提交，通过消息中心可以进入相关的业务处理界面</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支持自动发送任务消息或者电子邮件给相关处理人，处理人根据提示处理业务</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支持超过任务的处理期限自动发送催办消息提醒任务执行者</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支持远程和分布式办公，便于出差人员或移动办公人员处理业务，任务和通知消息能够通过Email或者手机短信发送处理</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业务流程建模支持可视化图形建模，支持图形化的流程监控和流程效率统计分析</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工作流系统支持强大的脚本语言，可以将复杂的特殊的业务直接通过脚本实现，无需进行二次开发或少量二次开发。</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4.4.12移动端</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移动端应用功能主要包括签到、审核、异常推送、信息实时推送等。</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4.4.13经理模块</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支持在线进行员工的各种待审批事件的处理</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支持在线查看员工的各种信息，人事、工资、考勤、绩效等</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支持在线进行各种需求的收集，并查看各种调查结果和报告</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支持在线进行绩效打分及各种考核评价</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支持在线查看组织机构图</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支持查看各种图表（饼型、柱形、线型）的统计表</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支持进行各种数据的格式化报表进行执行，并进行战略发展的决策支持</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4.4.14员工自助</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支持在线查看个人的薪酬、保险、合同、假期、考勤、岗位等的信息</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支持在线进行请假及加班的申请</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支持在线向HR部门提问或意见反馈</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支持在线参加绩效考核的评分及查看自己的考核报告，并进行考核复议申请</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支持在线参与公司组织的各项调查</w:t>
      </w:r>
      <w:r>
        <w:rPr>
          <w:rFonts w:hint="eastAsia" w:ascii="宋体" w:hAnsi="宋体" w:eastAsia="宋体" w:cs="宋体"/>
          <w:color w:val="auto"/>
          <w:sz w:val="21"/>
          <w:szCs w:val="21"/>
          <w:highlight w:val="none"/>
          <w:lang w:eastAsia="zh-CN"/>
        </w:rPr>
        <w:t xml:space="preserve">；</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支持在线参与BBS及查看各种规章制度等。</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支持与微信、钉钉绑定，进行信息的发布与接收，并可进行微信、钉钉考勤，定位到员工具体位置。</w:t>
      </w:r>
      <w:r/>
    </w:p>
    <w:p>
      <w:pPr>
        <w:pStyle w:val="889"/>
        <w:ind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5数智赋能便民服务应用提升</w:t>
      </w:r>
      <w:r/>
    </w:p>
    <w:p>
      <w:pPr>
        <w:pStyle w:val="889"/>
        <w:ind w:left="0" w:firstLine="84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1.5.5.1互联网医院平台</w:t>
      </w:r>
      <w:r/>
    </w:p>
    <w:p>
      <w:pPr>
        <w:pStyle w:val="889"/>
        <w:ind w:left="0" w:firstLine="84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5.1平台功能介绍</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5.1.1互联网基础子平台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底层支撑系统，对接患者、医生、药师、药店、运营管理端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依托实体医院提供线上全流程医疗服务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仅开放慢病、常见病复诊，禁止首诊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支持区域医疗委托运营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包含七大子系统，接口互通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处方、患者信息采用CA加密，处方必须药师审核生效。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5.1.1.1互联网医院患者端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通过医院公众号小程序登录，对接公安实名核验生成唯一就诊ID</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可查询医院、医生信息，提供图文/视频/扫码问诊、挂号、上门护理、专科预约功能。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5.1.1.1.1患者就诊流程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5.1.1.1.1.1药店复诊开方流程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线下药店扫码进入小程序，实名后填报药品、病史缴费候诊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医生线上问诊开电子处方，经线上、药店药师双重审方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患者查看处方并评价，药店凭处方复核发药。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5.1.1.1.1.2在线问诊开方流程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患者自主选科室、医生，填写病情缴费候诊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医生问诊开方，药师审方生效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支持7日内门店自取或第三方物流配送到家。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5.1.1.1.2首页功能</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5.1.1.1.2.1功能入口展示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首页分区展示轮播通知、问诊/挂号/科室医生快捷入口、资讯板块。</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5.1.1.1.2.2资讯内容展示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展示院内公告、科室、名医、健康资讯，按时间排序，支持上拉加载、详情查看。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5.1.1.1.2.3医院公告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分页展示公告列表，支持图文详情完整查看。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5.1.1.1.2.4健康图文资讯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健康科普列表支持分类筛选，图文详情支持图片放大。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5.1.1.1.3在线问诊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5.1.1.1.3.1线上科室/医生推荐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热门科室按问诊量、评价动态排序，快速跳转科室预约页面。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5.1.1.1.3.2科室主页信息展示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展示科室简介、标签、宣传图、医生卡片（职称、擅长、接诊量），后台可随时更新。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5.1.1.1.3.3关注医生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多入口一键关注医生，个人中心统一管理，快速复诊。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5.1.1.1.3.4线上双问诊（带药问诊/带病问诊）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5.1.1.1.3.4</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1.带药问诊：药店扫码匹配全科医生，填报药品信息缴费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医生开方、药师复核，处方仅流转至扫码药店，库存不足提示更换渠道。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5.1.1.1.3.4</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2.带病问诊：自主选科室医生，上传病史资料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开具处方后可选自取/配送，自动调取患者健康档案。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5.1.1.1.3.4</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3.复诊核验：三重校验复诊资质（患者电子承诺、病历上传、对接区域健康档案自动比对）。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5.1.1.1.3.5线上图文问诊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结构化填写病情、上传检查资料，支付后分配医生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医患图文沟通，问诊记录归档至健康档案永久可查。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5.1.1.1.3.6线上视频问诊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预约制，展示医生排班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预约成功短信提醒，超时未赴约自动退款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视频沟通可同步调阅档案、开处方病历。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5.1.1.1.3.7在线缴费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问诊订单统一缴费入口，对接院内HIS</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支持医保电子凭证脱卡支付、微信、支付宝自费支付。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5.1.1.1.3.8处方查阅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电子处方同步医患两端，完整展示患者、诊断、药品、医师药师签名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支持PDF下载保存打印。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5.1.1.1.3.9线上购药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审核后处方流转至医院药房或合作药店，支持线上支付、物流配送进度实时跟踪。</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5.1.1.1.3.10线上关注医生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多页面添加关注，个人中心展示医生在线状态，支持取消关注。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5.1.1.1.3.11线上就诊记录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按时间倒序展示全部问诊记录，详情可查看聊天记录、诊断、处方、用药建议，支持分类检索。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5.1.1.1.3.12线上问诊订单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按待支付/进行中/已完成/已取消分类管理，支持查看费用明细、跳转支付、关联处方就诊记录。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5.1.1.1.3.13线上问诊处方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历史问诊处方列表倒序展示，支持查看详情、下载带电子签名PDF文件。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5.1.1.1.3.14用药咨询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筛选药师发起图文/视频用药咨询，支付候诊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沟通记录归档至健康档案。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5.1.1.1.4消息提醒</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预约、接诊、问诊提醒通过小程序订阅消息+短信双通道推送。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5.1.1.1.5个人中心</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汇总关注医生、问诊数据、多类型订单、处方档案，一键跳转对应业务页面。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5.1.1.1.6就诊人管理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手动录入/身份证OCR识别多就诊人信息，支持设置默认就诊人、解绑、修改信息（需身份核验）。</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5.1.1.1.7地址管理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新增、编辑、删除、设置默认收货地址，下单自动填充，用于药品配送。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5.1.1.2互联网医生工作站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PC端、移动端数据实时同步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支持多患者并行接诊，快捷开具病历、处方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处方CA加密，具备法律效力。</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5.1.1.2.1PC电脑端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5.1.1.2.1.1在线接诊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按候诊时长展示待接诊列表，支持筛选、桌面提醒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支持接诊/拒诊（必填拒诊原因）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视频窗口可缩放拖动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带药问诊支持一键生成病历处方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自定义病历模板，开具中西药电子处方。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5.1.1.2.1.2问诊分配</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带药问诊自动随机均衡分配在线全科医生，负载均衡控制接诊量。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5.1.1.2.1.3诊断信息填写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支持ICD-10检索录入诊断，支持修改原有诊断，系统全程留痕追溯。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5.1.1.2.1.4我的患者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同一患者多次问诊记录合并归档，支持姓名、就诊时间检索，可查阅完整诊疗资料。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5.1.1.2.1.5接诊记录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时间轴展示全部接诊单，支持检索、导出病历、聊天、处方数据。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5.1.1.2.1.6处方管理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新建处方自动带出患者诊断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多维度检索药品，自动校验配伍、剂量风险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支持草稿、编辑、作废、提交审方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单处方限5药3诊断，超量自动拆分多张处方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带药问诊一键生成处方草稿。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5.1.1.2.1.7问诊病历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结构化录入完整病历，提供模板复制、快捷词条，支持自建个人病历模板库。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5.1.1.2.2手机移动端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5.1.1.2.2.1医生工作台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首页展示待办工单，功能菜单自定义排序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移动端完成图文/视频接诊、开方、指定取药药店，处方同步药店核销。</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5.1.1.2.2.2在线接诊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查看待接诊列表，文字、图片、语音、视频医患实时沟通。</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5.1.1.2.2.3患者列表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按姓名、就诊时间检索所有问诊患者。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5.1.1.2.2.4处方查询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多条件筛选历史处方，查看处方完整详情。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5.1.1.3互联网药师工作站</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PC、手机双端同步操作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审方时自动开展合理用药校验（配伍、剂量、过敏比对）。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5.1.1.3.1PC电脑端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5.1.1.3.1.1处方查阅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多条件筛选处方列表，查看患者病历、药品、诊断、医师签名完整信息。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5.1.1.3.1.2处方审核</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系统自动校验用药风险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支持审核通过/驳回（填写驳回原因推送医生），审核通过处方方可生效。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5.1.1.3.1.3审方记录查询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多维度检索审方数据，按日期、审核结果统计审方量、通过率。</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5.1.1.3.2手机移动端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5.1.1.3.2.1处方查阅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移动端同步展示处方列表、患者、病历、药品详情。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5.1.1.3.2.2处方审核</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移动端完成处方审核操作，驳回处方填写原因同步医生端。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5.1.1.3.2.3审方记录查询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移动端检索审方记录，展示各类审方统计汇总数据。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5.1.1.4互联网药库管理系统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平台药品基础数据维护中心，管控药品信息、品规、价格，配置用药禁忌与诊断关联规则，所有药品入库审核后方可开方使用。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5.1.1.4.1药品信息维护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新增、编辑、停用、启用药品档案，校验编码唯一性，变更全程留痕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多条件检索药品完整属性。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5.1.1.4.2药品品规维护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新增、修改、停用、启用药品不同规格，变更操作记录留存。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5.1.1.4.3调价管理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录入新售价、填写调价原因，审批后生效，留存调价历史记录。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5.1.1.4.4查询统计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5.1.1.4.4.1药品明细查询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多条件组合查询药品基础、库存、启用状态，支持数据导出。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5.1.1.4.4.2药品关联诊断管理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药品绑定多种ICD诊断，支持增删关联关系，双向检索药品与对应疾病。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5.1.1.5药店药房管理系统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药品供应链管理模块，对接平台实时同步处方、发药状态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管控库存、效期、发药、调价、处方统计。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5.1.1.5.1批次管理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新增、修改、停用药品批次，校验批次编码唯一，记录全部变更操作。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5.1.1.5.2效期管理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按批次/药品查询有效期，过期药品标记禁止销售。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5.1.1.5.3调价管理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线上药品售价实时调整，前端页面价格同步更新。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5.1.1.5.4发药管理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展示缴费患者处方药品、配送信息，核对药品与处方一致后确认出库。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5.1.1.5.5药品基本信息维护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药店端药品档案新增、编辑、停用、启用，编码唯一性校验。</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5.1.1.5.6药品品规维护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药店药品规格新增、编辑、停用、启用管理。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5.1.1.5.7药品明细查询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多条件查询药店库存药品完整基础信息，支持档案维护操作。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5.1.1.5.8患者处方查询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查询本店购药处方，查看完整诊断、药品、双药师签名、处方状态。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5.1.1.5.9药品信息查询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查看本店药品库存、启用状态、完整基础资料，支撑调价管理。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5.1.1.5.10患者处方统计</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按时间、医生、处方状态统计处方量，支持图表可视化展示。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5.1.1.6互联网药品配送管理系统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药品出库至签收全流程管控，对接药店、患者端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冷链药品温湿度监控，超时未签收自动预警。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5.1.1.6.1配送管理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核对订单药品、收货信息，生成配送单确认发货。</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5.1.1.6.2配送物流管理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对接多家物流渠道，自动匹配配送区域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实时同步揽收、运输、派送、签收状态至患者端。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5.1.1.6.3配送地址管理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核对、修改配送地址，支持新增收货地址校验完整性，患者可实时查看物流进度。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5.1.1.6.4收货确认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患者签收确认后订单完结，可备注药品异常问题。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5.1.1.7互联网运维管理系统</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平台统一运维后台，负责基础数据、账号权限、系统日志监控，分级权限管控保障数据安全。</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5.1.1.7.1基础信息维护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5.1.1.7.1.1机构信息维护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查看、修改医疗机构基础资料，变更记录留存追溯。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5.1.1.7.1.2科室信息维护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检索、新增、编辑、停用/启用科室，校验科室名称唯一，操作留痕。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5.1.1.7.1.3ICD-10诊断信息维护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新增、修改诊断编码，配置诊断性别限制，支持模糊/精确检索。</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5.1.1.7.1.4标准字典维护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新增、编辑、查询国家、行业、平台内部标准编码字典。</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5.1.1.7.2账号权限管理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5.1.1.7.2.1医务人员信息维护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新增、编辑、停用、启用医护人员档案，校验工号唯一，存储电子签名。</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5.1.1.7.2.2人员扩展信息维护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维护医护简介、擅长、问诊收费类型，数据同步前端患者端。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5.1.1.7.2.3操作员信息维护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新增、修改后台管理员账号密码、角色权限，校验用户名唯一。</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5.1.1.7.2.4角色权限维护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新增、编辑、删除系统角色，为角色分配平台功能访问权限。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5.1.1.7.2.5医生业务权限维护</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配置医生可接诊科室、诊断病种范围。</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5.1.1.7.3日志管理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多条件检索登录日志、操作日志、上传日志、系统错误日志，快速定位故障。</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5.1.2数据对接</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5.1.2.1互联网医院监管平台接口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对接江苏省监管平台，上传网络咨询、复诊、电子处方全量业务数据（患者、医生、药品、配送、诊断信息）。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5.1.2.2互联网医院CA签名接口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对接第三方CA厂商，线上病历、电子处方实现合法电子签名加密。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5.1.2.3互联网医院医保接口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5.1.2.3.1监管接口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对接医保监管上报通道。</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5.1.2.3.2医保处方流转接口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处方推送至医保统一流转平台。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5.1.2.3.3医保支付接口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支持医保电子凭证脱卡线上结算问诊费、药费。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5.1.3互联网运营子平台</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拓展线上健康延伸服务，整合上门护理、体检、医美、云药房、特色科室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分为用户端、运营管理端、服务者移动端。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5.1.3.1互联网健康服务运营平台用户端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居民前端小程序，统一聚合各类健康服务，全流程线上自助下单、预约、查单、评价。</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5.1.3.1.1首页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顶部搜索框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金刚位直达互联网医院、家医、云药房、上门护理、体检、医美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推荐板块展示热门套餐、健康科普。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5.1.3.1.2医防健康页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集中展示个人健康档案，提供家庭医生、复诊开方、健康科普公卫服务入口。</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5.1.3.1.3中心云药房页</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药品分类展示、搜索筛选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支持加购、下单、支付、配送，展示药品完整详情。</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5.1.3.1.4个人中心</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统一管理个人资料、预约/服务/药品订单、评价、收货地址、体检护理报告，同步基础子平台个人信息，支持意见反馈。</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5.1.3.2互联网健康服务运营平台运营端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PC端后台，多角色权限管控，统一管理店铺、网点、服务人员、订单、工单、内容。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5.1.3.2.1店铺管理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创建护理/体检/医美/药房店铺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维护店铺资料、服务商品上下架、定价、模板化店铺装修。</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5.1.3.2.2服务网点管理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网点新增、编辑、删除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维护地址、电话、分时段预约营业时间，支撑派单与线下履约。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5.1.3.2.3标签管理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标签全生命周期管理，查看标签绑定商品/服务明细，用于业务分类与精准推荐。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5.1.3.2.4服务者管理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护士、医生资质档案维护，上传执业证书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结合区域、时段、专业自动工单派单。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5.1.3.2.5服务团队管理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护理/体检/医美团队信息维护，上传团队宣传素材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统计团队关注量，设置特色标签提升曝光。</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5.1.3.2.6服务权益创建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配置护理、体检、医美套餐，设置预约时段、服务方式、价格、服务协议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内容合规审核后方可上架。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5.1.3.2.7服务订单管理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多维度筛选全类型订单，批量导出数据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实时查询核销状态，支撑财务对账。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5.1.3.2.8权益核销</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查询全部核销记录，上传护理、体检报告关联订单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支持后台手动核销，核销数据批量导出。</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5.1.3.2.9服务预约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检索预约单、批量导出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后台改期、取消预约，手动分配工单给服务人员。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5.1.3.2.10服务工单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全状态工单筛选查看，展示用户、地址、服务人员信息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支持手动关闭工单并记录异常原因。</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5.1.3.2.11权限管理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自定义后台角色，精细化分配菜单、数据、操作权限。</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5.1.3.2.12内容管理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健康科普图文、音视频素材新增、编辑、发布、分类、定向推送。</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5.1.3.3互联网健康服务运营平台服务者端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医护人员移动端接单履约工具，工单、核销、消息、个人信息一体化管理。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5.1.3.3.1登录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账号密码/手机验证码双登录，验证码限时有效，首页展示待办工单数量。</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5.1.3.3.2工单</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查看派单详情，一键导航上门地址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实时更新工单履约状态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登记耗材费用支持线上支付。</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5.1.3.3.3消息中心</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接收派单、团队通知，查询全部历史消息。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5.1.3.3.4个人中心</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修改头像、常驻区域、登录密码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展示个人主页二维码供患者查看。</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5.1.3.3.5订单核销</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扫码核验用户核销码完成服务核销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查询历史核销记录，系统提示核销失败原因。</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5.1.3.4运营场景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5.1.3.4.1上门护理</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覆盖产后、新生儿、造口、导管、慢病、中医护理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线上预约、平台派单、上门服务、用户评价，全程记录可追溯。</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5.1.3.4.2健康体检</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多类型体检套餐线上选购预约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到店核销体检，线上查询电子体检报告。</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5.1.3.4.3公立医美</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合规医美项目线上预约下单，线下核销履约。</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5.1.3.4.4特色科室&amp;个人IP打造</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搭建科室、医生专题宣传页，通过健康科普提升品牌曝光，实现问诊转化。</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5.1.3.4.5中心云药房</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线上药品选购，处方药必须先问诊开方、药师审方后方可结算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支持门店自取、配送到家。</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6硬件部分建设内容</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6.1技术参数和功能要求</w:t>
      </w:r>
      <w:r/>
    </w:p>
    <w:p>
      <w:pPr>
        <w:pStyle w:val="889"/>
        <w:ind w:left="0" w:firstLine="420"/>
        <w:jc w:val="left"/>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6.1.1计算存储资源</w:t>
      </w:r>
      <w:bookmarkEnd w:id="17"/>
      <w:r/>
      <w:r/>
    </w:p>
    <w:p>
      <w:pPr>
        <w:pStyle w:val="853"/>
        <w:ind w:firstLine="420"/>
        <w:rPr>
          <w:rFonts w:ascii="宋体" w:hAnsi="宋体"/>
          <w:color w:val="auto"/>
          <w:sz w:val="21"/>
          <w:szCs w:val="21"/>
          <w:highlight w:val="none"/>
        </w:rPr>
      </w:pPr>
      <w:r>
        <w:rPr>
          <w:rFonts w:ascii="宋体" w:hAnsi="宋体"/>
          <w:color w:val="auto"/>
          <w:sz w:val="21"/>
          <w:szCs w:val="21"/>
          <w:highlight w:val="none"/>
        </w:rPr>
        <w:t xml:space="preserve">6.1.1.</w:t>
      </w:r>
      <w:r>
        <w:rPr>
          <w:rFonts w:hint="eastAsia" w:ascii="宋体" w:hAnsi="宋体"/>
          <w:color w:val="auto"/>
          <w:sz w:val="21"/>
          <w:szCs w:val="21"/>
          <w:highlight w:val="none"/>
        </w:rPr>
        <w:t xml:space="preserve">1、计算存储资源</w:t>
      </w:r>
      <w:r/>
    </w:p>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核心交换机</w:t>
      </w:r>
      <w:r/>
    </w:p>
    <w:tbl>
      <w:tblPr>
        <w:tblStyle w:val="841"/>
        <w:tblW w:w="55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5"/>
        <w:gridCol w:w="8120"/>
      </w:tblGrid>
      <w:tr>
        <w:trPr>
          <w:jc w:val="center"/>
          <w:trHeight w:val="253"/>
        </w:trPr>
        <w:tc>
          <w:tcPr>
            <w:shd w:val="clear" w:color="auto" w:fill="d7d7d7" w:themeFill="background1" w:themeFillShade="D8"/>
            <w:tcW w:w="1426" w:type="dxa"/>
            <w:vAlign w:val="center"/>
            <w:textDirection w:val="lrTb"/>
            <w:noWrap w:val="false"/>
          </w:tcPr>
          <w:p>
            <w:pPr>
              <w:jc w:val="center"/>
              <w:rPr>
                <w:rFonts w:ascii="宋体" w:hAnsi="宋体"/>
                <w:b/>
                <w:bCs/>
                <w:color w:val="auto"/>
                <w:sz w:val="21"/>
                <w:szCs w:val="21"/>
                <w:highlight w:val="none"/>
                <w:lang w:bidi="ar"/>
              </w:rPr>
            </w:pPr>
            <w:r>
              <w:rPr>
                <w:rFonts w:hint="eastAsia" w:ascii="宋体" w:hAnsi="宋体" w:cs="宋体"/>
                <w:b/>
                <w:bCs/>
                <w:color w:val="auto"/>
                <w:sz w:val="21"/>
                <w:szCs w:val="21"/>
                <w:highlight w:val="none"/>
                <w:lang w:bidi="ar"/>
              </w:rPr>
              <w:t xml:space="preserve">指标项</w:t>
            </w:r>
            <w:r/>
          </w:p>
        </w:tc>
        <w:tc>
          <w:tcPr>
            <w:shd w:val="clear" w:color="auto" w:fill="d7d7d7" w:themeFill="background1" w:themeFillShade="D8"/>
            <w:tcW w:w="7907" w:type="dxa"/>
            <w:vAlign w:val="center"/>
            <w:textDirection w:val="lrTb"/>
            <w:noWrap w:val="false"/>
          </w:tcPr>
          <w:p>
            <w:pPr>
              <w:jc w:val="center"/>
              <w:rPr>
                <w:rFonts w:ascii="宋体" w:hAnsi="宋体"/>
                <w:b/>
                <w:bCs/>
                <w:color w:val="auto"/>
                <w:sz w:val="21"/>
                <w:szCs w:val="21"/>
                <w:highlight w:val="none"/>
                <w:lang w:bidi="ar"/>
              </w:rPr>
            </w:pPr>
            <w:r>
              <w:rPr>
                <w:rFonts w:hint="eastAsia" w:ascii="宋体" w:hAnsi="宋体" w:cs="宋体"/>
                <w:b/>
                <w:bCs/>
                <w:color w:val="auto"/>
                <w:sz w:val="21"/>
                <w:szCs w:val="21"/>
                <w:highlight w:val="none"/>
                <w:lang w:bidi="ar"/>
              </w:rPr>
              <w:t xml:space="preserve">技术规格及参数</w:t>
            </w:r>
            <w:r/>
          </w:p>
        </w:tc>
      </w:tr>
      <w:tr>
        <w:trPr>
          <w:jc w:val="center"/>
          <w:trHeight w:val="136"/>
        </w:trPr>
        <w:tc>
          <w:tcPr>
            <w:shd w:val="clear" w:color="auto" w:fill="auto"/>
            <w:tcW w:w="1426" w:type="dxa"/>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设备架构</w:t>
            </w:r>
            <w:r/>
          </w:p>
        </w:tc>
        <w:tc>
          <w:tcPr>
            <w:shd w:val="clear" w:color="auto" w:fill="auto"/>
            <w:tcW w:w="7907" w:type="dxa"/>
            <w:vAlign w:val="center"/>
            <w:textDirection w:val="lrTb"/>
            <w:noWrap w:val="false"/>
          </w:tcPr>
          <w:p>
            <w:pPr>
              <w:spacing w:line="360" w:lineRule="auto"/>
              <w:rPr>
                <w:rFonts w:ascii="宋体" w:hAnsi="宋体"/>
                <w:color w:val="auto"/>
                <w:sz w:val="21"/>
                <w:szCs w:val="21"/>
                <w:highlight w:val="none"/>
                <w:lang w:val="zh-CN"/>
              </w:rPr>
            </w:pPr>
            <w:r>
              <w:rPr>
                <w:rFonts w:hint="eastAsia" w:ascii="宋体" w:hAnsi="宋体" w:cs="宋体"/>
                <w:color w:val="auto"/>
                <w:sz w:val="21"/>
                <w:szCs w:val="21"/>
                <w:highlight w:val="none"/>
              </w:rPr>
              <w:t xml:space="preserve">交换容量≥1900Tbps</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包转发率≥460000Mops</w:t>
            </w:r>
            <w:r/>
          </w:p>
        </w:tc>
      </w:tr>
      <w:tr>
        <w:trPr>
          <w:jc w:val="center"/>
          <w:trHeight w:val="136"/>
        </w:trPr>
        <w:tc>
          <w:tcPr>
            <w:shd w:val="clear" w:color="auto" w:fill="auto"/>
            <w:tcW w:w="1426"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90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主控引擎与交换网板物理分离</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主控引擎≥2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交换网板≥</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整机业务板槽位数≥8，主控槽位与业务线卡槽位宽度相同，为全宽槽位。</w:t>
            </w:r>
            <w:r/>
          </w:p>
        </w:tc>
      </w:tr>
      <w:tr>
        <w:trPr>
          <w:jc w:val="center"/>
          <w:trHeight w:val="90"/>
        </w:trPr>
        <w:tc>
          <w:tcPr>
            <w:shd w:val="clear" w:color="auto" w:fill="auto"/>
            <w:tcW w:w="1426"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功能</w:t>
            </w:r>
            <w:r/>
          </w:p>
        </w:tc>
        <w:tc>
          <w:tcPr>
            <w:shd w:val="clear" w:color="auto" w:fill="auto"/>
            <w:tcW w:w="7907" w:type="dxa"/>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支持静态路由、RIP、RIPng、OSPF、OSPFv3、BGP、BGP4+、ISIS、ISISv6 </w:t>
            </w:r>
            <w:r>
              <w:rPr>
                <w:rFonts w:hint="eastAsia" w:ascii="宋体" w:hAnsi="宋体" w:cs="宋体"/>
                <w:color w:val="auto"/>
                <w:sz w:val="21"/>
                <w:szCs w:val="21"/>
                <w:highlight w:val="none"/>
                <w:lang w:eastAsia="zh-CN"/>
              </w:rPr>
              <w:t xml:space="preserve">；</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支持国产化芯片，自主可控</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支持真实业务流的实时检测技术，实现对IP网络的精确丢包监控和快速故障定界能力</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支持BFD/OAM，遵循协议标准，3.3ms稳定均匀发包检测，提高设备高可靠性</w:t>
            </w:r>
            <w:r/>
          </w:p>
        </w:tc>
      </w:tr>
      <w:tr>
        <w:trPr>
          <w:jc w:val="center"/>
          <w:trHeight w:val="299"/>
        </w:trPr>
        <w:tc>
          <w:tcPr>
            <w:shd w:val="clear" w:color="auto" w:fill="auto"/>
            <w:tcW w:w="1426" w:type="dxa"/>
            <w:vAlign w:val="center"/>
            <w:textDirection w:val="lrTb"/>
            <w:noWrap w:val="false"/>
          </w:tcPr>
          <w:p>
            <w:pPr>
              <w:jc w:val="center"/>
              <w:spacing w:line="360" w:lineRule="auto"/>
              <w:rPr>
                <w:rFonts w:ascii="宋体" w:hAnsi="宋体"/>
                <w:bCs/>
                <w:color w:val="auto"/>
                <w:sz w:val="21"/>
                <w:szCs w:val="21"/>
                <w:highlight w:val="none"/>
              </w:rPr>
            </w:pPr>
            <w:r>
              <w:rPr>
                <w:rFonts w:hint="eastAsia" w:ascii="宋体" w:hAnsi="宋体" w:cs="宋体"/>
                <w:bCs/>
                <w:color w:val="auto"/>
                <w:sz w:val="21"/>
                <w:szCs w:val="21"/>
                <w:highlight w:val="none"/>
              </w:rPr>
              <w:t xml:space="preserve">配置要求</w:t>
            </w:r>
            <w:r/>
          </w:p>
        </w:tc>
        <w:tc>
          <w:tcPr>
            <w:shd w:val="clear" w:color="auto" w:fill="auto"/>
            <w:tcW w:w="7907"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单台配置冗余主控和电源，提供不少于万兆光口≥72个，千兆光口≥72个，配置24个万兆多模光模块、24个万兆单模光模块、24个千兆多模光模块、24个千兆单模光模块</w:t>
            </w:r>
            <w:r/>
          </w:p>
        </w:tc>
      </w:tr>
      <w:tr>
        <w:trPr>
          <w:jc w:val="center"/>
          <w:trHeight w:val="299"/>
        </w:trPr>
        <w:tc>
          <w:tcPr>
            <w:shd w:val="clear" w:color="auto" w:fill="auto"/>
            <w:tcW w:w="1426" w:type="dxa"/>
            <w:vAlign w:val="center"/>
            <w:textDirection w:val="lrTb"/>
            <w:noWrap w:val="false"/>
          </w:tcPr>
          <w:p>
            <w:pPr>
              <w:jc w:val="center"/>
              <w:spacing w:line="360" w:lineRule="auto"/>
              <w:rPr>
                <w:rFonts w:ascii="宋体" w:hAnsi="宋体"/>
                <w:bCs/>
                <w:color w:val="auto"/>
                <w:sz w:val="21"/>
                <w:szCs w:val="21"/>
                <w:highlight w:val="none"/>
              </w:rPr>
            </w:pPr>
            <w:r>
              <w:rPr>
                <w:rFonts w:hint="eastAsia" w:ascii="宋体" w:hAnsi="宋体" w:cs="宋体"/>
                <w:bCs/>
                <w:color w:val="auto"/>
                <w:sz w:val="21"/>
                <w:szCs w:val="21"/>
                <w:highlight w:val="none"/>
              </w:rPr>
              <w:t xml:space="preserve">服务</w:t>
            </w:r>
            <w:r/>
          </w:p>
        </w:tc>
        <w:tc>
          <w:tcPr>
            <w:shd w:val="clear" w:color="auto" w:fill="auto"/>
            <w:tcW w:w="7907"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外网核心交换机</w:t>
      </w:r>
      <w:r/>
    </w:p>
    <w:tbl>
      <w:tblPr>
        <w:tblStyle w:val="841"/>
        <w:tblW w:w="55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1"/>
        <w:gridCol w:w="8126"/>
      </w:tblGrid>
      <w:tr>
        <w:trPr>
          <w:jc w:val="center"/>
          <w:trHeight w:val="253"/>
        </w:trPr>
        <w:tc>
          <w:tcPr>
            <w:shd w:val="clear" w:color="auto" w:fill="d7d7d7" w:themeFill="background1" w:themeFillShade="D8"/>
            <w:tcW w:w="1433" w:type="dxa"/>
            <w:vAlign w:val="center"/>
            <w:textDirection w:val="lrTb"/>
            <w:noWrap w:val="false"/>
          </w:tcPr>
          <w:p>
            <w:pPr>
              <w:jc w:val="center"/>
              <w:spacing w:line="360" w:lineRule="auto"/>
              <w:widowControl w:val="off"/>
              <w:rPr>
                <w:rFonts w:ascii="宋体" w:hAnsi="宋体"/>
                <w:b/>
                <w:color w:val="auto"/>
                <w:sz w:val="21"/>
                <w:szCs w:val="21"/>
                <w:highlight w:val="none"/>
              </w:rPr>
            </w:pPr>
            <w:r>
              <w:rPr>
                <w:rFonts w:hint="eastAsia" w:ascii="宋体" w:hAnsi="宋体" w:cs="宋体"/>
                <w:b/>
                <w:color w:val="auto"/>
                <w:sz w:val="21"/>
                <w:szCs w:val="21"/>
                <w:highlight w:val="none"/>
              </w:rPr>
              <w:t xml:space="preserve">指标项</w:t>
            </w:r>
            <w:r/>
          </w:p>
        </w:tc>
        <w:tc>
          <w:tcPr>
            <w:shd w:val="clear" w:color="auto" w:fill="d7d7d7" w:themeFill="background1" w:themeFillShade="D8"/>
            <w:tcW w:w="7913" w:type="dxa"/>
            <w:vAlign w:val="center"/>
            <w:textDirection w:val="lrTb"/>
            <w:noWrap w:val="false"/>
          </w:tcPr>
          <w:p>
            <w:pPr>
              <w:jc w:val="center"/>
              <w:spacing w:line="360" w:lineRule="auto"/>
              <w:widowControl w:val="off"/>
              <w:rPr>
                <w:rFonts w:ascii="宋体" w:hAnsi="宋体"/>
                <w:b/>
                <w:color w:val="auto"/>
                <w:sz w:val="21"/>
                <w:szCs w:val="21"/>
                <w:highlight w:val="none"/>
              </w:rPr>
            </w:pPr>
            <w:r>
              <w:rPr>
                <w:rFonts w:hint="eastAsia" w:ascii="宋体" w:hAnsi="宋体" w:cs="宋体"/>
                <w:b/>
                <w:color w:val="auto"/>
                <w:sz w:val="21"/>
                <w:szCs w:val="21"/>
                <w:highlight w:val="none"/>
              </w:rPr>
              <w:t xml:space="preserve">技术规格及参数</w:t>
            </w:r>
            <w:r/>
          </w:p>
        </w:tc>
      </w:tr>
      <w:tr>
        <w:trPr>
          <w:jc w:val="center"/>
          <w:trHeight w:val="136"/>
        </w:trPr>
        <w:tc>
          <w:tcPr>
            <w:shd w:val="clear" w:color="auto" w:fill="auto"/>
            <w:tcW w:w="1433" w:type="dxa"/>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设备架构</w:t>
            </w:r>
            <w:r/>
          </w:p>
        </w:tc>
        <w:tc>
          <w:tcPr>
            <w:shd w:val="clear" w:color="auto" w:fill="auto"/>
            <w:tcW w:w="7913" w:type="dxa"/>
            <w:vAlign w:val="center"/>
            <w:textDirection w:val="lrTb"/>
            <w:noWrap w:val="false"/>
          </w:tcPr>
          <w:p>
            <w:pPr>
              <w:spacing w:line="360" w:lineRule="auto"/>
              <w:rPr>
                <w:rFonts w:ascii="宋体" w:hAnsi="宋体"/>
                <w:color w:val="auto"/>
                <w:sz w:val="21"/>
                <w:szCs w:val="21"/>
                <w:highlight w:val="none"/>
                <w:lang w:val="zh-CN"/>
              </w:rPr>
            </w:pPr>
            <w:r>
              <w:rPr>
                <w:rFonts w:hint="eastAsia" w:ascii="宋体" w:hAnsi="宋体" w:cs="宋体"/>
                <w:color w:val="auto"/>
                <w:sz w:val="21"/>
                <w:szCs w:val="21"/>
                <w:highlight w:val="none"/>
              </w:rPr>
              <w:t xml:space="preserve">交换容量≥100Tbps，包转发率≥76000Mpps。</w:t>
            </w:r>
            <w:r/>
          </w:p>
        </w:tc>
      </w:tr>
      <w:tr>
        <w:trPr>
          <w:jc w:val="center"/>
          <w:trHeight w:val="136"/>
        </w:trPr>
        <w:tc>
          <w:tcPr>
            <w:shd w:val="clear" w:color="auto" w:fill="auto"/>
            <w:tcW w:w="1433"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913"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主控引擎≥2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整机业务板槽位数≥6，整机电源槽位数≥6，为适应机柜并排部署，采用前进后出风道设计</w:t>
            </w:r>
            <w:r/>
          </w:p>
        </w:tc>
      </w:tr>
      <w:tr>
        <w:trPr>
          <w:jc w:val="center"/>
          <w:trHeight w:val="2698"/>
        </w:trPr>
        <w:tc>
          <w:tcPr>
            <w:shd w:val="clear" w:color="auto" w:fill="auto"/>
            <w:tcW w:w="1433"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功能</w:t>
            </w:r>
            <w:r/>
          </w:p>
        </w:tc>
        <w:tc>
          <w:tcPr>
            <w:shd w:val="clear" w:color="auto" w:fill="auto"/>
            <w:tcW w:w="7913"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支持全端口Macsec</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支持安全启动</w:t>
            </w:r>
            <w:r/>
          </w:p>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单端口最大支持90W的PoE++供电，提供权威第三方检测报告证明</w:t>
            </w:r>
            <w:r>
              <w:rPr>
                <w:rFonts w:hint="eastAsia" w:ascii="宋体" w:hAnsi="宋体" w:cs="宋体"/>
                <w:color w:val="auto"/>
                <w:sz w:val="21"/>
                <w:szCs w:val="21"/>
                <w:highlight w:val="none"/>
                <w:lang w:eastAsia="zh-CN"/>
              </w:rPr>
              <w:t xml:space="preserve">；</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支持网络切片，支持真实业务流的实时检测技术，秒级快速故障定位</w:t>
            </w:r>
            <w:r/>
          </w:p>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支持整机MAC地址≥384K</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支持整机ARP表项≥140000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支持IPv4路由转发FIB表项≥256000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支持IPv6路由转发FIB表项≥80000</w:t>
            </w:r>
            <w:r>
              <w:rPr>
                <w:rFonts w:hint="eastAsia" w:ascii="宋体" w:hAnsi="宋体" w:cs="宋体"/>
                <w:color w:val="auto"/>
                <w:sz w:val="21"/>
                <w:szCs w:val="21"/>
                <w:highlight w:val="none"/>
                <w:lang w:eastAsia="zh-CN"/>
              </w:rPr>
              <w:t xml:space="preserve">；</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支持1：1转发备份，倒换时间小于5ms，故障自动切换无丢包</w:t>
            </w:r>
            <w:r/>
          </w:p>
        </w:tc>
      </w:tr>
      <w:tr>
        <w:trPr>
          <w:jc w:val="center"/>
          <w:trHeight w:val="299"/>
        </w:trPr>
        <w:tc>
          <w:tcPr>
            <w:shd w:val="clear" w:color="auto" w:fill="auto"/>
            <w:tcW w:w="1433" w:type="dxa"/>
            <w:vAlign w:val="center"/>
            <w:textDirection w:val="lrTb"/>
            <w:noWrap w:val="false"/>
          </w:tcPr>
          <w:p>
            <w:pPr>
              <w:jc w:val="center"/>
              <w:spacing w:line="360" w:lineRule="auto"/>
              <w:rPr>
                <w:rFonts w:ascii="宋体" w:hAnsi="宋体"/>
                <w:bCs/>
                <w:color w:val="auto"/>
                <w:sz w:val="21"/>
                <w:szCs w:val="21"/>
                <w:highlight w:val="none"/>
              </w:rPr>
            </w:pPr>
            <w:r>
              <w:rPr>
                <w:rFonts w:hint="eastAsia" w:ascii="宋体" w:hAnsi="宋体" w:cs="宋体"/>
                <w:bCs/>
                <w:color w:val="auto"/>
                <w:sz w:val="21"/>
                <w:szCs w:val="21"/>
                <w:highlight w:val="none"/>
              </w:rPr>
              <w:t xml:space="preserve">配置要求</w:t>
            </w:r>
            <w:r/>
          </w:p>
        </w:tc>
        <w:tc>
          <w:tcPr>
            <w:shd w:val="clear" w:color="auto" w:fill="auto"/>
            <w:tcW w:w="7913"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单台配置冗余主控和电源、提供不少于千兆电口≥24个，千兆光口≥16个，万兆光口≥28个，配置24个万兆多模光模块：配置3米万兆虚</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拟化线缆1根。</w:t>
            </w:r>
            <w:r/>
          </w:p>
        </w:tc>
      </w:tr>
      <w:tr>
        <w:trPr>
          <w:jc w:val="center"/>
          <w:trHeight w:val="299"/>
        </w:trPr>
        <w:tc>
          <w:tcPr>
            <w:shd w:val="clear" w:color="auto" w:fill="auto"/>
            <w:tcW w:w="1433" w:type="dxa"/>
            <w:vAlign w:val="center"/>
            <w:textDirection w:val="lrTb"/>
            <w:noWrap w:val="false"/>
          </w:tcPr>
          <w:p>
            <w:pPr>
              <w:jc w:val="center"/>
              <w:spacing w:line="360" w:lineRule="auto"/>
              <w:rPr>
                <w:rFonts w:ascii="宋体" w:hAnsi="宋体"/>
                <w:bCs/>
                <w:color w:val="auto"/>
                <w:sz w:val="21"/>
                <w:szCs w:val="21"/>
                <w:highlight w:val="none"/>
              </w:rPr>
            </w:pPr>
            <w:r>
              <w:rPr>
                <w:rFonts w:hint="eastAsia" w:ascii="宋体" w:hAnsi="宋体" w:cs="宋体"/>
                <w:bCs/>
                <w:color w:val="auto"/>
                <w:sz w:val="21"/>
                <w:szCs w:val="21"/>
                <w:highlight w:val="none"/>
              </w:rPr>
              <w:t xml:space="preserve">服务</w:t>
            </w:r>
            <w:r/>
          </w:p>
        </w:tc>
        <w:tc>
          <w:tcPr>
            <w:shd w:val="clear" w:color="auto" w:fill="auto"/>
            <w:tcW w:w="7913"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区域影像分布式存储系统</w:t>
      </w:r>
      <w:r/>
    </w:p>
    <w:tbl>
      <w:tblPr>
        <w:tblStyle w:val="841"/>
        <w:tblW w:w="9346" w:type="dxa"/>
        <w:jc w:val="center"/>
        <w:tblLayout w:type="autofit"/>
        <w:tblCellMar>
          <w:left w:w="108" w:type="dxa"/>
          <w:top w:w="0" w:type="dxa"/>
          <w:right w:w="108" w:type="dxa"/>
          <w:bottom w:w="0" w:type="dxa"/>
        </w:tblCellMar>
        <w:tblLook w:val="04A0" w:firstRow="1" w:lastRow="0" w:firstColumn="1" w:lastColumn="0" w:noHBand="0" w:noVBand="1"/>
      </w:tblPr>
      <w:tblGrid>
        <w:gridCol w:w="1485"/>
        <w:gridCol w:w="7861"/>
      </w:tblGrid>
      <w:tr>
        <w:trPr>
          <w:jc w:val="center"/>
          <w:trHeight w:val="624"/>
        </w:trPr>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ascii="宋体" w:hAnsi="宋体"/>
                <w:b/>
                <w:color w:val="auto"/>
                <w:sz w:val="21"/>
                <w:szCs w:val="21"/>
                <w:highlight w:val="none"/>
              </w:rPr>
            </w:pPr>
            <w:r>
              <w:rPr>
                <w:rFonts w:hint="eastAsia" w:ascii="宋体" w:hAnsi="宋体" w:cs="宋体"/>
                <w:b/>
                <w:color w:val="auto"/>
                <w:sz w:val="21"/>
                <w:szCs w:val="21"/>
                <w:highlight w:val="none"/>
              </w:rPr>
              <w:t xml:space="preserve">功能及技术指标</w:t>
            </w:r>
            <w:r/>
          </w:p>
        </w:tc>
        <w:tc>
          <w:tcPr>
            <w:shd w:val="clear" w:color="auto" w:fill="d7d7d7" w:themeFill="background1" w:themeFillShade="D8"/>
            <w:tcBorders>
              <w:top w:val="single" w:color="auto" w:sz="4" w:space="0"/>
              <w:left w:val="none" w:color="000000" w:sz="4" w:space="0"/>
              <w:bottom w:val="single" w:color="auto" w:sz="4" w:space="0"/>
              <w:right w:val="single" w:color="auto" w:sz="4" w:space="0"/>
            </w:tcBorders>
            <w:tcW w:w="7861" w:type="dxa"/>
            <w:vAlign w:val="center"/>
            <w:textDirection w:val="lrTb"/>
            <w:noWrap w:val="false"/>
          </w:tcPr>
          <w:p>
            <w:pPr>
              <w:jc w:val="center"/>
              <w:spacing w:line="360" w:lineRule="auto"/>
              <w:rPr>
                <w:rFonts w:ascii="宋体" w:hAnsi="宋体"/>
                <w:b/>
                <w:color w:val="auto"/>
                <w:sz w:val="21"/>
                <w:szCs w:val="21"/>
                <w:highlight w:val="none"/>
              </w:rPr>
            </w:pPr>
            <w:r>
              <w:rPr>
                <w:rFonts w:hint="eastAsia" w:ascii="宋体" w:hAnsi="宋体" w:cs="宋体"/>
                <w:b/>
                <w:color w:val="auto"/>
                <w:sz w:val="21"/>
                <w:szCs w:val="21"/>
                <w:highlight w:val="none"/>
              </w:rPr>
              <w:t xml:space="preserve">详细技术参数</w:t>
            </w:r>
            <w:r/>
          </w:p>
        </w:tc>
      </w:tr>
      <w:tr>
        <w:trPr>
          <w:jc w:val="center"/>
          <w:trHeight w:val="624"/>
        </w:trPr>
        <w:tc>
          <w:tcPr>
            <w:shd w:val="clear" w:color="auto" w:fill="auto"/>
            <w:tcBorders>
              <w:top w:val="none" w:color="000000"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设备架构</w:t>
            </w:r>
            <w:r/>
          </w:p>
        </w:tc>
        <w:tc>
          <w:tcPr>
            <w:shd w:val="clear" w:color="auto" w:fill="auto"/>
            <w:tcBorders>
              <w:top w:val="none" w:color="000000" w:sz="4" w:space="0"/>
              <w:left w:val="none" w:color="000000" w:sz="4" w:space="0"/>
              <w:bottom w:val="single" w:color="auto" w:sz="4" w:space="0"/>
              <w:right w:val="single" w:color="auto" w:sz="4" w:space="0"/>
            </w:tcBorders>
            <w:tcW w:w="786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采用全对称分布式架构，元数据和数据的融合部署到存储节点上，无独立元数据/管理节点，性能、容量随节点数增加而线性增加。</w:t>
            </w:r>
            <w:r/>
          </w:p>
        </w:tc>
      </w:tr>
      <w:tr>
        <w:trPr>
          <w:jc w:val="center"/>
          <w:trHeight w:val="388"/>
        </w:trPr>
        <w:tc>
          <w:tcPr>
            <w:shd w:val="clear" w:color="auto" w:fill="auto"/>
            <w:tcBorders>
              <w:top w:val="none" w:color="000000"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数据服务</w:t>
            </w:r>
            <w:r/>
          </w:p>
        </w:tc>
        <w:tc>
          <w:tcPr>
            <w:shd w:val="clear" w:color="auto" w:fill="auto"/>
            <w:tcBorders>
              <w:top w:val="none" w:color="000000" w:sz="4" w:space="0"/>
              <w:left w:val="none" w:color="000000" w:sz="4" w:space="0"/>
              <w:bottom w:val="single" w:color="auto" w:sz="4" w:space="0"/>
              <w:right w:val="single" w:color="auto" w:sz="4" w:space="0"/>
            </w:tcBorders>
            <w:tcW w:w="7861" w:type="dxa"/>
            <w:vAlign w:val="center"/>
            <w:textDirection w:val="lrTb"/>
            <w:noWrap w:val="false"/>
          </w:tcPr>
          <w:p>
            <w:pPr>
              <w:spacing w:line="360" w:lineRule="auto"/>
              <w:rPr>
                <w:rFonts w:ascii="宋体" w:hAnsi="宋体"/>
                <w:color w:val="auto"/>
                <w:sz w:val="21"/>
                <w:szCs w:val="21"/>
                <w:highlight w:val="none"/>
              </w:rPr>
            </w:pPr>
            <w:r>
              <w:rPr>
                <w:rFonts w:hint="eastAsia"/>
                <w:color w:val="auto"/>
                <w:highlight w:val="none"/>
                <w:lang w:val="en-US" w:eastAsia="zh-CN"/>
              </w:rPr>
              <w:t xml:space="preserve">支持在相同存储池内相同命名空间上同时开启文件/大数据/对象服务</w:t>
            </w:r>
            <w:r>
              <w:rPr>
                <w:rFonts w:hint="eastAsia" w:ascii="宋体" w:hAnsi="宋体" w:cs="宋体"/>
                <w:color w:val="auto"/>
                <w:sz w:val="21"/>
                <w:szCs w:val="21"/>
                <w:highlight w:val="none"/>
              </w:rPr>
              <w:t xml:space="preserve">。</w:t>
            </w:r>
            <w:r/>
          </w:p>
        </w:tc>
      </w:tr>
      <w:tr>
        <w:trPr>
          <w:jc w:val="center"/>
          <w:trHeight w:val="166"/>
        </w:trPr>
        <w:tc>
          <w:tcPr>
            <w:shd w:val="clear" w:color="auto" w:fill="auto"/>
            <w:tcBorders>
              <w:top w:val="none" w:color="000000"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CPU</w:t>
            </w:r>
            <w:r/>
          </w:p>
        </w:tc>
        <w:tc>
          <w:tcPr>
            <w:shd w:val="clear" w:color="auto" w:fill="auto"/>
            <w:tcBorders>
              <w:top w:val="none" w:color="000000" w:sz="4" w:space="0"/>
              <w:left w:val="none" w:color="000000" w:sz="4" w:space="0"/>
              <w:bottom w:val="single" w:color="auto" w:sz="4" w:space="0"/>
              <w:right w:val="single" w:color="auto" w:sz="4" w:space="0"/>
            </w:tcBorders>
            <w:tcW w:w="786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国产自研CPU</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内存</w:t>
            </w:r>
            <w:r/>
          </w:p>
        </w:tc>
        <w:tc>
          <w:tcPr>
            <w:shd w:val="clear" w:color="auto" w:fill="auto"/>
            <w:tcBorders>
              <w:top w:val="none" w:color="000000" w:sz="4" w:space="0"/>
              <w:left w:val="none" w:color="000000" w:sz="4" w:space="0"/>
              <w:bottom w:val="single" w:color="auto" w:sz="4" w:space="0"/>
              <w:right w:val="single" w:color="auto" w:sz="4" w:space="0"/>
            </w:tcBorders>
            <w:tcW w:w="786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每节点配置≥</w:t>
            </w:r>
            <w:r>
              <w:rPr>
                <w:rFonts w:hint="eastAsia" w:ascii="宋体" w:hAnsi="宋体" w:cs="宋体"/>
                <w:color w:val="auto"/>
                <w:sz w:val="21"/>
                <w:szCs w:val="21"/>
                <w:highlight w:val="none"/>
                <w:lang w:val="en-US" w:eastAsia="zh-CN"/>
              </w:rPr>
              <w:t xml:space="preserve">256 </w:t>
            </w:r>
            <w:r>
              <w:rPr>
                <w:rFonts w:hint="eastAsia" w:ascii="宋体" w:hAnsi="宋体" w:cs="宋体"/>
                <w:color w:val="auto"/>
                <w:sz w:val="21"/>
                <w:szCs w:val="21"/>
                <w:highlight w:val="none"/>
              </w:rPr>
              <w:t xml:space="preserve">GB</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DDR</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缓存</w:t>
            </w:r>
            <w:r/>
          </w:p>
        </w:tc>
      </w:tr>
      <w:tr>
        <w:trPr>
          <w:jc w:val="center"/>
          <w:trHeight w:val="936"/>
        </w:trPr>
        <w:tc>
          <w:tcPr>
            <w:shd w:val="clear" w:color="auto" w:fill="auto"/>
            <w:tcBorders>
              <w:top w:val="none" w:color="000000" w:sz="4" w:space="0"/>
              <w:left w:val="single" w:color="auto" w:sz="4" w:space="0"/>
              <w:bottom w:val="single" w:color="000000" w:sz="4" w:space="0"/>
              <w:right w:val="single" w:color="auto" w:sz="4" w:space="0"/>
            </w:tcBorders>
            <w:tcW w:w="148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容量</w:t>
            </w:r>
            <w:r/>
          </w:p>
        </w:tc>
        <w:tc>
          <w:tcPr>
            <w:shd w:val="clear" w:color="auto" w:fill="auto"/>
            <w:tcBorders>
              <w:top w:val="none" w:color="000000" w:sz="4" w:space="0"/>
              <w:left w:val="none" w:color="000000" w:sz="4" w:space="0"/>
              <w:bottom w:val="single" w:color="auto" w:sz="4" w:space="0"/>
              <w:right w:val="single" w:color="auto" w:sz="4" w:space="0"/>
            </w:tcBorders>
            <w:tcW w:w="786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单节点配置≥2块480GB企业级SSD硬盘，每节点配置≥2块3.2TB企业级NVMeSSD硬盘，数据盘整体满足1</w:t>
            </w:r>
            <w:r>
              <w:rPr>
                <w:rFonts w:hint="eastAsia" w:ascii="宋体" w:hAnsi="宋体" w:cs="宋体"/>
                <w:color w:val="auto"/>
                <w:sz w:val="21"/>
                <w:szCs w:val="21"/>
                <w:highlight w:val="none"/>
                <w:lang w:val="en-US" w:eastAsia="zh-CN"/>
              </w:rPr>
              <w:t xml:space="preserve">150</w:t>
            </w:r>
            <w:r>
              <w:rPr>
                <w:rFonts w:hint="eastAsia" w:ascii="宋体" w:hAnsi="宋体" w:cs="宋体"/>
                <w:color w:val="auto"/>
                <w:sz w:val="21"/>
                <w:szCs w:val="21"/>
                <w:highlight w:val="none"/>
              </w:rPr>
              <w:t xml:space="preserve">TB裸容量，节点数量与硬盘规格自行配置</w:t>
            </w:r>
            <w:r/>
          </w:p>
        </w:tc>
      </w:tr>
      <w:tr>
        <w:trPr>
          <w:jc w:val="center"/>
          <w:trHeight w:val="624"/>
        </w:trPr>
        <w:tc>
          <w:tcPr>
            <w:shd w:val="clear" w:color="auto" w:fill="auto"/>
            <w:tcBorders>
              <w:top w:val="none" w:color="000000" w:sz="4" w:space="0"/>
              <w:left w:val="single" w:color="auto" w:sz="4" w:space="0"/>
              <w:bottom w:val="single" w:color="000000" w:sz="4" w:space="0"/>
              <w:right w:val="single" w:color="auto" w:sz="4" w:space="0"/>
            </w:tcBorders>
            <w:tcW w:w="1485" w:type="dxa"/>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接口</w:t>
            </w:r>
            <w:r/>
          </w:p>
        </w:tc>
        <w:tc>
          <w:tcPr>
            <w:shd w:val="clear" w:color="auto" w:fill="auto"/>
            <w:tcBorders>
              <w:top w:val="none" w:color="000000" w:sz="4" w:space="0"/>
              <w:left w:val="none" w:color="000000" w:sz="4" w:space="0"/>
              <w:bottom w:val="single" w:color="auto" w:sz="4" w:space="0"/>
              <w:right w:val="single" w:color="auto" w:sz="4" w:space="0"/>
            </w:tcBorders>
            <w:tcW w:w="786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单节点配置≥4个10GE以太网接口和≥1个管理网口，前端业务网络与管理网络物理隔离</w:t>
            </w:r>
            <w:r>
              <w:rPr>
                <w:rFonts w:hint="eastAsia" w:ascii="宋体" w:hAnsi="宋体" w:cs="宋体"/>
                <w:color w:val="auto"/>
                <w:sz w:val="21"/>
                <w:szCs w:val="21"/>
                <w:highlight w:val="none"/>
                <w:lang w:val="zh-CN"/>
              </w:rPr>
              <w:t xml:space="preserve">。</w:t>
            </w:r>
            <w:r/>
          </w:p>
        </w:tc>
      </w:tr>
      <w:tr>
        <w:trPr>
          <w:jc w:val="center"/>
          <w:trHeight w:val="312"/>
        </w:trPr>
        <w:tc>
          <w:tcPr>
            <w:tcBorders>
              <w:top w:val="none" w:color="000000" w:sz="4" w:space="0"/>
              <w:left w:val="single" w:color="auto" w:sz="4" w:space="0"/>
              <w:bottom w:val="single" w:color="000000" w:sz="4" w:space="0"/>
              <w:right w:val="single" w:color="auto" w:sz="4" w:space="0"/>
            </w:tcBorders>
            <w:tcW w:w="1485"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86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支持1Gb/10Gbps/25Gbps以太网，支持100GbInfiniBand网络</w:t>
            </w:r>
            <w:r>
              <w:rPr>
                <w:rFonts w:hint="eastAsia" w:ascii="宋体" w:hAnsi="宋体" w:cs="宋体"/>
                <w:color w:val="auto"/>
                <w:sz w:val="21"/>
                <w:szCs w:val="21"/>
                <w:highlight w:val="none"/>
                <w:lang w:val="zh-CN"/>
              </w:rPr>
              <w:t xml:space="preserve">。</w:t>
            </w:r>
            <w:r/>
          </w:p>
        </w:tc>
      </w:tr>
      <w:tr>
        <w:trPr>
          <w:jc w:val="center"/>
          <w:trHeight w:val="936"/>
        </w:trPr>
        <w:tc>
          <w:tcPr>
            <w:shd w:val="clear" w:color="auto" w:fill="auto"/>
            <w:tcBorders>
              <w:top w:val="none" w:color="000000"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数据重构</w:t>
            </w:r>
            <w:r/>
          </w:p>
        </w:tc>
        <w:tc>
          <w:tcPr>
            <w:shd w:val="clear" w:color="auto" w:fill="auto"/>
            <w:tcBorders>
              <w:top w:val="none" w:color="000000" w:sz="4" w:space="0"/>
              <w:left w:val="none" w:color="000000" w:sz="4" w:space="0"/>
              <w:bottom w:val="single" w:color="auto" w:sz="4" w:space="0"/>
              <w:right w:val="single" w:color="auto" w:sz="4" w:space="0"/>
            </w:tcBorders>
            <w:tcW w:w="7861" w:type="dxa"/>
            <w:vAlign w:val="center"/>
            <w:textDirection w:val="lrTb"/>
            <w:noWrap w:val="false"/>
          </w:tcPr>
          <w:p>
            <w:pPr>
              <w:spacing w:line="360" w:lineRule="auto"/>
              <w:rPr>
                <w:rFonts w:ascii="宋体" w:hAnsi="宋体"/>
                <w:color w:val="auto"/>
                <w:highlight w:val="none"/>
                <w:lang w:bidi="ar"/>
              </w:rPr>
            </w:pPr>
            <w:r>
              <w:rPr>
                <w:rFonts w:hint="eastAsia" w:ascii="宋体" w:hAnsi="宋体" w:cs="宋体"/>
                <w:color w:val="auto"/>
                <w:sz w:val="21"/>
                <w:szCs w:val="21"/>
                <w:highlight w:val="none"/>
              </w:rPr>
              <w:t xml:space="preserve">▲</w:t>
            </w:r>
            <w:r>
              <w:rPr>
                <w:rFonts w:hint="eastAsia" w:ascii="宋体" w:hAnsi="宋体" w:cs="宋体"/>
                <w:color w:val="auto"/>
                <w:highlight w:val="none"/>
                <w:lang w:bidi="ar"/>
              </w:rPr>
              <w:t xml:space="preserve">磁盘或存储节点故障时，系统能自动进行数据重建，在无人工干预条件下，数据重建速度需能满足：每</w:t>
            </w:r>
            <w:r>
              <w:rPr>
                <w:rFonts w:ascii="宋体" w:hAnsi="宋体" w:cs="宋体"/>
                <w:color w:val="auto"/>
                <w:highlight w:val="none"/>
                <w:lang w:bidi="ar"/>
              </w:rPr>
              <w:t xml:space="preserve">TB≤30分钟</w:t>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冗余策略</w:t>
            </w:r>
            <w:r/>
          </w:p>
        </w:tc>
        <w:tc>
          <w:tcPr>
            <w:shd w:val="clear" w:color="auto" w:fill="auto"/>
            <w:tcBorders>
              <w:top w:val="none" w:color="000000" w:sz="4" w:space="0"/>
              <w:left w:val="none" w:color="000000" w:sz="4" w:space="0"/>
              <w:bottom w:val="single" w:color="auto" w:sz="4" w:space="0"/>
              <w:right w:val="single" w:color="auto" w:sz="4" w:space="0"/>
            </w:tcBorders>
            <w:tcW w:w="786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highlight w:val="none"/>
                <w:lang w:bidi="ar"/>
              </w:rPr>
              <w:t xml:space="preserve">支持EC（纠删码）数据保护模式，且支持+2/+3/+4灵活EC配比</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最大支持22+2 EC配比</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安全管理</w:t>
            </w:r>
            <w:r/>
          </w:p>
        </w:tc>
        <w:tc>
          <w:tcPr>
            <w:shd w:val="clear" w:color="auto" w:fill="auto"/>
            <w:tcBorders>
              <w:top w:val="single" w:color="auto" w:sz="4" w:space="0"/>
              <w:left w:val="none" w:color="000000" w:sz="4" w:space="0"/>
              <w:bottom w:val="single" w:color="auto" w:sz="4" w:space="0"/>
              <w:right w:val="single" w:color="auto" w:sz="4" w:space="0"/>
            </w:tcBorders>
            <w:tcW w:w="7861" w:type="dxa"/>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1、支持口令复杂度检查，支持首次</w:t>
            </w:r>
            <w:r>
              <w:rPr>
                <w:rFonts w:hint="eastAsia" w:ascii="宋体" w:hAnsi="宋体" w:cs="宋体"/>
                <w:color w:val="auto"/>
                <w:sz w:val="21"/>
                <w:szCs w:val="21"/>
                <w:highlight w:val="none"/>
                <w:lang w:eastAsia="zh-CN"/>
              </w:rPr>
              <w:t xml:space="preserve">登录后</w:t>
            </w:r>
            <w:r>
              <w:rPr>
                <w:rFonts w:hint="eastAsia" w:ascii="宋体" w:hAnsi="宋体" w:cs="宋体"/>
                <w:color w:val="auto"/>
                <w:sz w:val="21"/>
                <w:szCs w:val="21"/>
                <w:highlight w:val="none"/>
              </w:rPr>
              <w:t xml:space="preserve">提示修改密码，支持弱口令字典功能，支持账户安全策略可配置，支持防暴力破解、会话超时机制、重要操作二次鉴权</w:t>
            </w:r>
            <w:r>
              <w:rPr>
                <w:rFonts w:hint="eastAsia" w:ascii="宋体" w:hAnsi="宋体" w:cs="宋体"/>
                <w:color w:val="auto"/>
                <w:sz w:val="21"/>
                <w:szCs w:val="21"/>
                <w:highlight w:val="none"/>
                <w:lang w:eastAsia="zh-CN"/>
              </w:rPr>
              <w:t xml:space="preserve">；</w:t>
            </w:r>
            <w:r/>
          </w:p>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2、支持基于角色的访问权限管理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通过权限角色划分，保护系统访问安全</w:t>
            </w:r>
            <w:r>
              <w:rPr>
                <w:rFonts w:hint="eastAsia" w:ascii="宋体" w:hAnsi="宋体" w:cs="宋体"/>
                <w:color w:val="auto"/>
                <w:sz w:val="21"/>
                <w:szCs w:val="21"/>
                <w:highlight w:val="none"/>
                <w:lang w:eastAsia="zh-CN"/>
              </w:rPr>
              <w:t xml:space="preserve">；</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3、支持双因子认证、支持LDAP域认证，支持基于IP的访问控制机制</w:t>
            </w:r>
            <w:r>
              <w:rPr>
                <w:rFonts w:hint="eastAsia" w:ascii="宋体" w:hAnsi="宋体" w:cs="宋体"/>
                <w:color w:val="auto"/>
                <w:sz w:val="21"/>
                <w:szCs w:val="21"/>
                <w:highlight w:val="none"/>
                <w:lang w:val="zh-CN"/>
              </w:rPr>
              <w:t xml:space="preserve">。</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运维功能</w:t>
            </w:r>
            <w:r/>
          </w:p>
        </w:tc>
        <w:tc>
          <w:tcPr>
            <w:shd w:val="clear" w:color="auto" w:fill="auto"/>
            <w:tcBorders>
              <w:top w:val="single" w:color="auto" w:sz="4" w:space="0"/>
              <w:left w:val="none" w:color="000000" w:sz="4" w:space="0"/>
              <w:bottom w:val="single" w:color="auto" w:sz="4" w:space="0"/>
              <w:right w:val="single" w:color="auto" w:sz="4" w:space="0"/>
            </w:tcBorders>
            <w:tcW w:w="7861" w:type="dxa"/>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支持选择账户，查看该账户下的命名空间、子目录和文件。支持使用命名空间、Dtree或者路径查询和筛选</w:t>
            </w:r>
            <w:r>
              <w:rPr>
                <w:rFonts w:hint="eastAsia" w:ascii="宋体" w:hAnsi="宋体" w:cs="宋体"/>
                <w:color w:val="auto"/>
                <w:sz w:val="21"/>
                <w:szCs w:val="21"/>
                <w:highlight w:val="none"/>
                <w:lang w:eastAsia="zh-CN"/>
              </w:rPr>
              <w:t xml:space="preserve">；</w:t>
            </w:r>
            <w:r/>
          </w:p>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支持集群资源管理、告警管理、用户管理、license管理、硬件管理、网络拓扑管理、网络端口管理、任务中心管理</w:t>
            </w:r>
            <w:r>
              <w:rPr>
                <w:rFonts w:hint="eastAsia" w:ascii="宋体" w:hAnsi="宋体" w:cs="宋体"/>
                <w:color w:val="auto"/>
                <w:sz w:val="21"/>
                <w:szCs w:val="21"/>
                <w:highlight w:val="none"/>
                <w:lang w:eastAsia="zh-CN"/>
              </w:rPr>
              <w:t xml:space="preserve">；</w:t>
            </w:r>
            <w:r/>
          </w:p>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支持控制集群名称查看和修改，控制集群状态、元数据存储方式和节点信息监测</w:t>
            </w:r>
            <w:r>
              <w:rPr>
                <w:rFonts w:hint="eastAsia" w:ascii="宋体" w:hAnsi="宋体" w:cs="宋体"/>
                <w:color w:val="auto"/>
                <w:sz w:val="21"/>
                <w:szCs w:val="21"/>
                <w:highlight w:val="none"/>
                <w:lang w:eastAsia="zh-CN"/>
              </w:rPr>
              <w:t xml:space="preserve">；</w:t>
            </w:r>
            <w:r/>
          </w:p>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支持提供节点、硬盘、端口的信息查询</w:t>
            </w:r>
            <w:r>
              <w:rPr>
                <w:rFonts w:hint="eastAsia" w:ascii="宋体" w:hAnsi="宋体" w:cs="宋体"/>
                <w:color w:val="auto"/>
                <w:sz w:val="21"/>
                <w:szCs w:val="21"/>
                <w:highlight w:val="none"/>
                <w:lang w:eastAsia="zh-CN"/>
              </w:rPr>
              <w:t xml:space="preserve">；</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管理界面，提供机架拓扑页面，可对存储节点、所有类型盘等部件实物1:1的效果视图级监控，故障位置与实际设备故障位置保持一致。</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shd w:val="clear" w:color="auto" w:fill="auto"/>
            <w:tcBorders>
              <w:top w:val="single" w:color="auto" w:sz="4" w:space="0"/>
              <w:left w:val="none" w:color="000000" w:sz="4" w:space="0"/>
              <w:bottom w:val="single" w:color="auto" w:sz="4" w:space="0"/>
              <w:right w:val="single" w:color="auto" w:sz="4" w:space="0"/>
            </w:tcBorders>
            <w:tcW w:w="7861" w:type="dxa"/>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五年7*24小时响应，4小时内到达现场</w:t>
            </w:r>
            <w:r/>
          </w:p>
        </w:tc>
      </w:tr>
    </w:tbl>
    <w:p>
      <w:pPr>
        <w:numPr>
          <w:ilvl w:val="0"/>
          <w:numId w:val="0"/>
        </w:num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全闪存储</w:t>
      </w:r>
      <w:r/>
    </w:p>
    <w:tbl>
      <w:tblPr>
        <w:tblStyle w:val="841"/>
        <w:tblW w:w="55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6"/>
        <w:gridCol w:w="8119"/>
      </w:tblGrid>
      <w:tr>
        <w:trPr>
          <w:jc w:val="center"/>
          <w:trHeight w:val="300"/>
        </w:trPr>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spacing w:line="360" w:lineRule="auto"/>
              <w:widowControl w:val="off"/>
              <w:rPr>
                <w:rFonts w:ascii="宋体" w:hAnsi="宋体"/>
                <w:b/>
                <w:bCs/>
                <w:color w:val="auto"/>
                <w:sz w:val="21"/>
                <w:szCs w:val="21"/>
                <w:highlight w:val="none"/>
              </w:rPr>
            </w:pPr>
            <w:r>
              <w:rPr>
                <w:rFonts w:hint="eastAsia" w:ascii="宋体" w:hAnsi="宋体" w:cs="宋体"/>
                <w:b/>
                <w:bCs/>
                <w:color w:val="auto"/>
                <w:sz w:val="21"/>
                <w:szCs w:val="21"/>
                <w:highlight w:val="none"/>
              </w:rPr>
              <w:t xml:space="preserve">指标项</w:t>
            </w:r>
            <w:r/>
          </w:p>
        </w:tc>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7906" w:type="dxa"/>
            <w:vAlign w:val="center"/>
            <w:textDirection w:val="lrTb"/>
            <w:noWrap w:val="false"/>
          </w:tcPr>
          <w:p>
            <w:pPr>
              <w:jc w:val="center"/>
              <w:spacing w:line="360" w:lineRule="auto"/>
              <w:widowControl w:val="off"/>
              <w:rPr>
                <w:rFonts w:ascii="宋体" w:hAnsi="宋体"/>
                <w:b/>
                <w:bCs/>
                <w:color w:val="auto"/>
                <w:sz w:val="21"/>
                <w:szCs w:val="21"/>
                <w:highlight w:val="none"/>
              </w:rPr>
            </w:pPr>
            <w:r>
              <w:rPr>
                <w:rFonts w:hint="eastAsia" w:ascii="宋体" w:hAnsi="宋体" w:cs="宋体"/>
                <w:b/>
                <w:bCs/>
                <w:color w:val="auto"/>
                <w:sz w:val="21"/>
                <w:szCs w:val="21"/>
                <w:highlight w:val="none"/>
              </w:rPr>
              <w:t xml:space="preserve">技术规格及参数</w:t>
            </w:r>
            <w:r/>
          </w:p>
        </w:tc>
      </w:tr>
      <w:tr>
        <w:trPr>
          <w:jc w:val="center"/>
          <w:trHeight w:val="943"/>
        </w:trPr>
        <w:tc>
          <w:tcPr>
            <w:tcBorders>
              <w:top w:val="single" w:color="auto" w:sz="4" w:space="0"/>
              <w:left w:val="single" w:color="auto" w:sz="4" w:space="0"/>
              <w:right w:val="single" w:color="auto" w:sz="4" w:space="0"/>
            </w:tcBorders>
            <w:tcW w:w="1427" w:type="dxa"/>
            <w:vAlign w:val="center"/>
            <w:vMerge w:val="restart"/>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设备架构</w:t>
            </w:r>
            <w:r/>
          </w:p>
        </w:tc>
        <w:tc>
          <w:tcPr>
            <w:tcBorders>
              <w:top w:val="single" w:color="auto" w:sz="4" w:space="0"/>
              <w:left w:val="single" w:color="auto" w:sz="4" w:space="0"/>
              <w:bottom w:val="single" w:color="auto" w:sz="4" w:space="0"/>
              <w:right w:val="single" w:color="auto" w:sz="4" w:space="0"/>
            </w:tcBorders>
            <w:tcW w:w="7906"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所投存储产品使用国产自研ARM架构CPU</w:t>
            </w:r>
            <w:r/>
          </w:p>
        </w:tc>
      </w:tr>
      <w:tr>
        <w:trPr>
          <w:jc w:val="center"/>
          <w:trHeight w:val="132"/>
        </w:trPr>
        <w:tc>
          <w:tcPr>
            <w:tcBorders>
              <w:left w:val="single" w:color="auto" w:sz="4" w:space="0"/>
              <w:right w:val="single" w:color="auto" w:sz="4" w:space="0"/>
            </w:tcBorders>
            <w:tcW w:w="1427"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6"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控制器采用Active-Active架构，LUN不归属于某一个控制器，业务负载均衡到≥2个控制器，业务运行过程中，每个控制器的IOPS和CPU利用率差异不超过10%</w:t>
            </w:r>
            <w:r/>
          </w:p>
        </w:tc>
      </w:tr>
      <w:tr>
        <w:trPr>
          <w:jc w:val="center"/>
          <w:trHeight w:val="697"/>
        </w:trPr>
        <w:tc>
          <w:tcPr>
            <w:tcBorders>
              <w:left w:val="single" w:color="auto" w:sz="4" w:space="0"/>
              <w:right w:val="single" w:color="auto" w:sz="4" w:space="0"/>
            </w:tcBorders>
            <w:tcW w:w="1427"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6"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采用2U盘控一体架构，控制器框提供≥25个硬盘槽位</w:t>
            </w:r>
            <w:r/>
          </w:p>
        </w:tc>
      </w:tr>
      <w:tr>
        <w:trPr>
          <w:jc w:val="center"/>
          <w:trHeight w:val="735"/>
        </w:trPr>
        <w:tc>
          <w:tcPr>
            <w:tcBorders>
              <w:left w:val="single" w:color="auto" w:sz="4" w:space="0"/>
              <w:right w:val="single" w:color="auto" w:sz="4" w:space="0"/>
            </w:tcBorders>
            <w:tcW w:w="1427"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6"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稳定时延≤0.5ms，包括开启增值功能（不少于3个，包括开启快照）的情况下</w:t>
            </w:r>
            <w:r/>
          </w:p>
        </w:tc>
      </w:tr>
      <w:tr>
        <w:trPr>
          <w:jc w:val="center"/>
          <w:trHeight w:val="735"/>
        </w:trPr>
        <w:tc>
          <w:tcPr>
            <w:tcBorders>
              <w:left w:val="single" w:color="auto" w:sz="4" w:space="0"/>
              <w:right w:val="single" w:color="auto" w:sz="4" w:space="0"/>
            </w:tcBorders>
            <w:tcW w:w="1427"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6"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支持无中断升级，采用模块化软件架构设计，超过90%的组件用户态，升级无需重启控制器。</w:t>
            </w:r>
            <w:r/>
          </w:p>
        </w:tc>
      </w:tr>
      <w:tr>
        <w:trPr>
          <w:jc w:val="center"/>
          <w:trHeight w:val="735"/>
        </w:trPr>
        <w:tc>
          <w:tcPr>
            <w:tcBorders>
              <w:top w:val="single" w:color="auto" w:sz="4" w:space="0"/>
              <w:left w:val="single" w:color="auto" w:sz="4" w:space="0"/>
              <w:right w:val="single" w:color="auto" w:sz="4" w:space="0"/>
            </w:tcBorders>
            <w:tcW w:w="1427" w:type="dxa"/>
            <w:vAlign w:val="center"/>
            <w:vMerge w:val="restart"/>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功能</w:t>
            </w:r>
            <w:r/>
          </w:p>
        </w:tc>
        <w:tc>
          <w:tcPr>
            <w:tcBorders>
              <w:top w:val="single" w:color="auto" w:sz="4" w:space="0"/>
              <w:left w:val="single" w:color="auto" w:sz="4" w:space="0"/>
              <w:bottom w:val="single" w:color="auto" w:sz="4" w:space="0"/>
              <w:right w:val="single" w:color="auto" w:sz="4" w:space="0"/>
            </w:tcBorders>
            <w:tcW w:w="7906"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▲配置ROW无损快照功能，满足如下：</w:t>
            </w:r>
            <w:r/>
          </w:p>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1.支持单LUN ≥</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万个快照，系统≥</w:t>
            </w:r>
            <w:r>
              <w:rPr>
                <w:rFonts w:hint="eastAsia" w:ascii="宋体" w:hAnsi="宋体" w:cs="宋体"/>
                <w:color w:val="auto"/>
                <w:sz w:val="21"/>
                <w:szCs w:val="21"/>
                <w:highlight w:val="none"/>
                <w:lang w:val="en-US" w:eastAsia="zh-CN"/>
              </w:rPr>
              <w:t xml:space="preserve">25</w:t>
            </w:r>
            <w:r>
              <w:rPr>
                <w:rFonts w:hint="eastAsia" w:ascii="宋体" w:hAnsi="宋体" w:cs="宋体"/>
                <w:color w:val="auto"/>
                <w:sz w:val="21"/>
                <w:szCs w:val="21"/>
                <w:highlight w:val="none"/>
              </w:rPr>
              <w:t xml:space="preserve">万个快照</w:t>
            </w:r>
            <w:r>
              <w:rPr>
                <w:rFonts w:hint="eastAsia" w:ascii="宋体" w:hAnsi="宋体" w:cs="宋体"/>
                <w:color w:val="auto"/>
                <w:sz w:val="21"/>
                <w:szCs w:val="21"/>
                <w:highlight w:val="none"/>
                <w:lang w:eastAsia="zh-CN"/>
              </w:rPr>
              <w:t xml:space="preserve">；</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2.系统提供每3秒做一次快照备份</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3.恢复任意时间点快照，其他时间点快照不丢失。</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4.支持快照一致性组</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5.提供无损快照功能，系统性能不因快照数量增加而下降，同时开启快照功能时阵列时延能够稳定在＜1ms。</w:t>
            </w:r>
            <w:r/>
          </w:p>
        </w:tc>
      </w:tr>
      <w:tr>
        <w:trPr>
          <w:jc w:val="center"/>
          <w:trHeight w:val="735"/>
        </w:trPr>
        <w:tc>
          <w:tcPr>
            <w:tcBorders>
              <w:left w:val="single" w:color="auto" w:sz="4" w:space="0"/>
              <w:right w:val="single" w:color="auto" w:sz="4" w:space="0"/>
            </w:tcBorders>
            <w:tcW w:w="1427"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6"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配置双活功能：</w:t>
            </w:r>
            <w:r/>
          </w:p>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1.提供A-A免网关双活架构，实现两套核心存储数据双活（主机能够并发读写同一双活卷），任何一套设备宕机均不影响上层业务系统运行</w:t>
            </w:r>
            <w:r/>
          </w:p>
          <w:p>
            <w:pPr>
              <w:spacing w:line="360" w:lineRule="auto"/>
              <w:widowControl w:val="off"/>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2.双活引擎采用集群冗余架构，双活引擎数据传送采用FC协议</w:t>
            </w:r>
            <w:r>
              <w:rPr>
                <w:rFonts w:hint="eastAsia" w:ascii="宋体" w:hAnsi="宋体" w:cs="宋体"/>
                <w:color w:val="auto"/>
                <w:sz w:val="21"/>
                <w:szCs w:val="21"/>
                <w:highlight w:val="none"/>
                <w:lang w:eastAsia="zh-CN"/>
              </w:rPr>
              <w:t xml:space="preserve">；</w:t>
            </w:r>
            <w:r/>
          </w:p>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3.双活架构能够支持的第三方仲裁设备。仲裁设备故障时，不影响业务运行，同时双活卷仍能保持数据实时一致</w:t>
            </w:r>
            <w:r/>
          </w:p>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4.一个站点发生故障后，另一个站点可自动快速拉起业务（秒级）</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一个站点故障恢复后，双活关系可自动恢复</w:t>
            </w:r>
            <w:r/>
          </w:p>
        </w:tc>
      </w:tr>
      <w:tr>
        <w:trPr>
          <w:jc w:val="center"/>
          <w:trHeight w:val="735"/>
        </w:trPr>
        <w:tc>
          <w:tcPr>
            <w:tcBorders>
              <w:left w:val="single" w:color="auto" w:sz="4" w:space="0"/>
              <w:right w:val="single" w:color="auto" w:sz="4" w:space="0"/>
            </w:tcBorders>
            <w:tcW w:w="1427"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6"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磁盘冗余：支持全局动态热备技术，磁盘热备功能通过磁盘剩余空间实现</w:t>
            </w:r>
            <w:r/>
          </w:p>
        </w:tc>
      </w:tr>
      <w:tr>
        <w:trPr>
          <w:jc w:val="center"/>
          <w:trHeight w:val="735"/>
        </w:trPr>
        <w:tc>
          <w:tcPr>
            <w:tcBorders>
              <w:top w:val="single" w:color="auto" w:sz="4" w:space="0"/>
              <w:left w:val="single" w:color="auto" w:sz="4" w:space="0"/>
              <w:right w:val="single" w:color="auto" w:sz="4" w:space="0"/>
            </w:tcBorders>
            <w:tcW w:w="1427" w:type="dxa"/>
            <w:vAlign w:val="center"/>
            <w:vMerge w:val="restart"/>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配置</w:t>
            </w:r>
            <w:r/>
          </w:p>
        </w:tc>
        <w:tc>
          <w:tcPr>
            <w:tcBorders>
              <w:top w:val="single" w:color="auto" w:sz="4" w:space="0"/>
              <w:left w:val="single" w:color="auto" w:sz="4" w:space="0"/>
              <w:bottom w:val="single" w:color="auto" w:sz="4" w:space="0"/>
              <w:right w:val="single" w:color="auto" w:sz="4" w:space="0"/>
            </w:tcBorders>
            <w:tcW w:w="7906"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配置2个控制器，控制器采用多核处理器，且</w:t>
            </w:r>
            <w:r>
              <w:rPr>
                <w:rFonts w:hint="eastAsia" w:ascii="宋体" w:hAnsi="宋体" w:cs="宋体"/>
                <w:color w:val="auto"/>
                <w:sz w:val="21"/>
                <w:szCs w:val="21"/>
                <w:highlight w:val="none"/>
                <w:lang w:eastAsia="zh-CN"/>
              </w:rPr>
              <w:t xml:space="preserve">单个控制器</w:t>
            </w:r>
            <w:r>
              <w:rPr>
                <w:rFonts w:hint="eastAsia" w:ascii="宋体" w:hAnsi="宋体" w:cs="宋体"/>
                <w:color w:val="auto"/>
                <w:sz w:val="21"/>
                <w:szCs w:val="21"/>
                <w:highlight w:val="none"/>
              </w:rPr>
              <w:t xml:space="preserve">处理器核心数≥24核，CPU主频率≥2.5GHz</w:t>
            </w:r>
            <w:r/>
          </w:p>
        </w:tc>
      </w:tr>
      <w:tr>
        <w:trPr>
          <w:jc w:val="center"/>
          <w:trHeight w:val="735"/>
        </w:trPr>
        <w:tc>
          <w:tcPr>
            <w:tcBorders>
              <w:left w:val="single" w:color="auto" w:sz="4" w:space="0"/>
              <w:right w:val="single" w:color="auto" w:sz="4" w:space="0"/>
            </w:tcBorders>
            <w:tcW w:w="1427"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6"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系统内总一级缓存容量配置≥128GB，且任意控制器一级缓存容量≥64GB（不含任何性能加速模块、FlashCache、PAM卡，SSDCache、SCM等）</w:t>
            </w:r>
            <w:r/>
          </w:p>
        </w:tc>
      </w:tr>
      <w:tr>
        <w:trPr>
          <w:jc w:val="center"/>
          <w:trHeight w:val="495"/>
        </w:trPr>
        <w:tc>
          <w:tcPr>
            <w:tcBorders>
              <w:left w:val="single" w:color="auto" w:sz="4" w:space="0"/>
              <w:right w:val="single" w:color="auto" w:sz="4" w:space="0"/>
            </w:tcBorders>
            <w:tcW w:w="1427"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6"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配置≥8*GEETH接口，配置≥8*10GEETH接口</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含万兆模块</w:t>
            </w:r>
            <w:r>
              <w:rPr>
                <w:rFonts w:hint="eastAsia" w:ascii="宋体" w:hAnsi="宋体" w:cs="宋体"/>
                <w:color w:val="auto"/>
                <w:sz w:val="21"/>
                <w:szCs w:val="21"/>
                <w:highlight w:val="none"/>
                <w:lang w:eastAsia="zh-CN"/>
              </w:rPr>
              <w:t xml:space="preserve">）</w:t>
            </w:r>
            <w:r/>
          </w:p>
        </w:tc>
      </w:tr>
      <w:tr>
        <w:trPr>
          <w:jc w:val="center"/>
          <w:trHeight w:val="473"/>
        </w:trPr>
        <w:tc>
          <w:tcPr>
            <w:tcBorders>
              <w:left w:val="single" w:color="auto" w:sz="4" w:space="0"/>
              <w:right w:val="single" w:color="auto" w:sz="4" w:space="0"/>
            </w:tcBorders>
            <w:tcW w:w="1427"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6"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配置≥25块3.84TBSSDSAS硬盘</w:t>
            </w:r>
            <w:r/>
          </w:p>
        </w:tc>
      </w:tr>
      <w:tr>
        <w:trPr>
          <w:jc w:val="center"/>
          <w:trHeight w:val="473"/>
        </w:trPr>
        <w:tc>
          <w:tcPr>
            <w:tcBorders>
              <w:left w:val="single" w:color="auto" w:sz="4" w:space="0"/>
              <w:right w:val="single" w:color="auto" w:sz="4" w:space="0"/>
            </w:tcBorders>
            <w:tcW w:w="1427" w:type="dxa"/>
            <w:vAlign w:val="center"/>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7906" w:type="dxa"/>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五年7*24小时响应，4小时内到达现场</w:t>
            </w:r>
            <w:r/>
          </w:p>
        </w:tc>
      </w:tr>
    </w:tbl>
    <w:p>
      <w:pPr>
        <w:ind w:left="42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存储交换机</w:t>
      </w:r>
      <w:r/>
    </w:p>
    <w:tbl>
      <w:tblPr>
        <w:tblStyle w:val="841"/>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9"/>
        <w:gridCol w:w="7867"/>
      </w:tblGrid>
      <w:tr>
        <w:trPr>
          <w:jc w:val="center"/>
        </w:trPr>
        <w:tc>
          <w:tcPr>
            <w:shd w:val="clear" w:color="auto" w:fill="d7d7d7" w:themeFill="background1" w:themeFillShade="D8"/>
            <w:tcW w:w="1479" w:type="dxa"/>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rPr>
              <w:t xml:space="preserve">指标项</w:t>
            </w:r>
            <w:r/>
          </w:p>
        </w:tc>
        <w:tc>
          <w:tcPr>
            <w:shd w:val="clear" w:color="auto" w:fill="d7d7d7" w:themeFill="background1" w:themeFillShade="D8"/>
            <w:tcW w:w="7867" w:type="dxa"/>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rPr>
              <w:t xml:space="preserve">技术规格及参数</w:t>
            </w:r>
            <w:r/>
          </w:p>
        </w:tc>
      </w:tr>
      <w:tr>
        <w:trPr>
          <w:jc w:val="center"/>
        </w:trPr>
        <w:tc>
          <w:tcPr>
            <w:tcW w:w="1479"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端口数</w:t>
            </w:r>
            <w:r/>
          </w:p>
        </w:tc>
        <w:tc>
          <w:tcPr>
            <w:tcW w:w="7867" w:type="dxa"/>
            <w:vAlign w:val="center"/>
            <w:textDirection w:val="lrTb"/>
            <w:noWrap w:val="false"/>
          </w:tcPr>
          <w:p>
            <w:pPr>
              <w:spacing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共64个端口，本次激活</w:t>
            </w:r>
            <w:r>
              <w:rPr>
                <w:rFonts w:hint="eastAsia" w:ascii="宋体" w:hAnsi="宋体" w:cs="宋体"/>
                <w:color w:val="auto"/>
                <w:sz w:val="21"/>
                <w:szCs w:val="21"/>
                <w:highlight w:val="none"/>
                <w:lang w:val="en-US" w:eastAsia="zh-CN"/>
              </w:rPr>
              <w:t xml:space="preserve">36</w:t>
            </w:r>
            <w:r>
              <w:rPr>
                <w:rFonts w:hint="eastAsia" w:ascii="宋体" w:hAnsi="宋体" w:cs="宋体"/>
                <w:color w:val="auto"/>
                <w:sz w:val="21"/>
                <w:szCs w:val="21"/>
                <w:highlight w:val="none"/>
              </w:rPr>
              <w:t xml:space="preserve">个端口，含</w:t>
            </w:r>
            <w:r>
              <w:rPr>
                <w:rFonts w:hint="eastAsia" w:ascii="宋体" w:hAnsi="宋体" w:cs="宋体"/>
                <w:color w:val="auto"/>
                <w:sz w:val="21"/>
                <w:szCs w:val="21"/>
                <w:highlight w:val="none"/>
                <w:lang w:val="en-US" w:eastAsia="zh-CN"/>
              </w:rPr>
              <w:t xml:space="preserve">36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32</w:t>
            </w:r>
            <w:r>
              <w:rPr>
                <w:rFonts w:hint="eastAsia" w:ascii="宋体" w:hAnsi="宋体" w:cs="宋体"/>
                <w:color w:val="auto"/>
                <w:sz w:val="21"/>
                <w:szCs w:val="21"/>
                <w:highlight w:val="none"/>
              </w:rPr>
              <w:t xml:space="preserve">GbSFP模块，双电源</w:t>
            </w:r>
            <w:r>
              <w:rPr>
                <w:rFonts w:hint="eastAsia" w:ascii="宋体" w:hAnsi="宋体" w:cs="宋体"/>
                <w:color w:val="auto"/>
                <w:sz w:val="21"/>
                <w:szCs w:val="21"/>
                <w:highlight w:val="none"/>
                <w:lang w:eastAsia="zh-CN"/>
              </w:rPr>
              <w:t xml:space="preserve">；</w:t>
            </w:r>
            <w:r/>
          </w:p>
        </w:tc>
      </w:tr>
      <w:tr>
        <w:trPr>
          <w:jc w:val="center"/>
        </w:trPr>
        <w:tc>
          <w:tcPr>
            <w:tcW w:w="1479"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端口速率</w:t>
            </w:r>
            <w:r/>
          </w:p>
        </w:tc>
        <w:tc>
          <w:tcPr>
            <w:tcW w:w="7867"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32,16,10,8,4Gbps自适应</w:t>
            </w:r>
            <w:r/>
          </w:p>
        </w:tc>
      </w:tr>
      <w:tr>
        <w:trPr>
          <w:jc w:val="center"/>
        </w:trPr>
        <w:tc>
          <w:tcPr>
            <w:tcW w:w="1479"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总带宽</w:t>
            </w:r>
            <w:r/>
          </w:p>
        </w:tc>
        <w:tc>
          <w:tcPr>
            <w:tcW w:w="7867"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≥2T</w:t>
            </w:r>
            <w:r/>
          </w:p>
        </w:tc>
      </w:tr>
      <w:tr>
        <w:trPr>
          <w:jc w:val="center"/>
        </w:trPr>
        <w:tc>
          <w:tcPr>
            <w:tcW w:w="1479"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管理性</w:t>
            </w:r>
            <w:r/>
          </w:p>
        </w:tc>
        <w:tc>
          <w:tcPr>
            <w:tcW w:w="7867"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支持SNMPv1/v3、Telnet、Web管理／GUI界面</w:t>
            </w:r>
            <w:r/>
          </w:p>
        </w:tc>
      </w:tr>
      <w:tr>
        <w:trPr>
          <w:jc w:val="center"/>
        </w:trPr>
        <w:tc>
          <w:tcPr>
            <w:tcW w:w="1479"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shd w:val="clear" w:color="auto" w:fill="auto"/>
            <w:tcW w:w="7867"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万兆业务交换机</w:t>
      </w:r>
      <w:r/>
    </w:p>
    <w:tbl>
      <w:tblPr>
        <w:tblStyle w:val="841"/>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2"/>
        <w:gridCol w:w="7874"/>
      </w:tblGrid>
      <w:tr>
        <w:trPr>
          <w:jc w:val="center"/>
        </w:trPr>
        <w:tc>
          <w:tcPr>
            <w:shd w:val="clear" w:color="auto" w:fill="d7d7d7" w:themeFill="background1" w:themeFillShade="D8"/>
            <w:tcW w:w="1472"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b/>
                <w:bCs/>
                <w:color w:val="auto"/>
                <w:sz w:val="21"/>
                <w:szCs w:val="21"/>
                <w:highlight w:val="none"/>
              </w:rPr>
              <w:t xml:space="preserve">指标项</w:t>
            </w:r>
            <w:r/>
          </w:p>
        </w:tc>
        <w:tc>
          <w:tcPr>
            <w:shd w:val="clear" w:color="auto" w:fill="d7d7d7" w:themeFill="background1" w:themeFillShade="D8"/>
            <w:tcW w:w="7874"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b/>
                <w:bCs/>
                <w:color w:val="auto"/>
                <w:sz w:val="21"/>
                <w:szCs w:val="21"/>
                <w:highlight w:val="none"/>
              </w:rPr>
              <w:t xml:space="preserve">技术规格及参数</w:t>
            </w:r>
            <w:r/>
          </w:p>
        </w:tc>
      </w:tr>
      <w:tr>
        <w:trPr>
          <w:jc w:val="center"/>
        </w:trPr>
        <w:tc>
          <w:tcPr>
            <w:tcW w:w="1472"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CPU要求</w:t>
            </w:r>
            <w:r/>
          </w:p>
        </w:tc>
        <w:tc>
          <w:tcPr>
            <w:tcW w:w="7874"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处理器为国产自研芯片</w:t>
            </w:r>
            <w:r/>
          </w:p>
        </w:tc>
      </w:tr>
      <w:tr>
        <w:trPr>
          <w:jc w:val="center"/>
        </w:trPr>
        <w:tc>
          <w:tcPr>
            <w:tcW w:w="1472"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交换容量</w:t>
            </w:r>
            <w:r/>
          </w:p>
        </w:tc>
        <w:tc>
          <w:tcPr>
            <w:tcW w:w="7874"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交换容量≥4.8Tbps，包转发率≥2000Mpps</w:t>
            </w:r>
            <w:r/>
          </w:p>
        </w:tc>
      </w:tr>
      <w:tr>
        <w:trPr>
          <w:jc w:val="center"/>
        </w:trPr>
        <w:tc>
          <w:tcPr>
            <w:tcW w:w="1472"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端口数量</w:t>
            </w:r>
            <w:r/>
          </w:p>
        </w:tc>
        <w:tc>
          <w:tcPr>
            <w:tcW w:w="7874"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配置10GSFP+端口≥48，40GQSFP28端口≥6</w:t>
            </w:r>
            <w:r/>
          </w:p>
        </w:tc>
      </w:tr>
      <w:tr>
        <w:trPr>
          <w:jc w:val="center"/>
        </w:trPr>
        <w:tc>
          <w:tcPr>
            <w:tcW w:w="1472" w:type="dxa"/>
            <w:vAlign w:val="center"/>
            <w:vMerge w:val="restart"/>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功能要求</w:t>
            </w:r>
            <w:r/>
          </w:p>
        </w:tc>
        <w:tc>
          <w:tcPr>
            <w:tcW w:w="7874"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支持RIP、OSPF、ISIS、BGP等IPv4动态路由协议</w:t>
            </w:r>
            <w:r/>
          </w:p>
        </w:tc>
      </w:tr>
      <w:tr>
        <w:trPr>
          <w:jc w:val="center"/>
        </w:trPr>
        <w:tc>
          <w:tcPr>
            <w:tcW w:w="1472"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7874"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支持Vxlan，且支持BGPEVPN特性，支持VXLANmapping</w:t>
            </w:r>
            <w:r/>
          </w:p>
        </w:tc>
      </w:tr>
      <w:tr>
        <w:trPr>
          <w:jc w:val="center"/>
        </w:trPr>
        <w:tc>
          <w:tcPr>
            <w:tcW w:w="1472"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7874"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支持M-LAG或vPC等类似技术</w:t>
            </w:r>
            <w:r/>
          </w:p>
        </w:tc>
      </w:tr>
      <w:tr>
        <w:trPr>
          <w:jc w:val="center"/>
        </w:trPr>
        <w:tc>
          <w:tcPr>
            <w:tcW w:w="1472"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7874"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支持MACsec功能</w:t>
            </w:r>
            <w:r/>
          </w:p>
        </w:tc>
      </w:tr>
      <w:tr>
        <w:trPr>
          <w:jc w:val="center"/>
        </w:trPr>
        <w:tc>
          <w:tcPr>
            <w:tcW w:w="1472"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7874"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支持SNMPV1/V2/V3、Telnet、RMON、SSH</w:t>
            </w:r>
            <w:r/>
          </w:p>
        </w:tc>
      </w:tr>
      <w:tr>
        <w:trPr>
          <w:jc w:val="center"/>
        </w:trPr>
        <w:tc>
          <w:tcPr>
            <w:tcW w:w="1472"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配置要求</w:t>
            </w:r>
            <w:r/>
          </w:p>
        </w:tc>
        <w:tc>
          <w:tcPr>
            <w:tcW w:w="7874"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w:t>
            </w:r>
            <w:r>
              <w:rPr>
                <w:rFonts w:hint="eastAsia" w:ascii="宋体" w:hAnsi="宋体" w:cs="宋体"/>
                <w:color w:val="auto"/>
                <w:sz w:val="21"/>
                <w:szCs w:val="21"/>
                <w:highlight w:val="none"/>
                <w:lang w:val="en-US" w:eastAsia="zh-CN"/>
              </w:rPr>
              <w:t xml:space="preserve">48</w:t>
            </w:r>
            <w:r>
              <w:rPr>
                <w:rFonts w:hint="eastAsia" w:ascii="宋体" w:hAnsi="宋体" w:cs="宋体"/>
                <w:color w:val="auto"/>
                <w:sz w:val="21"/>
                <w:szCs w:val="21"/>
                <w:highlight w:val="none"/>
              </w:rPr>
              <w:t xml:space="preserve">个10G多模光纤模块，≥1根QSFP+-40G-高速电缆，配置冗余电源</w:t>
            </w:r>
            <w:r/>
          </w:p>
        </w:tc>
      </w:tr>
      <w:tr>
        <w:trPr>
          <w:jc w:val="center"/>
        </w:trPr>
        <w:tc>
          <w:tcPr>
            <w:tcW w:w="1472"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tcW w:w="7874"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lang w:bidi="ar"/>
        </w:rPr>
        <w:t xml:space="preserve">双活核心存储</w:t>
      </w:r>
      <w:r/>
    </w:p>
    <w:tbl>
      <w:tblPr>
        <w:tblStyle w:val="841"/>
        <w:tblW w:w="54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5"/>
        <w:gridCol w:w="8024"/>
      </w:tblGrid>
      <w:tr>
        <w:trPr>
          <w:jc w:val="center"/>
          <w:trHeight w:val="300"/>
        </w:trPr>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spacing w:line="360" w:lineRule="auto"/>
              <w:widowControl w:val="off"/>
              <w:rPr>
                <w:rFonts w:ascii="宋体" w:hAnsi="宋体"/>
                <w:b/>
                <w:bCs/>
                <w:color w:val="auto"/>
                <w:sz w:val="21"/>
                <w:szCs w:val="21"/>
                <w:highlight w:val="none"/>
              </w:rPr>
            </w:pPr>
            <w:r>
              <w:rPr>
                <w:rFonts w:hint="eastAsia" w:ascii="宋体" w:hAnsi="宋体" w:cs="宋体"/>
                <w:b/>
                <w:bCs/>
                <w:color w:val="auto"/>
                <w:sz w:val="21"/>
                <w:szCs w:val="21"/>
                <w:highlight w:val="none"/>
              </w:rPr>
              <w:t xml:space="preserve">指标项</w:t>
            </w:r>
            <w:r/>
          </w:p>
        </w:tc>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jc w:val="center"/>
              <w:spacing w:line="360" w:lineRule="auto"/>
              <w:widowControl w:val="off"/>
              <w:rPr>
                <w:rFonts w:ascii="宋体" w:hAnsi="宋体"/>
                <w:b/>
                <w:bCs/>
                <w:color w:val="auto"/>
                <w:sz w:val="21"/>
                <w:szCs w:val="21"/>
                <w:highlight w:val="none"/>
              </w:rPr>
            </w:pPr>
            <w:r>
              <w:rPr>
                <w:rFonts w:hint="eastAsia" w:ascii="宋体" w:hAnsi="宋体" w:cs="宋体"/>
                <w:b/>
                <w:bCs/>
                <w:color w:val="auto"/>
                <w:sz w:val="21"/>
                <w:szCs w:val="21"/>
                <w:highlight w:val="none"/>
              </w:rPr>
              <w:t xml:space="preserve">技术规格及参数</w:t>
            </w:r>
            <w:r/>
          </w:p>
        </w:tc>
      </w:tr>
      <w:tr>
        <w:trPr>
          <w:jc w:val="center"/>
          <w:trHeight w:val="90"/>
        </w:trPr>
        <w:tc>
          <w:tcPr>
            <w:tcBorders>
              <w:top w:val="single" w:color="auto" w:sz="4" w:space="0"/>
              <w:left w:val="single" w:color="auto" w:sz="4" w:space="0"/>
              <w:right w:val="single" w:color="auto" w:sz="4" w:space="0"/>
            </w:tcBorders>
            <w:tcW w:w="1378" w:type="dxa"/>
            <w:vAlign w:val="center"/>
            <w:vMerge w:val="restart"/>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设备架构</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所投存储产品使用国产自研ARM架构CPU</w:t>
            </w:r>
            <w:r/>
          </w:p>
        </w:tc>
      </w:tr>
      <w:tr>
        <w:trPr>
          <w:jc w:val="center"/>
          <w:trHeight w:val="512"/>
        </w:trPr>
        <w:tc>
          <w:tcPr>
            <w:tcBorders>
              <w:left w:val="single" w:color="auto" w:sz="4" w:space="0"/>
              <w:right w:val="single" w:color="auto" w:sz="4" w:space="0"/>
            </w:tcBorders>
            <w:tcW w:w="1378"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控制器采用Active-Active架构，LUN不归属于某一个控制器，业务负载均衡到≥2个控制器，业务运行过程中，每个控制器的IOPS和CPU利用率差异不超过10%</w:t>
            </w:r>
            <w:r/>
          </w:p>
        </w:tc>
      </w:tr>
      <w:tr>
        <w:trPr>
          <w:jc w:val="center"/>
          <w:trHeight w:val="587"/>
        </w:trPr>
        <w:tc>
          <w:tcPr>
            <w:tcBorders>
              <w:left w:val="single" w:color="auto" w:sz="4" w:space="0"/>
              <w:right w:val="single" w:color="auto" w:sz="4" w:space="0"/>
            </w:tcBorders>
            <w:tcW w:w="1378"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采用2U盘控一体架构，控制器框提供≥25个硬盘槽位</w:t>
            </w:r>
            <w:r/>
          </w:p>
        </w:tc>
      </w:tr>
      <w:tr>
        <w:trPr>
          <w:jc w:val="center"/>
          <w:trHeight w:val="453"/>
        </w:trPr>
        <w:tc>
          <w:tcPr>
            <w:tcBorders>
              <w:left w:val="single" w:color="auto" w:sz="4" w:space="0"/>
              <w:right w:val="single" w:color="auto" w:sz="4" w:space="0"/>
            </w:tcBorders>
            <w:tcW w:w="1378"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稳定时延≤0.5ms，包括开启增值功能（不少于3个，包括开启快照）的情况下</w:t>
            </w:r>
            <w:r/>
          </w:p>
        </w:tc>
      </w:tr>
      <w:tr>
        <w:trPr>
          <w:jc w:val="center"/>
          <w:trHeight w:val="869"/>
        </w:trPr>
        <w:tc>
          <w:tcPr>
            <w:tcBorders>
              <w:left w:val="single" w:color="auto" w:sz="4" w:space="0"/>
              <w:right w:val="single" w:color="auto" w:sz="4" w:space="0"/>
            </w:tcBorders>
            <w:tcW w:w="1378"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支持无中断升级，采用模块化软件架构设计，超过90%的组件用户态，升级无需重启控制器。</w:t>
            </w:r>
            <w:r/>
          </w:p>
        </w:tc>
      </w:tr>
      <w:tr>
        <w:trPr>
          <w:jc w:val="center"/>
          <w:trHeight w:val="735"/>
        </w:trPr>
        <w:tc>
          <w:tcPr>
            <w:tcBorders>
              <w:top w:val="single" w:color="auto" w:sz="4" w:space="0"/>
              <w:left w:val="single" w:color="auto" w:sz="4" w:space="0"/>
              <w:right w:val="single" w:color="auto" w:sz="4" w:space="0"/>
            </w:tcBorders>
            <w:tcW w:w="1378" w:type="dxa"/>
            <w:vAlign w:val="center"/>
            <w:vMerge w:val="restart"/>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功能</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widowControl w:val="off"/>
              <w:rPr>
                <w:color w:val="auto"/>
                <w:highlight w:val="none"/>
              </w:rPr>
            </w:pPr>
            <w:r>
              <w:rPr>
                <w:rFonts w:hint="eastAsia"/>
                <w:color w:val="auto"/>
                <w:highlight w:val="none"/>
              </w:rPr>
              <w:t xml:space="preserve">▲配置ROW无损快照功能，满足如下：</w:t>
            </w:r>
            <w:r/>
          </w:p>
          <w:p>
            <w:pPr>
              <w:spacing w:line="360" w:lineRule="auto"/>
              <w:widowControl w:val="off"/>
              <w:rPr>
                <w:rFonts w:hint="eastAsia" w:eastAsiaTheme="minorEastAsia"/>
                <w:color w:val="auto"/>
                <w:highlight w:val="none"/>
                <w:lang w:eastAsia="zh-CN"/>
              </w:rPr>
            </w:pPr>
            <w:r>
              <w:rPr>
                <w:rFonts w:hint="eastAsia"/>
                <w:color w:val="auto"/>
                <w:highlight w:val="none"/>
              </w:rPr>
              <w:t xml:space="preserve">1.支持单LUN ≥6万个快照，系统≥100万个快照</w:t>
            </w:r>
            <w:r>
              <w:rPr>
                <w:rFonts w:hint="eastAsia"/>
                <w:color w:val="auto"/>
                <w:highlight w:val="none"/>
                <w:lang w:eastAsia="zh-CN"/>
              </w:rPr>
              <w:t xml:space="preserve">；</w:t>
            </w:r>
            <w:r/>
          </w:p>
          <w:p>
            <w:pPr>
              <w:spacing w:line="360" w:lineRule="auto"/>
              <w:widowControl w:val="off"/>
              <w:rPr>
                <w:color w:val="auto"/>
                <w:highlight w:val="none"/>
              </w:rPr>
            </w:pPr>
            <w:r>
              <w:rPr>
                <w:rFonts w:hint="eastAsia"/>
                <w:color w:val="auto"/>
                <w:highlight w:val="none"/>
              </w:rPr>
              <w:t xml:space="preserve">2.系统提供每3秒做一次快照备份</w:t>
            </w:r>
            <w:r/>
          </w:p>
          <w:p>
            <w:pPr>
              <w:spacing w:line="360" w:lineRule="auto"/>
              <w:widowControl w:val="off"/>
              <w:rPr>
                <w:color w:val="auto"/>
                <w:highlight w:val="none"/>
              </w:rPr>
            </w:pPr>
            <w:r>
              <w:rPr>
                <w:rFonts w:hint="eastAsia"/>
                <w:color w:val="auto"/>
                <w:highlight w:val="none"/>
              </w:rPr>
              <w:t xml:space="preserve">3.恢复任意时间点快照，其他时间点快照不丢失。</w:t>
            </w:r>
            <w:r/>
          </w:p>
          <w:p>
            <w:pPr>
              <w:spacing w:line="360" w:lineRule="auto"/>
              <w:widowControl w:val="off"/>
              <w:rPr>
                <w:color w:val="auto"/>
                <w:highlight w:val="none"/>
              </w:rPr>
            </w:pPr>
            <w:r>
              <w:rPr>
                <w:rFonts w:hint="eastAsia"/>
                <w:color w:val="auto"/>
                <w:highlight w:val="none"/>
              </w:rPr>
              <w:t xml:space="preserve">4.支持快照一致性组</w:t>
            </w:r>
            <w:r/>
          </w:p>
          <w:p>
            <w:pPr>
              <w:spacing w:line="360" w:lineRule="auto"/>
              <w:widowControl w:val="off"/>
              <w:rPr>
                <w:rFonts w:ascii="宋体" w:hAnsi="宋体"/>
                <w:color w:val="auto"/>
                <w:sz w:val="21"/>
                <w:szCs w:val="21"/>
                <w:highlight w:val="none"/>
              </w:rPr>
            </w:pPr>
            <w:r>
              <w:rPr>
                <w:rFonts w:hint="eastAsia"/>
                <w:color w:val="auto"/>
                <w:highlight w:val="none"/>
              </w:rPr>
              <w:t xml:space="preserve">5.提供无损快照功能，系统性能不因快照数量增加而下降，同时开启快照功能时阵列时延能够稳定在＜1ms。</w:t>
            </w:r>
            <w:r/>
          </w:p>
        </w:tc>
      </w:tr>
      <w:tr>
        <w:trPr>
          <w:jc w:val="center"/>
          <w:trHeight w:val="476"/>
        </w:trPr>
        <w:tc>
          <w:tcPr>
            <w:tcBorders>
              <w:left w:val="single" w:color="auto" w:sz="4" w:space="0"/>
              <w:right w:val="single" w:color="auto" w:sz="4" w:space="0"/>
            </w:tcBorders>
            <w:tcW w:w="1378"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配置双活功能：</w:t>
            </w:r>
            <w:r/>
          </w:p>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1.提供A-A免网关双活架构，实现两套核心存储数据双活（主机能够并发读写同一双活卷），任何一套设备宕机均不影响上层业务系统运行</w:t>
            </w:r>
            <w:r/>
          </w:p>
          <w:p>
            <w:pPr>
              <w:spacing w:line="360" w:lineRule="auto"/>
              <w:widowControl w:val="off"/>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2.双活引擎采用集群冗余架构，双活引擎数据传送采用FC协议</w:t>
            </w:r>
            <w:r>
              <w:rPr>
                <w:rFonts w:hint="eastAsia" w:ascii="宋体" w:hAnsi="宋体" w:cs="宋体"/>
                <w:color w:val="auto"/>
                <w:sz w:val="21"/>
                <w:szCs w:val="21"/>
                <w:highlight w:val="none"/>
                <w:lang w:eastAsia="zh-CN"/>
              </w:rPr>
              <w:t xml:space="preserve">；</w:t>
            </w:r>
            <w:r/>
          </w:p>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3.双活架构能够支持的第三方仲裁设备。仲裁设备故障时，不影响业务运行，同时双活卷仍能保持数据实时一致</w:t>
            </w:r>
            <w:r/>
          </w:p>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4.一个站点发生故障后，另一个站点可自动快速拉起业务（秒级）</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一个站点故障恢复后，双活关系可自动恢复</w:t>
            </w:r>
            <w:r/>
          </w:p>
        </w:tc>
      </w:tr>
      <w:tr>
        <w:trPr>
          <w:jc w:val="center"/>
          <w:trHeight w:val="735"/>
        </w:trPr>
        <w:tc>
          <w:tcPr>
            <w:tcBorders>
              <w:left w:val="single" w:color="auto" w:sz="4" w:space="0"/>
              <w:right w:val="single" w:color="auto" w:sz="4" w:space="0"/>
            </w:tcBorders>
            <w:tcW w:w="1378"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磁盘冗余：支持全局动态热备技术，磁盘热备功能通过磁盘剩余空间实现</w:t>
            </w:r>
            <w:r/>
          </w:p>
        </w:tc>
      </w:tr>
      <w:tr>
        <w:trPr>
          <w:jc w:val="center"/>
          <w:trHeight w:val="735"/>
        </w:trPr>
        <w:tc>
          <w:tcPr>
            <w:tcBorders>
              <w:top w:val="single" w:color="auto" w:sz="4" w:space="0"/>
              <w:left w:val="single" w:color="auto" w:sz="4" w:space="0"/>
              <w:right w:val="single" w:color="auto" w:sz="4" w:space="0"/>
            </w:tcBorders>
            <w:tcW w:w="1378" w:type="dxa"/>
            <w:vAlign w:val="center"/>
            <w:vMerge w:val="restart"/>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配置</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配置2个控制器，控制器采用多核处理器，且</w:t>
            </w:r>
            <w:r>
              <w:rPr>
                <w:rFonts w:hint="eastAsia" w:ascii="宋体" w:hAnsi="宋体" w:cs="宋体"/>
                <w:color w:val="auto"/>
                <w:sz w:val="21"/>
                <w:szCs w:val="21"/>
                <w:highlight w:val="none"/>
                <w:lang w:eastAsia="zh-CN"/>
              </w:rPr>
              <w:t xml:space="preserve">单个控制器</w:t>
            </w:r>
            <w:r>
              <w:rPr>
                <w:rFonts w:hint="eastAsia" w:ascii="宋体" w:hAnsi="宋体" w:cs="宋体"/>
                <w:color w:val="auto"/>
                <w:sz w:val="21"/>
                <w:szCs w:val="21"/>
                <w:highlight w:val="none"/>
              </w:rPr>
              <w:t xml:space="preserve">处理器核心数≥64核，CPU主频率≥2.5GHz</w:t>
            </w:r>
            <w:r/>
          </w:p>
        </w:tc>
      </w:tr>
      <w:tr>
        <w:trPr>
          <w:jc w:val="center"/>
          <w:trHeight w:val="735"/>
        </w:trPr>
        <w:tc>
          <w:tcPr>
            <w:tcBorders>
              <w:left w:val="single" w:color="auto" w:sz="4" w:space="0"/>
              <w:right w:val="single" w:color="auto" w:sz="4" w:space="0"/>
            </w:tcBorders>
            <w:tcW w:w="1378"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系统内总一级缓存容量配置≥512GB，且任意控制器一级缓存容量≥256GB（不含任何性能加速模块、FlashCache、PAM卡，SSDCache、SCM等）</w:t>
            </w:r>
            <w:r/>
          </w:p>
        </w:tc>
      </w:tr>
      <w:tr>
        <w:trPr>
          <w:jc w:val="center"/>
          <w:trHeight w:val="495"/>
        </w:trPr>
        <w:tc>
          <w:tcPr>
            <w:tcBorders>
              <w:left w:val="single" w:color="auto" w:sz="4" w:space="0"/>
              <w:right w:val="single" w:color="auto" w:sz="4" w:space="0"/>
            </w:tcBorders>
            <w:tcW w:w="1378"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配置≥8*25GEETH接口</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含光模块</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，配置≥8*32GbFC接口</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含光模块</w:t>
            </w:r>
            <w:r>
              <w:rPr>
                <w:rFonts w:hint="eastAsia" w:ascii="宋体" w:hAnsi="宋体" w:cs="宋体"/>
                <w:color w:val="auto"/>
                <w:sz w:val="21"/>
                <w:szCs w:val="21"/>
                <w:highlight w:val="none"/>
                <w:lang w:eastAsia="zh-CN"/>
              </w:rPr>
              <w:t xml:space="preserve">）</w:t>
            </w:r>
            <w:r/>
          </w:p>
        </w:tc>
      </w:tr>
      <w:tr>
        <w:trPr>
          <w:jc w:val="center"/>
          <w:trHeight w:val="495"/>
        </w:trPr>
        <w:tc>
          <w:tcPr>
            <w:tcBorders>
              <w:left w:val="single" w:color="auto" w:sz="4" w:space="0"/>
              <w:right w:val="single" w:color="auto" w:sz="4" w:space="0"/>
            </w:tcBorders>
            <w:tcW w:w="1378"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配置≥25块3.84TBSSDSAS硬盘</w:t>
            </w:r>
            <w:r/>
          </w:p>
        </w:tc>
      </w:tr>
      <w:tr>
        <w:trPr>
          <w:jc w:val="center"/>
          <w:trHeight w:val="495"/>
        </w:trPr>
        <w:tc>
          <w:tcPr>
            <w:tcBorders>
              <w:left w:val="single" w:color="auto" w:sz="4" w:space="0"/>
              <w:right w:val="single" w:color="auto" w:sz="4" w:space="0"/>
            </w:tcBorders>
            <w:tcW w:w="1378"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配置数据防勒索功能，不限于外挂主机</w:t>
            </w:r>
            <w:r/>
          </w:p>
        </w:tc>
      </w:tr>
      <w:tr>
        <w:trPr>
          <w:jc w:val="center"/>
          <w:trHeight w:val="495"/>
        </w:trPr>
        <w:tc>
          <w:tcPr>
            <w:tcBorders>
              <w:left w:val="single" w:color="auto" w:sz="4" w:space="0"/>
              <w:right w:val="single" w:color="auto" w:sz="4" w:space="0"/>
            </w:tcBorders>
            <w:tcW w:w="1378" w:type="dxa"/>
            <w:vAlign w:val="center"/>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widowControl w:val="off"/>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运维监控平台</w:t>
      </w:r>
      <w:r/>
    </w:p>
    <w:tbl>
      <w:tblPr>
        <w:tblStyle w:val="841"/>
        <w:tblW w:w="92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9"/>
        <w:gridCol w:w="7755"/>
      </w:tblGrid>
      <w:tr>
        <w:trPr>
          <w:jc w:val="center"/>
        </w:trPr>
        <w:tc>
          <w:tcPr>
            <w:shd w:val="clear" w:color="auto" w:fill="d7d7d7" w:themeFill="background1" w:themeFillShade="D8"/>
            <w:tcW w:w="1499"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b/>
                <w:bCs/>
                <w:color w:val="auto"/>
                <w:sz w:val="21"/>
                <w:szCs w:val="21"/>
                <w:highlight w:val="none"/>
              </w:rPr>
              <w:t xml:space="preserve">指标项</w:t>
            </w:r>
            <w:r/>
          </w:p>
        </w:tc>
        <w:tc>
          <w:tcPr>
            <w:shd w:val="clear" w:color="auto" w:fill="d7d7d7" w:themeFill="background1" w:themeFillShade="D8"/>
            <w:tcW w:w="775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b/>
                <w:bCs/>
                <w:color w:val="auto"/>
                <w:sz w:val="21"/>
                <w:szCs w:val="21"/>
                <w:highlight w:val="none"/>
              </w:rPr>
              <w:t xml:space="preserve">技术规格及参数</w:t>
            </w:r>
            <w:r/>
          </w:p>
        </w:tc>
      </w:tr>
      <w:tr>
        <w:trPr>
          <w:jc w:val="center"/>
        </w:trPr>
        <w:tc>
          <w:tcPr>
            <w:tcW w:w="1499"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监控项</w:t>
            </w:r>
            <w:r/>
          </w:p>
        </w:tc>
        <w:tc>
          <w:tcPr>
            <w:tcW w:w="7755"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对各品牌型号的X86服务器、ARM服务器、大型机、小型机、超融合一体机、交换机、路由器、防火墙、负载均衡、安全设备等设备的硬件运行状态进行实时监测，能够及时发现设备和部件故障。充分覆盖CPU、内存、磁盘、阵列卡、PCIE卡、主板、端口、电源、风扇、能耗等部件级详细指标</w:t>
            </w:r>
            <w:r/>
          </w:p>
        </w:tc>
      </w:tr>
      <w:tr>
        <w:trPr>
          <w:jc w:val="center"/>
        </w:trPr>
        <w:tc>
          <w:tcPr>
            <w:tcW w:w="1499"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告警方式</w:t>
            </w:r>
            <w:r/>
          </w:p>
        </w:tc>
        <w:tc>
          <w:tcPr>
            <w:tcW w:w="7755" w:type="dxa"/>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支持跨品牌、跨类型硬件设备的集中平台统一监测管理，实现自动化状态监测、巡检，支持故障告警管理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支持告警规则管理，含邮件、微信、钉钉通知方式</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支持自定义报表模板，内置数据分析模板</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支持知识库集中管理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支持大屏展现和自定义个人工作台</w:t>
            </w:r>
            <w:r>
              <w:rPr>
                <w:rFonts w:hint="eastAsia" w:ascii="宋体" w:hAnsi="宋体" w:cs="宋体"/>
                <w:color w:val="auto"/>
                <w:sz w:val="21"/>
                <w:szCs w:val="21"/>
                <w:highlight w:val="none"/>
                <w:lang w:eastAsia="zh-CN"/>
              </w:rPr>
              <w:t xml:space="preserve">；</w:t>
            </w:r>
            <w:r/>
          </w:p>
        </w:tc>
      </w:tr>
      <w:tr>
        <w:trPr>
          <w:jc w:val="center"/>
        </w:trPr>
        <w:tc>
          <w:tcPr>
            <w:tcW w:w="1499"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tcW w:w="7755"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五年7*24小时响应，不限次数版本更新服务，不限次数配置调整服务</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隔离区网络数据交换机</w:t>
      </w:r>
      <w:r/>
    </w:p>
    <w:tbl>
      <w:tblPr>
        <w:tblStyle w:val="841"/>
        <w:tblW w:w="9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9"/>
        <w:gridCol w:w="7648"/>
      </w:tblGrid>
      <w:tr>
        <w:trPr>
          <w:jc w:val="center"/>
        </w:trPr>
        <w:tc>
          <w:tcPr>
            <w:shd w:val="clear" w:color="auto" w:fill="d7d7d7" w:themeFill="background1" w:themeFillShade="D8"/>
            <w:tcW w:w="1439"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b/>
                <w:bCs/>
                <w:color w:val="auto"/>
                <w:sz w:val="21"/>
                <w:szCs w:val="21"/>
                <w:highlight w:val="none"/>
              </w:rPr>
              <w:t xml:space="preserve">指标项</w:t>
            </w:r>
            <w:r/>
          </w:p>
        </w:tc>
        <w:tc>
          <w:tcPr>
            <w:shd w:val="clear" w:color="auto" w:fill="d7d7d7" w:themeFill="background1" w:themeFillShade="D8"/>
            <w:tcW w:w="7648"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b/>
                <w:bCs/>
                <w:color w:val="auto"/>
                <w:sz w:val="21"/>
                <w:szCs w:val="21"/>
                <w:highlight w:val="none"/>
              </w:rPr>
              <w:t xml:space="preserve">技术规格及参数</w:t>
            </w:r>
            <w:r/>
          </w:p>
        </w:tc>
      </w:tr>
      <w:tr>
        <w:trPr>
          <w:jc w:val="center"/>
          <w:trHeight w:val="90"/>
        </w:trPr>
        <w:tc>
          <w:tcPr>
            <w:tcW w:w="1439"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交换容量</w:t>
            </w:r>
            <w:r/>
          </w:p>
        </w:tc>
        <w:tc>
          <w:tcPr>
            <w:tcW w:w="7648"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交换容量≥4.8Tbps，包转发率≥1600Mpps</w:t>
            </w:r>
            <w:r/>
          </w:p>
        </w:tc>
      </w:tr>
      <w:tr>
        <w:trPr>
          <w:jc w:val="center"/>
        </w:trPr>
        <w:tc>
          <w:tcPr>
            <w:tcW w:w="1439"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端口数量</w:t>
            </w:r>
            <w:r/>
          </w:p>
        </w:tc>
        <w:tc>
          <w:tcPr>
            <w:tcW w:w="7648"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配置10GSFP+端口≥24，40GQSFP28端口≥6</w:t>
            </w:r>
            <w:r/>
          </w:p>
        </w:tc>
      </w:tr>
      <w:tr>
        <w:trPr>
          <w:jc w:val="center"/>
        </w:trPr>
        <w:tc>
          <w:tcPr>
            <w:tcW w:w="1439" w:type="dxa"/>
            <w:vAlign w:val="center"/>
            <w:vMerge w:val="restart"/>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功能要求</w:t>
            </w:r>
            <w:r/>
          </w:p>
        </w:tc>
        <w:tc>
          <w:tcPr>
            <w:tcW w:w="7648"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支持RIP、OSPF、ISIS、BGP等IPv4动态路由协议</w:t>
            </w:r>
            <w:r/>
          </w:p>
        </w:tc>
      </w:tr>
      <w:tr>
        <w:trPr>
          <w:jc w:val="center"/>
        </w:trPr>
        <w:tc>
          <w:tcPr>
            <w:tcW w:w="1439"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7648"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支持Vxlan，且支持BGPEVPN特性，支持VXLANmapping</w:t>
            </w:r>
            <w:r/>
          </w:p>
        </w:tc>
      </w:tr>
      <w:tr>
        <w:trPr>
          <w:jc w:val="center"/>
        </w:trPr>
        <w:tc>
          <w:tcPr>
            <w:tcW w:w="1439"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7648"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支持M-LAG或vPC等类似技术</w:t>
            </w:r>
            <w:r/>
          </w:p>
        </w:tc>
      </w:tr>
      <w:tr>
        <w:trPr>
          <w:jc w:val="center"/>
        </w:trPr>
        <w:tc>
          <w:tcPr>
            <w:tcW w:w="1439"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7648"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支持MACsec功能</w:t>
            </w:r>
            <w:r/>
          </w:p>
        </w:tc>
      </w:tr>
      <w:tr>
        <w:trPr>
          <w:jc w:val="center"/>
        </w:trPr>
        <w:tc>
          <w:tcPr>
            <w:tcW w:w="1439"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7648"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支持SNMPV1/V2/V3、Telnet、RMON、SSH</w:t>
            </w:r>
            <w:r/>
          </w:p>
        </w:tc>
      </w:tr>
      <w:tr>
        <w:trPr>
          <w:jc w:val="center"/>
        </w:trPr>
        <w:tc>
          <w:tcPr>
            <w:tcW w:w="1439"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配置要求</w:t>
            </w:r>
            <w:r/>
          </w:p>
        </w:tc>
        <w:tc>
          <w:tcPr>
            <w:tcW w:w="7648"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配置≥24个10G多模光纤模块，≥1根QSFP+-40G-高速电缆</w:t>
            </w:r>
            <w:r/>
          </w:p>
        </w:tc>
      </w:tr>
      <w:tr>
        <w:trPr>
          <w:jc w:val="center"/>
        </w:trPr>
        <w:tc>
          <w:tcPr>
            <w:tcW w:w="1439"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tcW w:w="7648"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隔离存储</w:t>
      </w:r>
      <w:r/>
    </w:p>
    <w:tbl>
      <w:tblPr>
        <w:tblStyle w:val="841"/>
        <w:tblW w:w="55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6"/>
        <w:gridCol w:w="8073"/>
      </w:tblGrid>
      <w:tr>
        <w:trPr>
          <w:jc w:val="center"/>
          <w:trHeight w:val="300"/>
        </w:trPr>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val="off"/>
              <w:rPr>
                <w:rFonts w:ascii="宋体" w:hAnsi="宋体"/>
                <w:b/>
                <w:bCs/>
                <w:color w:val="auto"/>
                <w:sz w:val="21"/>
                <w:szCs w:val="21"/>
                <w:highlight w:val="none"/>
              </w:rPr>
            </w:pPr>
            <w:r>
              <w:rPr>
                <w:rFonts w:hint="eastAsia" w:ascii="宋体" w:hAnsi="宋体" w:cs="宋体"/>
                <w:b/>
                <w:bCs/>
                <w:color w:val="auto"/>
                <w:sz w:val="21"/>
                <w:szCs w:val="21"/>
                <w:highlight w:val="none"/>
              </w:rPr>
              <w:t xml:space="preserve">指标项</w:t>
            </w:r>
            <w:r/>
          </w:p>
        </w:tc>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jc w:val="center"/>
              <w:spacing w:line="360" w:lineRule="auto"/>
              <w:widowControl w:val="off"/>
              <w:rPr>
                <w:rFonts w:ascii="宋体" w:hAnsi="宋体"/>
                <w:b/>
                <w:bCs/>
                <w:color w:val="auto"/>
                <w:sz w:val="21"/>
                <w:szCs w:val="21"/>
                <w:highlight w:val="none"/>
              </w:rPr>
            </w:pPr>
            <w:r>
              <w:rPr>
                <w:rFonts w:hint="eastAsia" w:ascii="宋体" w:hAnsi="宋体" w:cs="宋体"/>
                <w:b/>
                <w:bCs/>
                <w:color w:val="auto"/>
                <w:sz w:val="21"/>
                <w:szCs w:val="21"/>
                <w:highlight w:val="none"/>
              </w:rPr>
              <w:t xml:space="preserve">技术规格及参数</w:t>
            </w:r>
            <w:r/>
          </w:p>
        </w:tc>
      </w:tr>
      <w:tr>
        <w:trPr>
          <w:jc w:val="center"/>
          <w:trHeight w:val="943"/>
        </w:trPr>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自主研发</w:t>
            </w:r>
            <w:r/>
          </w:p>
        </w:tc>
        <w:tc>
          <w:tcPr>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所投存储产品使用国产自研ARM架构CPU</w:t>
            </w:r>
            <w:r/>
          </w:p>
        </w:tc>
      </w:tr>
      <w:tr>
        <w:trPr>
          <w:jc w:val="center"/>
          <w:trHeight w:val="132"/>
        </w:trPr>
        <w:tc>
          <w:tcPr>
            <w:tcBorders>
              <w:top w:val="single" w:color="auto" w:sz="4" w:space="0"/>
              <w:left w:val="single" w:color="auto" w:sz="4" w:space="0"/>
              <w:right w:val="single" w:color="auto" w:sz="4" w:space="0"/>
            </w:tcBorders>
            <w:tcW w:w="1369" w:type="dxa"/>
            <w:vAlign w:val="center"/>
            <w:vMerge w:val="restart"/>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架构</w:t>
            </w:r>
            <w:r/>
          </w:p>
        </w:tc>
        <w:tc>
          <w:tcPr>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控制器采用Active-Active架构，LUN不归属于某一个控制器，业务负载均衡到≥2个控制器，业务运行过程中，每个控制器的IOPS和CPU利用率差异不超过10%</w:t>
            </w:r>
            <w:r/>
          </w:p>
        </w:tc>
      </w:tr>
      <w:tr>
        <w:trPr>
          <w:jc w:val="center"/>
          <w:trHeight w:val="697"/>
        </w:trPr>
        <w:tc>
          <w:tcPr>
            <w:tcBorders>
              <w:left w:val="single" w:color="auto" w:sz="4" w:space="0"/>
              <w:right w:val="single" w:color="auto" w:sz="4" w:space="0"/>
            </w:tcBorders>
            <w:tcW w:w="1369"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采用2U盘控一体架构，控制器框提供≥25个硬盘槽位</w:t>
            </w:r>
            <w:r/>
          </w:p>
        </w:tc>
      </w:tr>
      <w:tr>
        <w:trPr>
          <w:jc w:val="center"/>
          <w:trHeight w:val="735"/>
        </w:trPr>
        <w:tc>
          <w:tcPr>
            <w:tcBorders>
              <w:left w:val="single" w:color="auto" w:sz="4" w:space="0"/>
              <w:right w:val="single" w:color="auto" w:sz="4" w:space="0"/>
            </w:tcBorders>
            <w:tcW w:w="1369"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稳定时延≤0.5ms，包括开启增值功能（不少于3个，包括开启快照）的情况下</w:t>
            </w:r>
            <w:r/>
          </w:p>
        </w:tc>
      </w:tr>
      <w:tr>
        <w:trPr>
          <w:jc w:val="center"/>
          <w:trHeight w:val="735"/>
        </w:trPr>
        <w:tc>
          <w:tcPr>
            <w:tcBorders>
              <w:left w:val="single" w:color="auto" w:sz="4" w:space="0"/>
              <w:right w:val="single" w:color="auto" w:sz="4" w:space="0"/>
            </w:tcBorders>
            <w:tcW w:w="1369"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支持无中断升级，采用模块化软件架构设计，超过90%的组件用户态，升级无需重启控制器。</w:t>
            </w:r>
            <w:r/>
          </w:p>
        </w:tc>
      </w:tr>
      <w:tr>
        <w:trPr>
          <w:jc w:val="center"/>
          <w:trHeight w:val="735"/>
        </w:trPr>
        <w:tc>
          <w:tcPr>
            <w:tcBorders>
              <w:top w:val="single" w:color="auto" w:sz="4" w:space="0"/>
              <w:left w:val="single" w:color="auto" w:sz="4" w:space="0"/>
              <w:right w:val="single" w:color="auto" w:sz="4" w:space="0"/>
            </w:tcBorders>
            <w:tcW w:w="1369" w:type="dxa"/>
            <w:vAlign w:val="center"/>
            <w:vMerge w:val="restart"/>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功能</w:t>
            </w:r>
            <w:r/>
          </w:p>
        </w:tc>
        <w:tc>
          <w:tcPr>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▲配置ROW无损快照功能，满足如下：</w:t>
            </w:r>
            <w:r/>
          </w:p>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1.支持单LUN ≥</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万个快照，系统≥</w:t>
            </w:r>
            <w:r>
              <w:rPr>
                <w:rFonts w:hint="eastAsia" w:ascii="宋体" w:hAnsi="宋体" w:cs="宋体"/>
                <w:color w:val="auto"/>
                <w:sz w:val="21"/>
                <w:szCs w:val="21"/>
                <w:highlight w:val="none"/>
                <w:lang w:val="en-US" w:eastAsia="zh-CN"/>
              </w:rPr>
              <w:t xml:space="preserve">25</w:t>
            </w:r>
            <w:r>
              <w:rPr>
                <w:rFonts w:hint="eastAsia" w:ascii="宋体" w:hAnsi="宋体" w:cs="宋体"/>
                <w:color w:val="auto"/>
                <w:sz w:val="21"/>
                <w:szCs w:val="21"/>
                <w:highlight w:val="none"/>
              </w:rPr>
              <w:t xml:space="preserve">万个快照</w:t>
            </w:r>
            <w:r>
              <w:rPr>
                <w:rFonts w:hint="eastAsia" w:ascii="宋体" w:hAnsi="宋体" w:cs="宋体"/>
                <w:color w:val="auto"/>
                <w:sz w:val="21"/>
                <w:szCs w:val="21"/>
                <w:highlight w:val="none"/>
                <w:lang w:eastAsia="zh-CN"/>
              </w:rPr>
              <w:t xml:space="preserve">；</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2.系统提供每3秒做一次快照备份</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3.恢复任意时间点快照，其他时间点快照不丢失。</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4.支持快照一致性组</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5.提供无损快照功能，系统性能不因快照数量增加而下降，同时开启快照功能时阵列时延能够稳定在＜1ms。</w:t>
            </w:r>
            <w:r/>
          </w:p>
        </w:tc>
      </w:tr>
      <w:tr>
        <w:trPr>
          <w:jc w:val="center"/>
          <w:trHeight w:val="735"/>
        </w:trPr>
        <w:tc>
          <w:tcPr>
            <w:tcBorders>
              <w:left w:val="single" w:color="auto" w:sz="4" w:space="0"/>
              <w:right w:val="single" w:color="auto" w:sz="4" w:space="0"/>
            </w:tcBorders>
            <w:tcW w:w="1369"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配置双活功能：</w:t>
            </w:r>
            <w:r/>
          </w:p>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1.提供A-A免网关双活架构，实现两套核心存储数据双活（主机能够并发读写同一双活卷），任何一套设备宕机均不影响上层业务系统运行</w:t>
            </w:r>
            <w:r/>
          </w:p>
          <w:p>
            <w:pPr>
              <w:spacing w:line="360" w:lineRule="auto"/>
              <w:widowControl w:val="off"/>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2.双活引擎采用集群冗余架构，双活引擎数据传送采用FC协议</w:t>
            </w:r>
            <w:r>
              <w:rPr>
                <w:rFonts w:hint="eastAsia" w:ascii="宋体" w:hAnsi="宋体" w:cs="宋体"/>
                <w:color w:val="auto"/>
                <w:sz w:val="21"/>
                <w:szCs w:val="21"/>
                <w:highlight w:val="none"/>
                <w:lang w:eastAsia="zh-CN"/>
              </w:rPr>
              <w:t xml:space="preserve">；</w:t>
            </w:r>
            <w:r/>
          </w:p>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3.双活架构能够支持的第三方仲裁设备。仲裁设备故障时，不影响业务运行，同时双活卷仍能保持数据实时一致</w:t>
            </w:r>
            <w:r/>
          </w:p>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4.一个站点发生故障后，另一个站点可自动快速拉起业务（秒级）</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一个站点故障恢复后，双活关系可自动恢复</w:t>
            </w:r>
            <w:r/>
          </w:p>
        </w:tc>
      </w:tr>
      <w:tr>
        <w:trPr>
          <w:jc w:val="center"/>
          <w:trHeight w:val="735"/>
        </w:trPr>
        <w:tc>
          <w:tcPr>
            <w:tcBorders>
              <w:left w:val="single" w:color="auto" w:sz="4" w:space="0"/>
              <w:right w:val="single" w:color="auto" w:sz="4" w:space="0"/>
            </w:tcBorders>
            <w:tcW w:w="1369"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磁盘冗余：支持全局动态热备技术，磁盘热备功能通过磁盘剩余空间实现</w:t>
            </w:r>
            <w:r/>
          </w:p>
        </w:tc>
      </w:tr>
      <w:tr>
        <w:trPr>
          <w:jc w:val="center"/>
          <w:trHeight w:val="735"/>
        </w:trPr>
        <w:tc>
          <w:tcPr>
            <w:tcBorders>
              <w:top w:val="single" w:color="auto" w:sz="4" w:space="0"/>
              <w:left w:val="single" w:color="auto" w:sz="4" w:space="0"/>
              <w:right w:val="single" w:color="auto" w:sz="4" w:space="0"/>
            </w:tcBorders>
            <w:tcW w:w="1369" w:type="dxa"/>
            <w:vAlign w:val="center"/>
            <w:vMerge w:val="restart"/>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配置</w:t>
            </w:r>
            <w:r/>
          </w:p>
        </w:tc>
        <w:tc>
          <w:tcPr>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配置2个控制器，控制器采用多核处理器，且</w:t>
            </w:r>
            <w:r>
              <w:rPr>
                <w:rFonts w:hint="eastAsia" w:ascii="宋体" w:hAnsi="宋体" w:cs="宋体"/>
                <w:color w:val="auto"/>
                <w:sz w:val="21"/>
                <w:szCs w:val="21"/>
                <w:highlight w:val="none"/>
                <w:lang w:eastAsia="zh-CN"/>
              </w:rPr>
              <w:t xml:space="preserve">单个控制器</w:t>
            </w:r>
            <w:r>
              <w:rPr>
                <w:rFonts w:hint="eastAsia" w:ascii="宋体" w:hAnsi="宋体" w:cs="宋体"/>
                <w:color w:val="auto"/>
                <w:sz w:val="21"/>
                <w:szCs w:val="21"/>
                <w:highlight w:val="none"/>
              </w:rPr>
              <w:t xml:space="preserve">处理器核心数≥24核，CPU主频率≥2.5GHz</w:t>
            </w:r>
            <w:r/>
          </w:p>
        </w:tc>
      </w:tr>
      <w:tr>
        <w:trPr>
          <w:jc w:val="center"/>
          <w:trHeight w:val="735"/>
        </w:trPr>
        <w:tc>
          <w:tcPr>
            <w:tcBorders>
              <w:left w:val="single" w:color="auto" w:sz="4" w:space="0"/>
              <w:right w:val="single" w:color="auto" w:sz="4" w:space="0"/>
            </w:tcBorders>
            <w:tcW w:w="1369"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系统内总一级缓存容量配置≥128GB，且任意控制器一级缓存容量≥64GB（不含任何性能加速模块、FlashCache、PAM卡，SSDCache、SCM等）</w:t>
            </w:r>
            <w:r/>
          </w:p>
        </w:tc>
      </w:tr>
      <w:tr>
        <w:trPr>
          <w:jc w:val="center"/>
          <w:trHeight w:val="495"/>
        </w:trPr>
        <w:tc>
          <w:tcPr>
            <w:tcBorders>
              <w:left w:val="single" w:color="auto" w:sz="4" w:space="0"/>
              <w:right w:val="single" w:color="auto" w:sz="4" w:space="0"/>
            </w:tcBorders>
            <w:tcW w:w="1369"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配置≥8*GEETH接口，配置≥8*10GEETH接口</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含万兆模块</w:t>
            </w:r>
            <w:r>
              <w:rPr>
                <w:rFonts w:hint="eastAsia" w:ascii="宋体" w:hAnsi="宋体" w:cs="宋体"/>
                <w:color w:val="auto"/>
                <w:sz w:val="21"/>
                <w:szCs w:val="21"/>
                <w:highlight w:val="none"/>
                <w:lang w:eastAsia="zh-CN"/>
              </w:rPr>
              <w:t xml:space="preserve">）</w:t>
            </w:r>
            <w:r/>
          </w:p>
        </w:tc>
      </w:tr>
      <w:tr>
        <w:trPr>
          <w:jc w:val="center"/>
          <w:trHeight w:val="495"/>
        </w:trPr>
        <w:tc>
          <w:tcPr>
            <w:tcBorders>
              <w:left w:val="single" w:color="auto" w:sz="4" w:space="0"/>
              <w:right w:val="single" w:color="auto" w:sz="4" w:space="0"/>
            </w:tcBorders>
            <w:tcW w:w="1369"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配置≥</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rPr>
              <w:t xml:space="preserve">块</w:t>
            </w:r>
            <w:r>
              <w:rPr>
                <w:rFonts w:hint="eastAsia" w:ascii="宋体" w:hAnsi="宋体" w:cs="宋体"/>
                <w:color w:val="auto"/>
                <w:sz w:val="21"/>
                <w:szCs w:val="21"/>
                <w:highlight w:val="none"/>
              </w:rPr>
              <w:t xml:space="preserve">3.84TBSSDSAS硬盘</w:t>
            </w:r>
            <w:r/>
          </w:p>
        </w:tc>
      </w:tr>
      <w:tr>
        <w:trPr>
          <w:jc w:val="center"/>
          <w:trHeight w:val="495"/>
        </w:trPr>
        <w:tc>
          <w:tcPr>
            <w:tcBorders>
              <w:left w:val="single" w:color="auto" w:sz="4" w:space="0"/>
              <w:right w:val="single" w:color="auto" w:sz="4" w:space="0"/>
            </w:tcBorders>
            <w:tcW w:w="1369" w:type="dxa"/>
            <w:vAlign w:val="center"/>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spacing w:line="360" w:lineRule="auto"/>
              <w:widowControl w:val="off"/>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隔离区管理交换机</w:t>
      </w:r>
      <w:r/>
    </w:p>
    <w:tbl>
      <w:tblPr>
        <w:tblStyle w:val="841"/>
        <w:tblW w:w="9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0"/>
        <w:gridCol w:w="7781"/>
      </w:tblGrid>
      <w:tr>
        <w:trPr>
          <w:jc w:val="center"/>
        </w:trPr>
        <w:tc>
          <w:tcPr>
            <w:shd w:val="clear" w:color="auto" w:fill="d7d7d7" w:themeFill="background1" w:themeFillShade="D8"/>
            <w:tcW w:w="1460" w:type="dxa"/>
            <w:vAlign w:val="center"/>
            <w:textDirection w:val="lrTb"/>
            <w:noWrap w:val="false"/>
          </w:tcPr>
          <w:p>
            <w:pPr>
              <w:ind w:firstLine="211"/>
              <w:jc w:val="center"/>
              <w:spacing w:line="360" w:lineRule="auto"/>
              <w:rPr>
                <w:rFonts w:ascii="宋体" w:hAnsi="宋体"/>
                <w:color w:val="auto"/>
                <w:sz w:val="21"/>
                <w:szCs w:val="21"/>
                <w:highlight w:val="none"/>
              </w:rPr>
            </w:pPr>
            <w:r>
              <w:rPr>
                <w:rFonts w:hint="eastAsia" w:ascii="宋体" w:hAnsi="宋体" w:cs="宋体"/>
                <w:b/>
                <w:bCs/>
                <w:color w:val="auto"/>
                <w:sz w:val="21"/>
                <w:szCs w:val="21"/>
                <w:highlight w:val="none"/>
              </w:rPr>
              <w:t xml:space="preserve">指标项</w:t>
            </w:r>
            <w:r/>
          </w:p>
        </w:tc>
        <w:tc>
          <w:tcPr>
            <w:shd w:val="clear" w:color="auto" w:fill="d7d7d7" w:themeFill="background1" w:themeFillShade="D8"/>
            <w:tcW w:w="7781"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b/>
                <w:bCs/>
                <w:color w:val="auto"/>
                <w:sz w:val="21"/>
                <w:szCs w:val="21"/>
                <w:highlight w:val="none"/>
              </w:rPr>
              <w:t xml:space="preserve">技术规格及参数</w:t>
            </w:r>
            <w:r/>
          </w:p>
        </w:tc>
      </w:tr>
      <w:tr>
        <w:trPr>
          <w:jc w:val="center"/>
        </w:trPr>
        <w:tc>
          <w:tcPr>
            <w:tcW w:w="1460"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交换容量</w:t>
            </w:r>
            <w:r/>
          </w:p>
        </w:tc>
        <w:tc>
          <w:tcPr>
            <w:tcW w:w="778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交换容量≥1.3Tbps，包转发率≥170Mpps</w:t>
            </w:r>
            <w:r/>
          </w:p>
        </w:tc>
      </w:tr>
      <w:tr>
        <w:trPr>
          <w:jc w:val="center"/>
        </w:trPr>
        <w:tc>
          <w:tcPr>
            <w:tcW w:w="1460"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端口数量</w:t>
            </w:r>
            <w:r/>
          </w:p>
        </w:tc>
        <w:tc>
          <w:tcPr>
            <w:tcW w:w="778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配置1G电口≥24，10GSFP+端口≥6</w:t>
            </w:r>
            <w:r/>
          </w:p>
        </w:tc>
      </w:tr>
      <w:tr>
        <w:trPr>
          <w:jc w:val="center"/>
        </w:trPr>
        <w:tc>
          <w:tcPr>
            <w:tcW w:w="1460" w:type="dxa"/>
            <w:vAlign w:val="center"/>
            <w:vMerge w:val="restart"/>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功能要求</w:t>
            </w:r>
            <w:r/>
          </w:p>
        </w:tc>
        <w:tc>
          <w:tcPr>
            <w:tcW w:w="778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支持RIP、OSPF、ISIS、BGP等IPv4动态路由协议</w:t>
            </w:r>
            <w:r/>
          </w:p>
        </w:tc>
      </w:tr>
      <w:tr>
        <w:trPr>
          <w:jc w:val="center"/>
        </w:trPr>
        <w:tc>
          <w:tcPr>
            <w:tcW w:w="1460"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778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支持堆叠</w:t>
            </w:r>
            <w:r/>
          </w:p>
        </w:tc>
      </w:tr>
      <w:tr>
        <w:trPr>
          <w:jc w:val="center"/>
        </w:trPr>
        <w:tc>
          <w:tcPr>
            <w:tcW w:w="1460"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778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支持MACsec功能</w:t>
            </w:r>
            <w:r/>
          </w:p>
        </w:tc>
      </w:tr>
      <w:tr>
        <w:trPr>
          <w:jc w:val="center"/>
        </w:trPr>
        <w:tc>
          <w:tcPr>
            <w:tcW w:w="1460"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778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支持SNMPV1/V2/V3、Telnet、RMON、SSH</w:t>
            </w:r>
            <w:r/>
          </w:p>
        </w:tc>
      </w:tr>
      <w:tr>
        <w:trPr>
          <w:jc w:val="center"/>
        </w:trPr>
        <w:tc>
          <w:tcPr>
            <w:tcW w:w="1460"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配置要求</w:t>
            </w:r>
            <w:r/>
          </w:p>
        </w:tc>
        <w:tc>
          <w:tcPr>
            <w:tcW w:w="778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配置≥4个10G多模光纤模块，≥1根SFP+-10G-高速电缆，配置冗余电源</w:t>
            </w:r>
            <w:r/>
          </w:p>
        </w:tc>
      </w:tr>
      <w:tr>
        <w:trPr>
          <w:jc w:val="center"/>
        </w:trPr>
        <w:tc>
          <w:tcPr>
            <w:shd w:val="clear" w:color="auto" w:fill="auto"/>
            <w:tcW w:w="1460"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shd w:val="clear" w:color="auto" w:fill="auto"/>
            <w:tcW w:w="778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容灾存储</w:t>
      </w:r>
      <w:r/>
    </w:p>
    <w:tbl>
      <w:tblPr>
        <w:tblStyle w:val="841"/>
        <w:tblW w:w="54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6"/>
        <w:gridCol w:w="7938"/>
      </w:tblGrid>
      <w:tr>
        <w:trPr>
          <w:jc w:val="center"/>
          <w:trHeight w:val="300"/>
        </w:trPr>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val="off"/>
              <w:rPr>
                <w:rFonts w:ascii="宋体" w:hAnsi="宋体"/>
                <w:b/>
                <w:bCs/>
                <w:color w:val="auto"/>
                <w:sz w:val="21"/>
                <w:szCs w:val="21"/>
                <w:highlight w:val="none"/>
              </w:rPr>
            </w:pPr>
            <w:r>
              <w:rPr>
                <w:rFonts w:hint="eastAsia" w:ascii="宋体" w:hAnsi="宋体" w:cs="宋体"/>
                <w:b/>
                <w:bCs/>
                <w:color w:val="auto"/>
                <w:sz w:val="21"/>
                <w:szCs w:val="21"/>
                <w:highlight w:val="none"/>
              </w:rPr>
              <w:t xml:space="preserve">指标项</w:t>
            </w:r>
            <w:r/>
          </w:p>
        </w:tc>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jc w:val="center"/>
              <w:spacing w:line="360" w:lineRule="auto"/>
              <w:widowControl w:val="off"/>
              <w:rPr>
                <w:rFonts w:ascii="宋体" w:hAnsi="宋体"/>
                <w:b/>
                <w:bCs/>
                <w:color w:val="auto"/>
                <w:sz w:val="21"/>
                <w:szCs w:val="21"/>
                <w:highlight w:val="none"/>
              </w:rPr>
            </w:pPr>
            <w:r>
              <w:rPr>
                <w:rFonts w:hint="eastAsia" w:ascii="宋体" w:hAnsi="宋体" w:cs="宋体"/>
                <w:b/>
                <w:bCs/>
                <w:color w:val="auto"/>
                <w:sz w:val="21"/>
                <w:szCs w:val="21"/>
                <w:highlight w:val="none"/>
              </w:rPr>
              <w:t xml:space="preserve">技术规格及参数</w:t>
            </w:r>
            <w:r/>
          </w:p>
        </w:tc>
      </w:tr>
      <w:tr>
        <w:trPr>
          <w:jc w:val="center"/>
          <w:trHeight w:val="943"/>
        </w:trPr>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自主研发</w:t>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所投存储产品使用国产自研ARM架构CPU</w:t>
            </w:r>
            <w:r/>
          </w:p>
        </w:tc>
      </w:tr>
      <w:tr>
        <w:trPr>
          <w:jc w:val="center"/>
          <w:trHeight w:val="132"/>
        </w:trPr>
        <w:tc>
          <w:tcPr>
            <w:tcBorders>
              <w:top w:val="single" w:color="auto" w:sz="4" w:space="0"/>
              <w:left w:val="single" w:color="auto" w:sz="4" w:space="0"/>
              <w:right w:val="single" w:color="auto" w:sz="4" w:space="0"/>
            </w:tcBorders>
            <w:tcW w:w="1369" w:type="dxa"/>
            <w:vAlign w:val="center"/>
            <w:vMerge w:val="restart"/>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架构</w:t>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控制器采用Active-Active架构，LUN不归属于某一个控制器，业务负载均衡到≥2个控制器，业务运行过程中，每个控制器的IOPS和CPU利用率差异不超过10%</w:t>
            </w:r>
            <w:r/>
          </w:p>
        </w:tc>
      </w:tr>
      <w:tr>
        <w:trPr>
          <w:jc w:val="center"/>
          <w:trHeight w:val="697"/>
        </w:trPr>
        <w:tc>
          <w:tcPr>
            <w:tcBorders>
              <w:left w:val="single" w:color="auto" w:sz="4" w:space="0"/>
              <w:right w:val="single" w:color="auto" w:sz="4" w:space="0"/>
            </w:tcBorders>
            <w:tcW w:w="1369"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采用2U盘控一体架构，控制器框提供≥25个硬盘槽位</w:t>
            </w:r>
            <w:r/>
          </w:p>
        </w:tc>
      </w:tr>
      <w:tr>
        <w:trPr>
          <w:jc w:val="center"/>
          <w:trHeight w:val="735"/>
        </w:trPr>
        <w:tc>
          <w:tcPr>
            <w:tcBorders>
              <w:left w:val="single" w:color="auto" w:sz="4" w:space="0"/>
              <w:right w:val="single" w:color="auto" w:sz="4" w:space="0"/>
            </w:tcBorders>
            <w:tcW w:w="1369"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稳定时延≤0.5ms，包括开启增值功能（不少于3个，包括开启快照）的情况下</w:t>
            </w:r>
            <w:r/>
          </w:p>
        </w:tc>
      </w:tr>
      <w:tr>
        <w:trPr>
          <w:jc w:val="center"/>
          <w:trHeight w:val="735"/>
        </w:trPr>
        <w:tc>
          <w:tcPr>
            <w:tcBorders>
              <w:left w:val="single" w:color="auto" w:sz="4" w:space="0"/>
              <w:right w:val="single" w:color="auto" w:sz="4" w:space="0"/>
            </w:tcBorders>
            <w:tcW w:w="1369"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支持无中断升级，采用模块化软件架构设计，超过90%的组件用户态，升级无需重启控制器。</w:t>
            </w:r>
            <w:r/>
          </w:p>
        </w:tc>
      </w:tr>
      <w:tr>
        <w:trPr>
          <w:jc w:val="center"/>
          <w:trHeight w:val="735"/>
        </w:trPr>
        <w:tc>
          <w:tcPr>
            <w:tcBorders>
              <w:top w:val="single" w:color="auto" w:sz="4" w:space="0"/>
              <w:left w:val="single" w:color="auto" w:sz="4" w:space="0"/>
              <w:right w:val="single" w:color="auto" w:sz="4" w:space="0"/>
            </w:tcBorders>
            <w:tcW w:w="1369" w:type="dxa"/>
            <w:vAlign w:val="center"/>
            <w:vMerge w:val="restart"/>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功能</w:t>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▲配置ROW无损快照功能，满足如下：</w:t>
            </w:r>
            <w:r/>
          </w:p>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1.支持单LUN ≥</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万个快照，系统≥</w:t>
            </w:r>
            <w:r>
              <w:rPr>
                <w:rFonts w:hint="eastAsia" w:ascii="宋体" w:hAnsi="宋体" w:cs="宋体"/>
                <w:color w:val="auto"/>
                <w:sz w:val="21"/>
                <w:szCs w:val="21"/>
                <w:highlight w:val="none"/>
                <w:lang w:val="en-US" w:eastAsia="zh-CN"/>
              </w:rPr>
              <w:t xml:space="preserve">25</w:t>
            </w:r>
            <w:r>
              <w:rPr>
                <w:rFonts w:hint="eastAsia" w:ascii="宋体" w:hAnsi="宋体" w:cs="宋体"/>
                <w:color w:val="auto"/>
                <w:sz w:val="21"/>
                <w:szCs w:val="21"/>
                <w:highlight w:val="none"/>
              </w:rPr>
              <w:t xml:space="preserve">万个快照</w:t>
            </w:r>
            <w:r>
              <w:rPr>
                <w:rFonts w:hint="eastAsia" w:ascii="宋体" w:hAnsi="宋体" w:cs="宋体"/>
                <w:color w:val="auto"/>
                <w:sz w:val="21"/>
                <w:szCs w:val="21"/>
                <w:highlight w:val="none"/>
                <w:lang w:eastAsia="zh-CN"/>
              </w:rPr>
              <w:t xml:space="preserve">；</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2.系统提供每3秒做一次快照备份</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3.恢复任意时间点快照，其他时间点快照不丢失。</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4.支持快照一致性组</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5.提供无损快照功能，系统性能不因快照数量增加而下降，同时开启快照功能时阵列时延能够稳定在＜1ms。</w:t>
            </w:r>
            <w:r/>
          </w:p>
        </w:tc>
      </w:tr>
      <w:tr>
        <w:trPr>
          <w:jc w:val="center"/>
          <w:trHeight w:val="735"/>
        </w:trPr>
        <w:tc>
          <w:tcPr>
            <w:tcBorders>
              <w:left w:val="single" w:color="auto" w:sz="4" w:space="0"/>
              <w:right w:val="single" w:color="auto" w:sz="4" w:space="0"/>
            </w:tcBorders>
            <w:tcW w:w="1369"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配置双活功能：</w:t>
            </w:r>
            <w:r/>
          </w:p>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1.提供A-A免网关双活架构，实现两套核心存储数据双活（主机能够并发读写同一双活卷），任何一套设备宕机均不影响上层业务系统运行</w:t>
            </w:r>
            <w:r/>
          </w:p>
          <w:p>
            <w:pPr>
              <w:spacing w:line="360" w:lineRule="auto"/>
              <w:widowControl w:val="off"/>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2.双活引擎采用集群冗余架构，双活引擎数据传送采用FC协议</w:t>
            </w:r>
            <w:r>
              <w:rPr>
                <w:rFonts w:hint="eastAsia" w:ascii="宋体" w:hAnsi="宋体" w:cs="宋体"/>
                <w:color w:val="auto"/>
                <w:sz w:val="21"/>
                <w:szCs w:val="21"/>
                <w:highlight w:val="none"/>
                <w:lang w:eastAsia="zh-CN"/>
              </w:rPr>
              <w:t xml:space="preserve">；</w:t>
            </w:r>
            <w:r/>
          </w:p>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3.双活架构能够支持的第三方仲裁设备。仲裁设备故障时，不影响业务运行，同时双活卷仍能保持数据实时一致</w:t>
            </w:r>
            <w:r/>
          </w:p>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4.一个站点发生故障后，另一个站点可自动快速拉起业务（秒级）</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一个站点故障恢复后，双活关系可自动恢复</w:t>
            </w:r>
            <w:r/>
          </w:p>
        </w:tc>
      </w:tr>
      <w:tr>
        <w:trPr>
          <w:jc w:val="center"/>
          <w:trHeight w:val="735"/>
        </w:trPr>
        <w:tc>
          <w:tcPr>
            <w:tcBorders>
              <w:left w:val="single" w:color="auto" w:sz="4" w:space="0"/>
              <w:right w:val="single" w:color="auto" w:sz="4" w:space="0"/>
            </w:tcBorders>
            <w:tcW w:w="1369"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磁盘冗余：支持全局动态热备技术，磁盘热备功能通过磁盘剩余空间实现</w:t>
            </w:r>
            <w:r/>
          </w:p>
        </w:tc>
      </w:tr>
      <w:tr>
        <w:trPr>
          <w:jc w:val="center"/>
          <w:trHeight w:val="735"/>
        </w:trPr>
        <w:tc>
          <w:tcPr>
            <w:tcBorders>
              <w:top w:val="single" w:color="auto" w:sz="4" w:space="0"/>
              <w:left w:val="single" w:color="auto" w:sz="4" w:space="0"/>
              <w:right w:val="single" w:color="auto" w:sz="4" w:space="0"/>
            </w:tcBorders>
            <w:tcW w:w="1369" w:type="dxa"/>
            <w:vAlign w:val="center"/>
            <w:vMerge w:val="restart"/>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配置</w:t>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配置2个控制器，控制器采用多核处理器，且</w:t>
            </w:r>
            <w:r>
              <w:rPr>
                <w:rFonts w:hint="eastAsia" w:ascii="宋体" w:hAnsi="宋体" w:cs="宋体"/>
                <w:color w:val="auto"/>
                <w:sz w:val="21"/>
                <w:szCs w:val="21"/>
                <w:highlight w:val="none"/>
                <w:lang w:eastAsia="zh-CN"/>
              </w:rPr>
              <w:t xml:space="preserve">单个控制器</w:t>
            </w:r>
            <w:r>
              <w:rPr>
                <w:rFonts w:hint="eastAsia" w:ascii="宋体" w:hAnsi="宋体" w:cs="宋体"/>
                <w:color w:val="auto"/>
                <w:sz w:val="21"/>
                <w:szCs w:val="21"/>
                <w:highlight w:val="none"/>
              </w:rPr>
              <w:t xml:space="preserve">处理器核心数≥24核，CPU主频率≥2.5GHz</w:t>
            </w:r>
            <w:r/>
          </w:p>
        </w:tc>
      </w:tr>
      <w:tr>
        <w:trPr>
          <w:jc w:val="center"/>
          <w:trHeight w:val="735"/>
        </w:trPr>
        <w:tc>
          <w:tcPr>
            <w:tcBorders>
              <w:left w:val="single" w:color="auto" w:sz="4" w:space="0"/>
              <w:right w:val="single" w:color="auto" w:sz="4" w:space="0"/>
            </w:tcBorders>
            <w:tcW w:w="1369"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系统内总一级缓存容量配置≥128GB，且任意控制器一级缓存容量≥64GB（不含任何性能加速模块、FlashCache、PAM卡，SSDCache、SCM等）</w:t>
            </w:r>
            <w:r/>
          </w:p>
        </w:tc>
      </w:tr>
      <w:tr>
        <w:trPr>
          <w:jc w:val="center"/>
          <w:trHeight w:val="495"/>
        </w:trPr>
        <w:tc>
          <w:tcPr>
            <w:tcBorders>
              <w:left w:val="single" w:color="auto" w:sz="4" w:space="0"/>
              <w:right w:val="single" w:color="auto" w:sz="4" w:space="0"/>
            </w:tcBorders>
            <w:tcW w:w="1369"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配置≥8*GEETH接口，配置≥8*10GEETH接口</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含万兆模块</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，配置≥8*</w:t>
            </w:r>
            <w:r>
              <w:rPr>
                <w:rFonts w:hint="eastAsia" w:ascii="宋体" w:hAnsi="宋体" w:cs="宋体"/>
                <w:color w:val="auto"/>
                <w:sz w:val="21"/>
                <w:szCs w:val="21"/>
                <w:highlight w:val="none"/>
                <w:lang w:val="en-US" w:eastAsia="zh-CN"/>
              </w:rPr>
              <w:t xml:space="preserve">16</w:t>
            </w:r>
            <w:r>
              <w:rPr>
                <w:rFonts w:hint="eastAsia" w:ascii="宋体" w:hAnsi="宋体" w:cs="宋体"/>
                <w:color w:val="auto"/>
                <w:sz w:val="21"/>
                <w:szCs w:val="21"/>
                <w:highlight w:val="none"/>
              </w:rPr>
              <w:t xml:space="preserve">GbFC接口（含光模块）</w:t>
            </w:r>
            <w:r/>
          </w:p>
        </w:tc>
      </w:tr>
      <w:tr>
        <w:trPr>
          <w:jc w:val="center"/>
          <w:trHeight w:val="495"/>
        </w:trPr>
        <w:tc>
          <w:tcPr>
            <w:tcBorders>
              <w:left w:val="single" w:color="auto" w:sz="4" w:space="0"/>
              <w:right w:val="single" w:color="auto" w:sz="4" w:space="0"/>
            </w:tcBorders>
            <w:tcW w:w="1369" w:type="dxa"/>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配置≥25块3.84TBSSDSAS硬盘</w:t>
            </w:r>
            <w:r/>
          </w:p>
        </w:tc>
      </w:tr>
      <w:tr>
        <w:trPr>
          <w:jc w:val="center"/>
          <w:trHeight w:val="495"/>
        </w:trPr>
        <w:tc>
          <w:tcPr>
            <w:tcBorders>
              <w:left w:val="single" w:color="auto" w:sz="4" w:space="0"/>
              <w:right w:val="single" w:color="auto" w:sz="4" w:space="0"/>
            </w:tcBorders>
            <w:tcW w:w="1369" w:type="dxa"/>
            <w:vAlign w:val="center"/>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tcBorders>
              <w:top w:val="single" w:color="auto" w:sz="4" w:space="0"/>
              <w:left w:val="single" w:color="auto" w:sz="4" w:space="0"/>
              <w:bottom w:val="single" w:color="auto" w:sz="4" w:space="0"/>
              <w:right w:val="single" w:color="auto" w:sz="4" w:space="0"/>
            </w:tcBorders>
            <w:tcW w:w="7730" w:type="dxa"/>
            <w:vAlign w:val="center"/>
            <w:textDirection w:val="lrTb"/>
            <w:noWrap w:val="false"/>
          </w:tcPr>
          <w:p>
            <w:pPr>
              <w:spacing w:line="360" w:lineRule="auto"/>
              <w:widowControl w:val="off"/>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五年7*24小时响应，4小时内到达现场</w:t>
            </w:r>
            <w:r/>
          </w:p>
        </w:tc>
      </w:tr>
    </w:tbl>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存储交换机</w:t>
      </w:r>
      <w:r/>
    </w:p>
    <w:tbl>
      <w:tblPr>
        <w:tblStyle w:val="841"/>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3"/>
        <w:gridCol w:w="7843"/>
      </w:tblGrid>
      <w:tr>
        <w:trPr>
          <w:jc w:val="center"/>
        </w:trPr>
        <w:tc>
          <w:tcPr>
            <w:shd w:val="clear" w:color="auto" w:fill="d7d7d7" w:themeFill="background1" w:themeFillShade="D8"/>
            <w:tcW w:w="1423" w:type="dxa"/>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rPr>
              <w:t xml:space="preserve">指标项</w:t>
            </w:r>
            <w:r/>
          </w:p>
        </w:tc>
        <w:tc>
          <w:tcPr>
            <w:shd w:val="clear" w:color="auto" w:fill="d7d7d7" w:themeFill="background1" w:themeFillShade="D8"/>
            <w:tcW w:w="7843" w:type="dxa"/>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rPr>
              <w:t xml:space="preserve">技术规格及参数</w:t>
            </w:r>
            <w:r/>
          </w:p>
        </w:tc>
      </w:tr>
      <w:tr>
        <w:trPr>
          <w:jc w:val="center"/>
        </w:trPr>
        <w:tc>
          <w:tcPr>
            <w:tcW w:w="1423"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端口数</w:t>
            </w:r>
            <w:r/>
          </w:p>
        </w:tc>
        <w:tc>
          <w:tcPr>
            <w:tcW w:w="7843" w:type="dxa"/>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共64个端口，本次激活24个端口，含24*32GbSFP模块，双电源</w:t>
            </w:r>
            <w:r>
              <w:rPr>
                <w:rFonts w:hint="eastAsia" w:ascii="宋体" w:hAnsi="宋体" w:cs="宋体"/>
                <w:color w:val="auto"/>
                <w:sz w:val="21"/>
                <w:szCs w:val="21"/>
                <w:highlight w:val="none"/>
                <w:lang w:eastAsia="zh-CN"/>
              </w:rPr>
              <w:t xml:space="preserve">；</w:t>
            </w:r>
            <w:r/>
          </w:p>
        </w:tc>
      </w:tr>
      <w:tr>
        <w:trPr>
          <w:jc w:val="center"/>
        </w:trPr>
        <w:tc>
          <w:tcPr>
            <w:tcW w:w="1423"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端口速率</w:t>
            </w:r>
            <w:r/>
          </w:p>
        </w:tc>
        <w:tc>
          <w:tcPr>
            <w:tcW w:w="7843"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32,16,10,8,4Gbps自适应</w:t>
            </w:r>
            <w:r/>
          </w:p>
        </w:tc>
      </w:tr>
      <w:tr>
        <w:trPr>
          <w:jc w:val="center"/>
        </w:trPr>
        <w:tc>
          <w:tcPr>
            <w:tcW w:w="1423"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总带宽</w:t>
            </w:r>
            <w:r/>
          </w:p>
        </w:tc>
        <w:tc>
          <w:tcPr>
            <w:tcW w:w="7843"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≥2T</w:t>
            </w:r>
            <w:r/>
          </w:p>
        </w:tc>
      </w:tr>
      <w:tr>
        <w:trPr>
          <w:jc w:val="center"/>
        </w:trPr>
        <w:tc>
          <w:tcPr>
            <w:tcW w:w="1423"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管理性</w:t>
            </w:r>
            <w:r/>
          </w:p>
        </w:tc>
        <w:tc>
          <w:tcPr>
            <w:tcW w:w="7843"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支持SNMPv1/v3、Telnet、Web管理／GUI界面</w:t>
            </w:r>
            <w:r/>
          </w:p>
        </w:tc>
      </w:tr>
      <w:tr>
        <w:trPr>
          <w:jc w:val="center"/>
        </w:trPr>
        <w:tc>
          <w:tcPr>
            <w:tcW w:w="1423"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tcW w:w="7843"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万兆业务交换机</w:t>
      </w:r>
      <w:r/>
    </w:p>
    <w:tbl>
      <w:tblPr>
        <w:tblStyle w:val="841"/>
        <w:tblW w:w="9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4"/>
        <w:gridCol w:w="7797"/>
      </w:tblGrid>
      <w:tr>
        <w:trPr>
          <w:jc w:val="center"/>
        </w:trPr>
        <w:tc>
          <w:tcPr>
            <w:shd w:val="clear" w:color="auto" w:fill="d7d7d7" w:themeFill="background1" w:themeFillShade="D8"/>
            <w:tcW w:w="1444"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b/>
                <w:bCs/>
                <w:color w:val="auto"/>
                <w:sz w:val="21"/>
                <w:szCs w:val="21"/>
                <w:highlight w:val="none"/>
              </w:rPr>
              <w:t xml:space="preserve">指标项</w:t>
            </w:r>
            <w:r/>
          </w:p>
        </w:tc>
        <w:tc>
          <w:tcPr>
            <w:shd w:val="clear" w:color="auto" w:fill="d7d7d7" w:themeFill="background1" w:themeFillShade="D8"/>
            <w:tcW w:w="7797"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b/>
                <w:bCs/>
                <w:color w:val="auto"/>
                <w:sz w:val="21"/>
                <w:szCs w:val="21"/>
                <w:highlight w:val="none"/>
              </w:rPr>
              <w:t xml:space="preserve">技术规格及参数</w:t>
            </w:r>
            <w:r/>
          </w:p>
        </w:tc>
      </w:tr>
      <w:tr>
        <w:trPr>
          <w:jc w:val="center"/>
        </w:trPr>
        <w:tc>
          <w:tcPr>
            <w:tcW w:w="1444"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CPU要求</w:t>
            </w:r>
            <w:r/>
          </w:p>
        </w:tc>
        <w:tc>
          <w:tcPr>
            <w:tcW w:w="7797"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处理器为国产自研芯片</w:t>
            </w:r>
            <w:r/>
          </w:p>
        </w:tc>
      </w:tr>
      <w:tr>
        <w:trPr>
          <w:jc w:val="center"/>
        </w:trPr>
        <w:tc>
          <w:tcPr>
            <w:tcW w:w="1444"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交换容量</w:t>
            </w:r>
            <w:r/>
          </w:p>
        </w:tc>
        <w:tc>
          <w:tcPr>
            <w:tcW w:w="7797"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交换容量≥4.8Tbps，包转发率≥1600Mpps</w:t>
            </w:r>
            <w:r/>
          </w:p>
        </w:tc>
      </w:tr>
      <w:tr>
        <w:trPr>
          <w:jc w:val="center"/>
        </w:trPr>
        <w:tc>
          <w:tcPr>
            <w:tcW w:w="1444"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端口数量</w:t>
            </w:r>
            <w:r/>
          </w:p>
        </w:tc>
        <w:tc>
          <w:tcPr>
            <w:tcW w:w="7797"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配置10GSFP+端口≥24，40GQSFP28端口≥6</w:t>
            </w:r>
            <w:r/>
          </w:p>
        </w:tc>
      </w:tr>
      <w:tr>
        <w:trPr>
          <w:jc w:val="center"/>
        </w:trPr>
        <w:tc>
          <w:tcPr>
            <w:tcW w:w="1444" w:type="dxa"/>
            <w:vAlign w:val="center"/>
            <w:vMerge w:val="restart"/>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功能要求</w:t>
            </w:r>
            <w:r/>
          </w:p>
        </w:tc>
        <w:tc>
          <w:tcPr>
            <w:tcW w:w="7797"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支持RIP、OSPF、ISIS、BGP等IPv4动态路由协议</w:t>
            </w:r>
            <w:r/>
          </w:p>
        </w:tc>
      </w:tr>
      <w:tr>
        <w:trPr>
          <w:jc w:val="center"/>
        </w:trPr>
        <w:tc>
          <w:tcPr>
            <w:tcW w:w="1444"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7797"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支持Vxlan，且支持BGPEVPN特性，支持VXLANmapping</w:t>
            </w:r>
            <w:r/>
          </w:p>
        </w:tc>
      </w:tr>
      <w:tr>
        <w:trPr>
          <w:jc w:val="center"/>
        </w:trPr>
        <w:tc>
          <w:tcPr>
            <w:tcW w:w="1444"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7797"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支持M-LAG或vPC等类似技术</w:t>
            </w:r>
            <w:r/>
          </w:p>
        </w:tc>
      </w:tr>
      <w:tr>
        <w:trPr>
          <w:jc w:val="center"/>
        </w:trPr>
        <w:tc>
          <w:tcPr>
            <w:tcW w:w="1444"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7797"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支持MACsec功能</w:t>
            </w:r>
            <w:r/>
          </w:p>
        </w:tc>
      </w:tr>
      <w:tr>
        <w:trPr>
          <w:jc w:val="center"/>
        </w:trPr>
        <w:tc>
          <w:tcPr>
            <w:tcW w:w="1444"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7797"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支持SNMPV1/V2/V3、Telnet、RMON、SSH</w:t>
            </w:r>
            <w:r/>
          </w:p>
        </w:tc>
      </w:tr>
      <w:tr>
        <w:trPr>
          <w:jc w:val="center"/>
        </w:trPr>
        <w:tc>
          <w:tcPr>
            <w:tcW w:w="1444"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配置要求</w:t>
            </w:r>
            <w:r/>
          </w:p>
        </w:tc>
        <w:tc>
          <w:tcPr>
            <w:tcW w:w="7797"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配置≥24个10G多模光纤模块，≥1根QSFP+-40G-高速电缆，配置冗余电源</w:t>
            </w:r>
            <w:r/>
          </w:p>
        </w:tc>
      </w:tr>
      <w:tr>
        <w:trPr>
          <w:jc w:val="center"/>
        </w:trPr>
        <w:tc>
          <w:tcPr>
            <w:tcW w:w="1444"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tcW w:w="7797"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五年7*24小时响应，4小时内到达现场</w:t>
            </w:r>
            <w:r/>
          </w:p>
        </w:tc>
      </w:tr>
    </w:tbl>
    <w:p>
      <w:pPr>
        <w:pStyle w:val="853"/>
        <w:ind w:firstLine="422"/>
        <w:rPr>
          <w:rFonts w:ascii="宋体" w:hAnsi="宋体"/>
          <w:b/>
          <w:color w:val="auto"/>
          <w:sz w:val="21"/>
          <w:szCs w:val="21"/>
          <w:highlight w:val="none"/>
        </w:rPr>
      </w:pPr>
      <w:r>
        <w:rPr>
          <w:rFonts w:ascii="宋体" w:hAnsi="宋体"/>
          <w:b/>
          <w:color w:val="auto"/>
          <w:sz w:val="21"/>
          <w:szCs w:val="21"/>
          <w:highlight w:val="none"/>
        </w:rPr>
        <w:t xml:space="preserve">6.1.1.</w:t>
      </w:r>
      <w:r>
        <w:rPr>
          <w:rFonts w:hint="eastAsia" w:ascii="宋体" w:hAnsi="宋体"/>
          <w:b/>
          <w:color w:val="auto"/>
          <w:sz w:val="21"/>
          <w:szCs w:val="21"/>
          <w:highlight w:val="none"/>
        </w:rPr>
        <w:t xml:space="preserve">2、网络安全</w:t>
      </w:r>
      <w:r/>
    </w:p>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专网防火墙</w:t>
      </w:r>
      <w:r/>
    </w:p>
    <w:tbl>
      <w:tblPr>
        <w:tblStyle w:val="841"/>
        <w:tblW w:w="55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0"/>
        <w:gridCol w:w="8079"/>
      </w:tblGrid>
      <w:tr>
        <w:trPr>
          <w:jc w:val="center"/>
        </w:trPr>
        <w:tc>
          <w:tcPr>
            <w:shd w:val="clear" w:color="auto" w:fill="d7d7d7" w:themeFill="background1" w:themeFillShade="D8"/>
            <w:tcW w:w="761" w:type="pct"/>
            <w:vAlign w:val="center"/>
            <w:textDirection w:val="lrTb"/>
            <w:noWrap w:val="false"/>
          </w:tcPr>
          <w:p>
            <w:pPr>
              <w:jc w:val="center"/>
              <w:spacing w:line="360" w:lineRule="auto"/>
              <w:rPr>
                <w:rFonts w:ascii="宋体" w:hAnsi="宋体"/>
                <w:b/>
                <w:color w:val="auto"/>
                <w:sz w:val="21"/>
                <w:szCs w:val="21"/>
                <w:highlight w:val="none"/>
              </w:rPr>
            </w:pPr>
            <w:r>
              <w:rPr>
                <w:rFonts w:hint="eastAsia" w:ascii="宋体" w:hAnsi="宋体" w:cs="宋体"/>
                <w:b/>
                <w:color w:val="auto"/>
                <w:sz w:val="21"/>
                <w:szCs w:val="21"/>
                <w:highlight w:val="none"/>
              </w:rPr>
              <w:t xml:space="preserve">指标项</w:t>
            </w:r>
            <w:r/>
          </w:p>
        </w:tc>
        <w:tc>
          <w:tcPr>
            <w:shd w:val="clear" w:color="auto" w:fill="d7d7d7" w:themeFill="background1" w:themeFillShade="D8"/>
            <w:tcW w:w="4239" w:type="pct"/>
            <w:vAlign w:val="center"/>
            <w:textDirection w:val="lrTb"/>
            <w:noWrap w:val="false"/>
          </w:tcPr>
          <w:p>
            <w:pPr>
              <w:jc w:val="center"/>
              <w:spacing w:line="360" w:lineRule="auto"/>
              <w:rPr>
                <w:rFonts w:ascii="宋体" w:hAnsi="宋体"/>
                <w:b/>
                <w:color w:val="auto"/>
                <w:sz w:val="21"/>
                <w:szCs w:val="21"/>
                <w:highlight w:val="none"/>
              </w:rPr>
            </w:pPr>
            <w:r>
              <w:rPr>
                <w:rFonts w:hint="eastAsia" w:ascii="宋体" w:hAnsi="宋体" w:cs="宋体"/>
                <w:b/>
                <w:color w:val="auto"/>
                <w:sz w:val="21"/>
                <w:szCs w:val="21"/>
                <w:highlight w:val="none"/>
              </w:rPr>
              <w:t xml:space="preserve">技术规格及参数</w:t>
            </w:r>
            <w:r/>
          </w:p>
        </w:tc>
      </w:tr>
      <w:tr>
        <w:trPr>
          <w:jc w:val="center"/>
          <w:trHeight w:val="626"/>
        </w:trPr>
        <w:tc>
          <w:tcPr>
            <w:tcW w:w="761"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规格参数</w:t>
            </w:r>
            <w:r/>
          </w:p>
        </w:tc>
        <w:tc>
          <w:tcPr>
            <w:tcW w:w="4239" w:type="pct"/>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国产化硬件平台和国产操作系统</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网络层吞吐量30G，并发连接≥1200万，每秒新建连接数16万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标准2U机箱，冗余电源</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板载6个千兆电口，4个千兆光口，2个扩展插槽（支持扩展4千兆光口，4万兆光口板卡），1个Console口，1个HA接口，1个MGT接口，2个USB接口，支持液晶屏</w:t>
            </w:r>
            <w:r>
              <w:rPr>
                <w:rFonts w:hint="eastAsia" w:ascii="宋体" w:hAnsi="宋体" w:cs="宋体"/>
                <w:color w:val="auto"/>
                <w:sz w:val="21"/>
                <w:szCs w:val="21"/>
                <w:highlight w:val="none"/>
                <w:lang w:eastAsia="zh-CN"/>
              </w:rPr>
              <w:t xml:space="preserve">；</w:t>
            </w:r>
            <w:r/>
          </w:p>
        </w:tc>
      </w:tr>
      <w:tr>
        <w:trPr>
          <w:jc w:val="center"/>
        </w:trPr>
        <w:tc>
          <w:tcPr>
            <w:tcW w:w="761"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网络协议</w:t>
            </w:r>
            <w:r/>
          </w:p>
        </w:tc>
        <w:tc>
          <w:tcPr>
            <w:tcW w:w="4239"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lang w:val="en-US" w:eastAsia="zh-CN"/>
              </w:rPr>
              <w:t xml:space="preserve">所</w:t>
            </w:r>
            <w:r>
              <w:rPr>
                <w:rFonts w:hint="eastAsia" w:ascii="宋体" w:hAnsi="宋体" w:cs="宋体"/>
                <w:color w:val="auto"/>
                <w:sz w:val="21"/>
                <w:szCs w:val="21"/>
                <w:highlight w:val="none"/>
              </w:rPr>
              <w:t xml:space="preserve">投产品支持VTEP（VxLanTunnelEndPoint）模式接入VxLAN网络，并可作为VXLAN二层、三层网关实现VxLan网络与传统以太网的相同子网内、跨子网间互联互通</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支持通过绑定VLAN、VNI（VXLANNetworkIdentifier）、远程VTEP，手动管理VxLan网络</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支持MAC、VNI、VTEP静态绑定</w:t>
            </w:r>
            <w:r/>
          </w:p>
        </w:tc>
      </w:tr>
      <w:tr>
        <w:trPr>
          <w:jc w:val="center"/>
        </w:trPr>
        <w:tc>
          <w:tcPr>
            <w:tcW w:w="761"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39" w:type="pct"/>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所投产品支持MPLS流量透传</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支持针对MPLS流量的安全审查，包括漏洞防护、反病毒、间谍软件防护、内容过滤、URL过滤、基于终端状态访问控制等安全防护功能</w:t>
            </w:r>
            <w:r>
              <w:rPr>
                <w:rFonts w:hint="eastAsia" w:ascii="宋体" w:hAnsi="宋体" w:cs="宋体"/>
                <w:color w:val="auto"/>
                <w:sz w:val="21"/>
                <w:szCs w:val="21"/>
                <w:highlight w:val="none"/>
                <w:lang w:eastAsia="zh-CN"/>
              </w:rPr>
              <w:t xml:space="preserve">；</w:t>
            </w:r>
            <w:r/>
          </w:p>
        </w:tc>
      </w:tr>
      <w:tr>
        <w:trPr>
          <w:jc w:val="center"/>
        </w:trPr>
        <w:tc>
          <w:tcPr>
            <w:tcW w:w="761"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路由协议</w:t>
            </w:r>
            <w:r/>
          </w:p>
        </w:tc>
        <w:tc>
          <w:tcPr>
            <w:tcW w:w="4239"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支持基于策略的路由负载，支持根据应用和服务进行智能选路，支持源地址目的地址哈希、源地址哈希、轮询、时延负载、备份、随机、流量均衡、源地址轮询、目的地址哈希、最优链路带宽负载、最优链路带宽备份、跳数负载等不少于12种路由负载均衡方式，支持基于IPv4或IPv6的TCP、HTTP、DNS、ICMP等方式的链路探测，同时TCP与HTTP可使用自定义目标端口进行测试</w:t>
            </w:r>
            <w:r/>
          </w:p>
        </w:tc>
      </w:tr>
      <w:tr>
        <w:trPr>
          <w:jc w:val="center"/>
        </w:trPr>
        <w:tc>
          <w:tcPr>
            <w:tcW w:w="761"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网络攻击防护</w:t>
            </w:r>
            <w:r/>
          </w:p>
        </w:tc>
        <w:tc>
          <w:tcPr>
            <w:tcW w:w="4239"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必须支持基于不同安全区域防御SYNFlood、UDPFlood、ICMPFlood、IPFlood、DNSFlood、HTTPFlood攻击，并支持警告、丢弃、普通防护（首包丢弃）、增强防护（TC反弹技术）、授权服务器防护（NS重定向）、普通防护（自动重定向）、增强防护（手工确认）等多种防护措施</w:t>
            </w:r>
            <w:r/>
          </w:p>
        </w:tc>
      </w:tr>
      <w:tr>
        <w:trPr>
          <w:jc w:val="center"/>
        </w:trPr>
        <w:tc>
          <w:tcPr>
            <w:tcW w:w="761"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39"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所投产品必须支持可配置阈值的基于安全域或基于二层接口局域网广播防护，防止局域网内广播和多播数据包泛滥</w:t>
            </w:r>
            <w:r/>
          </w:p>
        </w:tc>
      </w:tr>
      <w:tr>
        <w:trPr>
          <w:jc w:val="center"/>
        </w:trPr>
        <w:tc>
          <w:tcPr>
            <w:tcW w:w="761"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39"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所投产品必须支持DHCP协议防护</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支持手动定义可信DHCP服务器IPv4和基于阈值限制DHCP请求传输速率</w:t>
            </w:r>
            <w:r/>
          </w:p>
        </w:tc>
      </w:tr>
      <w:tr>
        <w:trPr>
          <w:jc w:val="center"/>
        </w:trPr>
        <w:tc>
          <w:tcPr>
            <w:tcW w:w="761"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39"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所投产品必须支持防御基于安全域的IP地址欺骗攻击，指定IP或网段必须从特定安全域流入</w:t>
            </w:r>
            <w:r/>
          </w:p>
        </w:tc>
      </w:tr>
      <w:tr>
        <w:trPr>
          <w:jc w:val="center"/>
        </w:trPr>
        <w:tc>
          <w:tcPr>
            <w:tcW w:w="761"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病毒防护</w:t>
            </w:r>
            <w:r/>
          </w:p>
        </w:tc>
        <w:tc>
          <w:tcPr>
            <w:tcW w:w="4239"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所投产品配置病毒防护功能，能够对HTTP/FTP/POP3/SMTP/IMAP/SMB六种协议进行病毒查杀</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本地病毒库规模大于3000万。</w:t>
            </w:r>
            <w:r/>
          </w:p>
        </w:tc>
      </w:tr>
      <w:tr>
        <w:trPr>
          <w:jc w:val="center"/>
        </w:trPr>
        <w:tc>
          <w:tcPr>
            <w:tcW w:w="761"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39"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所投产品必须支持对最多6级的压缩文件进行解压查杀</w:t>
            </w:r>
            <w:r/>
          </w:p>
        </w:tc>
      </w:tr>
      <w:tr>
        <w:trPr>
          <w:jc w:val="center"/>
        </w:trPr>
        <w:tc>
          <w:tcPr>
            <w:tcW w:w="761"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39"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所投产品必须支持基于MD5的自定义病毒签名</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支持设置例外特征，对特定的病毒特征不进行查杀</w:t>
            </w:r>
            <w:r/>
          </w:p>
        </w:tc>
      </w:tr>
      <w:tr>
        <w:trPr>
          <w:jc w:val="center"/>
        </w:trPr>
        <w:tc>
          <w:tcPr>
            <w:tcW w:w="761"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入侵防御</w:t>
            </w:r>
            <w:r/>
          </w:p>
        </w:tc>
        <w:tc>
          <w:tcPr>
            <w:tcW w:w="4239"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所投产品必须支持漏洞防护功能，同时将漏洞防护特征库分类，至少包括缓冲区溢出、跨站脚本、拒绝服务、恶意扫描、SQL注入、WEB攻击等六种分类</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漏洞防护支持日志、阻断、放行、重置等执行动作</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可批量设置针对某一分类或全部攻击签名的执行动作</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支持基于FTP、HTTP、IMAP、OTHER_APP、POP3、SMB、SMTP等应用协议的漏洞防护</w:t>
            </w:r>
            <w:r/>
          </w:p>
        </w:tc>
      </w:tr>
      <w:tr>
        <w:trPr>
          <w:jc w:val="center"/>
        </w:trPr>
        <w:tc>
          <w:tcPr>
            <w:tcW w:w="761"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39" w:type="pct"/>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所投产品必须支持在设备漏洞防护特征库直接查阅攻击的名称、CVEID、CNNVDID、CWEID、严重性、影响的平台、类型、描述、建议等详细信息</w:t>
            </w:r>
            <w:r>
              <w:rPr>
                <w:rFonts w:hint="eastAsia" w:ascii="宋体" w:hAnsi="宋体" w:cs="宋体"/>
                <w:color w:val="auto"/>
                <w:sz w:val="21"/>
                <w:szCs w:val="21"/>
                <w:highlight w:val="none"/>
                <w:lang w:eastAsia="zh-CN"/>
              </w:rPr>
              <w:t xml:space="preserve">；</w:t>
            </w:r>
            <w:r/>
          </w:p>
        </w:tc>
      </w:tr>
      <w:tr>
        <w:trPr>
          <w:jc w:val="center"/>
        </w:trPr>
        <w:tc>
          <w:tcPr>
            <w:tcW w:w="761"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39" w:type="pct"/>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所投产品的漏洞防护特征库及间谍软件库包含高危漏洞攻击特征，至少包括“永恒之蓝”、“震网三代”、“暗云3”、“Struts”、“Struts2”、“Xshell后门代码”以及对应的攻击的名称、CVEID、CNNVDID、CWEID、严重性、影响的平台、类型、描述、解决方案建议等（CVEID、CNNDID、CWEID等信息在漏洞攻击特征中体现）详细信息</w:t>
            </w:r>
            <w:r>
              <w:rPr>
                <w:rFonts w:hint="eastAsia" w:ascii="宋体" w:hAnsi="宋体" w:cs="宋体"/>
                <w:color w:val="auto"/>
                <w:sz w:val="21"/>
                <w:szCs w:val="21"/>
                <w:highlight w:val="none"/>
                <w:lang w:eastAsia="zh-CN"/>
              </w:rPr>
              <w:t xml:space="preserve">；</w:t>
            </w:r>
            <w:r/>
          </w:p>
        </w:tc>
      </w:tr>
      <w:tr>
        <w:trPr>
          <w:jc w:val="center"/>
        </w:trPr>
        <w:tc>
          <w:tcPr>
            <w:tcW w:w="761"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SSL解密</w:t>
            </w:r>
            <w:r/>
          </w:p>
        </w:tc>
        <w:tc>
          <w:tcPr>
            <w:tcW w:w="4239"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必须支持IPv4和IPv6流量的HTTPS、POP3S、SMTPS、IMAPS协议进行解密，支持配置基于源安全域、目的安全域、源地址、目的地址、SSL协议服务的解密策略，动作可以设置解密或不解密，并可基于安全域、IPv4和IPv6地址进行例外设置，同时支持将解密后流量镜像到其他设备进行分析统计</w:t>
            </w:r>
            <w:r/>
          </w:p>
        </w:tc>
      </w:tr>
      <w:tr>
        <w:trPr>
          <w:jc w:val="center"/>
        </w:trPr>
        <w:tc>
          <w:tcPr>
            <w:tcW w:w="761"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网络异常感知</w:t>
            </w:r>
            <w:r/>
          </w:p>
        </w:tc>
        <w:tc>
          <w:tcPr>
            <w:tcW w:w="4239" w:type="pct"/>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所投产品必须支持本方案中配置的威胁感知设备协同，实现主机状态检测及告警</w:t>
            </w:r>
            <w:r>
              <w:rPr>
                <w:rFonts w:hint="eastAsia" w:ascii="宋体" w:hAnsi="宋体" w:cs="宋体"/>
                <w:color w:val="auto"/>
                <w:sz w:val="21"/>
                <w:szCs w:val="21"/>
                <w:highlight w:val="none"/>
                <w:lang w:eastAsia="zh-CN"/>
              </w:rPr>
              <w:t xml:space="preserve">；</w:t>
            </w:r>
            <w:r/>
          </w:p>
        </w:tc>
      </w:tr>
      <w:tr>
        <w:trPr>
          <w:jc w:val="center"/>
        </w:trPr>
        <w:tc>
          <w:tcPr>
            <w:tcW w:w="761"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39"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所投产品支持基于主机或威胁情报视图，统计网络中存在安全风险的主机数量以及对应的风险等级，至少可查看遭遇风险的时间、威胁类别、情报来源、威胁简介、失陷主机IP、用户名、资产等信息</w:t>
            </w:r>
            <w:r/>
          </w:p>
        </w:tc>
      </w:tr>
      <w:tr>
        <w:trPr>
          <w:jc w:val="center"/>
        </w:trPr>
        <w:tc>
          <w:tcPr>
            <w:tcW w:w="761"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39" w:type="pct"/>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所投产品必须支持统计网络内威胁事件的数量及对应的风险等级</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支持一键跳转查看详情并自动显示关联日志</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可基于网络连接、应用名称、威胁事件处置威胁事件</w:t>
            </w:r>
            <w:r>
              <w:rPr>
                <w:rFonts w:hint="eastAsia" w:ascii="宋体" w:hAnsi="宋体" w:cs="宋体"/>
                <w:color w:val="auto"/>
                <w:sz w:val="21"/>
                <w:szCs w:val="21"/>
                <w:highlight w:val="none"/>
                <w:lang w:eastAsia="zh-CN"/>
              </w:rPr>
              <w:t xml:space="preserve">；</w:t>
            </w:r>
            <w:r/>
          </w:p>
        </w:tc>
      </w:tr>
      <w:tr>
        <w:trPr>
          <w:jc w:val="center"/>
        </w:trPr>
        <w:tc>
          <w:tcPr>
            <w:tcW w:w="761"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运维管理</w:t>
            </w:r>
            <w:r/>
          </w:p>
        </w:tc>
        <w:tc>
          <w:tcPr>
            <w:tcW w:w="4239"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所投产品必须支持双系统备份，且在系统切换中可实现配置的自动迁移</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可记录不同时间点的历史配置文件。</w:t>
            </w:r>
            <w:r/>
          </w:p>
        </w:tc>
      </w:tr>
      <w:tr>
        <w:trPr>
          <w:jc w:val="center"/>
        </w:trPr>
        <w:tc>
          <w:tcPr>
            <w:tcW w:w="761"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39"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必须支持将不同设备模块产生的不同重要性的日志发送至不同的日志服务器，设备模块至少包括流量、URL过滤、内容过滤、邮件过滤、行为、威胁等，重要性等级至少包括紧急、警报、严重、错误、告警、通知、信息、调试八种</w:t>
            </w:r>
            <w:r/>
          </w:p>
        </w:tc>
      </w:tr>
      <w:tr>
        <w:trPr>
          <w:jc w:val="center"/>
        </w:trPr>
        <w:tc>
          <w:tcPr>
            <w:tcW w:w="761"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39"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所投产品必须提供可明文或加密方式调用的RestfulAPI，并可指定RestfulAPI使用的本地端口</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为确保设备管理的安全性，所投产品必须支持限制特定主机调用RestfulAPI支持定义第三方设备、平台通过调用RestfulAPI至少可配置所投设备的访问控制策略、源NAT策略、目的NAT策略、静态路由、高可用以及区域、地址、服务、时间、用户对象等功能。</w:t>
            </w:r>
            <w:r/>
          </w:p>
        </w:tc>
      </w:tr>
      <w:tr>
        <w:trPr>
          <w:jc w:val="center"/>
        </w:trPr>
        <w:tc>
          <w:tcPr>
            <w:tcW w:w="761"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tcW w:w="4239"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五年7*24小时响应，4小时内到达现场，5年安全组合升级订阅服务包（含应用识别库、URL分类特征库、病毒防护特征库、入侵防御特征库升级服务及威胁情报订阅服务）。</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运维审计系统</w:t>
      </w:r>
      <w:r/>
    </w:p>
    <w:tbl>
      <w:tblPr>
        <w:tblStyle w:val="841"/>
        <w:tblW w:w="55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3"/>
        <w:gridCol w:w="8069"/>
      </w:tblGrid>
      <w:tr>
        <w:trPr>
          <w:jc w:val="center"/>
        </w:trPr>
        <w:tc>
          <w:tcPr>
            <w:shd w:val="clear" w:color="auto" w:fill="d7d7d7" w:themeFill="background1" w:themeFillShade="D8"/>
            <w:tcW w:w="772" w:type="pct"/>
            <w:vAlign w:val="center"/>
            <w:textDirection w:val="lrTb"/>
            <w:noWrap w:val="false"/>
          </w:tcPr>
          <w:p>
            <w:pPr>
              <w:jc w:val="center"/>
              <w:spacing w:line="360" w:lineRule="auto"/>
              <w:rPr>
                <w:rFonts w:ascii="宋体" w:hAnsi="宋体"/>
                <w:b/>
                <w:color w:val="auto"/>
                <w:sz w:val="21"/>
                <w:szCs w:val="21"/>
                <w:highlight w:val="none"/>
              </w:rPr>
            </w:pPr>
            <w:r>
              <w:rPr>
                <w:rFonts w:hint="eastAsia" w:ascii="宋体" w:hAnsi="宋体" w:cs="宋体"/>
                <w:b/>
                <w:color w:val="auto"/>
                <w:sz w:val="21"/>
                <w:szCs w:val="21"/>
                <w:highlight w:val="none"/>
              </w:rPr>
              <w:t xml:space="preserve">指标项</w:t>
            </w:r>
            <w:r/>
          </w:p>
        </w:tc>
        <w:tc>
          <w:tcPr>
            <w:shd w:val="clear" w:color="auto" w:fill="d7d7d7" w:themeFill="background1" w:themeFillShade="D8"/>
            <w:tcW w:w="4228" w:type="pct"/>
            <w:vAlign w:val="center"/>
            <w:textDirection w:val="lrTb"/>
            <w:noWrap w:val="false"/>
          </w:tcPr>
          <w:p>
            <w:pPr>
              <w:jc w:val="center"/>
              <w:spacing w:line="360" w:lineRule="auto"/>
              <w:rPr>
                <w:rFonts w:ascii="宋体" w:hAnsi="宋体"/>
                <w:b/>
                <w:color w:val="auto"/>
                <w:sz w:val="21"/>
                <w:szCs w:val="21"/>
                <w:highlight w:val="none"/>
              </w:rPr>
            </w:pPr>
            <w:r>
              <w:rPr>
                <w:rFonts w:hint="eastAsia" w:ascii="宋体" w:hAnsi="宋体" w:cs="宋体"/>
                <w:b/>
                <w:color w:val="auto"/>
                <w:sz w:val="21"/>
                <w:szCs w:val="21"/>
                <w:highlight w:val="none"/>
              </w:rPr>
              <w:t xml:space="preserve">技术规格及参数</w:t>
            </w:r>
            <w:r/>
          </w:p>
        </w:tc>
      </w:tr>
      <w:tr>
        <w:trPr>
          <w:jc w:val="center"/>
          <w:trHeight w:val="626"/>
        </w:trPr>
        <w:tc>
          <w:tcPr>
            <w:tcW w:w="772"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规格参数</w:t>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采用兆芯多核硬件平台和中标麒麟操作系统。外观：标准2U机架式，2个USB，1个Console，标配6个千兆电口（含MGT*1、HA*1）、4个千兆光口</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支持2个扩展插槽（支持扩展4千兆光口，4万兆光口板卡），内置4TB企业级硬盘，冗余电源。支持液晶屏，最大支持700个字符会话或70个图形会话，本次配置200点授权许可。</w:t>
            </w:r>
            <w:r/>
          </w:p>
        </w:tc>
      </w:tr>
      <w:tr>
        <w:trPr>
          <w:jc w:val="center"/>
          <w:trHeight w:val="312"/>
        </w:trPr>
        <w:tc>
          <w:tcPr>
            <w:tcW w:w="772"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部署方式</w:t>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物理旁路，逻辑串联模式，不影响原有网络架构</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HA双机热备、支持跨地域、跨数据中心，多层次部署</w:t>
            </w:r>
            <w:r/>
          </w:p>
        </w:tc>
      </w:tr>
      <w:tr>
        <w:trPr>
          <w:jc w:val="center"/>
        </w:trPr>
        <w:tc>
          <w:tcPr>
            <w:tcW w:w="772"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身份认证</w:t>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支持多因子认证，方式包括手机令牌、手机短信、动态令牌、国密USBKey、指纹识别等多因子认证方式</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支持RADIUS、AD域、LDAP、OIDC、CAS等认证类型</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支持用户的登录时间、来源IP地址和来源MAC地址限制（黑名单和白名单），限制非法时间和非法地址登录堡垒机。</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具备账号密码的防爆力破解功能，支持登录失败次数锁死设置，可自定义尝试密码次数，可设置锁定用户账号或IP，可设置锁定时长，到期自动解锁或管理员手动解锁，可设置登录尝试密码失败之后，将登录尝试失败计数器重置为0次所需要的时间时长</w:t>
            </w:r>
            <w:r/>
          </w:p>
        </w:tc>
      </w:tr>
      <w:tr>
        <w:trPr>
          <w:jc w:val="center"/>
        </w:trPr>
        <w:tc>
          <w:tcPr>
            <w:tcW w:w="772"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资源管理</w:t>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支持的运维协议包含SSH、RDP、VNC、Telnet、FTP、SCP、SFTP、DB2、MySQL、Oracle、SQLServer、PostgreSQL、Rlogin、DM、Redis等。</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通过应用发布实现对MySQL、SQLServer、Oracle、IE、Firefox、Chrome、VNCClient、SecBrowser、VSphereClient、Radmin、dbisql等应用程序/客户端扩展支持</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支持云主机资源批量添加，包括阿里云、百度云、华为云、腾讯云、Ucloud、AWS、Azure云平台的资源</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支持以云盘形式在堡垒机上存储文件，并自定义云盘大小，实现操作端、堡垒机、目标服务器三者之间文件共享</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不限操作系统类型，无需安装任何客户端插件，使用浏览器通过H5方式即可直接运维SSH、RDP、Telnet、VNC、Rlogin、SFTP资源</w:t>
            </w:r>
            <w:r/>
          </w:p>
        </w:tc>
      </w:tr>
      <w:tr>
        <w:trPr>
          <w:jc w:val="center"/>
        </w:trPr>
        <w:tc>
          <w:tcPr>
            <w:tcW w:w="772"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策略管理</w:t>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支持同时以用户、用户组、账户、账户组为核心要素，来设置多对多的资源访问授权，用户组和账户组内的新增成员可自动继承授权关系</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针对核心设备可配置双人授权，需要管理员现场审批才能访问资源，也可以通过动态令牌进行授权，运维员需要拿到动态令牌才可以对资源进行运维。</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支持对MySQL、Oracle和达梦数据库的访问操作进行控制，可基于库、表、命令实现对数据库操作的细粒度访问控制，执行动作包括但不限于断开连接、拒绝执行、动态授权、允许执行</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系统预置Linux主机、网络设备和数据库的基本命令，提升命令控制效率。</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支持直接拖动改变访问控制策略、命令控制策略和数据库控制策略的优先级顺序。</w:t>
            </w:r>
            <w:r/>
          </w:p>
        </w:tc>
      </w:tr>
      <w:tr>
        <w:trPr>
          <w:jc w:val="center"/>
        </w:trPr>
        <w:tc>
          <w:tcPr>
            <w:tcW w:w="772"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自动运维</w:t>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支持从Linux服务器推拉账户，实现堡垒机与纳管的资源服务器之间的账户同步</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支持自动修改服务器资源帐号的密码，并且将改密后的密码分为A、B两段，发送到指定的两个人的邮箱，必须凑齐两部分密码才可以查看完整服务器密码。</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支持混合协议（RDP/SSH/TELNET）批量运维</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支持自定义运维任务，实现命令执行、脚本运行、文件批量分发自定义灵活组成自动化运维任务。</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支持通过工单形式对高危命令操作实现动态审批授权</w:t>
            </w:r>
            <w:r/>
          </w:p>
        </w:tc>
      </w:tr>
      <w:tr>
        <w:trPr>
          <w:jc w:val="center"/>
        </w:trPr>
        <w:tc>
          <w:tcPr>
            <w:tcW w:w="772"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审计日志</w:t>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支持记录用户登录资源的操作行为，包含：资源名称、协议类型、主机或应用地址、资源账户、起止时间、会话时长、操作用户、来源IP、操作记录、文件传输记录、会话协同记录、以及会话结束状态的审计</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支持采用OCR识别技术，可以识别图形操作中的操作系统文字、应用软件文字、浏览器文字等文本信息，支持设置识别精细度和识别间隔时间，以平衡性能开销和识别精度</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水印功能，用户在运维或者是监控、查看会话时，H5页面会将用户的登录名作为水印展示，避免数据泄露无法追责，支持在H5运维SSH、RDP、TELNET、VNC、应用发布等资源时显示水印，支持水印间距、水印字体、水印透明度等配置。</w:t>
            </w:r>
            <w:r/>
          </w:p>
        </w:tc>
      </w:tr>
      <w:tr>
        <w:trPr>
          <w:jc w:val="center"/>
        </w:trPr>
        <w:tc>
          <w:tcPr>
            <w:tcW w:w="772"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系统设置</w:t>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支持自定义系统语言，包含中文、繁体中文和英文</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支持修改系统自身对外提供服务的默认端口，包括但不限于运维端口、Web控制台端口、SSH控制台端口、Windows改密端口等</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支持专属手机app远程管理（非浏览器方式），可在app端实现用户管理、主机管理、工单审批、告警消息、会话管理等功能。</w:t>
            </w:r>
            <w:r/>
          </w:p>
        </w:tc>
      </w:tr>
      <w:tr>
        <w:trPr>
          <w:jc w:val="center"/>
        </w:trPr>
        <w:tc>
          <w:tcPr>
            <w:tcW w:w="772"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产品内置文件病毒扫描能力，实现本地上传文件到堡垒机网盘、主机上传文件到堡垒机网盘的文件传输扫描，针对病毒文件，可以执行信任、删除等操作，并生成审计记录，防止运维场景下传输病毒文件到IT系统中，威胁系统安全。</w:t>
            </w:r>
            <w:r/>
          </w:p>
        </w:tc>
      </w:tr>
      <w:tr>
        <w:trPr>
          <w:jc w:val="center"/>
        </w:trPr>
        <w:tc>
          <w:tcPr>
            <w:tcW w:w="772"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tcW w:w="4228"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数据库审计</w:t>
      </w:r>
      <w:r/>
    </w:p>
    <w:tbl>
      <w:tblPr>
        <w:tblStyle w:val="841"/>
        <w:tblW w:w="55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0"/>
        <w:gridCol w:w="8064"/>
      </w:tblGrid>
      <w:tr>
        <w:trPr>
          <w:jc w:val="center"/>
        </w:trPr>
        <w:tc>
          <w:tcPr>
            <w:shd w:val="clear" w:color="auto" w:fill="d7d7d7" w:themeFill="background1" w:themeFillShade="D8"/>
            <w:tcW w:w="780" w:type="pct"/>
            <w:vAlign w:val="center"/>
            <w:textDirection w:val="lrTb"/>
            <w:noWrap w:val="false"/>
          </w:tcPr>
          <w:p>
            <w:pPr>
              <w:jc w:val="center"/>
              <w:spacing w:line="360" w:lineRule="auto"/>
              <w:rPr>
                <w:rFonts w:ascii="宋体" w:hAnsi="宋体"/>
                <w:b/>
                <w:color w:val="auto"/>
                <w:sz w:val="21"/>
                <w:szCs w:val="21"/>
                <w:highlight w:val="none"/>
              </w:rPr>
            </w:pPr>
            <w:r>
              <w:rPr>
                <w:rFonts w:hint="eastAsia" w:ascii="宋体" w:hAnsi="宋体" w:cs="宋体"/>
                <w:b/>
                <w:color w:val="auto"/>
                <w:sz w:val="21"/>
                <w:szCs w:val="21"/>
                <w:highlight w:val="none"/>
              </w:rPr>
              <w:t xml:space="preserve">指标项</w:t>
            </w:r>
            <w:r/>
          </w:p>
        </w:tc>
        <w:tc>
          <w:tcPr>
            <w:shd w:val="clear" w:color="auto" w:fill="d7d7d7" w:themeFill="background1" w:themeFillShade="D8"/>
            <w:tcW w:w="4220" w:type="pct"/>
            <w:vAlign w:val="center"/>
            <w:textDirection w:val="lrTb"/>
            <w:noWrap w:val="false"/>
          </w:tcPr>
          <w:p>
            <w:pPr>
              <w:jc w:val="center"/>
              <w:spacing w:line="360" w:lineRule="auto"/>
              <w:rPr>
                <w:rFonts w:ascii="宋体" w:hAnsi="宋体"/>
                <w:b/>
                <w:color w:val="auto"/>
                <w:sz w:val="21"/>
                <w:szCs w:val="21"/>
                <w:highlight w:val="none"/>
              </w:rPr>
            </w:pPr>
            <w:r>
              <w:rPr>
                <w:rFonts w:hint="eastAsia" w:ascii="宋体" w:hAnsi="宋体" w:cs="宋体"/>
                <w:b/>
                <w:color w:val="auto"/>
                <w:sz w:val="21"/>
                <w:szCs w:val="21"/>
                <w:highlight w:val="none"/>
              </w:rPr>
              <w:t xml:space="preserve">技术规格及参数</w:t>
            </w:r>
            <w:r/>
          </w:p>
        </w:tc>
      </w:tr>
      <w:tr>
        <w:trPr>
          <w:jc w:val="center"/>
          <w:trHeight w:val="484"/>
        </w:trPr>
        <w:tc>
          <w:tcPr>
            <w:tcW w:w="780"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规格参数</w:t>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2U机箱，银河麒麟V10操作系统，国产自研CPU，32G内存，4T硬盘，8个千兆电口，4个千兆光口（不含模块），1个Console口，2个USB，2个扩展槽位，冗余电源，支持液晶显示屏。SQL峰值处理能力25000SQL/S，授权不限制实例数。</w:t>
            </w:r>
            <w:r/>
          </w:p>
        </w:tc>
      </w:tr>
      <w:tr>
        <w:trPr>
          <w:jc w:val="center"/>
          <w:trHeight w:val="312"/>
        </w:trPr>
        <w:tc>
          <w:tcPr>
            <w:tcW w:w="780"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网络环境支持</w:t>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支持兆芯+中标麒麟纯国产化环境</w:t>
            </w:r>
            <w:r/>
          </w:p>
        </w:tc>
      </w:tr>
      <w:tr>
        <w:trPr>
          <w:jc w:val="center"/>
          <w:trHeight w:val="312"/>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系统可同时支持IPv4和IPv6的网络环境下数据库的审计。</w:t>
            </w:r>
            <w:r/>
          </w:p>
        </w:tc>
      </w:tr>
      <w:tr>
        <w:trPr>
          <w:jc w:val="center"/>
        </w:trPr>
        <w:tc>
          <w:tcPr>
            <w:tcW w:w="780"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部署方式</w:t>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可通过端口镜像（SPAN）或者分流器（TAP）模式旁路部署</w:t>
            </w:r>
            <w:r/>
          </w:p>
        </w:tc>
      </w:tr>
      <w:tr>
        <w:trPr>
          <w:jc w:val="center"/>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支持审计模式和防火墙模式切换。</w:t>
            </w:r>
            <w:r/>
          </w:p>
        </w:tc>
      </w:tr>
      <w:tr>
        <w:trPr>
          <w:jc w:val="center"/>
        </w:trPr>
        <w:tc>
          <w:tcPr>
            <w:tcW w:w="780"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审计功能</w:t>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支持的数据库：达梦、人大金仓、南大通用Gbase、神舟等主流国产化数据库。</w:t>
            </w:r>
            <w:r/>
          </w:p>
        </w:tc>
      </w:tr>
      <w:tr>
        <w:trPr>
          <w:jc w:val="center"/>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旁路阻断功能（非串联方式）。阻断两种模式，宽松模式：对单一会话危险操作阻断</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严格模式：源IP操作的所有请求直接阻断。</w:t>
            </w:r>
            <w:r/>
          </w:p>
        </w:tc>
      </w:tr>
      <w:tr>
        <w:trPr>
          <w:jc w:val="center"/>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审计选项支持配置按规则审计和全审计两种模式</w:t>
            </w:r>
            <w:r/>
          </w:p>
        </w:tc>
      </w:tr>
      <w:tr>
        <w:trPr>
          <w:jc w:val="center"/>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支持驱动及IP过滤，在流量进入网卡之前对网络流量进行扫描，对无用的信息从网络层进行过滤</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避免占用系统资源，使系统性能达到最佳</w:t>
            </w:r>
            <w:r/>
          </w:p>
        </w:tc>
      </w:tr>
      <w:tr>
        <w:trPr>
          <w:jc w:val="center"/>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支持添加系统语句规则来过滤系统语句，根据系统语句定义规则进行应用层过滤</w:t>
            </w:r>
            <w:r/>
          </w:p>
        </w:tc>
      </w:tr>
      <w:tr>
        <w:trPr>
          <w:jc w:val="center"/>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系统能自动发现网络中存在的数据库，并自动添加成审计对象进行审计，简化操作，避免用户因模糊记忆引起的配置故障</w:t>
            </w:r>
            <w:r/>
          </w:p>
        </w:tc>
      </w:tr>
      <w:tr>
        <w:trPr>
          <w:jc w:val="center"/>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可监控发现未知仿冒进程工具访问数据库，如通过非法第三方工具连接数据库进行风险操作的行为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可监控权限滥用行为，对超出用户权限范围的操作，可根据IP、MAC等五元组实时监控</w:t>
            </w:r>
            <w:r/>
          </w:p>
        </w:tc>
      </w:tr>
      <w:tr>
        <w:trPr>
          <w:jc w:val="center"/>
        </w:trPr>
        <w:tc>
          <w:tcPr>
            <w:tcW w:w="780"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审计策略</w:t>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审计策略支持18种以上分项响应条件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可支持数据库操作命令（包括select、create等14个命令）</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语句长度、语句执行回应、语句执行时间、返回内容、返回行数、数据库名、应用账户、服务器端口、客户端操作系统主机名、客户端操作系统用户名、客户端MAC、客户端IP、客户端端口、客户端进程名、会话ID、关键字、时间（含开始结束日期）等</w:t>
            </w:r>
            <w:r/>
          </w:p>
        </w:tc>
      </w:tr>
      <w:tr>
        <w:trPr>
          <w:jc w:val="center"/>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内置疑似SQL注入、跨站脚本攻击、数据库导库、字段猜测、代码更改、等风险审计规则库。</w:t>
            </w:r>
            <w:r/>
          </w:p>
        </w:tc>
      </w:tr>
      <w:tr>
        <w:trPr>
          <w:jc w:val="center"/>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支持操作语句系列的组合审计规则，可根据某一客体的操作行为序列，连续操作了设定的语句序列时进行规则审计告警。</w:t>
            </w:r>
            <w:r/>
          </w:p>
        </w:tc>
      </w:tr>
      <w:tr>
        <w:trPr>
          <w:jc w:val="center"/>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支持重复操作的统计规则，一定时间内重复某项操作达到设定的统计次数，则触发审计告警。</w:t>
            </w:r>
            <w:r/>
          </w:p>
        </w:tc>
      </w:tr>
      <w:tr>
        <w:trPr>
          <w:jc w:val="center"/>
        </w:trPr>
        <w:tc>
          <w:tcPr>
            <w:tcW w:w="780"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数据库状态监控</w:t>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支持数据库状态监控，数据库类型有MySQL、Oracle、SQLServer等数据库</w:t>
            </w:r>
            <w:r/>
          </w:p>
        </w:tc>
      </w:tr>
      <w:tr>
        <w:trPr>
          <w:jc w:val="center"/>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支持健康监控指标包含：主机IP地址、端口、标签、连接状态、角色、运行时间、版本、连接线程数、活动线程数、等待线程数、接收、发送、每秒查询、每秒事务</w:t>
            </w:r>
            <w:r>
              <w:rPr>
                <w:rFonts w:hint="eastAsia" w:ascii="宋体" w:hAnsi="宋体" w:cs="宋体"/>
                <w:color w:val="auto"/>
                <w:sz w:val="21"/>
                <w:szCs w:val="21"/>
                <w:highlight w:val="none"/>
                <w:lang w:eastAsia="zh-CN"/>
              </w:rPr>
              <w:t xml:space="preserve">；</w:t>
            </w:r>
            <w:r/>
          </w:p>
        </w:tc>
      </w:tr>
      <w:tr>
        <w:trPr>
          <w:jc w:val="center"/>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支持资源监控的指标包含：主机IP地址、端口、标签、最大连接数、连接线程数、最大连接错误数、最大打开文件数、已打开文件数、表缓存数、已打开表</w:t>
            </w:r>
            <w:r/>
          </w:p>
        </w:tc>
      </w:tr>
      <w:tr>
        <w:trPr>
          <w:jc w:val="center"/>
        </w:trPr>
        <w:tc>
          <w:tcPr>
            <w:tcW w:w="780"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审计查询</w:t>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支持全数据库检索，检索效率高达亿条数据秒级响应。</w:t>
            </w:r>
            <w:r/>
          </w:p>
        </w:tc>
      </w:tr>
      <w:tr>
        <w:trPr>
          <w:jc w:val="center"/>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可根据包括时间范围、风险级别、保护对象、操作类型、进程名、应用账号、关键字、规则类型、规则名、规则组名、操作系统主机名、操作系统用户名、客户端MAC、客户端端口、服务器端口、数据库名、语句长度、语句回应、语句执行时间、返回行数、返回结果、处理状态、会话ID、记录编号等二十种条件进行精细化查询。</w:t>
            </w:r>
            <w:r/>
          </w:p>
        </w:tc>
      </w:tr>
      <w:tr>
        <w:trPr>
          <w:jc w:val="center"/>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可根据事件的时间范围、客户端IP、关键字、进程名、应用账号、规则名、客户端端口号、返回内容等多种条件进行事件回放，回溯事件过程。</w:t>
            </w:r>
            <w:r/>
          </w:p>
        </w:tc>
      </w:tr>
      <w:tr>
        <w:trPr>
          <w:jc w:val="center"/>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支持查询结果自定义报表，支持Word、PDF、xls格式报表导出</w:t>
            </w:r>
            <w:r/>
          </w:p>
        </w:tc>
      </w:tr>
      <w:tr>
        <w:trPr>
          <w:jc w:val="center"/>
        </w:trPr>
        <w:tc>
          <w:tcPr>
            <w:tcW w:w="780"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风险评估</w:t>
            </w:r>
            <w:r/>
          </w:p>
        </w:tc>
        <w:tc>
          <w:tcPr>
            <w:tcW w:w="4220" w:type="pct"/>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支持对指定时间段风险数据按不同维度进行统计排行，统计维度包括</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风险最多的类型、触发风险最多的保护对象、触发风险最多的IP、触发风险最多数据库账户、触发风险最多应用账户、触发风险最多工具</w:t>
            </w:r>
            <w:r>
              <w:rPr>
                <w:rFonts w:hint="eastAsia" w:ascii="宋体" w:hAnsi="宋体" w:cs="宋体"/>
                <w:color w:val="auto"/>
                <w:sz w:val="21"/>
                <w:szCs w:val="21"/>
                <w:highlight w:val="none"/>
                <w:lang w:eastAsia="zh-CN"/>
              </w:rPr>
              <w:t xml:space="preserve">；</w:t>
            </w:r>
            <w:r/>
          </w:p>
        </w:tc>
      </w:tr>
      <w:tr>
        <w:trPr>
          <w:jc w:val="center"/>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支持对统计数据进行下钻，获取更详细的风险数据</w:t>
            </w:r>
            <w:r>
              <w:rPr>
                <w:rFonts w:hint="eastAsia" w:ascii="宋体" w:hAnsi="宋体" w:cs="宋体"/>
                <w:color w:val="auto"/>
                <w:sz w:val="21"/>
                <w:szCs w:val="21"/>
                <w:highlight w:val="none"/>
                <w:lang w:eastAsia="zh-CN"/>
              </w:rPr>
              <w:t xml:space="preserve">；</w:t>
            </w:r>
            <w:r/>
          </w:p>
        </w:tc>
      </w:tr>
      <w:tr>
        <w:trPr>
          <w:jc w:val="center"/>
        </w:trPr>
        <w:tc>
          <w:tcPr>
            <w:tcW w:w="780"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态势感知</w:t>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动态安全态势感知图，实时了解数据库状态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支持威胁评估的报告分析、高危操作最多的访问者、攻击数据库次数最多的主机IP以及陌生人闯入的行为统计分析报告</w:t>
            </w:r>
            <w:r/>
          </w:p>
        </w:tc>
      </w:tr>
      <w:tr>
        <w:trPr>
          <w:jc w:val="center"/>
        </w:trPr>
        <w:tc>
          <w:tcPr>
            <w:tcW w:w="780"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系统管理</w:t>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用户管理支持三权分立，系统提供了审计管理员、系统管理员、安全管理员分权的用户体系。</w:t>
            </w:r>
            <w:r/>
          </w:p>
        </w:tc>
      </w:tr>
      <w:tr>
        <w:trPr>
          <w:jc w:val="center"/>
        </w:trPr>
        <w:tc>
          <w:tcPr>
            <w:tcW w:w="780"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系统应具备防范非法IP地址、防范暴力破解登录用户密码（在登录本系统多次连续失败情况下对用户进行自动锁定，锁定时间可根据用户安全级别在系统中安全项下进行设置）、支持MAC地址过滤等安全功能。</w:t>
            </w:r>
            <w:r/>
          </w:p>
        </w:tc>
      </w:tr>
      <w:tr>
        <w:trPr>
          <w:jc w:val="center"/>
        </w:trPr>
        <w:tc>
          <w:tcPr>
            <w:tcW w:w="780"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tcW w:w="4220"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安全隔离网闸</w:t>
      </w:r>
      <w:r/>
    </w:p>
    <w:tbl>
      <w:tblPr>
        <w:tblStyle w:val="841"/>
        <w:tblW w:w="55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4"/>
        <w:gridCol w:w="8050"/>
      </w:tblGrid>
      <w:tr>
        <w:trPr>
          <w:jc w:val="center"/>
        </w:trPr>
        <w:tc>
          <w:tcPr>
            <w:shd w:val="clear" w:color="auto" w:fill="d7d7d7" w:themeFill="background1" w:themeFillShade="D8"/>
            <w:tcW w:w="787" w:type="pct"/>
            <w:vAlign w:val="center"/>
            <w:textDirection w:val="lrTb"/>
            <w:noWrap w:val="false"/>
          </w:tcPr>
          <w:p>
            <w:pPr>
              <w:jc w:val="center"/>
              <w:spacing w:line="360" w:lineRule="auto"/>
              <w:rPr>
                <w:rFonts w:ascii="宋体" w:hAnsi="宋体"/>
                <w:b/>
                <w:color w:val="auto"/>
                <w:sz w:val="21"/>
                <w:szCs w:val="21"/>
                <w:highlight w:val="none"/>
              </w:rPr>
            </w:pPr>
            <w:r>
              <w:rPr>
                <w:rFonts w:hint="eastAsia" w:ascii="宋体" w:hAnsi="宋体" w:cs="宋体"/>
                <w:b/>
                <w:color w:val="auto"/>
                <w:sz w:val="21"/>
                <w:szCs w:val="21"/>
                <w:highlight w:val="none"/>
              </w:rPr>
              <w:t xml:space="preserve">指标项</w:t>
            </w:r>
            <w:r/>
          </w:p>
        </w:tc>
        <w:tc>
          <w:tcPr>
            <w:shd w:val="clear" w:color="auto" w:fill="d7d7d7" w:themeFill="background1" w:themeFillShade="D8"/>
            <w:tcW w:w="4213" w:type="pct"/>
            <w:vAlign w:val="center"/>
            <w:textDirection w:val="lrTb"/>
            <w:noWrap w:val="false"/>
          </w:tcPr>
          <w:p>
            <w:pPr>
              <w:jc w:val="center"/>
              <w:spacing w:line="360" w:lineRule="auto"/>
              <w:rPr>
                <w:rFonts w:ascii="宋体" w:hAnsi="宋体"/>
                <w:b/>
                <w:color w:val="auto"/>
                <w:sz w:val="21"/>
                <w:szCs w:val="21"/>
                <w:highlight w:val="none"/>
              </w:rPr>
            </w:pPr>
            <w:r>
              <w:rPr>
                <w:rFonts w:hint="eastAsia" w:ascii="宋体" w:hAnsi="宋体" w:cs="宋体"/>
                <w:b/>
                <w:color w:val="auto"/>
                <w:sz w:val="21"/>
                <w:szCs w:val="21"/>
                <w:highlight w:val="none"/>
              </w:rPr>
              <w:t xml:space="preserve">技术规格及参数</w:t>
            </w:r>
            <w:r/>
          </w:p>
        </w:tc>
      </w:tr>
      <w:tr>
        <w:trPr>
          <w:jc w:val="center"/>
          <w:trHeight w:val="484"/>
        </w:trPr>
        <w:tc>
          <w:tcPr>
            <w:tcW w:w="787"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规格参数</w:t>
            </w:r>
            <w:r/>
          </w:p>
        </w:tc>
        <w:tc>
          <w:tcPr>
            <w:tcW w:w="4213" w:type="pct"/>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国产化飞腾硬件平台及麒麟操作系统</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网络层吞吐≥600Mbps，应用层吞吐≥400Mbps，应用层并发连接≥5万条，视频并发数≥150路（2M码流）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硬件配置：2U机箱，双电源</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支持液晶面板</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内网接口：8个10/100/1000Base-T端口（含1个管理口、1个HA口、6个业务口），4个SFP插槽，1个Console口，2个USB3.0接口</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外网接口：8个10/100/1000Base-T端口（含1个管理口、1个HA口、6个业务口），4个SFP插槽，1个Console口，2个USB3.0接口</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功能模块：数据库同步、文件交换、数据库访问、视频模块、邮件访问、安全浏览、安全FTP、定制模块、工控访问等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可增配集中监控与数据分析中心（MDA）统一管控</w:t>
            </w:r>
            <w:r>
              <w:rPr>
                <w:rFonts w:hint="eastAsia" w:ascii="宋体" w:hAnsi="宋体" w:cs="宋体"/>
                <w:color w:val="auto"/>
                <w:sz w:val="21"/>
                <w:szCs w:val="21"/>
                <w:highlight w:val="none"/>
                <w:lang w:eastAsia="zh-CN"/>
              </w:rPr>
              <w:t xml:space="preserve">；</w:t>
            </w:r>
            <w:r/>
          </w:p>
        </w:tc>
      </w:tr>
      <w:tr>
        <w:trPr>
          <w:jc w:val="center"/>
          <w:trHeight w:val="484"/>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内、外网主机分别具有独立液晶屏，能够显示产品品牌、型号、CPU/内存占用率、网络接口状态等信息</w:t>
            </w:r>
            <w:r/>
          </w:p>
        </w:tc>
      </w:tr>
      <w:tr>
        <w:trPr>
          <w:jc w:val="center"/>
        </w:trPr>
        <w:tc>
          <w:tcPr>
            <w:tcW w:w="787"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安全管理</w:t>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支持IPV4/IPV6双栈接入</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系统管理员具备多种认证方式：支持用户名/口令、Radius、LDAP、浏览器证书、U-KEY等多种认证管理方式。</w:t>
            </w:r>
            <w:r/>
          </w:p>
        </w:tc>
      </w:tr>
      <w:tr>
        <w:trPr>
          <w:jc w:val="center"/>
        </w:trPr>
        <w:tc>
          <w:tcPr>
            <w:tcW w:w="787"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便捷运维</w:t>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具备配置智能备份功能，可灵活设置备份周期，备份个数，为节省磁盘空间占用，当配置无变化时，不进行重复备份</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系统内置调试工具，包括但不限于：trace、connect、tcpdump、ping、arp</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在首页可直观展现出当前系统实时CPU使用情况、硬盘使用情况、TCP连接数、UDP连接数，同时可直观呈现当前应用CPU、内存top5排名</w:t>
            </w:r>
            <w:r/>
          </w:p>
        </w:tc>
      </w:tr>
      <w:tr>
        <w:trPr>
          <w:jc w:val="center"/>
        </w:trPr>
        <w:tc>
          <w:tcPr>
            <w:tcW w:w="787"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文件交换</w:t>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文件同步支持FTP、SFTP、SMB、NFS等协议，同时可设置服务器加密方式，服务器编码方式等</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文件交换可灵活设置文件传输方向，同时工作模式支持源端移动、源端删除、增量更新、完全复制、延迟删除等多种模式。</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具备文件断点续传，同时支持文件并发数量设置，大幅度提升文件传输性能，充分利用硬件资源。</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文件传输具备文件名过滤、文件类型过滤、文件内容过滤、文档重建、病毒过滤。</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支持文件重构技术，可自动剔除文件中夹带的危险程序，可执行代码等。</w:t>
            </w:r>
            <w:r/>
          </w:p>
        </w:tc>
      </w:tr>
      <w:tr>
        <w:trPr>
          <w:jc w:val="center"/>
        </w:trPr>
        <w:tc>
          <w:tcPr>
            <w:tcW w:w="787"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数据库同步</w:t>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数据库同步支持无客户端方式同步，无客户端方式同步由网闸主动发起并完成，不需要第三方软件支持</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数据库同步可指定资源使用情况，按照任务优先级进行资源分配，可灵活设置一个或者一组任务所使用最小内存、最大内容等资源情况。</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支持MySQL、ORACLE、ORACLE_RAC、SQLServer、DB2、SYBASE、POSTGRESQL等常见数据库，支持神通、达梦、人大金仓、南大通用等国产数据库同步。</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支持数据库同步线程数配置，提升数据库同步性能</w:t>
            </w:r>
            <w:r>
              <w:rPr>
                <w:rFonts w:hint="eastAsia" w:ascii="宋体" w:hAnsi="宋体" w:cs="宋体"/>
                <w:color w:val="auto"/>
                <w:sz w:val="21"/>
                <w:szCs w:val="21"/>
                <w:highlight w:val="none"/>
                <w:lang w:eastAsia="zh-CN"/>
              </w:rPr>
              <w:t xml:space="preserve">；</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支持同步冲突策略，可自定义覆盖、丢弃冲突策略</w:t>
            </w:r>
            <w:r/>
          </w:p>
        </w:tc>
      </w:tr>
      <w:tr>
        <w:trPr>
          <w:jc w:val="center"/>
        </w:trPr>
        <w:tc>
          <w:tcPr>
            <w:tcW w:w="787"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邮件访问</w:t>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支持SMTP、POP3、IMAP通用协议</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支持对附件及其附件类型进行过滤控制，邮件内容过滤、文档重建、病毒过滤</w:t>
            </w:r>
            <w:r/>
          </w:p>
        </w:tc>
      </w:tr>
      <w:tr>
        <w:trPr>
          <w:jc w:val="center"/>
        </w:trPr>
        <w:tc>
          <w:tcPr>
            <w:tcW w:w="787"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数据库访问</w:t>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支持MySQL、ORACLE、SQLServer、DB2、SYBASE、POSTGRESQL、达梦、神通、人大金仓等数据库的访问</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支持数据库访问用户名过滤、数据库名、表控制等策略</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数据库库名控制、数据库表控制，可以根据用户与数据库表对应关系，进行相应数据库操作过滤。</w:t>
            </w:r>
            <w:r/>
          </w:p>
        </w:tc>
      </w:tr>
      <w:tr>
        <w:trPr>
          <w:jc w:val="center"/>
        </w:trPr>
        <w:tc>
          <w:tcPr>
            <w:tcW w:w="787"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安全FTP</w:t>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安全FTP支持最大并发连接数、单个IP最大并发数设置，灵活限制数据通道是否在1024以下端口使用</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安全FTP模块支持病毒扫描文件大小限制、文件类型大小限制、关键字过滤文件大小限制</w:t>
            </w:r>
            <w:r/>
          </w:p>
        </w:tc>
      </w:tr>
      <w:tr>
        <w:trPr>
          <w:jc w:val="center"/>
        </w:trPr>
        <w:tc>
          <w:tcPr>
            <w:tcW w:w="787"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安全浏览</w:t>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安全浏览支持域名控制、源端控制、URL过滤、命令过滤、文件大小限制、用户认证</w:t>
            </w:r>
            <w:r/>
          </w:p>
        </w:tc>
      </w:tr>
      <w:tr>
        <w:trPr>
          <w:jc w:val="center"/>
        </w:trPr>
        <w:tc>
          <w:tcPr>
            <w:tcW w:w="787"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TCP/UDP访问</w:t>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支持TCP、UDP定制服务</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支持源地址绑定、网络接口地址绑定功能</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支持源地址、源端口、目的地址、目的端口过滤功能、任务运行时间控制</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支持TCP、UDP业务数据统计，可按照秒、分钟展示发送速率、接受速率、连接数，并且可按照图表进行展示</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支持工业SCADA网络OPC协议、MODBUS协议、IEC104协议等</w:t>
            </w:r>
            <w:r/>
          </w:p>
        </w:tc>
      </w:tr>
      <w:tr>
        <w:trPr>
          <w:jc w:val="center"/>
        </w:trPr>
        <w:tc>
          <w:tcPr>
            <w:tcW w:w="787"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视频模块</w:t>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支持28181、DB33标准、具备终端模式</w:t>
            </w:r>
            <w:r/>
          </w:p>
        </w:tc>
      </w:tr>
      <w:tr>
        <w:trPr>
          <w:jc w:val="center"/>
        </w:trPr>
        <w:tc>
          <w:tcPr>
            <w:tcW w:w="787"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安全防护</w:t>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支持tcpflood、udpflood攻击防护</w:t>
            </w:r>
            <w:r/>
          </w:p>
        </w:tc>
      </w:tr>
      <w:tr>
        <w:trPr>
          <w:jc w:val="center"/>
        </w:trPr>
        <w:tc>
          <w:tcPr>
            <w:tcW w:w="787"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日志审计</w:t>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具有auditor账号组，该组内用户登录以后，只可以查看日志相关内容，日志具备外发功能，可通过SYSLOG外发、NAS存储等</w:t>
            </w:r>
            <w:r/>
          </w:p>
        </w:tc>
      </w:tr>
      <w:tr>
        <w:trPr>
          <w:jc w:val="center"/>
        </w:trPr>
        <w:tc>
          <w:tcPr>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4213" w:type="pct"/>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支持安全审计能力，可通过自定义时间、任务名称、文件名称、文件类型、文件大小类型、源目的文件路径、源目IP等详细字段追溯业务数据流向，可自定义配置查询条件，查询条件策略可以自定义设置</w:t>
            </w:r>
            <w:r>
              <w:rPr>
                <w:rFonts w:hint="eastAsia" w:ascii="宋体" w:hAnsi="宋体" w:cs="宋体"/>
                <w:color w:val="auto"/>
                <w:sz w:val="21"/>
                <w:szCs w:val="21"/>
                <w:highlight w:val="none"/>
                <w:lang w:eastAsia="zh-CN"/>
              </w:rPr>
              <w:t xml:space="preserve">；</w:t>
            </w:r>
            <w:r/>
          </w:p>
        </w:tc>
      </w:tr>
      <w:tr>
        <w:trPr>
          <w:jc w:val="center"/>
        </w:trPr>
        <w:tc>
          <w:tcPr>
            <w:tcW w:w="787"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告警中心</w:t>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支持按照功能模块，灵活开启告警功能，支持邮件告警、日志告警、SNMP等告警方式</w:t>
            </w:r>
            <w:r/>
          </w:p>
        </w:tc>
      </w:tr>
      <w:tr>
        <w:trPr>
          <w:jc w:val="center"/>
        </w:trPr>
        <w:tc>
          <w:tcPr>
            <w:tcW w:w="787"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流量采集探针</w:t>
      </w:r>
      <w:r/>
    </w:p>
    <w:tbl>
      <w:tblPr>
        <w:tblStyle w:val="841"/>
        <w:tblW w:w="55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4"/>
        <w:gridCol w:w="8050"/>
      </w:tblGrid>
      <w:tr>
        <w:trPr>
          <w:jc w:val="center"/>
          <w:trHeight w:val="414"/>
        </w:trPr>
        <w:tc>
          <w:tcPr>
            <w:shd w:val="clear" w:color="auto" w:fill="d7d7d7" w:themeFill="background1" w:themeFillShade="D8"/>
            <w:tcW w:w="787" w:type="pct"/>
            <w:vAlign w:val="center"/>
            <w:textDirection w:val="lrTb"/>
            <w:noWrap w:val="false"/>
          </w:tcPr>
          <w:p>
            <w:pPr>
              <w:jc w:val="center"/>
              <w:spacing w:line="360" w:lineRule="auto"/>
              <w:widowControl w:val="off"/>
              <w:rPr>
                <w:rFonts w:ascii="宋体" w:hAnsi="宋体"/>
                <w:b/>
                <w:color w:val="auto"/>
                <w:sz w:val="21"/>
                <w:szCs w:val="21"/>
                <w:highlight w:val="none"/>
              </w:rPr>
            </w:pPr>
            <w:r>
              <w:rPr>
                <w:rFonts w:hint="eastAsia" w:ascii="宋体" w:hAnsi="宋体" w:cs="宋体"/>
                <w:b/>
                <w:color w:val="auto"/>
                <w:sz w:val="21"/>
                <w:szCs w:val="21"/>
                <w:highlight w:val="none"/>
              </w:rPr>
              <w:t xml:space="preserve">指标项</w:t>
            </w:r>
            <w:r/>
          </w:p>
        </w:tc>
        <w:tc>
          <w:tcPr>
            <w:shd w:val="clear" w:color="auto" w:fill="d7d7d7" w:themeFill="background1" w:themeFillShade="D8"/>
            <w:tcW w:w="4213" w:type="pct"/>
            <w:vAlign w:val="center"/>
            <w:textDirection w:val="lrTb"/>
            <w:noWrap w:val="false"/>
          </w:tcPr>
          <w:p>
            <w:pPr>
              <w:jc w:val="center"/>
              <w:spacing w:line="360" w:lineRule="auto"/>
              <w:widowControl w:val="off"/>
              <w:rPr>
                <w:rFonts w:ascii="宋体" w:hAnsi="宋体"/>
                <w:b/>
                <w:color w:val="auto"/>
                <w:sz w:val="21"/>
                <w:szCs w:val="21"/>
                <w:highlight w:val="none"/>
              </w:rPr>
            </w:pPr>
            <w:r>
              <w:rPr>
                <w:rFonts w:hint="eastAsia" w:ascii="宋体" w:hAnsi="宋体" w:cs="宋体"/>
                <w:b/>
                <w:color w:val="auto"/>
                <w:sz w:val="21"/>
                <w:szCs w:val="21"/>
                <w:highlight w:val="none"/>
              </w:rPr>
              <w:t xml:space="preserve">技术规格及参数</w:t>
            </w:r>
            <w:r/>
          </w:p>
        </w:tc>
      </w:tr>
      <w:tr>
        <w:trPr>
          <w:jc w:val="center"/>
          <w:trHeight w:val="690"/>
        </w:trPr>
        <w:tc>
          <w:tcPr>
            <w:shd w:val="clear" w:color="auto" w:fill="auto"/>
            <w:tcW w:w="787" w:type="pct"/>
            <w:vAlign w:val="center"/>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硬件参数</w:t>
            </w:r>
            <w:r/>
          </w:p>
        </w:tc>
        <w:tc>
          <w:tcPr>
            <w:shd w:val="clear" w:color="auto" w:fill="auto"/>
            <w:tcW w:w="4213" w:type="pct"/>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国产化1U标准设备，提供6*GE电口，4*GE光口（不含光模块），4TBSATA企业级硬盘，冗余电源。包含基础系统软件一套，包括网页漏洞利用检测、webshell上传检测、网络攻击检测、威胁情报检测功能，提供离线pcap包导入检测、基础旁路阻断和基础SSL解密功能。</w:t>
            </w:r>
            <w:r/>
          </w:p>
        </w:tc>
      </w:tr>
      <w:tr>
        <w:trPr>
          <w:jc w:val="center"/>
          <w:trHeight w:val="69"/>
        </w:trPr>
        <w:tc>
          <w:tcPr>
            <w:shd w:val="clear" w:color="auto" w:fill="auto"/>
            <w:tcW w:w="787" w:type="pct"/>
            <w:vAlign w:val="center"/>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国产化要求</w:t>
            </w:r>
            <w:r/>
          </w:p>
        </w:tc>
        <w:tc>
          <w:tcPr>
            <w:shd w:val="clear" w:color="auto" w:fill="auto"/>
            <w:tcW w:w="4213" w:type="pct"/>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满足国产化CPU和操作系统适配，银河麒麟V10操作系统。</w:t>
            </w:r>
            <w:r/>
          </w:p>
        </w:tc>
      </w:tr>
      <w:tr>
        <w:trPr>
          <w:jc w:val="center"/>
          <w:trHeight w:val="69"/>
        </w:trPr>
        <w:tc>
          <w:tcPr>
            <w:shd w:val="clear" w:color="auto" w:fill="auto"/>
            <w:tcW w:w="787" w:type="pct"/>
            <w:vAlign w:val="center"/>
            <w:vMerge w:val="restart"/>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部署方式</w:t>
            </w:r>
            <w:r/>
          </w:p>
        </w:tc>
        <w:tc>
          <w:tcPr>
            <w:shd w:val="clear" w:color="auto" w:fill="auto"/>
            <w:tcW w:w="4213" w:type="pct"/>
            <w:vAlign w:val="center"/>
            <w:textDirection w:val="lrTb"/>
            <w:noWrap w:val="false"/>
          </w:tcPr>
          <w:p>
            <w:pPr>
              <w:spacing w:line="360" w:lineRule="auto"/>
              <w:widowControl w:val="off"/>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旁路部署，通过流量镜像或数据分光的方式旁路部署在网络中</w:t>
            </w:r>
            <w:r>
              <w:rPr>
                <w:rFonts w:hint="eastAsia" w:ascii="宋体" w:hAnsi="宋体" w:cs="宋体"/>
                <w:color w:val="auto"/>
                <w:sz w:val="21"/>
                <w:szCs w:val="21"/>
                <w:highlight w:val="none"/>
                <w:lang w:eastAsia="zh-CN"/>
              </w:rPr>
              <w:t xml:space="preserve">；</w:t>
            </w:r>
            <w:r/>
          </w:p>
        </w:tc>
      </w:tr>
      <w:tr>
        <w:trPr>
          <w:jc w:val="center"/>
          <w:trHeight w:val="69"/>
        </w:trPr>
        <w:tc>
          <w:tcPr>
            <w:shd w:val="clear" w:color="auto" w:fill="auto"/>
            <w:tcW w:w="787" w:type="pct"/>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widowControl w:val="off"/>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可支持IPv4网络和IPv6网络两种部署场景，可对两种网络流量均进行分析还原</w:t>
            </w:r>
            <w:r>
              <w:rPr>
                <w:rFonts w:hint="eastAsia" w:ascii="宋体" w:hAnsi="宋体" w:cs="宋体"/>
                <w:color w:val="auto"/>
                <w:sz w:val="21"/>
                <w:szCs w:val="21"/>
                <w:highlight w:val="none"/>
                <w:lang w:eastAsia="zh-CN"/>
              </w:rPr>
              <w:t xml:space="preserve">；</w:t>
            </w:r>
            <w:r/>
          </w:p>
        </w:tc>
      </w:tr>
      <w:tr>
        <w:trPr>
          <w:jc w:val="center"/>
          <w:trHeight w:val="842"/>
        </w:trPr>
        <w:tc>
          <w:tcPr>
            <w:shd w:val="clear" w:color="auto" w:fill="auto"/>
            <w:tcW w:w="787" w:type="pct"/>
            <w:vAlign w:val="center"/>
            <w:vMerge w:val="restart"/>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流量采集识别</w:t>
            </w:r>
            <w:r/>
          </w:p>
        </w:tc>
        <w:tc>
          <w:tcPr>
            <w:shd w:val="clear" w:color="auto" w:fill="auto"/>
            <w:tcW w:w="4213" w:type="pct"/>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支持记录TCP，UDP，HTTP协议流量日志中的负载信息：TCP,UDP的上下行负载支持可配，不低于10KB。HTTP协议的请求头，请求体，响应头，响应体支持长度可配，不低于8KB。</w:t>
            </w:r>
            <w:r/>
          </w:p>
        </w:tc>
      </w:tr>
      <w:tr>
        <w:trPr>
          <w:jc w:val="center"/>
          <w:trHeight w:val="842"/>
        </w:trPr>
        <w:tc>
          <w:tcPr>
            <w:shd w:val="clear" w:color="auto" w:fill="auto"/>
            <w:tcW w:w="787" w:type="pct"/>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支持常见协议识别并还原网络流量，用于取证分析、威胁发现，支持：http、dns、smtp、pop3、imap、webmail、DB2、Oracle、MySQL、sqlserver、Sybase、SMB、FTP、SNMP、telnet、nfs等</w:t>
            </w:r>
            <w:r/>
          </w:p>
        </w:tc>
      </w:tr>
      <w:tr>
        <w:trPr>
          <w:jc w:val="center"/>
          <w:trHeight w:val="800"/>
        </w:trPr>
        <w:tc>
          <w:tcPr>
            <w:shd w:val="clear" w:color="auto" w:fill="auto"/>
            <w:tcW w:w="787" w:type="pct"/>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支持对流量中出现文件传输行为进行发现和还原，并记录文件MD5发送至分析设备，如可执行文件（EXE、DLL、OCX、SYS、COM、apk等）、压缩格式文件（RAR、ZIP、GZ、7Z等）、文档类型文件（word、excel、pdf、rtf、ppt等）</w:t>
            </w:r>
            <w:r/>
          </w:p>
        </w:tc>
      </w:tr>
      <w:tr>
        <w:trPr>
          <w:jc w:val="center"/>
          <w:trHeight w:val="842"/>
        </w:trPr>
        <w:tc>
          <w:tcPr>
            <w:shd w:val="clear" w:color="auto" w:fill="auto"/>
            <w:tcW w:w="787" w:type="pct"/>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支持常见数据库协议的识别或还原：DB2、Oracle、SQLServer、Sybase、MySQL、MongoDB、PostgreSQL等协议</w:t>
            </w:r>
            <w:r>
              <w:rPr>
                <w:rFonts w:hint="eastAsia" w:ascii="宋体" w:hAnsi="宋体" w:cs="宋体"/>
                <w:color w:val="auto"/>
                <w:sz w:val="21"/>
                <w:szCs w:val="21"/>
                <w:highlight w:val="none"/>
                <w:lang w:eastAsia="zh-CN"/>
              </w:rPr>
              <w:t xml:space="preserve">；</w:t>
            </w:r>
            <w:r/>
          </w:p>
        </w:tc>
      </w:tr>
      <w:tr>
        <w:trPr>
          <w:jc w:val="center"/>
          <w:trHeight w:val="842"/>
        </w:trPr>
        <w:tc>
          <w:tcPr>
            <w:shd w:val="clear" w:color="auto" w:fill="auto"/>
            <w:tcW w:w="787" w:type="pct"/>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新增规则，在规则列表进行标签标记展示，新增规则产生的告警在告警详情进行标签标记展示。</w:t>
            </w:r>
            <w:r/>
          </w:p>
        </w:tc>
      </w:tr>
      <w:tr>
        <w:trPr>
          <w:jc w:val="center"/>
          <w:trHeight w:val="288"/>
        </w:trPr>
        <w:tc>
          <w:tcPr>
            <w:shd w:val="clear" w:color="auto" w:fill="auto"/>
            <w:tcW w:w="787" w:type="pct"/>
            <w:vAlign w:val="center"/>
            <w:vMerge w:val="restart"/>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流量威胁检测</w:t>
            </w:r>
            <w:r/>
          </w:p>
        </w:tc>
        <w:tc>
          <w:tcPr>
            <w:shd w:val="clear" w:color="auto" w:fill="auto"/>
            <w:tcW w:w="4213" w:type="pct"/>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支持检测模式的标准模式、精简模式、自定义模式的切换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支持手动配置各类检测引擎、机器学习模型的开关。</w:t>
            </w:r>
            <w:r/>
          </w:p>
        </w:tc>
      </w:tr>
      <w:tr>
        <w:trPr>
          <w:jc w:val="center"/>
          <w:trHeight w:val="288"/>
        </w:trPr>
        <w:tc>
          <w:tcPr>
            <w:shd w:val="clear" w:color="auto" w:fill="auto"/>
            <w:tcW w:w="787" w:type="pct"/>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widowControl w:val="off"/>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支持检测针对WEB应用的攻击，如SQL注入、XSS、系统配置等注入型攻击</w:t>
            </w:r>
            <w:r>
              <w:rPr>
                <w:rFonts w:hint="eastAsia" w:ascii="宋体" w:hAnsi="宋体" w:cs="宋体"/>
                <w:color w:val="auto"/>
                <w:sz w:val="21"/>
                <w:szCs w:val="21"/>
                <w:highlight w:val="none"/>
                <w:lang w:eastAsia="zh-CN"/>
              </w:rPr>
              <w:t xml:space="preserve">；</w:t>
            </w:r>
            <w:r/>
          </w:p>
        </w:tc>
      </w:tr>
      <w:tr>
        <w:trPr>
          <w:jc w:val="center"/>
          <w:trHeight w:val="288"/>
        </w:trPr>
        <w:tc>
          <w:tcPr>
            <w:shd w:val="clear" w:color="auto" w:fill="auto"/>
            <w:tcW w:w="787" w:type="pct"/>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widowControl w:val="off"/>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支持跨站请求伪造CSRF攻击检测</w:t>
            </w:r>
            <w:r>
              <w:rPr>
                <w:rFonts w:hint="eastAsia" w:ascii="宋体" w:hAnsi="宋体" w:cs="宋体"/>
                <w:color w:val="auto"/>
                <w:sz w:val="21"/>
                <w:szCs w:val="21"/>
                <w:highlight w:val="none"/>
                <w:lang w:eastAsia="zh-CN"/>
              </w:rPr>
              <w:t xml:space="preserve">；</w:t>
            </w:r>
            <w:r/>
          </w:p>
        </w:tc>
      </w:tr>
      <w:tr>
        <w:trPr>
          <w:jc w:val="center"/>
          <w:trHeight w:val="576"/>
        </w:trPr>
        <w:tc>
          <w:tcPr>
            <w:shd w:val="clear" w:color="auto" w:fill="auto"/>
            <w:tcW w:w="787" w:type="pct"/>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支持基于webshell函数的攻击检测，如文件包含漏洞、任意文件写入、任意目录读取、任意文件包含、preg_replace代码执行等</w:t>
            </w:r>
            <w:r/>
          </w:p>
        </w:tc>
      </w:tr>
      <w:tr>
        <w:trPr>
          <w:jc w:val="center"/>
          <w:trHeight w:val="576"/>
        </w:trPr>
        <w:tc>
          <w:tcPr>
            <w:shd w:val="clear" w:color="auto" w:fill="auto"/>
            <w:tcW w:w="787" w:type="pct"/>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支持多种攻击检测，能更全面的从流量中发现威胁，如：协议异常、网络欺骗、黑市攻击、代码执行等</w:t>
            </w:r>
            <w:r/>
          </w:p>
        </w:tc>
      </w:tr>
      <w:tr>
        <w:trPr>
          <w:jc w:val="center"/>
          <w:trHeight w:val="576"/>
        </w:trPr>
        <w:tc>
          <w:tcPr>
            <w:shd w:val="clear" w:color="auto" w:fill="auto"/>
            <w:tcW w:w="787" w:type="pct"/>
            <w:vAlign w:val="center"/>
            <w:vMerge w:val="continue"/>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支持根据正则/机器学习来判断告警详情是否包含身份证号、用户名、密码等敏感信息，敏感信息加密展示。</w:t>
            </w:r>
            <w:r/>
          </w:p>
        </w:tc>
      </w:tr>
      <w:tr>
        <w:trPr>
          <w:jc w:val="center"/>
          <w:trHeight w:val="576"/>
        </w:trPr>
        <w:tc>
          <w:tcPr>
            <w:shd w:val="clear" w:color="auto" w:fill="auto"/>
            <w:tcW w:w="787" w:type="pct"/>
            <w:vAlign w:val="center"/>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shd w:val="clear" w:color="auto" w:fill="auto"/>
            <w:tcW w:w="4213" w:type="pct"/>
            <w:vAlign w:val="center"/>
            <w:textDirection w:val="lrTb"/>
            <w:noWrap w:val="false"/>
          </w:tcPr>
          <w:p>
            <w:pP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五年7*24小时响应，4小时内到达现场，5年威胁情报与检测引擎规则升级授权</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VPN</w:t>
      </w:r>
      <w:r/>
    </w:p>
    <w:tbl>
      <w:tblPr>
        <w:tblStyle w:val="841"/>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5"/>
        <w:gridCol w:w="7541"/>
      </w:tblGrid>
      <w:tr>
        <w:trPr>
          <w:jc w:val="center"/>
          <w:trHeight w:val="398"/>
        </w:trPr>
        <w:tc>
          <w:tcPr>
            <w:shd w:val="clear" w:color="auto" w:fill="d7d7d7" w:themeFill="background1" w:themeFillShade="D8"/>
            <w:tcW w:w="1775" w:type="dxa"/>
            <w:vAlign w:val="center"/>
            <w:textDirection w:val="lrTb"/>
            <w:noWrap w:val="false"/>
          </w:tcPr>
          <w:p>
            <w:pPr>
              <w:jc w:val="center"/>
              <w:spacing w:line="360" w:lineRule="auto"/>
              <w:rPr>
                <w:rFonts w:ascii="宋体" w:hAnsi="宋体"/>
                <w:b/>
                <w:color w:val="auto"/>
                <w:sz w:val="21"/>
                <w:szCs w:val="21"/>
                <w:highlight w:val="none"/>
              </w:rPr>
            </w:pPr>
            <w:r>
              <w:rPr>
                <w:rFonts w:hint="eastAsia" w:ascii="宋体" w:hAnsi="宋体" w:cs="宋体"/>
                <w:b/>
                <w:color w:val="auto"/>
                <w:sz w:val="21"/>
                <w:szCs w:val="21"/>
                <w:highlight w:val="none"/>
              </w:rPr>
              <w:t xml:space="preserve">指标项</w:t>
            </w:r>
            <w:r/>
          </w:p>
        </w:tc>
        <w:tc>
          <w:tcPr>
            <w:shd w:val="clear" w:color="auto" w:fill="d7d7d7" w:themeFill="background1" w:themeFillShade="D8"/>
            <w:tcW w:w="7541" w:type="dxa"/>
            <w:vAlign w:val="center"/>
            <w:textDirection w:val="lrTb"/>
            <w:noWrap w:val="false"/>
          </w:tcPr>
          <w:p>
            <w:pPr>
              <w:jc w:val="center"/>
              <w:spacing w:line="360" w:lineRule="auto"/>
              <w:rPr>
                <w:rFonts w:ascii="宋体" w:hAnsi="宋体"/>
                <w:b/>
                <w:color w:val="auto"/>
                <w:sz w:val="21"/>
                <w:szCs w:val="21"/>
                <w:highlight w:val="none"/>
              </w:rPr>
            </w:pPr>
            <w:r>
              <w:rPr>
                <w:rFonts w:hint="eastAsia" w:ascii="宋体" w:hAnsi="宋体" w:cs="宋体"/>
                <w:b/>
                <w:color w:val="auto"/>
                <w:sz w:val="21"/>
                <w:szCs w:val="21"/>
                <w:highlight w:val="none"/>
              </w:rPr>
              <w:t xml:space="preserve">技术规格及参数</w:t>
            </w:r>
            <w:r/>
          </w:p>
        </w:tc>
      </w:tr>
      <w:tr>
        <w:trPr>
          <w:jc w:val="center"/>
        </w:trPr>
        <w:tc>
          <w:tcPr>
            <w:shd w:val="clear" w:color="auto" w:fill="auto"/>
            <w:tcW w:w="177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硬件性能</w:t>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国产化硬件设备，标准2U机箱，冗余电源，6千兆电口，4个千兆SFP，2个扩展插槽（可选配国密卡，不占用扩展槽）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CPU：国产8核（物理核）</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内存：32G</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硬盘：256GSSD，4THDD，1个硬盘扩展槽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1个VGA接口。最大理论</w:t>
            </w:r>
            <w:r>
              <w:rPr>
                <w:rFonts w:hint="eastAsia" w:ascii="宋体" w:hAnsi="宋体" w:cs="宋体"/>
                <w:color w:val="auto"/>
                <w:sz w:val="21"/>
                <w:szCs w:val="21"/>
                <w:highlight w:val="none"/>
                <w:lang w:eastAsia="zh-CN"/>
              </w:rPr>
              <w:t xml:space="preserve">加密</w:t>
            </w:r>
            <w:r>
              <w:rPr>
                <w:rFonts w:hint="eastAsia" w:ascii="宋体" w:hAnsi="宋体" w:cs="宋体"/>
                <w:color w:val="auto"/>
                <w:sz w:val="21"/>
                <w:szCs w:val="21"/>
                <w:highlight w:val="none"/>
              </w:rPr>
              <w:t xml:space="preserve">吞吐：450Mbps</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最大理论并发用户数：500。提供身份认证、资源管理、用户授权、网络隐身（SPA）、TLS/SSL安全隧道等零信任能力，快速满足微小客户提供远程办公、远程接入等需求。自带50个零信任并发用户授权。</w:t>
            </w:r>
            <w:r/>
          </w:p>
        </w:tc>
      </w:tr>
      <w:tr>
        <w:trPr>
          <w:jc w:val="center"/>
        </w:trPr>
        <w:tc>
          <w:tcPr>
            <w:shd w:val="clear" w:color="auto" w:fill="auto"/>
            <w:tcW w:w="1775" w:type="dxa"/>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网络隐身</w:t>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支持UDP+TCP单包授权机制，UDP+TCP方式默认不开放端口，可避免业务应用的端口被扫描，进而避免利用端口对业务应用发起攻击的风险</w:t>
            </w:r>
            <w:r/>
          </w:p>
        </w:tc>
      </w:tr>
      <w:tr>
        <w:trPr>
          <w:jc w:val="center"/>
        </w:trPr>
        <w:tc>
          <w:tcPr>
            <w:shd w:val="clear" w:color="auto" w:fill="auto"/>
            <w:tcW w:w="1775" w:type="dxa"/>
            <w:vAlign w:val="center"/>
            <w:vMerge w:val="continue"/>
            <w:textDirection w:val="lrTb"/>
            <w:noWrap w:val="false"/>
          </w:tcPr>
          <w:p>
            <w:pPr>
              <w:ind w:firstLine="38"/>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支持通过输入安全码激活客户端，完成SPA敲门。安全码可支持共享码、一人一码两种模式，以满足不同场景的需求。</w:t>
            </w:r>
            <w:r/>
          </w:p>
        </w:tc>
      </w:tr>
      <w:tr>
        <w:trPr>
          <w:jc w:val="center"/>
        </w:trPr>
        <w:tc>
          <w:tcPr>
            <w:shd w:val="clear" w:color="auto" w:fill="auto"/>
            <w:tcW w:w="1775" w:type="dxa"/>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身份管理</w:t>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支持从AD、LDAP、企微、钉钉外部身份源同步到本地进行管理和维护。</w:t>
            </w:r>
            <w:r/>
          </w:p>
        </w:tc>
      </w:tr>
      <w:tr>
        <w:trPr>
          <w:jc w:val="center"/>
        </w:trPr>
        <w:tc>
          <w:tcPr>
            <w:shd w:val="clear" w:color="auto" w:fill="auto"/>
            <w:tcW w:w="1775" w:type="dxa"/>
            <w:vAlign w:val="center"/>
            <w:vMerge w:val="continue"/>
            <w:textDirection w:val="lrTb"/>
            <w:noWrap w:val="false"/>
          </w:tcPr>
          <w:p>
            <w:pPr>
              <w:ind w:firstLine="38"/>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支持用户身份打标签，以实现对不同的用户打不同标签，并可以基于标签进行细粒度访问控制</w:t>
            </w:r>
            <w:r/>
          </w:p>
        </w:tc>
      </w:tr>
      <w:tr>
        <w:trPr>
          <w:jc w:val="center"/>
        </w:trPr>
        <w:tc>
          <w:tcPr>
            <w:shd w:val="clear" w:color="auto" w:fill="auto"/>
            <w:tcW w:w="1775" w:type="dxa"/>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终端管理</w:t>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提供设备绑定概览统计能力，包括绑定总数、管理员绑定数、申请绑定数、自助绑定数等信息，提升管理员运维能力。</w:t>
            </w:r>
            <w:r/>
          </w:p>
        </w:tc>
      </w:tr>
      <w:tr>
        <w:trPr>
          <w:jc w:val="center"/>
        </w:trPr>
        <w:tc>
          <w:tcPr>
            <w:shd w:val="clear" w:color="auto" w:fill="auto"/>
            <w:tcW w:w="1775" w:type="dxa"/>
            <w:vAlign w:val="center"/>
            <w:vMerge w:val="continue"/>
            <w:textDirection w:val="lrTb"/>
            <w:noWrap w:val="false"/>
          </w:tcPr>
          <w:p>
            <w:pPr>
              <w:ind w:firstLine="38"/>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支持终端应用管理，通过零信任客户端可以对发起业务访问的进行采集，并由管理员标记其可信、不可信状态，从而实现基于进程可信状态的细粒度访问控制。</w:t>
            </w:r>
            <w:r/>
          </w:p>
        </w:tc>
      </w:tr>
      <w:tr>
        <w:trPr>
          <w:jc w:val="center"/>
        </w:trPr>
        <w:tc>
          <w:tcPr>
            <w:shd w:val="clear" w:color="auto" w:fill="auto"/>
            <w:tcW w:w="1775" w:type="dxa"/>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资源管理</w:t>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支持WEB应用</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7层）、隧道应用</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3、4层TCP/UDP应用</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的代理和发布，以满足不同业务应用发布的需要</w:t>
            </w:r>
            <w:r/>
          </w:p>
        </w:tc>
      </w:tr>
      <w:tr>
        <w:trPr>
          <w:jc w:val="center"/>
        </w:trPr>
        <w:tc>
          <w:tcPr>
            <w:shd w:val="clear" w:color="auto" w:fill="auto"/>
            <w:tcW w:w="1775" w:type="dxa"/>
            <w:vAlign w:val="center"/>
            <w:vMerge w:val="continue"/>
            <w:textDirection w:val="lrTb"/>
            <w:noWrap w:val="false"/>
          </w:tcPr>
          <w:p>
            <w:pPr>
              <w:ind w:firstLine="38"/>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支持应用概览统计能力，包括应用总数、WEB应用数、隧道应用数等信息，提升管理员的运维能力。</w:t>
            </w:r>
            <w:r/>
          </w:p>
        </w:tc>
      </w:tr>
      <w:tr>
        <w:trPr>
          <w:jc w:val="center"/>
        </w:trPr>
        <w:tc>
          <w:tcPr>
            <w:shd w:val="clear" w:color="auto" w:fill="auto"/>
            <w:tcW w:w="1775" w:type="dxa"/>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自适应认证</w:t>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支持用户名+密码、AD、LDAP用户登录认证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支持动态口令、短信、邮箱的多因子认证方式</w:t>
            </w:r>
            <w:r/>
          </w:p>
        </w:tc>
      </w:tr>
      <w:tr>
        <w:trPr>
          <w:jc w:val="center"/>
        </w:trPr>
        <w:tc>
          <w:tcPr>
            <w:shd w:val="clear" w:color="auto" w:fill="auto"/>
            <w:tcW w:w="1775" w:type="dxa"/>
            <w:vAlign w:val="center"/>
            <w:vMerge w:val="continue"/>
            <w:textDirection w:val="lrTb"/>
            <w:noWrap w:val="false"/>
          </w:tcPr>
          <w:p>
            <w:pPr>
              <w:ind w:firstLine="38"/>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支持设备认证，提供认证策略配置，可根据是否签发设备、导入设备、绑定设备进行设备认证</w:t>
            </w:r>
            <w:r/>
          </w:p>
        </w:tc>
      </w:tr>
      <w:tr>
        <w:trPr>
          <w:jc w:val="center"/>
        </w:trPr>
        <w:tc>
          <w:tcPr>
            <w:shd w:val="clear" w:color="auto" w:fill="auto"/>
            <w:tcW w:w="1775" w:type="dxa"/>
            <w:vAlign w:val="center"/>
            <w:vMerge w:val="continue"/>
            <w:textDirection w:val="lrTb"/>
            <w:noWrap w:val="false"/>
          </w:tcPr>
          <w:p>
            <w:pPr>
              <w:ind w:firstLine="38"/>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支持设备豁免，可支持设置不检查设备状态、不检查设备绑定策略，从而实现对免除针对设备的检查要求，以便利一些特定用户的便捷使用。</w:t>
            </w:r>
            <w:r/>
          </w:p>
        </w:tc>
      </w:tr>
      <w:tr>
        <w:trPr>
          <w:jc w:val="center"/>
        </w:trPr>
        <w:tc>
          <w:tcPr>
            <w:shd w:val="clear" w:color="auto" w:fill="auto"/>
            <w:tcW w:w="1775" w:type="dxa"/>
            <w:vAlign w:val="center"/>
            <w:vMerge w:val="continue"/>
            <w:textDirection w:val="lrTb"/>
            <w:noWrap w:val="false"/>
          </w:tcPr>
          <w:p>
            <w:pPr>
              <w:ind w:firstLine="38"/>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支持通过使用零信任自带的奇安信ID提供动态口令，实现多因子认证。</w:t>
            </w:r>
            <w:r/>
          </w:p>
        </w:tc>
      </w:tr>
      <w:tr>
        <w:trPr>
          <w:jc w:val="center"/>
        </w:trPr>
        <w:tc>
          <w:tcPr>
            <w:shd w:val="clear" w:color="auto" w:fill="auto"/>
            <w:tcW w:w="1775" w:type="dxa"/>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权限管理</w:t>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支持按用户组授权访问的资源以及资源角色，以实现组内用户的批量授权，减轻管理的负担</w:t>
            </w:r>
            <w:r/>
          </w:p>
        </w:tc>
      </w:tr>
      <w:tr>
        <w:trPr>
          <w:jc w:val="center"/>
        </w:trPr>
        <w:tc>
          <w:tcPr>
            <w:shd w:val="clear" w:color="auto" w:fill="auto"/>
            <w:tcW w:w="1775" w:type="dxa"/>
            <w:vAlign w:val="center"/>
            <w:vMerge w:val="continue"/>
            <w:textDirection w:val="lrTb"/>
            <w:noWrap w:val="false"/>
          </w:tcPr>
          <w:p>
            <w:pPr>
              <w:ind w:firstLine="38"/>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支持从应用资源选择用户、组织机构、用户组，方便管理员进行权限配置，提升运维水平</w:t>
            </w:r>
            <w:r/>
          </w:p>
        </w:tc>
      </w:tr>
      <w:tr>
        <w:trPr>
          <w:jc w:val="center"/>
        </w:trPr>
        <w:tc>
          <w:tcPr>
            <w:shd w:val="clear" w:color="auto" w:fill="auto"/>
            <w:tcW w:w="1775" w:type="dxa"/>
            <w:vAlign w:val="center"/>
            <w:vMerge w:val="continue"/>
            <w:textDirection w:val="lrTb"/>
            <w:noWrap w:val="false"/>
          </w:tcPr>
          <w:p>
            <w:pPr>
              <w:ind w:firstLine="38"/>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支持用户自助申请访问权限，管理员进行权限审批，提升用户使用体验，减少管理员的运维负担，加强对权限的管控。</w:t>
            </w:r>
            <w:r/>
          </w:p>
        </w:tc>
      </w:tr>
      <w:tr>
        <w:trPr>
          <w:jc w:val="center"/>
        </w:trPr>
        <w:tc>
          <w:tcPr>
            <w:shd w:val="clear" w:color="auto" w:fill="auto"/>
            <w:tcW w:w="1775" w:type="dxa"/>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动态访问控制</w:t>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支持从用户属性、环境属性、应用属性、终端属性等维度设置访问策略，便于对用户访问资源进行控制</w:t>
            </w:r>
            <w:r/>
          </w:p>
        </w:tc>
      </w:tr>
      <w:tr>
        <w:trPr>
          <w:jc w:val="center"/>
        </w:trPr>
        <w:tc>
          <w:tcPr>
            <w:shd w:val="clear" w:color="auto" w:fill="auto"/>
            <w:tcW w:w="1775" w:type="dxa"/>
            <w:vAlign w:val="center"/>
            <w:vMerge w:val="continue"/>
            <w:textDirection w:val="lrTb"/>
            <w:noWrap w:val="false"/>
          </w:tcPr>
          <w:p>
            <w:pPr>
              <w:ind w:firstLine="38"/>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支持基于终端设备操作系统类型、IP、运行进程、运行的录屏软件、运行的远控软件、端口等终端属性设置访问控制策略</w:t>
            </w:r>
            <w:r/>
          </w:p>
        </w:tc>
      </w:tr>
      <w:tr>
        <w:trPr>
          <w:jc w:val="center"/>
        </w:trPr>
        <w:tc>
          <w:tcPr>
            <w:shd w:val="clear" w:color="auto" w:fill="auto"/>
            <w:tcW w:w="1775" w:type="dxa"/>
            <w:vAlign w:val="center"/>
            <w:vMerge w:val="continue"/>
            <w:textDirection w:val="lrTb"/>
            <w:noWrap w:val="false"/>
          </w:tcPr>
          <w:p>
            <w:pPr>
              <w:ind w:firstLine="38"/>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访问控制策略处置支持临时豁免，豁免可设置豁免有效期以及豁免动作，豁免动作可设置多因子认证。</w:t>
            </w:r>
            <w:r/>
          </w:p>
        </w:tc>
      </w:tr>
      <w:tr>
        <w:trPr>
          <w:jc w:val="center"/>
        </w:trPr>
        <w:tc>
          <w:tcPr>
            <w:shd w:val="clear" w:color="auto" w:fill="auto"/>
            <w:tcW w:w="1775" w:type="dxa"/>
            <w:vAlign w:val="center"/>
            <w:vMerge w:val="continue"/>
            <w:textDirection w:val="lrTb"/>
            <w:noWrap w:val="false"/>
          </w:tcPr>
          <w:p>
            <w:pPr>
              <w:ind w:firstLine="38"/>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提供访问时间、认证方式、访问地点、加入的域等预置条件设置，便于控制策略使用</w:t>
            </w:r>
            <w:r/>
          </w:p>
        </w:tc>
      </w:tr>
      <w:tr>
        <w:trPr>
          <w:jc w:val="center"/>
        </w:trPr>
        <w:tc>
          <w:tcPr>
            <w:shd w:val="clear" w:color="auto" w:fill="auto"/>
            <w:tcW w:w="1775" w:type="dxa"/>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应用安全防护</w:t>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提供应用限流限速，支持通过限制请求并发、请求速度、请求大小等设置相应阈值进行限流限速，缓解大量并发访问给业务应用造成的压力和资源消耗，确保业务的连续性、可用性。</w:t>
            </w:r>
            <w:r/>
          </w:p>
        </w:tc>
      </w:tr>
      <w:tr>
        <w:trPr>
          <w:jc w:val="center"/>
        </w:trPr>
        <w:tc>
          <w:tcPr>
            <w:shd w:val="clear" w:color="auto" w:fill="auto"/>
            <w:tcW w:w="1775" w:type="dxa"/>
            <w:vAlign w:val="center"/>
            <w:vMerge w:val="continue"/>
            <w:textDirection w:val="lrTb"/>
            <w:noWrap w:val="false"/>
          </w:tcPr>
          <w:p>
            <w:pPr>
              <w:ind w:firstLine="38"/>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提供隧道控制功能，支持按照组织机构、用户组设置策略，开启该策略后，使得用户在访问资源时禁止访问互联网，缓解用户在访问业务期间泄露敏感数据到互联网的安全风险。</w:t>
            </w:r>
            <w:r/>
          </w:p>
        </w:tc>
      </w:tr>
      <w:tr>
        <w:trPr>
          <w:jc w:val="center"/>
        </w:trPr>
        <w:tc>
          <w:tcPr>
            <w:shd w:val="clear" w:color="auto" w:fill="auto"/>
            <w:tcW w:w="1775" w:type="dxa"/>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系统自身安全</w:t>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支持预防synflood攻击、忽略icmp回显请求、并支持开启TOA来识别并传递源IP地址。</w:t>
            </w:r>
            <w:r/>
          </w:p>
        </w:tc>
      </w:tr>
      <w:tr>
        <w:trPr>
          <w:jc w:val="center"/>
        </w:trPr>
        <w:tc>
          <w:tcPr>
            <w:shd w:val="clear" w:color="auto" w:fill="auto"/>
            <w:tcW w:w="1775" w:type="dxa"/>
            <w:vAlign w:val="center"/>
            <w:vMerge w:val="continue"/>
            <w:textDirection w:val="lrTb"/>
            <w:noWrap w:val="false"/>
          </w:tcPr>
          <w:p>
            <w:pPr>
              <w:ind w:firstLine="38"/>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支持响应头Server-name设置，用于防止恶意域名解析和HOST头部攻击。</w:t>
            </w:r>
            <w:r/>
          </w:p>
        </w:tc>
      </w:tr>
      <w:tr>
        <w:trPr>
          <w:jc w:val="center"/>
        </w:trPr>
        <w:tc>
          <w:tcPr>
            <w:shd w:val="clear" w:color="auto" w:fill="auto"/>
            <w:tcW w:w="1775" w:type="dxa"/>
            <w:vAlign w:val="center"/>
            <w:vMerge w:val="continue"/>
            <w:textDirection w:val="lrTb"/>
            <w:noWrap w:val="false"/>
          </w:tcPr>
          <w:p>
            <w:pPr>
              <w:ind w:firstLine="38"/>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提供文件监控与防护，可监控与防护文件的读取、写入、删除、创建、执行、链接、重命名操作，从而缓解通过恶意文件的方式，对零信任系统进行攻击的安全风险。</w:t>
            </w:r>
            <w:r/>
          </w:p>
        </w:tc>
      </w:tr>
      <w:tr>
        <w:trPr>
          <w:jc w:val="center"/>
        </w:trPr>
        <w:tc>
          <w:tcPr>
            <w:shd w:val="clear" w:color="auto" w:fill="auto"/>
            <w:tcW w:w="1775" w:type="dxa"/>
            <w:vAlign w:val="center"/>
            <w:vMerge w:val="continue"/>
            <w:textDirection w:val="lrTb"/>
            <w:noWrap w:val="false"/>
          </w:tcPr>
          <w:p>
            <w:pPr>
              <w:ind w:firstLine="38"/>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提供暴力破解防护，支持在2分钟内同一IP错误</w:t>
            </w:r>
            <w:r>
              <w:rPr>
                <w:rFonts w:hint="eastAsia" w:ascii="宋体" w:hAnsi="宋体" w:cs="宋体"/>
                <w:color w:val="auto"/>
                <w:sz w:val="21"/>
                <w:szCs w:val="21"/>
                <w:highlight w:val="none"/>
                <w:lang w:eastAsia="zh-CN"/>
              </w:rPr>
              <w:t xml:space="preserve">登录</w:t>
            </w:r>
            <w:r>
              <w:rPr>
                <w:rFonts w:hint="eastAsia" w:ascii="宋体" w:hAnsi="宋体" w:cs="宋体"/>
                <w:color w:val="auto"/>
                <w:sz w:val="21"/>
                <w:szCs w:val="21"/>
                <w:highlight w:val="none"/>
              </w:rPr>
              <w:t xml:space="preserve">SSH后台10次，该IP将被锁定1小时，从而缓解暴力攻击尝试登录管理后台，对零信任系统进行攻击的安全风险。</w:t>
            </w:r>
            <w:r/>
          </w:p>
        </w:tc>
      </w:tr>
      <w:tr>
        <w:trPr>
          <w:jc w:val="center"/>
        </w:trPr>
        <w:tc>
          <w:tcPr>
            <w:shd w:val="clear" w:color="auto" w:fill="auto"/>
            <w:tcW w:w="177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shd w:val="clear" w:color="auto" w:fill="auto"/>
            <w:tcW w:w="7541"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边界防火墙</w:t>
      </w:r>
      <w:r/>
    </w:p>
    <w:tbl>
      <w:tblPr>
        <w:tblStyle w:val="841"/>
        <w:tblW w:w="55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8051"/>
      </w:tblGrid>
      <w:tr>
        <w:trPr>
          <w:jc w:val="center"/>
        </w:trPr>
        <w:tc>
          <w:tcPr>
            <w:shd w:val="clear" w:color="auto" w:fill="d7d7d7" w:themeFill="background1" w:themeFillShade="D8"/>
            <w:tcW w:w="787" w:type="pct"/>
            <w:vAlign w:val="center"/>
            <w:textDirection w:val="lrTb"/>
            <w:noWrap w:val="false"/>
          </w:tcPr>
          <w:p>
            <w:pPr>
              <w:jc w:val="center"/>
              <w:spacing w:line="360" w:lineRule="auto"/>
              <w:rPr>
                <w:rFonts w:ascii="宋体" w:hAnsi="宋体"/>
                <w:b/>
                <w:color w:val="auto"/>
                <w:sz w:val="21"/>
                <w:szCs w:val="21"/>
                <w:highlight w:val="none"/>
              </w:rPr>
            </w:pPr>
            <w:r>
              <w:rPr>
                <w:rFonts w:hint="eastAsia" w:ascii="宋体" w:hAnsi="宋体" w:cs="宋体"/>
                <w:b/>
                <w:color w:val="auto"/>
                <w:sz w:val="21"/>
                <w:szCs w:val="21"/>
                <w:highlight w:val="none"/>
              </w:rPr>
              <w:t xml:space="preserve">指标项</w:t>
            </w:r>
            <w:r/>
          </w:p>
        </w:tc>
        <w:tc>
          <w:tcPr>
            <w:shd w:val="clear" w:color="auto" w:fill="d7d7d7" w:themeFill="background1" w:themeFillShade="D8"/>
            <w:tcW w:w="4213" w:type="pct"/>
            <w:vAlign w:val="center"/>
            <w:textDirection w:val="lrTb"/>
            <w:noWrap w:val="false"/>
          </w:tcPr>
          <w:p>
            <w:pPr>
              <w:jc w:val="center"/>
              <w:spacing w:line="360" w:lineRule="auto"/>
              <w:rPr>
                <w:rFonts w:ascii="宋体" w:hAnsi="宋体"/>
                <w:b/>
                <w:color w:val="auto"/>
                <w:sz w:val="21"/>
                <w:szCs w:val="21"/>
                <w:highlight w:val="none"/>
              </w:rPr>
            </w:pPr>
            <w:r>
              <w:rPr>
                <w:rFonts w:hint="eastAsia" w:ascii="宋体" w:hAnsi="宋体" w:cs="宋体"/>
                <w:b/>
                <w:color w:val="auto"/>
                <w:sz w:val="21"/>
                <w:szCs w:val="21"/>
                <w:highlight w:val="none"/>
              </w:rPr>
              <w:t xml:space="preserve">技术规格及参数</w:t>
            </w:r>
            <w:r/>
          </w:p>
        </w:tc>
      </w:tr>
      <w:tr>
        <w:trPr>
          <w:jc w:val="center"/>
          <w:trHeight w:val="626"/>
        </w:trPr>
        <w:tc>
          <w:tcPr>
            <w:shd w:val="clear" w:color="auto" w:fill="auto"/>
            <w:tcW w:w="787"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规格参数</w:t>
            </w:r>
            <w:r/>
          </w:p>
        </w:tc>
        <w:tc>
          <w:tcPr>
            <w:shd w:val="clear" w:color="auto" w:fill="auto"/>
            <w:tcW w:w="4213" w:type="pct"/>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国产化硬件平台和国产操作系统</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网络层吞吐量30G，并发连接≥1200万，每秒新建连接数16万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标准2U机箱，冗余电源</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板载6个千兆电口，4个千兆光口，2个扩展插槽，1个Console口，1个HA接口，1个MGT接口，2个USB接口，支持液晶屏</w:t>
            </w:r>
            <w:r>
              <w:rPr>
                <w:rFonts w:hint="eastAsia" w:ascii="宋体" w:hAnsi="宋体" w:cs="宋体"/>
                <w:color w:val="auto"/>
                <w:sz w:val="21"/>
                <w:szCs w:val="21"/>
                <w:highlight w:val="none"/>
                <w:lang w:eastAsia="zh-CN"/>
              </w:rPr>
              <w:t xml:space="preserve">；</w:t>
            </w:r>
            <w:r/>
          </w:p>
        </w:tc>
      </w:tr>
      <w:tr>
        <w:trPr>
          <w:jc w:val="center"/>
        </w:trPr>
        <w:tc>
          <w:tcPr>
            <w:shd w:val="clear" w:color="auto" w:fill="auto"/>
            <w:tcW w:w="787"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网络协议</w:t>
            </w:r>
            <w:r/>
          </w:p>
        </w:tc>
        <w:tc>
          <w:tcPr>
            <w:shd w:val="clear" w:color="auto" w:fill="auto"/>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所投产品支持VTEP（VxLanTunnelEndPoint）模式接入VxLAN网络，并可作为VXLAN二层、三层网关实现VxLan网络与传统以太网的相同子网内、跨子网间互联互通</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支持通过绑定VLAN、VNI（VXLANNetworkIdentifier）、远程VTEP，手动管理VxLan网络</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支持MAC、VNI、VTEP静态绑定</w:t>
            </w:r>
            <w:r/>
          </w:p>
        </w:tc>
      </w:tr>
      <w:tr>
        <w:trPr>
          <w:jc w:val="center"/>
        </w:trPr>
        <w:tc>
          <w:tcPr>
            <w:shd w:val="clear" w:color="auto" w:fill="auto"/>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所投产品支持MPLS流量透传</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支持针对MPLS流量的安全审查，包括漏洞防护、反病毒、间谍软件防护、内容过滤、URL过滤、基于终端状态访问控制等安全防护功能</w:t>
            </w:r>
            <w:r>
              <w:rPr>
                <w:rFonts w:hint="eastAsia" w:ascii="宋体" w:hAnsi="宋体" w:cs="宋体"/>
                <w:color w:val="auto"/>
                <w:sz w:val="21"/>
                <w:szCs w:val="21"/>
                <w:highlight w:val="none"/>
                <w:lang w:eastAsia="zh-CN"/>
              </w:rPr>
              <w:t xml:space="preserve">；</w:t>
            </w:r>
            <w:r/>
          </w:p>
        </w:tc>
      </w:tr>
      <w:tr>
        <w:trPr>
          <w:jc w:val="center"/>
        </w:trPr>
        <w:tc>
          <w:tcPr>
            <w:shd w:val="clear" w:color="auto" w:fill="auto"/>
            <w:tcW w:w="787"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路由协议</w:t>
            </w:r>
            <w:r/>
          </w:p>
        </w:tc>
        <w:tc>
          <w:tcPr>
            <w:shd w:val="clear" w:color="auto" w:fill="auto"/>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支持基于策略的路由负载，支持根据应用和服务进行智能选路，支持源地址目的地址哈希、源地址哈希、轮询、时延负载、备份、随机、流量均衡、源地址轮询、目的地址哈希、最优链路带宽负载、最优链路带宽备份、跳数负载等不少于12种路由负载均衡方式，支持基于IPv4或IPv6的TCP、HTTP、DNS、ICMP等方式的链路探测，同时TCP与HTTP可使用自定义目标端口进行测试</w:t>
            </w:r>
            <w:r/>
          </w:p>
        </w:tc>
      </w:tr>
      <w:tr>
        <w:trPr>
          <w:jc w:val="center"/>
        </w:trPr>
        <w:tc>
          <w:tcPr>
            <w:shd w:val="clear" w:color="auto" w:fill="auto"/>
            <w:tcW w:w="787"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访问控制</w:t>
            </w:r>
            <w:r/>
          </w:p>
        </w:tc>
        <w:tc>
          <w:tcPr>
            <w:shd w:val="clear" w:color="auto" w:fill="auto"/>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所投产品支持基于源安全域、目的安全域、源用户、源地址、源地区、目的地址、目的地区、服务、应用、隧道、时间、VLAN等多种方式进行访问控制，并支持地理区域对象的导入以及重复策略的检查。</w:t>
            </w:r>
            <w:r/>
          </w:p>
        </w:tc>
      </w:tr>
      <w:tr>
        <w:trPr>
          <w:jc w:val="center"/>
        </w:trPr>
        <w:tc>
          <w:tcPr>
            <w:shd w:val="clear" w:color="auto" w:fill="auto"/>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所投产品支持基于IPv4/v6地址、应用的会话限制，限制动作包每IP新建、每IP并发、所有IP新建、所有IP并发，且可以基于安全域指定限制方向</w:t>
            </w:r>
            <w:r/>
          </w:p>
        </w:tc>
      </w:tr>
      <w:tr>
        <w:trPr>
          <w:jc w:val="center"/>
        </w:trPr>
        <w:tc>
          <w:tcPr>
            <w:shd w:val="clear" w:color="auto" w:fill="auto"/>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所投产品支持命中时间分析和安全策略推荐。命中时间分析展示被命中的安全策略的名称、状态、命中数、策略创建时间、首次命中时间和最近命中时间</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安全策略推荐可以指定策略流量，分析后自动生成源地址精度更高的安全策略。能够基于源地址精确合并和源地址子网合并，并自动生成策略名称、源对象、目的对象和服务对象。</w:t>
            </w:r>
            <w:r/>
          </w:p>
        </w:tc>
      </w:tr>
      <w:tr>
        <w:trPr>
          <w:jc w:val="center"/>
        </w:trPr>
        <w:tc>
          <w:tcPr>
            <w:shd w:val="clear" w:color="auto" w:fill="auto"/>
            <w:tcW w:w="787"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网络攻击防护</w:t>
            </w:r>
            <w:r/>
          </w:p>
        </w:tc>
        <w:tc>
          <w:tcPr>
            <w:shd w:val="clear" w:color="auto" w:fill="auto"/>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所投产品支持基于不同安全区域防御SYNFlood、UDPFlood、ICMPFlood、IPFlood、FragFlood、DNSFlood、HTTPFlood、NTPQueryFlood、NTPReplyFlood和SIPFlood攻击，并支持警告、丢弃、普通防护、增强防护、授权服务器防护等多种防护措施</w:t>
            </w:r>
            <w:r/>
          </w:p>
        </w:tc>
      </w:tr>
      <w:tr>
        <w:trPr>
          <w:jc w:val="center"/>
        </w:trPr>
        <w:tc>
          <w:tcPr>
            <w:shd w:val="clear" w:color="auto" w:fill="auto"/>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所投产品支持基于Flood攻击和恶意扫描的阈值学习功能。</w:t>
            </w:r>
            <w:r/>
          </w:p>
        </w:tc>
      </w:tr>
      <w:tr>
        <w:trPr>
          <w:jc w:val="center"/>
        </w:trPr>
        <w:tc>
          <w:tcPr>
            <w:shd w:val="clear" w:color="auto" w:fill="auto"/>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所投产品支持可配置阈值的基于安全域或基于二层接口局域网广播防护，防止局域网内广播和多播数据包泛滥</w:t>
            </w:r>
            <w:r/>
          </w:p>
        </w:tc>
      </w:tr>
      <w:tr>
        <w:trPr>
          <w:jc w:val="center"/>
        </w:trPr>
        <w:tc>
          <w:tcPr>
            <w:shd w:val="clear" w:color="auto" w:fill="auto"/>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所投产品支持DHCP协议防护</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支持手动定义可信DHCP服务器IPv4和基于阈值限制DHCP请求传输速率</w:t>
            </w:r>
            <w:r/>
          </w:p>
        </w:tc>
      </w:tr>
      <w:tr>
        <w:trPr>
          <w:jc w:val="center"/>
        </w:trPr>
        <w:tc>
          <w:tcPr>
            <w:shd w:val="clear" w:color="auto" w:fill="auto"/>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所投产品支持基于安全区域的异常包攻击防御，异常包攻击类型至少包括PingofDeath、Teardrop、IP选项、TCP异常、Smurf、Fraggle、Land、Winnuke、DNS异常、IP分片、圣诞树攻击、NTPmonlist等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并可在设备页面显示每种攻击类型的丢包统计结果</w:t>
            </w:r>
            <w:r/>
          </w:p>
        </w:tc>
      </w:tr>
      <w:tr>
        <w:trPr>
          <w:jc w:val="center"/>
        </w:trPr>
        <w:tc>
          <w:tcPr>
            <w:shd w:val="clear" w:color="auto" w:fill="auto"/>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所投产品必须支持防御基于安全域的IP地址欺骗攻击，指定IP或网段必须从特定安全域流入</w:t>
            </w:r>
            <w:r/>
          </w:p>
        </w:tc>
      </w:tr>
      <w:tr>
        <w:trPr>
          <w:jc w:val="center"/>
        </w:trPr>
        <w:tc>
          <w:tcPr>
            <w:shd w:val="clear" w:color="auto" w:fill="auto"/>
            <w:tcW w:w="787"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病毒防护</w:t>
            </w:r>
            <w:r/>
          </w:p>
        </w:tc>
        <w:tc>
          <w:tcPr>
            <w:shd w:val="clear" w:color="auto" w:fill="auto"/>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所投产品配置病毒防护功能，能够对HTTP/FTP/POP3/SMTP/IMAP/SMB六种协议进行病毒查杀</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本地病毒库规模大于3000万。</w:t>
            </w:r>
            <w:r/>
          </w:p>
        </w:tc>
      </w:tr>
      <w:tr>
        <w:trPr>
          <w:jc w:val="center"/>
        </w:trPr>
        <w:tc>
          <w:tcPr>
            <w:shd w:val="clear" w:color="auto" w:fill="auto"/>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所投产品必须支持对最多6级的压缩文件进行解压查杀</w:t>
            </w:r>
            <w:r/>
          </w:p>
        </w:tc>
      </w:tr>
      <w:tr>
        <w:trPr>
          <w:jc w:val="center"/>
        </w:trPr>
        <w:tc>
          <w:tcPr>
            <w:shd w:val="clear" w:color="auto" w:fill="auto"/>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所投产品必须支持基于MD5的自定义病毒签名</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支持设置例外特征，对特定的病毒特征不进行查杀</w:t>
            </w:r>
            <w:r/>
          </w:p>
        </w:tc>
      </w:tr>
      <w:tr>
        <w:trPr>
          <w:jc w:val="center"/>
        </w:trPr>
        <w:tc>
          <w:tcPr>
            <w:shd w:val="clear" w:color="auto" w:fill="auto"/>
            <w:tcW w:w="787" w:type="pct"/>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运维管理</w:t>
            </w:r>
            <w:r/>
          </w:p>
        </w:tc>
        <w:tc>
          <w:tcPr>
            <w:shd w:val="clear" w:color="auto" w:fill="auto"/>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支持双系统备份，且在系统切换中可实现配置的自动迁移</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可记录不同时间点的历史配置文件。</w:t>
            </w:r>
            <w:r/>
          </w:p>
        </w:tc>
      </w:tr>
      <w:tr>
        <w:trPr>
          <w:jc w:val="center"/>
        </w:trPr>
        <w:tc>
          <w:tcPr>
            <w:shd w:val="clear" w:color="auto" w:fill="auto"/>
            <w:tcW w:w="787" w:type="pct"/>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shd w:val="clear" w:color="auto" w:fill="auto"/>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支持业务接口下Netflow功能，能够通过Netflow实现对网络进行监控，对接口流量进行抓包，并可将Netflow抓包文件数据外发</w:t>
            </w:r>
            <w:r/>
          </w:p>
        </w:tc>
      </w:tr>
      <w:tr>
        <w:trPr>
          <w:jc w:val="center"/>
        </w:trPr>
        <w:tc>
          <w:tcPr>
            <w:shd w:val="clear" w:color="auto" w:fill="auto"/>
            <w:tcW w:w="787"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服务</w:t>
            </w:r>
            <w:r/>
          </w:p>
        </w:tc>
        <w:tc>
          <w:tcPr>
            <w:shd w:val="clear" w:color="auto" w:fill="auto"/>
            <w:tcW w:w="4213"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五年7*24小时响应，4小时内到达现场，5年安全组合升级订阅服务包（含应用识别库、URL分类特征库、病毒防护特征库、入侵防御特征库升级服务及威胁情报订阅服务）</w:t>
            </w:r>
            <w:r/>
          </w:p>
        </w:tc>
      </w:tr>
    </w:tbl>
    <w:p>
      <w:pPr>
        <w:pStyle w:val="853"/>
        <w:ind w:left="480"/>
        <w:rPr>
          <w:rFonts w:ascii="宋体" w:hAnsi="宋体"/>
          <w:color w:val="auto"/>
          <w:sz w:val="21"/>
          <w:szCs w:val="21"/>
          <w:highlight w:val="none"/>
        </w:rPr>
      </w:pPr>
      <w:r>
        <w:rPr>
          <w:rFonts w:ascii="宋体" w:hAnsi="宋体"/>
          <w:color w:val="auto"/>
          <w:sz w:val="21"/>
          <w:szCs w:val="21"/>
          <w:highlight w:val="none"/>
        </w:rPr>
        <w:t xml:space="preserve">6.1.1.</w:t>
      </w:r>
      <w:r>
        <w:rPr>
          <w:rFonts w:hint="eastAsia" w:ascii="宋体" w:hAnsi="宋体"/>
          <w:color w:val="auto"/>
          <w:sz w:val="21"/>
          <w:szCs w:val="21"/>
          <w:highlight w:val="none"/>
        </w:rPr>
        <w:t xml:space="preserve">3、数据安全</w:t>
      </w:r>
      <w:r/>
    </w:p>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数据水印模块</w:t>
      </w:r>
      <w:r/>
    </w:p>
    <w:tbl>
      <w:tblPr>
        <w:tblStyle w:val="841"/>
        <w:tblW w:w="5562" w:type="pct"/>
        <w:jc w:val="center"/>
        <w:tblLayout w:type="autofit"/>
        <w:tblCellMar>
          <w:left w:w="108" w:type="dxa"/>
          <w:top w:w="0" w:type="dxa"/>
          <w:right w:w="108" w:type="dxa"/>
          <w:bottom w:w="0" w:type="dxa"/>
        </w:tblCellMar>
        <w:tblLook w:val="04A0" w:firstRow="1" w:lastRow="0" w:firstColumn="1" w:lastColumn="0" w:noHBand="0" w:noVBand="1"/>
      </w:tblPr>
      <w:tblGrid>
        <w:gridCol w:w="1503"/>
        <w:gridCol w:w="8070"/>
      </w:tblGrid>
      <w:tr>
        <w:trPr>
          <w:jc w:val="center"/>
          <w:trHeight w:val="460"/>
        </w:trPr>
        <w:tc>
          <w:tcPr>
            <w:shd w:val="clear" w:color="auto" w:fill="d7d7d7" w:themeFill="background1" w:themeFillShade="D8"/>
            <w:tcBorders>
              <w:top w:val="single" w:color="000000" w:sz="8" w:space="0"/>
              <w:left w:val="single" w:color="000000" w:sz="8" w:space="0"/>
              <w:bottom w:val="single" w:color="000000" w:sz="8" w:space="0"/>
              <w:right w:val="single" w:color="000000" w:sz="8" w:space="0"/>
            </w:tcBorders>
            <w:tcW w:w="785" w:type="pct"/>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lang w:bidi="ar"/>
              </w:rPr>
              <w:t xml:space="preserve">指标项</w:t>
            </w:r>
            <w:r/>
          </w:p>
        </w:tc>
        <w:tc>
          <w:tcPr>
            <w:shd w:val="clear" w:color="auto" w:fill="d7d7d7" w:themeFill="background1" w:themeFillShade="D8"/>
            <w:tcBorders>
              <w:top w:val="single" w:color="000000" w:sz="8" w:space="0"/>
              <w:left w:val="none" w:color="000000" w:sz="4" w:space="0"/>
              <w:bottom w:val="single" w:color="000000" w:sz="8" w:space="0"/>
              <w:right w:val="single" w:color="000000" w:sz="8" w:space="0"/>
            </w:tcBorders>
            <w:tcW w:w="4215" w:type="pct"/>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lang w:bidi="ar"/>
              </w:rPr>
              <w:t xml:space="preserve">技术规格及参数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lang w:bidi="ar"/>
              </w:rPr>
              <w:t xml:space="preserve">数据水印模块</w:t>
            </w:r>
            <w:r/>
          </w:p>
        </w:tc>
        <w:tc>
          <w:tcPr>
            <w:shd w:val="clear" w:color="auto" w:fill="auto"/>
            <w:tcBorders>
              <w:top w:val="single" w:color="000000" w:sz="4" w:space="0"/>
              <w:left w:val="single" w:color="000000" w:sz="4" w:space="0"/>
              <w:bottom w:val="single" w:color="000000" w:sz="4" w:space="0"/>
              <w:right w:val="single" w:color="000000" w:sz="4" w:space="0"/>
            </w:tcBorders>
            <w:tcW w:w="4215" w:type="pct"/>
            <w:vAlign w:val="center"/>
            <w:textDirection w:val="lrTb"/>
            <w:noWrap w:val="false"/>
          </w:tcPr>
          <w:p>
            <w:pPr>
              <w:spacing w:line="360" w:lineRule="auto"/>
              <w:rPr>
                <w:rFonts w:hint="eastAsia" w:asciiTheme="minorEastAsia" w:hAnsiTheme="minorEastAsia" w:eastAsiaTheme="minorEastAsia"/>
                <w:color w:val="auto"/>
                <w:sz w:val="21"/>
                <w:szCs w:val="21"/>
                <w:highlight w:val="none"/>
                <w:lang w:eastAsia="zh-CN"/>
              </w:rPr>
            </w:pPr>
            <w:r>
              <w:rPr>
                <w:rFonts w:hint="eastAsia" w:cs="宋体" w:asciiTheme="minorEastAsia" w:hAnsiTheme="minorEastAsia"/>
                <w:color w:val="auto"/>
                <w:sz w:val="21"/>
                <w:szCs w:val="21"/>
                <w:highlight w:val="none"/>
              </w:rPr>
              <w:t xml:space="preserve">1.2U</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冗余电源</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国产CPU≥8核，内存32G，板载4个千兆电口，4T硬盘</w:t>
            </w:r>
            <w:r>
              <w:rPr>
                <w:rFonts w:hint="eastAsia" w:cs="宋体" w:asciiTheme="minorEastAsia" w:hAnsiTheme="minorEastAsia"/>
                <w:color w:val="auto"/>
                <w:sz w:val="21"/>
                <w:szCs w:val="21"/>
                <w:highlight w:val="none"/>
                <w:lang w:eastAsia="zh-CN"/>
              </w:rPr>
              <w:t xml:space="preserve">；</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2.性能参数：20G/小时（数据库水印），默认支持数据库授权（IP+PORT）：32个</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3.数据库类型</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支持Oracle 10g,11g,12c,19c</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支持Mysql  5.7, 8.0</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支持SQL Server 2008，2012，2019</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支持PostresSQL 9</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支持DB2 7.2</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支持Kingbase8</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支持Oceanbase（mysql/oracle）4.1,4.2,43。</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4.支持设置文件编码、文件分隔符、选择文件类型等</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支持数据水印文件类型：txt,csv,excel</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支持文档水印文件类型：docx ,doc,xlsx,xls,pdf,jpg,jpeg,png</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支持明水印支持范围：docx ,doc,xlsx,xls,pdf,jpg,jpeg,png</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支持暗水印支持范围：docx ,doc,xlsx,xls</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支持本地部署、云服务部署、容器化部署等。</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5.支持提供图形化数据源添加方式，对已添加的数据源提供连接测试、编辑、删除等管理功能</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6.支持个性化数据库源配置和测试</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7.支持NAS、HDFS等文件服务器配置</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8.支持内置丰富敏感数据自动发现规则，包含中文姓名、身份证号、固定电话、手机号码、银行卡号、电子邮箱、中文地址、邮政编码、企业单位名称、组织机构代码、营业执照代码、税务登记代码、企业三证合一代码等在内的常见敏感数据格式</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并提供自定义数据类型添加功能，列名或者数据内容。</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9.支持数据水印：支持无痕水印，伪行水印，伪列水印</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支持文档水印：明水印，暗水印，混合水印</w:t>
            </w:r>
            <w:r/>
          </w:p>
          <w:p>
            <w:pPr>
              <w:spacing w:line="360" w:lineRule="auto"/>
              <w:rPr>
                <w:rFonts w:hint="eastAsia" w:asciiTheme="minorEastAsia" w:hAnsiTheme="minorEastAsia" w:eastAsiaTheme="minorEastAsia"/>
                <w:color w:val="auto"/>
                <w:sz w:val="21"/>
                <w:szCs w:val="21"/>
                <w:highlight w:val="none"/>
                <w:lang w:eastAsia="zh-CN"/>
              </w:rPr>
            </w:pPr>
            <w:r>
              <w:rPr>
                <w:rFonts w:hint="eastAsia" w:cs="宋体" w:asciiTheme="minorEastAsia" w:hAnsiTheme="minorEastAsia"/>
                <w:color w:val="auto"/>
                <w:sz w:val="21"/>
                <w:szCs w:val="21"/>
                <w:highlight w:val="none"/>
              </w:rPr>
              <w:t xml:space="preserve">10.</w:t>
            </w:r>
            <w:r>
              <w:rPr>
                <w:rFonts w:hint="eastAsia" w:cs="宋体" w:asciiTheme="minorEastAsia" w:hAnsiTheme="minorEastAsia"/>
                <w:color w:val="auto"/>
                <w:sz w:val="21"/>
                <w:szCs w:val="21"/>
                <w:highlight w:val="none"/>
                <w:lang w:eastAsia="zh-CN"/>
              </w:rPr>
              <w:t xml:space="preserve"> </w:t>
            </w:r>
            <w:r>
              <w:rPr>
                <w:rFonts w:hint="eastAsia" w:cs="宋体" w:asciiTheme="minorEastAsia" w:hAnsiTheme="minorEastAsia"/>
                <w:color w:val="auto"/>
                <w:sz w:val="21"/>
                <w:szCs w:val="21"/>
                <w:highlight w:val="none"/>
              </w:rPr>
              <w:t xml:space="preserve">支持数字单元格水印算法，业务类型/业务序列号伪列水印算法，文件不可见字符水印算法</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支持文档与图片类型明水印</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支持文档类型暗水印</w:t>
            </w:r>
            <w:r>
              <w:rPr>
                <w:rFonts w:hint="eastAsia" w:cs="宋体" w:asciiTheme="minorEastAsia" w:hAnsiTheme="minorEastAsia"/>
                <w:color w:val="auto"/>
                <w:sz w:val="21"/>
                <w:szCs w:val="21"/>
                <w:highlight w:val="none"/>
                <w:lang w:eastAsia="zh-CN"/>
              </w:rPr>
              <w:t xml:space="preserve">；</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11.支持对数据库、文件等类型的敏感数据自动扫描发现功能，扫描任务支持配置线程、采样数量，提供扫描结果查看、检索等功能</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支持增量敏感发现能力</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支持枚举敏感发现算法</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支持敏感发现算法互斥性属性配置，使敏感发现算法具备优先级别</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互斥性算法&gt;非互斥性算法</w:t>
            </w:r>
            <w:r>
              <w:rPr>
                <w:rFonts w:hint="eastAsia" w:cs="宋体" w:asciiTheme="minorEastAsia" w:hAnsiTheme="minorEastAsia"/>
                <w:color w:val="auto"/>
                <w:sz w:val="21"/>
                <w:szCs w:val="21"/>
                <w:highlight w:val="none"/>
                <w:lang w:eastAsia="zh-CN"/>
              </w:rPr>
              <w:t xml:space="preserve">）</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12.支持将数据资产扫描的扫描结果导出到数据子集，定义水印的对象范围，数据集修改、添加、删除等功能</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支持导入配置文件快速建立子集</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13.支持对数据资产扫描的扫描结果导出到水印方案，方案中可对关联的子集、关联水印算法、修改敏感类型等</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14.支持多次执行敏感任务对发现结果做比对</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15.支持选择数据源，配置水印任务，提供水印任务管理，任务启动/停止，对数据源中的数据表增加数据水印信息</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16.支持选择数据源，配置溯源任务，提取数据表中的水印信息并显示</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17.支持文件内容便捷溯源（直接上传文件溯源/摘取文件内容片段溯源）</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18.支持敏感规则、字段规则、内容规则、字典管理等配置查询</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19.支持算法配置、水印标识、水印模版等配置和查询</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20.支持提供文件的快捷操作（支持上传文件，挂载NFS，FTP，SFTP文件），方便对文件增加水印、溯源操作</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21.支持应用接入管理、文档水印/文档溯源接口管理、网页水印管理和配置</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22.支持水印日志、文件溯源日志、文件操作日志等查询</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23.支持分类分级策略，内置多行业多版本的分类分级策略模板，支持自定义策略模板</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24.支持分类分级管理，支持和管控平台对接，接收 分类分级的结果</w:t>
            </w:r>
            <w:r/>
          </w:p>
          <w:p>
            <w:pPr>
              <w:pStyle w:val="889"/>
              <w:ind w:left="0" w:firstLine="0"/>
              <w:jc w:val="left"/>
              <w:rPr>
                <w:color w:val="auto"/>
                <w:highlight w:val="none"/>
              </w:rPr>
            </w:pPr>
            <w:r>
              <w:rPr>
                <w:rFonts w:hint="eastAsia" w:cs="宋体" w:asciiTheme="minorEastAsia" w:hAnsiTheme="minorEastAsia" w:eastAsiaTheme="minorEastAsia"/>
                <w:color w:val="auto"/>
                <w:sz w:val="21"/>
                <w:szCs w:val="21"/>
                <w:highlight w:val="none"/>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静态脱敏模块</w:t>
      </w:r>
      <w:r/>
    </w:p>
    <w:tbl>
      <w:tblPr>
        <w:tblStyle w:val="841"/>
        <w:tblW w:w="5562" w:type="pct"/>
        <w:jc w:val="center"/>
        <w:tblLayout w:type="autofit"/>
        <w:tblCellMar>
          <w:left w:w="108" w:type="dxa"/>
          <w:top w:w="0" w:type="dxa"/>
          <w:right w:w="108" w:type="dxa"/>
          <w:bottom w:w="0" w:type="dxa"/>
        </w:tblCellMar>
        <w:tblLook w:val="04A0" w:firstRow="1" w:lastRow="0" w:firstColumn="1" w:lastColumn="0" w:noHBand="0" w:noVBand="1"/>
      </w:tblPr>
      <w:tblGrid>
        <w:gridCol w:w="1493"/>
        <w:gridCol w:w="8080"/>
      </w:tblGrid>
      <w:tr>
        <w:trPr>
          <w:jc w:val="center"/>
          <w:trHeight w:val="460"/>
        </w:trPr>
        <w:tc>
          <w:tcPr>
            <w:shd w:val="clear" w:color="auto" w:fill="d7d7d7" w:themeFill="background1" w:themeFillShade="D8"/>
            <w:tcBorders>
              <w:top w:val="single" w:color="000000" w:sz="8" w:space="0"/>
              <w:left w:val="single" w:color="000000" w:sz="8" w:space="0"/>
              <w:bottom w:val="single" w:color="000000" w:sz="8" w:space="0"/>
              <w:right w:val="single" w:color="000000" w:sz="8" w:space="0"/>
            </w:tcBorders>
            <w:tcW w:w="780" w:type="pct"/>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lang w:bidi="ar"/>
              </w:rPr>
              <w:t xml:space="preserve">指标项</w:t>
            </w:r>
            <w:r/>
          </w:p>
        </w:tc>
        <w:tc>
          <w:tcPr>
            <w:shd w:val="clear" w:color="auto" w:fill="d7d7d7" w:themeFill="background1" w:themeFillShade="D8"/>
            <w:tcBorders>
              <w:top w:val="single" w:color="000000" w:sz="8" w:space="0"/>
              <w:left w:val="none" w:color="000000" w:sz="4" w:space="0"/>
              <w:bottom w:val="single" w:color="000000" w:sz="8" w:space="0"/>
              <w:right w:val="single" w:color="000000" w:sz="8" w:space="0"/>
            </w:tcBorders>
            <w:tcW w:w="4220" w:type="pct"/>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lang w:bidi="ar"/>
              </w:rPr>
              <w:t xml:space="preserve">技术规格及参数</w:t>
            </w:r>
            <w:r/>
          </w:p>
        </w:tc>
      </w:tr>
      <w:tr>
        <w:trPr>
          <w:jc w:val="center"/>
          <w:trHeight w:val="147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lang w:bidi="ar"/>
              </w:rPr>
              <w:t xml:space="preserve">静态脱敏模块</w:t>
            </w:r>
            <w:r/>
          </w:p>
        </w:tc>
        <w:tc>
          <w:tcPr>
            <w:shd w:val="clear" w:color="auto" w:fill="auto"/>
            <w:tcBorders>
              <w:top w:val="single" w:color="000000" w:sz="4" w:space="0"/>
              <w:left w:val="single" w:color="000000" w:sz="4" w:space="0"/>
              <w:bottom w:val="single" w:color="000000" w:sz="4" w:space="0"/>
              <w:right w:val="single" w:color="000000" w:sz="4" w:space="0"/>
            </w:tcBorders>
            <w:tcW w:w="4220" w:type="pct"/>
            <w:vAlign w:val="center"/>
            <w:textDirection w:val="lrTb"/>
            <w:noWrap w:val="false"/>
          </w:tcPr>
          <w:p>
            <w:pPr>
              <w:spacing w:line="360" w:lineRule="auto"/>
              <w:rPr>
                <w:rFonts w:hint="eastAsia" w:asciiTheme="minorEastAsia" w:hAnsiTheme="minorEastAsia" w:eastAsiaTheme="minorEastAsia"/>
                <w:color w:val="auto"/>
                <w:sz w:val="21"/>
                <w:szCs w:val="21"/>
                <w:highlight w:val="none"/>
                <w:lang w:eastAsia="zh-CN"/>
              </w:rPr>
            </w:pPr>
            <w:r>
              <w:rPr>
                <w:rFonts w:hint="eastAsia" w:cs="宋体" w:asciiTheme="minorEastAsia" w:hAnsiTheme="minorEastAsia"/>
                <w:color w:val="auto"/>
                <w:sz w:val="21"/>
                <w:szCs w:val="21"/>
                <w:highlight w:val="none"/>
              </w:rPr>
              <w:t xml:space="preserve">1、2U</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冗余电源</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国产CPU≥8核，内存32G，板载4个千兆电口，４T硬盘</w:t>
            </w:r>
            <w:r>
              <w:rPr>
                <w:rFonts w:hint="eastAsia" w:cs="宋体" w:asciiTheme="minorEastAsia" w:hAnsiTheme="minorEastAsia"/>
                <w:color w:val="auto"/>
                <w:sz w:val="21"/>
                <w:szCs w:val="21"/>
                <w:highlight w:val="none"/>
                <w:lang w:eastAsia="zh-CN"/>
              </w:rPr>
              <w:t xml:space="preserve">；</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2、默认支持数据库类型：10种</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峰值脱敏速度：20G/h</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最大脱敏能力：40000单元格/秒</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默认支持数据库授权（IP+PORT）：32个</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3、支持主流、国产、大数据类型oracle、mysql、sqlserver、postgres、达梦、hana、hive等，支持文件csv、txt、excel、xml、dmp、json、dicm、docx文件等</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4、系统基于B/S架构，采用HTTPS方式远程管理，中文图形管理界面</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5、系统支持管理平台进行资产配置、扫描发现、方案配置、任务配置等</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6、系统支持库到库、库到文件、文件到文件、文件到库等方式进行脱敏</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系统支持oracle、mysql、sqlserver、postgre间的资产异构方式脱敏</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系统支持通过FTP,SFTP,NFS协议访问NAS盘中的文件，对存储的数据文件进行脱敏。</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7、系统支持在资产添加时进行连接测试</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系统支持文件资产的本地上传</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系统资产管理应支持脱敏源、脱敏目标进行区分，防止数据误操作覆盖</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8、系统内置敏感数据特征规则库，应支持手机号、座机号、中文地址、日期、社会统一信用代码、银行卡号、电子邮箱、身份证号、ip地址、姓名、车牌号、车架号、港澳居民来大陆通行证号、中文大写金额、金额数字、营业执照注册号、企业组织机构代码、税务登记号码、房屋产权证号、不动产权登记号等不少于20种敏感类型特征进行自动识别发现</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系统支持基于字段、内容方式进行数据的识别发现</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按照模式、表对象等方式进行扫描对象的选择，抽样方式支持按照全表、行数、百分比方式进行选择，取样数据支持前、后、随机方式进行取样并支持过滤空值，命中判断支持满足行数、百分比两种方式且支持选择是否统计数据源表对象行数</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系统支持增量敏感发现能力、枚举敏感发现算法，敏感发现算法支持互斥性属性</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系统支持按照需求配置组合发现策略，单张表同时包含组合策略中的多种敏感类型判别为敏感对象</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系统支持对多次执行敏感任务对发现结果做比对</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系统支持自定义发现规则添加。</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9、系统支持对扫描的结果形成台账，数据台账支持按照表、字段两个视图维度进行展示，台账信息支持数据库、模式名、表名、字段名、字段类型、敏感类型、敏感类型种类、样本数据等信息进行展示</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系统支持台账信息敏感类型进行调整</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支持台账信息的导出和导入功能。</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10、系统支持脱敏子集的配置，子集应支持定义脱敏的表范围、表内数据支持配置过滤条件，过滤条件支持大于、小于、大于等于、小于等于、等于等条件并支持对sql进行预览调整</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子集支持手动添加、从数据台账中直接生成等</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系统支持脱敏方案的配置，脱敏方案支持关联模板算法或直接引用系统默认分配算法，支持按照敏感类型进行脱敏算法关联调整，支持按照字段级别为字段选择脱敏算法</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系统支持对生成的脱敏方案进行脱敏预览功能，脱敏前进行脱敏预览检查脱敏结果是否符合数据使用质量</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系统支持从数据台账直接生成脱敏方案配置</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系统支持脱敏前检查环境信息，检查环境是否具备脱敏环境条</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系统支持脱敏任务管理，任务启动应支持任务启动、停止、暂停、继续，支持对脱敏表并发、表内并发等参数设置</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系统支持根据系统资源动态调优管理任务线程，增加脱敏性能</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系统脱敏任务支持对表对象以外的其它对象的迁移功能，如序列、视图、包、函数、存储过程、索引、约束、触发器等</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系统脱敏任务支持对脏数据的处理，处理方式包括置空、迁移、随机生成方式</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系统脱敏任务支持对脏数据的处理，处理方式包括置空、迁移、随机生成方式</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系统应支持增量脱敏功能，通过配置增量字段（自增、时间及其他类型）实现自动增量脱敏，实现定期调度源库进行增量脱敏</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系统支持多版本多行业分级分类脱敏方案， 根据分级分类标准查看数据台账，生成脱敏方案，并进行脱敏</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系统支持快捷脱敏，用户仅关注源库、目标库，降低脱敏操作门槛</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系统支持文件视图（上传/SFTP/FTP），显示文件列表，支持选择指定的文件进行脱敏后下载或脱敏后迁移</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系统提供界面查看脱敏前后数据表的数据字段内容变化对比视图。</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11、产品内置丰富敏感数据自动发现规则，包含中文姓名、身份证号、固定电话、手机号码、银行卡号、电子邮箱、中文地址、邮政编码、企业单位名称、组织机构代码、营业执照代码、税务登记代码、企业三证合一代码等在内的常见敏感数据格式</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并提供自定义数据类型添加功能，列名或者数据内容</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系统内置置空、遮蔽算法、随机算法、仿真算法，可以根据实际需求转变为不同的脱敏效果</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系统支持编写自定义算法，来满足个性化的脱敏需求</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同时支持对混合数据、复合数据的脱敏支持，自定义码表算法支持还原，自定义算法导入导出</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系统支持复杂文本脱敏算法，XML脱敏算法， JSON脱敏算法，脱敏数据库字段中的复杂对象信息</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系统提供可视化编程能力，按业务表细粒度的控制脱敏范围和脱敏规则</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rPr>
              <w:t xml:space="preserve">支持表内字段逻辑关系保持，表内字段逻辑关系自定义，支持常用逻辑计算。</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12、系统提供模板配置脱敏数据，并对选择的脱敏数据进行脱敏算法的选择，实现多组敏感数据、脱敏算法关联模板管理复用场景，模板导入导出。支持默认脱敏策略设置，并在敏感发现与数据方案处使用默认的脱敏策略。</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13、系统支持对发现、脱敏任务创建定时调度任务</w:t>
            </w:r>
            <w:r/>
          </w:p>
          <w:p>
            <w:pPr>
              <w:spacing w:line="360" w:lineRule="auto"/>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14、系统支持审批能力可选择是否开启，开启后任务审批后才可进行脱敏任务执行。</w:t>
            </w:r>
            <w:r/>
          </w:p>
          <w:p>
            <w:pPr>
              <w:spacing w:line="360" w:lineRule="auto"/>
              <w:rPr>
                <w:rFonts w:hint="eastAsia" w:asciiTheme="minorEastAsia" w:hAnsiTheme="minorEastAsia" w:eastAsiaTheme="minorEastAsia"/>
                <w:color w:val="auto"/>
                <w:sz w:val="21"/>
                <w:szCs w:val="21"/>
                <w:highlight w:val="none"/>
                <w:lang w:eastAsia="zh-CN"/>
              </w:rPr>
            </w:pPr>
            <w:r>
              <w:rPr>
                <w:rFonts w:hint="eastAsia" w:cs="宋体" w:asciiTheme="minorEastAsia" w:hAnsiTheme="minorEastAsia"/>
                <w:color w:val="auto"/>
                <w:sz w:val="21"/>
                <w:szCs w:val="21"/>
                <w:highlight w:val="none"/>
              </w:rPr>
              <w:t xml:space="preserve">15、系统支持数据分权分域，数据资源隔离，提供项目组/项目管理。 以项目组为管理单元，管理脱敏用户账号</w:t>
            </w:r>
            <w:r>
              <w:rPr>
                <w:rFonts w:hint="eastAsia" w:cs="宋体" w:asciiTheme="minorEastAsia" w:hAnsiTheme="minorEastAsia"/>
                <w:color w:val="auto"/>
                <w:sz w:val="21"/>
                <w:szCs w:val="21"/>
                <w:highlight w:val="none"/>
                <w:lang w:eastAsia="zh-CN"/>
              </w:rPr>
              <w:t xml:space="preserve">；</w:t>
            </w:r>
            <w:r/>
          </w:p>
          <w:p>
            <w:pPr>
              <w:pStyle w:val="889"/>
              <w:ind w:left="0" w:firstLine="0"/>
              <w:jc w:val="left"/>
              <w:rPr>
                <w:color w:val="auto"/>
                <w:highlight w:val="none"/>
              </w:rPr>
            </w:pPr>
            <w:r>
              <w:rPr>
                <w:rFonts w:hint="eastAsia" w:cs="宋体" w:asciiTheme="minorEastAsia" w:hAnsiTheme="minorEastAsia" w:eastAsiaTheme="minorEastAsia"/>
                <w:color w:val="auto"/>
                <w:sz w:val="21"/>
                <w:szCs w:val="21"/>
                <w:highlight w:val="none"/>
              </w:rPr>
              <w:t xml:space="preserve">五年7*24小时响应，4小时内到达现场</w:t>
            </w:r>
            <w:r/>
          </w:p>
        </w:tc>
      </w:tr>
    </w:tbl>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动态脱敏模块</w:t>
      </w:r>
      <w:r/>
    </w:p>
    <w:tbl>
      <w:tblPr>
        <w:tblStyle w:val="841"/>
        <w:tblW w:w="5570" w:type="pct"/>
        <w:jc w:val="center"/>
        <w:tblLayout w:type="autofit"/>
        <w:tblCellMar>
          <w:left w:w="108" w:type="dxa"/>
          <w:top w:w="0" w:type="dxa"/>
          <w:right w:w="108" w:type="dxa"/>
          <w:bottom w:w="0" w:type="dxa"/>
        </w:tblCellMar>
        <w:tblLook w:val="04A0" w:firstRow="1" w:lastRow="0" w:firstColumn="1" w:lastColumn="0" w:noHBand="0" w:noVBand="1"/>
      </w:tblPr>
      <w:tblGrid>
        <w:gridCol w:w="1494"/>
        <w:gridCol w:w="8093"/>
      </w:tblGrid>
      <w:tr>
        <w:trPr>
          <w:jc w:val="center"/>
          <w:trHeight w:val="460"/>
        </w:trPr>
        <w:tc>
          <w:tcPr>
            <w:shd w:val="clear" w:color="auto" w:fill="d7d7d7" w:themeFill="background1" w:themeFillShade="D8"/>
            <w:tcBorders>
              <w:top w:val="single" w:color="000000" w:sz="8" w:space="0"/>
              <w:left w:val="single" w:color="000000" w:sz="8" w:space="0"/>
              <w:bottom w:val="single" w:color="000000" w:sz="8" w:space="0"/>
              <w:right w:val="single" w:color="000000" w:sz="8" w:space="0"/>
            </w:tcBorders>
            <w:tcW w:w="779" w:type="pct"/>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lang w:bidi="ar"/>
              </w:rPr>
              <w:t xml:space="preserve">指标项</w:t>
            </w:r>
            <w:r/>
          </w:p>
        </w:tc>
        <w:tc>
          <w:tcPr>
            <w:shd w:val="clear" w:color="auto" w:fill="d7d7d7" w:themeFill="background1" w:themeFillShade="D8"/>
            <w:tcBorders>
              <w:top w:val="single" w:color="000000" w:sz="8" w:space="0"/>
              <w:left w:val="none" w:color="000000" w:sz="4" w:space="0"/>
              <w:bottom w:val="single" w:color="000000" w:sz="8" w:space="0"/>
              <w:right w:val="single" w:color="000000" w:sz="8" w:space="0"/>
            </w:tcBorders>
            <w:tcW w:w="4221" w:type="pct"/>
            <w:vAlign w:val="center"/>
            <w:textDirection w:val="lrTb"/>
            <w:noWrap w:val="false"/>
          </w:tcPr>
          <w:p>
            <w:pP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lang w:bidi="ar"/>
              </w:rPr>
              <w:t xml:space="preserve">技术规格及参数</w:t>
            </w:r>
            <w:r/>
          </w:p>
        </w:tc>
      </w:tr>
      <w:tr>
        <w:trPr>
          <w:jc w:val="center"/>
          <w:trHeight w:val="3235"/>
        </w:trPr>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lang w:bidi="ar"/>
              </w:rPr>
              <w:t xml:space="preserve">动态脱敏模块</w:t>
            </w:r>
            <w:r/>
          </w:p>
        </w:tc>
        <w:tc>
          <w:tcPr>
            <w:shd w:val="clear" w:color="auto" w:fill="auto"/>
            <w:tcBorders>
              <w:top w:val="single" w:color="000000" w:sz="4" w:space="0"/>
              <w:left w:val="single" w:color="000000" w:sz="4" w:space="0"/>
              <w:bottom w:val="single" w:color="000000" w:sz="4" w:space="0"/>
              <w:right w:val="single" w:color="000000" w:sz="4" w:space="0"/>
            </w:tcBorders>
            <w:tcW w:w="4221"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1、2U</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冗余电源</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国产CPU≥8核，内存32G，板载4个千兆电口，４T硬盘</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 默认支持数据库授权（IP+PORT）：32个</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最大脱敏能力：20000单元格/秒</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最大并发连接数：1500</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2、管理平台：系统基于B/S方式，采用HTTPS方式远程WEB安全管理，无需安装管理客户端，中文操作界面</w:t>
            </w:r>
            <w:r>
              <w:rPr>
                <w:rFonts w:hint="eastAsia" w:ascii="宋体" w:hAnsi="宋体" w:cs="宋体"/>
                <w:color w:val="auto"/>
                <w:sz w:val="21"/>
                <w:szCs w:val="21"/>
                <w:highlight w:val="none"/>
                <w:lang w:eastAsia="zh-CN"/>
              </w:rPr>
              <w:t xml:space="preserve">； </w:t>
            </w:r>
            <w:r>
              <w:rPr>
                <w:rFonts w:hint="eastAsia" w:ascii="宋体" w:hAnsi="宋体" w:cs="宋体"/>
                <w:color w:val="auto"/>
                <w:sz w:val="21"/>
                <w:szCs w:val="21"/>
                <w:highlight w:val="none"/>
              </w:rPr>
              <w:t xml:space="preserve">系统具备系统参数配置、资产管理、敏感数据的发现、脱敏规则配置、脱敏算法的管理、敏感数据特征等功能模块</w:t>
            </w:r>
            <w:r/>
          </w:p>
          <w:p>
            <w:pPr>
              <w:spacing w:line="360" w:lineRule="auto"/>
              <w:rPr>
                <w:rFonts w:hint="eastAsia" w:ascii="宋体" w:hAnsi="宋体" w:eastAsiaTheme="minorEastAsia"/>
                <w:color w:val="auto"/>
                <w:sz w:val="21"/>
                <w:szCs w:val="21"/>
                <w:highlight w:val="none"/>
                <w:lang w:eastAsia="zh-CN"/>
              </w:rPr>
            </w:pPr>
            <w:r>
              <w:rPr>
                <w:rFonts w:hint="eastAsia" w:ascii="宋体" w:hAnsi="宋体" w:cs="宋体"/>
                <w:color w:val="auto"/>
                <w:sz w:val="21"/>
                <w:szCs w:val="21"/>
                <w:highlight w:val="none"/>
              </w:rPr>
              <w:t xml:space="preserve">3、统计分析：系统可以统计数据库、敏感表、敏感列、数据库类型等信息</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系统可以统计终端访问、脱敏字段、资产访问等信息，并以TOP5方式进行展现</w:t>
            </w:r>
            <w:r>
              <w:rPr>
                <w:rFonts w:hint="eastAsia" w:ascii="宋体" w:hAnsi="宋体" w:cs="宋体"/>
                <w:color w:val="auto"/>
                <w:sz w:val="21"/>
                <w:szCs w:val="21"/>
                <w:highlight w:val="none"/>
                <w:lang w:eastAsia="zh-CN"/>
              </w:rPr>
              <w:t xml:space="preserve">；</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数据兼容性支持：支持oracle、mysql、sqlserver、postgre、mariadb、hana、informix、clickhouse、sybaseASE、sybaseIQ、dm、kingbase、gbase8a、gbase8s、highgo、oscar、greenplum、teledb、Gbase_8c、KaiwuDB、Doris、DB2、行云、cirrodata、alisql、tdsql、hive、hbase等国内外主流数据库。</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5、数据源管理：系统支持数据库资产的连通性测试</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系统支持按资产名检索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系统支持ORACLE RAC的数据脱敏</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系统支持MYSQL读写分离的数据脱敏</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支持Mysql ssl加密链路的解析和脱敏</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支持Mysql压缩传输协议的解析和脱敏</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支持对数据库的资产按照分组的方式进行管理</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6、资产状态：支持对资产内的资产信息进行统计，统计数据包含敏感表统计、敏感列统计</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支持查看资产的敏感数据发现结果。</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7、分类分级：支持分类分级关联敏感规则创建分类分级模板</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支持分类分级导入，同时支持手动创建，支持分类分级增加修改删除等功能。</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8、敏感数据智能发现：系统内置至少20类预定义敏感数据智能发现规则</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支持自定义扩展敏感数据特征，新扩展的敏感数据特征可以通过数据发现功能进行识别</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支持敏感数据的自动发现能力，能对姓名、地址、电话、手机号、身份证、统一信用代码、银行卡号等20种敏感信息智能识别</w:t>
            </w:r>
            <w:r>
              <w:rPr>
                <w:rFonts w:hint="eastAsia" w:ascii="宋体" w:hAnsi="宋体" w:cs="宋体"/>
                <w:color w:val="auto"/>
                <w:sz w:val="21"/>
                <w:szCs w:val="21"/>
                <w:highlight w:val="none"/>
                <w:lang w:eastAsia="zh-CN"/>
              </w:rPr>
              <w:t xml:space="preserve">； </w:t>
            </w:r>
            <w:r>
              <w:rPr>
                <w:rFonts w:hint="eastAsia" w:ascii="宋体" w:hAnsi="宋体" w:cs="宋体"/>
                <w:color w:val="auto"/>
                <w:sz w:val="21"/>
                <w:szCs w:val="21"/>
                <w:highlight w:val="none"/>
              </w:rPr>
              <w:t xml:space="preserve">系统支持数据字典功能，满足个性化敏感数据发现需求。</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9、脱敏算法支持：系统内置一些常用的算法类型，包括遮蔽脱敏、随机替换等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内置脱敏算法总数不少于60种</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支持添加自定义脱敏算法，满足客户对脱敏效果的个性化需求</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支持复杂SQL请求的脱敏，包含但不限于：select *，嵌套和多层嵌套，连接（左连接、右连接、内连接）查询，比较查询、模糊查询、范围查询、分组查询等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支持Mysql的SSL证书导入，支持采用SSL连接的脱敏。</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10、脱敏规则：支持通过敏感特征，批量生成脱敏规则</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以SQL改写为核心的脱敏模式，用户可以定义精确脱敏规则</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以结果集改写为核心的脱敏模式，用户可以定义模糊脱敏规则</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API脱敏：支持对API接口调用数据进行脱敏</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支持脱敏规则导入导出（数据发现规则、脱敏算法、脱敏规则）</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11、部署方式：支持反向代理和透明代理的部署方式</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脱敏系统无需在数据源安装任何代理程序，针对数据库环境仅通过JDBC数据接口配置。</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12、支持集群部署模式，且不需要额外的负载均衡设备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管理端支持HA主备模式，主管理端宕机后，可以自动切换到备机并进行接管，主备之间保持配置同步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系统支持bypass功能，避免单点故障。</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13、系统支持通过对授权用户给予不同的安全角色，赋予授权用户不同的访问权限，并且安全角色之间相互制约，重要功能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如用户/权限管理、审计记录管理、数据脱敏任务管理和对敏感数据进行操作</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应由不同用户执行</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支持对每个管理员设置不同的管理权限，权限颗粒化设置，可有效的控制权限粒度，减少管理员误操作风险。</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五年7*24小时响应，4小时内到达现场</w:t>
            </w:r>
            <w:r/>
          </w:p>
        </w:tc>
      </w:tr>
    </w:tbl>
    <w:p>
      <w:pPr>
        <w:pStyle w:val="853"/>
        <w:ind w:firstLine="420"/>
        <w:rPr>
          <w:rFonts w:ascii="宋体" w:hAnsi="宋体"/>
          <w:color w:val="auto"/>
          <w:sz w:val="21"/>
          <w:szCs w:val="21"/>
          <w:highlight w:val="none"/>
        </w:rPr>
      </w:pPr>
      <w:r>
        <w:rPr>
          <w:rFonts w:ascii="宋体" w:hAnsi="宋体"/>
          <w:color w:val="auto"/>
          <w:sz w:val="21"/>
          <w:szCs w:val="21"/>
          <w:highlight w:val="none"/>
        </w:rPr>
        <w:t xml:space="preserve">6.1.1.</w:t>
      </w:r>
      <w:r>
        <w:rPr>
          <w:rFonts w:hint="eastAsia" w:ascii="宋体" w:hAnsi="宋体"/>
          <w:color w:val="auto"/>
          <w:sz w:val="21"/>
          <w:szCs w:val="21"/>
          <w:highlight w:val="none"/>
        </w:rPr>
        <w:t xml:space="preserve">4、密码安全</w:t>
      </w:r>
      <w:r/>
    </w:p>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全密码服务平台</w:t>
      </w:r>
      <w:r/>
    </w:p>
    <w:tbl>
      <w:tblPr>
        <w:tblStyle w:val="841"/>
        <w:tblW w:w="5577" w:type="pct"/>
        <w:jc w:val="center"/>
        <w:tblLayout w:type="autofit"/>
        <w:tblCellMar>
          <w:left w:w="108" w:type="dxa"/>
          <w:top w:w="0" w:type="dxa"/>
          <w:right w:w="108" w:type="dxa"/>
          <w:bottom w:w="0" w:type="dxa"/>
        </w:tblCellMar>
        <w:tblLook w:val="04A0" w:firstRow="1" w:lastRow="0" w:firstColumn="1" w:lastColumn="0" w:noHBand="0" w:noVBand="1"/>
      </w:tblPr>
      <w:tblGrid>
        <w:gridCol w:w="1505"/>
        <w:gridCol w:w="8094"/>
      </w:tblGrid>
      <w:tr>
        <w:trPr>
          <w:jc w:val="center"/>
          <w:trHeight w:val="295"/>
        </w:trPr>
        <w:tc>
          <w:tcPr>
            <w:shd w:val="clear" w:color="auto" w:fill="d7d7d7" w:themeFill="background1" w:themeFillShade="D8"/>
            <w:tcBorders>
              <w:top w:val="single" w:color="000000" w:sz="8" w:space="0"/>
              <w:left w:val="single" w:color="000000" w:sz="8" w:space="0"/>
              <w:bottom w:val="single" w:color="000000" w:sz="8" w:space="0"/>
              <w:right w:val="single" w:color="000000" w:sz="8" w:space="0"/>
            </w:tcBorders>
            <w:tcW w:w="784" w:type="pct"/>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lang w:bidi="ar"/>
              </w:rPr>
              <w:t xml:space="preserve">指标项</w:t>
            </w:r>
            <w:r/>
          </w:p>
        </w:tc>
        <w:tc>
          <w:tcPr>
            <w:shd w:val="clear" w:color="auto" w:fill="d7d7d7" w:themeFill="background1" w:themeFillShade="D8"/>
            <w:tcBorders>
              <w:top w:val="single" w:color="000000" w:sz="8" w:space="0"/>
              <w:left w:val="none" w:color="000000" w:sz="4" w:space="0"/>
              <w:bottom w:val="single" w:color="000000" w:sz="8" w:space="0"/>
              <w:right w:val="single" w:color="000000" w:sz="8" w:space="0"/>
            </w:tcBorders>
            <w:tcW w:w="4216" w:type="pct"/>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lang w:bidi="ar"/>
              </w:rPr>
              <w:t xml:space="preserve">技术规格及参数</w:t>
            </w:r>
            <w:r/>
          </w:p>
        </w:tc>
      </w:tr>
      <w:tr>
        <w:trPr>
          <w:jc w:val="center"/>
          <w:trHeight w:val="5440"/>
        </w:trPr>
        <w:tc>
          <w:tcPr>
            <w:shd w:val="clear" w:color="auto" w:fill="auto"/>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lang w:bidi="ar"/>
              </w:rPr>
              <w:t xml:space="preserve">全密码服务平台</w:t>
            </w:r>
            <w:r/>
          </w:p>
        </w:tc>
        <w:tc>
          <w:tcPr>
            <w:shd w:val="clear" w:color="auto" w:fill="auto"/>
            <w:tcBorders>
              <w:top w:val="single" w:color="000000" w:sz="4" w:space="0"/>
              <w:left w:val="single" w:color="000000" w:sz="4" w:space="0"/>
              <w:bottom w:val="single" w:color="000000" w:sz="4" w:space="0"/>
              <w:right w:val="single" w:color="000000" w:sz="4" w:space="0"/>
            </w:tcBorders>
            <w:tcW w:w="4216" w:type="pct"/>
            <w:vAlign w:val="center"/>
            <w:textDirection w:val="lrTb"/>
            <w:noWrap w:val="false"/>
          </w:tcPr>
          <w:p>
            <w:pPr>
              <w:spacing w:line="360" w:lineRule="auto"/>
              <w:rPr>
                <w:rFonts w:hint="eastAsia" w:asciiTheme="minorEastAsia" w:hAnsiTheme="minorEastAsia" w:eastAsiaTheme="minorEastAsia"/>
                <w:color w:val="auto"/>
                <w:sz w:val="21"/>
                <w:szCs w:val="21"/>
                <w:highlight w:val="none"/>
                <w:lang w:eastAsia="zh-CN" w:bidi="ar"/>
              </w:rPr>
            </w:pPr>
            <w:r>
              <w:rPr>
                <w:rFonts w:hint="eastAsia" w:cs="宋体" w:asciiTheme="minorEastAsia" w:hAnsiTheme="minorEastAsia"/>
                <w:color w:val="auto"/>
                <w:sz w:val="21"/>
                <w:szCs w:val="21"/>
                <w:highlight w:val="none"/>
                <w:lang w:bidi="ar"/>
              </w:rPr>
              <w:t xml:space="preserve">密码安全服务管理平台是基于微服务技术的密码中台产品，为用户提供统一的密码服务、密钥管理、密码设备运维管理、密码资源权限管理及平台管理人员统一身份认证，以及密码设备及业务的数据监控和态势感知。</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1、软件要求：支持在裸服务器、虚拟机、私有云、公有云环境运行</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软件部署环境为国产化操作系统、CPU和数据库。</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2、能够对接本次项目中的云服务器密码机、数字证书服务，无需二次开发即可对接</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3、平台支持双因素认证登录（用户名口令+证书、证书+动态口令、用户名口令+证书+动态口令）。</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4、租户独立管理自有VPC</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密码资源、应用、服务、设备</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5、资源池管理中，支持应用密码一体机宿主机管理，支持一体机分层管理（镜像、设备）。</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6、支持云产品数据源管理，支持更新数据源</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支持上传、下发、更新、删除镜像</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7、支持双活、集群、负载均衡等部署方式，支持计算一体化资源、服务、密码资源的横向扩展</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8、平台与云密码机兼容认证证书（不少于3家）</w:t>
            </w:r>
            <w:r>
              <w:rPr>
                <w:rFonts w:hint="eastAsia" w:cs="宋体" w:asciiTheme="minorEastAsia" w:hAnsiTheme="minorEastAsia"/>
                <w:color w:val="auto"/>
                <w:sz w:val="21"/>
                <w:szCs w:val="21"/>
                <w:highlight w:val="none"/>
                <w:lang w:eastAsia="zh-CN" w:bidi="ar"/>
              </w:rPr>
              <w:t xml:space="preserve">；</w:t>
            </w:r>
            <w:r/>
          </w:p>
          <w:p>
            <w:pPr>
              <w:pStyle w:val="889"/>
              <w:ind w:left="0" w:firstLine="0"/>
              <w:jc w:val="left"/>
              <w:rPr>
                <w:rFonts w:cs="宋体" w:asciiTheme="minorEastAsia" w:hAnsiTheme="minorEastAsia" w:eastAsiaTheme="minorEastAsia"/>
                <w:color w:val="auto"/>
                <w:sz w:val="21"/>
                <w:szCs w:val="21"/>
                <w:highlight w:val="none"/>
                <w:lang w:bidi="ar"/>
              </w:rPr>
            </w:pPr>
            <w:r>
              <w:rPr>
                <w:rFonts w:hint="eastAsia" w:cs="宋体" w:asciiTheme="minorEastAsia" w:hAnsiTheme="minorEastAsia" w:eastAsiaTheme="minorEastAsia"/>
                <w:color w:val="auto"/>
                <w:sz w:val="21"/>
                <w:szCs w:val="21"/>
                <w:highlight w:val="none"/>
                <w:lang w:bidi="ar"/>
              </w:rPr>
              <w:t xml:space="preserve">9、深度参与采购人密评全流程配合工作，提供以下免费技术支撑，</w:t>
            </w:r>
            <w:r>
              <w:rPr>
                <w:rFonts w:hint="eastAsia" w:cs="宋体" w:asciiTheme="minorEastAsia" w:hAnsiTheme="minorEastAsia" w:eastAsiaTheme="minorEastAsia"/>
                <w:color w:val="auto"/>
                <w:sz w:val="21"/>
                <w:szCs w:val="21"/>
                <w:highlight w:val="none"/>
                <w:lang w:val="en-US" w:eastAsia="zh-CN" w:bidi="ar"/>
              </w:rPr>
              <w:t xml:space="preserve">出具密评报告</w:t>
            </w:r>
            <w:r>
              <w:rPr>
                <w:rFonts w:hint="eastAsia" w:cs="宋体" w:asciiTheme="minorEastAsia" w:hAnsiTheme="minorEastAsia" w:eastAsiaTheme="minorEastAsia"/>
                <w:color w:val="auto"/>
                <w:sz w:val="21"/>
                <w:szCs w:val="21"/>
                <w:highlight w:val="none"/>
                <w:lang w:bidi="ar"/>
              </w:rPr>
              <w:t xml:space="preserve">：</w:t>
            </w:r>
            <w:r/>
          </w:p>
          <w:p>
            <w:pPr>
              <w:pStyle w:val="889"/>
              <w:ind w:left="0" w:firstLine="0"/>
              <w:jc w:val="left"/>
              <w:rPr>
                <w:rFonts w:hint="eastAsia" w:cs="宋体" w:asciiTheme="minorEastAsia" w:hAnsiTheme="minorEastAsia" w:eastAsiaTheme="minorEastAsia"/>
                <w:color w:val="auto"/>
                <w:sz w:val="21"/>
                <w:szCs w:val="21"/>
                <w:highlight w:val="none"/>
                <w:lang w:eastAsia="zh-CN" w:bidi="ar"/>
              </w:rPr>
            </w:pPr>
            <w:r>
              <w:rPr>
                <w:rFonts w:hint="eastAsia" w:cs="宋体" w:asciiTheme="minorEastAsia" w:hAnsiTheme="minorEastAsia" w:eastAsiaTheme="minorEastAsia"/>
                <w:color w:val="auto"/>
                <w:sz w:val="21"/>
                <w:szCs w:val="21"/>
                <w:highlight w:val="none"/>
                <w:lang w:bidi="ar"/>
              </w:rPr>
              <w:t xml:space="preserve">负责本项目密码设备的部署、策略配置、联调及性能调优</w:t>
            </w:r>
            <w:r>
              <w:rPr>
                <w:rFonts w:hint="eastAsia" w:cs="宋体" w:asciiTheme="minorEastAsia" w:hAnsiTheme="minorEastAsia" w:eastAsiaTheme="minorEastAsia"/>
                <w:color w:val="auto"/>
                <w:sz w:val="21"/>
                <w:szCs w:val="21"/>
                <w:highlight w:val="none"/>
                <w:lang w:eastAsia="zh-CN" w:bidi="ar"/>
              </w:rPr>
              <w:t xml:space="preserve">；</w:t>
            </w:r>
            <w:r/>
          </w:p>
          <w:p>
            <w:pPr>
              <w:pStyle w:val="889"/>
              <w:ind w:left="0" w:firstLine="0"/>
              <w:jc w:val="left"/>
              <w:rPr>
                <w:rFonts w:hint="eastAsia" w:cs="宋体" w:asciiTheme="minorEastAsia" w:hAnsiTheme="minorEastAsia" w:eastAsiaTheme="minorEastAsia"/>
                <w:color w:val="auto"/>
                <w:sz w:val="21"/>
                <w:szCs w:val="21"/>
                <w:highlight w:val="none"/>
                <w:lang w:eastAsia="zh-CN" w:bidi="ar"/>
              </w:rPr>
            </w:pPr>
            <w:r>
              <w:rPr>
                <w:rFonts w:hint="eastAsia" w:cs="宋体" w:asciiTheme="minorEastAsia" w:hAnsiTheme="minorEastAsia" w:eastAsiaTheme="minorEastAsia"/>
                <w:color w:val="auto"/>
                <w:sz w:val="21"/>
                <w:szCs w:val="21"/>
                <w:highlight w:val="none"/>
                <w:lang w:bidi="ar"/>
              </w:rPr>
              <w:t xml:space="preserve">负责编制本项目相关的密码应用方案、密钥管理方案、密评支撑材料</w:t>
            </w:r>
            <w:r>
              <w:rPr>
                <w:rFonts w:hint="eastAsia" w:cs="宋体" w:asciiTheme="minorEastAsia" w:hAnsiTheme="minorEastAsia" w:eastAsiaTheme="minorEastAsia"/>
                <w:color w:val="auto"/>
                <w:sz w:val="21"/>
                <w:szCs w:val="21"/>
                <w:highlight w:val="none"/>
                <w:lang w:eastAsia="zh-CN" w:bidi="ar"/>
              </w:rPr>
              <w:t xml:space="preserve">；</w:t>
            </w:r>
            <w:r/>
          </w:p>
          <w:p>
            <w:pPr>
              <w:pStyle w:val="889"/>
              <w:ind w:left="0" w:firstLine="0"/>
              <w:jc w:val="left"/>
              <w:rPr>
                <w:rFonts w:hint="eastAsia" w:cs="宋体" w:asciiTheme="minorEastAsia" w:hAnsiTheme="minorEastAsia" w:eastAsiaTheme="minorEastAsia"/>
                <w:color w:val="auto"/>
                <w:sz w:val="21"/>
                <w:szCs w:val="21"/>
                <w:highlight w:val="none"/>
                <w:lang w:eastAsia="zh-CN" w:bidi="ar"/>
              </w:rPr>
            </w:pPr>
            <w:r>
              <w:rPr>
                <w:rFonts w:hint="eastAsia" w:cs="宋体" w:asciiTheme="minorEastAsia" w:hAnsiTheme="minorEastAsia" w:eastAsiaTheme="minorEastAsia"/>
                <w:color w:val="auto"/>
                <w:sz w:val="21"/>
                <w:szCs w:val="21"/>
                <w:highlight w:val="none"/>
                <w:lang w:bidi="ar"/>
              </w:rPr>
              <w:t xml:space="preserve">负责密评现场测评的技术应答、证据提供和质询解释</w:t>
            </w:r>
            <w:r>
              <w:rPr>
                <w:rFonts w:hint="eastAsia" w:cs="宋体" w:asciiTheme="minorEastAsia" w:hAnsiTheme="minorEastAsia" w:eastAsiaTheme="minorEastAsia"/>
                <w:color w:val="auto"/>
                <w:sz w:val="21"/>
                <w:szCs w:val="21"/>
                <w:highlight w:val="none"/>
                <w:lang w:eastAsia="zh-CN" w:bidi="ar"/>
              </w:rPr>
              <w:t xml:space="preserve">；</w:t>
            </w:r>
            <w:r/>
          </w:p>
          <w:p>
            <w:pPr>
              <w:pStyle w:val="889"/>
              <w:ind w:left="0" w:firstLine="0"/>
              <w:jc w:val="left"/>
              <w:rPr>
                <w:rFonts w:hint="eastAsia" w:asciiTheme="minorEastAsia" w:hAnsiTheme="minorEastAsia" w:eastAsiaTheme="minorEastAsia"/>
                <w:color w:val="auto"/>
                <w:highlight w:val="none"/>
                <w:lang w:eastAsia="zh-CN"/>
              </w:rPr>
            </w:pPr>
            <w:r>
              <w:rPr>
                <w:rFonts w:hint="eastAsia" w:cs="宋体" w:asciiTheme="minorEastAsia" w:hAnsiTheme="minorEastAsia" w:eastAsiaTheme="minorEastAsia"/>
                <w:color w:val="auto"/>
                <w:sz w:val="21"/>
                <w:szCs w:val="21"/>
                <w:highlight w:val="none"/>
                <w:lang w:bidi="ar"/>
              </w:rPr>
              <w:t xml:space="preserve">负责提供与存量业务系统、第三方对接系统的国密改造联调配合，包括提供标准SDK、API接口文档及必要的联调技术支持</w:t>
            </w:r>
            <w:r>
              <w:rPr>
                <w:rFonts w:hint="eastAsia" w:cs="宋体" w:asciiTheme="minorEastAsia" w:hAnsiTheme="minorEastAsia" w:eastAsiaTheme="minorEastAsia"/>
                <w:color w:val="auto"/>
                <w:sz w:val="21"/>
                <w:szCs w:val="21"/>
                <w:highlight w:val="none"/>
                <w:lang w:eastAsia="zh-CN" w:bidi="ar"/>
              </w:rPr>
              <w:t xml:space="preserve">；</w:t>
            </w:r>
            <w:r/>
          </w:p>
          <w:p>
            <w:pPr>
              <w:pStyle w:val="889"/>
              <w:ind w:left="0" w:firstLine="0"/>
              <w:jc w:val="left"/>
              <w:rPr>
                <w:color w:val="auto"/>
                <w:highlight w:val="none"/>
              </w:rPr>
            </w:pPr>
            <w:r>
              <w:rPr>
                <w:rFonts w:hint="eastAsia" w:cs="宋体" w:asciiTheme="minorEastAsia" w:hAnsiTheme="minorEastAsia" w:eastAsiaTheme="minorEastAsia"/>
                <w:color w:val="auto"/>
                <w:sz w:val="21"/>
                <w:szCs w:val="21"/>
                <w:highlight w:val="none"/>
              </w:rPr>
              <w:t xml:space="preserve">10、五年7*24小时响应，4小时内到达现场。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SSL安全网关</w:t>
      </w:r>
      <w:r/>
    </w:p>
    <w:tbl>
      <w:tblPr>
        <w:tblStyle w:val="841"/>
        <w:tblW w:w="5585" w:type="pct"/>
        <w:jc w:val="center"/>
        <w:tblLayout w:type="autofit"/>
        <w:tblCellMar>
          <w:left w:w="108" w:type="dxa"/>
          <w:top w:w="0" w:type="dxa"/>
          <w:right w:w="108" w:type="dxa"/>
          <w:bottom w:w="0" w:type="dxa"/>
        </w:tblCellMar>
        <w:tblLook w:val="04A0" w:firstRow="1" w:lastRow="0" w:firstColumn="1" w:lastColumn="0" w:noHBand="0" w:noVBand="1"/>
      </w:tblPr>
      <w:tblGrid>
        <w:gridCol w:w="1513"/>
        <w:gridCol w:w="8100"/>
      </w:tblGrid>
      <w:tr>
        <w:trPr>
          <w:jc w:val="center"/>
          <w:trHeight w:val="735"/>
        </w:trPr>
        <w:tc>
          <w:tcPr>
            <w:shd w:val="clear" w:color="auto" w:fill="d7d7d7" w:themeFill="background1" w:themeFillShade="D8"/>
            <w:tcBorders>
              <w:top w:val="single" w:color="000000" w:sz="8" w:space="0"/>
              <w:left w:val="single" w:color="000000" w:sz="8" w:space="0"/>
              <w:bottom w:val="single" w:color="000000" w:sz="8" w:space="0"/>
              <w:right w:val="single" w:color="000000" w:sz="8" w:space="0"/>
            </w:tcBorders>
            <w:tcW w:w="787" w:type="pct"/>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lang w:bidi="ar"/>
              </w:rPr>
              <w:t xml:space="preserve">指标项</w:t>
            </w:r>
            <w:r/>
          </w:p>
        </w:tc>
        <w:tc>
          <w:tcPr>
            <w:shd w:val="clear" w:color="auto" w:fill="d7d7d7" w:themeFill="background1" w:themeFillShade="D8"/>
            <w:tcBorders>
              <w:top w:val="single" w:color="000000" w:sz="8" w:space="0"/>
              <w:left w:val="none" w:color="000000" w:sz="4" w:space="0"/>
              <w:bottom w:val="single" w:color="000000" w:sz="8" w:space="0"/>
              <w:right w:val="single" w:color="000000" w:sz="8" w:space="0"/>
            </w:tcBorders>
            <w:tcW w:w="4213" w:type="pct"/>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lang w:bidi="ar"/>
              </w:rPr>
              <w:t xml:space="preserve">技术规格及参数</w:t>
            </w:r>
            <w:r/>
          </w:p>
        </w:tc>
      </w:tr>
      <w:tr>
        <w:trPr>
          <w:jc w:val="center"/>
          <w:trHeight w:val="4168"/>
        </w:trPr>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lang w:bidi="ar"/>
              </w:rPr>
              <w:t xml:space="preserve">SSL安全网关</w:t>
            </w:r>
            <w:r/>
          </w:p>
        </w:tc>
        <w:tc>
          <w:tcPr>
            <w:shd w:val="clear" w:color="auto" w:fill="auto"/>
            <w:tcBorders>
              <w:top w:val="single" w:color="000000" w:sz="4" w:space="0"/>
              <w:left w:val="single" w:color="000000" w:sz="4" w:space="0"/>
              <w:bottom w:val="single" w:color="000000" w:sz="4" w:space="0"/>
              <w:right w:val="single" w:color="000000" w:sz="4" w:space="0"/>
            </w:tcBorders>
            <w:tcW w:w="4213" w:type="pct"/>
            <w:vAlign w:val="center"/>
            <w:textDirection w:val="lrTb"/>
            <w:noWrap w:val="false"/>
          </w:tcPr>
          <w:p>
            <w:pPr>
              <w:spacing w:line="360" w:lineRule="auto"/>
              <w:rPr>
                <w:rFonts w:asciiTheme="minorEastAsia" w:hAnsiTheme="minorEastAsia"/>
                <w:color w:val="auto"/>
                <w:sz w:val="21"/>
                <w:szCs w:val="21"/>
                <w:highlight w:val="none"/>
                <w:lang w:bidi="ar"/>
              </w:rPr>
            </w:pPr>
            <w:r>
              <w:rPr>
                <w:rFonts w:hint="eastAsia" w:cs="宋体" w:asciiTheme="minorEastAsia" w:hAnsiTheme="minorEastAsia"/>
                <w:color w:val="auto"/>
                <w:sz w:val="21"/>
                <w:szCs w:val="21"/>
                <w:highlight w:val="none"/>
                <w:lang w:bidi="ar"/>
              </w:rPr>
              <w:t xml:space="preserve">为业务用户提供安全接入功能，与客户端之间建立安全SSL隧道，实现通信身份鉴别、数据加解密和完整性保护服务实现PC端到系统服务端之间数据传输机密性、完整性保护</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为数据传输建立安全通道</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1、硬件要求：标准2U设备，双电源，国产化操作系统，国产化CPU≥8核16线程，硬盘≥1T，内存≥16G，千兆电口≥6个，千兆光口≥4个</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2、性能要求：SSL吞吐率（国密）≥6Gbps</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SSL每秒新建连接数（国密）≥10K</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SSL并发连接数（国密）≥0.5M</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3、算法要求：支持SM2、SM3、SM4、RSA2048、SHA256、AES等算法</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支持TLS1.2、TLS1.3、SM2v1.1等SSL协议，支持开关指定SSL协议</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4、为满足现有网络环境的接入要求，所投产品需支持端口聚合、二层VLAN和VXLAN，以及MNET子接口等接口接入要求</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支持Bridge桥功能，支持应用流量过滤规则设置</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支持SPAN端口设置，支持基于五元组的过滤规则。</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5、支持独立带外管理口，管理路由表和业务路由表独立</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设备支持磁盘双分区，双分区可以来回切换，满足版本升级和回退要求。</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6、支持周期统计SSL握手成功数、失败数，并可明确失败业务的原因及对应失败数量。</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7、支持多租户模式，提供单台设备虚拟多个实，支持实例之间的网络隔离、密钥隔离、日志隔离、配置隔离、路由域隔离，支换单个实例具备独立的管理员配置体系。</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8、为方便运维，设备无需安装插件可通过WEB管理页面单点登录到命令行页面（OS命令行）</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无需安装辅助软件即可运行ping、Traceroute、域名解析、tcpdump、实况跟踪TCP调试、telnet、发送url（请求方式包括：GET、POST、PUT、DELETE等）等排错命令。</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9、设备需支持丰富的配置同步方式，包括但不限于：启动时配置同步、运行时配置同步、同步配置到对端、从对端同步配置、本地节点配置回滚、对端节点配置回滚等10、为方便日常运维，设备需支持丰富的配置同步方式，包括但不限于：启动配置回滚、对端节点配置回滚</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以及支持查看同步结果、同步差别等。</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11、WEB管理页面提供一键巡检功能（不少于日常、应急、深度巡检三种场景），可自动产生巡检报告，支持自定义手动及定时巡检。时配置同步、运行时配置同步、同步配置到对端、从对端同步配置。</w:t>
            </w:r>
            <w:r/>
          </w:p>
          <w:p>
            <w:pPr>
              <w:pStyle w:val="889"/>
              <w:ind w:left="0" w:firstLine="0"/>
              <w:jc w:val="left"/>
              <w:rPr>
                <w:color w:val="auto"/>
                <w:highlight w:val="none"/>
              </w:rPr>
            </w:pPr>
            <w:r>
              <w:rPr>
                <w:rFonts w:hint="eastAsia" w:cs="宋体" w:asciiTheme="minorEastAsia" w:hAnsiTheme="minorEastAsia" w:eastAsiaTheme="minorEastAsia"/>
                <w:color w:val="auto"/>
                <w:sz w:val="21"/>
                <w:szCs w:val="21"/>
                <w:highlight w:val="none"/>
              </w:rPr>
              <w:t xml:space="preserve">1</w:t>
            </w:r>
            <w:r>
              <w:rPr>
                <w:rFonts w:cs="宋体" w:asciiTheme="minorEastAsia" w:hAnsiTheme="minorEastAsia" w:eastAsiaTheme="minorEastAsia"/>
                <w:color w:val="auto"/>
                <w:sz w:val="21"/>
                <w:szCs w:val="21"/>
                <w:highlight w:val="none"/>
              </w:rPr>
              <w:t xml:space="preserve">2</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五年7*24小时响应，4小时内到达现场</w:t>
            </w:r>
            <w:r/>
          </w:p>
        </w:tc>
      </w:tr>
    </w:tbl>
    <w:p>
      <w:pPr>
        <w:ind w:left="42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云服务器密码机</w:t>
      </w:r>
      <w:r/>
    </w:p>
    <w:tbl>
      <w:tblPr>
        <w:tblStyle w:val="841"/>
        <w:tblW w:w="5585" w:type="pct"/>
        <w:jc w:val="center"/>
        <w:tblLayout w:type="autofit"/>
        <w:tblCellMar>
          <w:left w:w="108" w:type="dxa"/>
          <w:top w:w="0" w:type="dxa"/>
          <w:right w:w="108" w:type="dxa"/>
          <w:bottom w:w="0" w:type="dxa"/>
        </w:tblCellMar>
        <w:tblLook w:val="04A0" w:firstRow="1" w:lastRow="0" w:firstColumn="1" w:lastColumn="0" w:noHBand="0" w:noVBand="1"/>
      </w:tblPr>
      <w:tblGrid>
        <w:gridCol w:w="1513"/>
        <w:gridCol w:w="8100"/>
      </w:tblGrid>
      <w:tr>
        <w:trPr>
          <w:jc w:val="center"/>
          <w:trHeight w:val="735"/>
        </w:trPr>
        <w:tc>
          <w:tcPr>
            <w:shd w:val="clear" w:color="auto" w:fill="d7d7d7" w:themeFill="background1" w:themeFillShade="D8"/>
            <w:tcBorders>
              <w:top w:val="single" w:color="000000" w:sz="8" w:space="0"/>
              <w:left w:val="single" w:color="000000" w:sz="8" w:space="0"/>
              <w:bottom w:val="single" w:color="000000" w:sz="8" w:space="0"/>
              <w:right w:val="single" w:color="000000" w:sz="8" w:space="0"/>
            </w:tcBorders>
            <w:tcW w:w="787" w:type="pct"/>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lang w:bidi="ar"/>
              </w:rPr>
              <w:t xml:space="preserve">指标项</w:t>
            </w:r>
            <w:r/>
          </w:p>
        </w:tc>
        <w:tc>
          <w:tcPr>
            <w:shd w:val="clear" w:color="auto" w:fill="d7d7d7" w:themeFill="background1" w:themeFillShade="D8"/>
            <w:tcBorders>
              <w:top w:val="single" w:color="000000" w:sz="8" w:space="0"/>
              <w:left w:val="none" w:color="000000" w:sz="4" w:space="0"/>
              <w:bottom w:val="single" w:color="000000" w:sz="8" w:space="0"/>
              <w:right w:val="single" w:color="000000" w:sz="8" w:space="0"/>
            </w:tcBorders>
            <w:tcW w:w="4213" w:type="pct"/>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lang w:bidi="ar"/>
              </w:rPr>
              <w:t xml:space="preserve">技术规格及参数</w:t>
            </w:r>
            <w:r/>
          </w:p>
        </w:tc>
      </w:tr>
      <w:tr>
        <w:trPr>
          <w:jc w:val="center"/>
          <w:trHeight w:val="4692"/>
        </w:trPr>
        <w:tc>
          <w:tcPr>
            <w:shd w:val="clear" w:color="auto" w:fill="auto"/>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lang w:bidi="ar"/>
              </w:rPr>
              <w:t xml:space="preserve">云服务器密码机</w:t>
            </w:r>
            <w:r/>
          </w:p>
        </w:tc>
        <w:tc>
          <w:tcPr>
            <w:shd w:val="clear" w:color="auto" w:fill="auto"/>
            <w:tcBorders>
              <w:top w:val="single" w:color="000000" w:sz="4" w:space="0"/>
              <w:left w:val="single" w:color="000000" w:sz="4" w:space="0"/>
              <w:bottom w:val="single" w:color="000000" w:sz="4" w:space="0"/>
              <w:right w:val="single" w:color="000000" w:sz="4" w:space="0"/>
            </w:tcBorders>
            <w:tcW w:w="4213" w:type="pct"/>
            <w:vAlign w:val="center"/>
            <w:textDirection w:val="lrTb"/>
            <w:noWrap w:val="false"/>
          </w:tcPr>
          <w:p>
            <w:pPr>
              <w:spacing w:line="360" w:lineRule="auto"/>
              <w:rPr>
                <w:rFonts w:ascii="宋体" w:hAnsi="宋体"/>
                <w:color w:val="auto"/>
                <w:sz w:val="21"/>
                <w:szCs w:val="21"/>
                <w:highlight w:val="none"/>
                <w:lang w:bidi="ar"/>
              </w:rPr>
            </w:pPr>
            <w:r>
              <w:rPr>
                <w:rFonts w:hint="eastAsia" w:ascii="宋体" w:hAnsi="宋体" w:cs="宋体"/>
                <w:color w:val="auto"/>
                <w:sz w:val="21"/>
                <w:szCs w:val="21"/>
                <w:highlight w:val="none"/>
                <w:lang w:bidi="ar"/>
              </w:rPr>
              <w:t xml:space="preserve">云服务器密码机是满足GM/T0104-2021《云服务器密码机技术规范》的高性能虚拟化密码设备，提供密钥管理、加密解密和数字签名服务，支持国密和国际算法，深度融合云平台，确保数据安全性和合规性。</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1、硬件要求：标准2U设备，双电源，国产化操作系统，国产化CPU≥16核32线程，硬盘≥4T，内存≥64G，千兆电口≥6个</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2、性能要求：SM2密钥对生成≥178000对/秒，SM2签名速度≥240000TPS，SM2验签速度≥110000TPS，SM1加密速率≥5300Mbps，SM1解密速率≥5300Mbps，SM4加密速率≥15500Mbps，SM4解密速率≥15500Mbps，SM3摘要速率≥16300Mbps</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3、算法要求：支持SM1/2/3/4，支持抗量子算法</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Kybe、Dilithium、Falcon、SPHINCS</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4、支持多方协同签名、多方协同解密功能</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5、为了保护密码机自身安全</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设备需支持抗源路由攻击、抗⒕ND攻击、抗0lULL扫描、抗死亡之ping、抗smurf攻击、抗Queso攻击、抗圣诞树攻击、抗Winnuke攻击、抗sⅧ攻击、抗FIN扫描等安全防护功能</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6、支持在Web界面中展示当前宿主机所有虚拟实例数据</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显示名称、状态、内存和CPU、密码运算交易量、网络数据</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支持在Web界面中监控平均利用率、单核利用率、密码服务进程cpu使用率、ha进程cpu使用率、Java进程cpu使用率、syslog进程cpu使用率</w:t>
            </w:r>
            <w:r/>
          </w:p>
          <w:p>
            <w:pPr>
              <w:numPr>
                <w:ilvl w:val="0"/>
                <w:numId w:val="6"/>
              </w:numPr>
              <w:spacing w:line="360" w:lineRule="auto"/>
              <w:rPr>
                <w:rFonts w:ascii="宋体" w:hAnsi="宋体"/>
                <w:color w:val="auto"/>
                <w:sz w:val="21"/>
                <w:szCs w:val="21"/>
                <w:highlight w:val="none"/>
                <w:lang w:bidi="ar"/>
              </w:rPr>
            </w:pPr>
            <w:r>
              <w:rPr>
                <w:rFonts w:hint="eastAsia" w:ascii="宋体" w:hAnsi="宋体" w:cs="宋体"/>
                <w:color w:val="auto"/>
                <w:sz w:val="21"/>
                <w:szCs w:val="21"/>
                <w:highlight w:val="none"/>
                <w:lang w:bidi="ar"/>
              </w:rPr>
              <w:t xml:space="preserve">支持一键巡检功能，支持日常巡检、应急巡检、深度巡检三种模式，支持手动巡检、定时巡检</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可设定巡检周期与巡检方式，支持巡检报告在线查看、下载</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8、支持网络虚拟化能力，可实现对虚拟交换机的集中管控，并提供虚拟密码机、虚拟交换机及物理网络接口间拓扑关系的可视化功能，支持动态呈现网络架构与连接状态，便于管理员实施高效运维管理与实时监控</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9、支持多租户管理，可通过租户密码资源申请、密码资源审批和分配、租户与资源绑定映射等操作，实现多租户密码资源管理，支持云密码机宿主机和虚拟密码机设备管理配置，支持用户对多台虚拟密码机的集群管理。</w:t>
            </w:r>
            <w:r/>
          </w:p>
          <w:p>
            <w:pPr>
              <w:pStyle w:val="889"/>
              <w:ind w:left="0" w:firstLine="0"/>
              <w:rPr>
                <w:color w:val="auto"/>
                <w:highlight w:val="none"/>
              </w:rPr>
            </w:pPr>
            <w:r>
              <w:rPr>
                <w:rFonts w:hint="eastAsia" w:ascii="宋体" w:hAnsi="宋体" w:cs="宋体"/>
                <w:color w:val="auto"/>
                <w:sz w:val="21"/>
                <w:szCs w:val="21"/>
                <w:highlight w:val="none"/>
                <w:lang w:bidi="ar"/>
              </w:rPr>
              <w:t xml:space="preserve">10、</w:t>
            </w:r>
            <w:r>
              <w:rPr>
                <w:rFonts w:hint="eastAsia" w:ascii="宋体" w:hAnsi="宋体" w:eastAsia="宋体" w:cs="宋体"/>
                <w:color w:val="auto"/>
                <w:sz w:val="21"/>
                <w:szCs w:val="21"/>
                <w:highlight w:val="none"/>
                <w:lang w:bidi="ar"/>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视频安全网关</w:t>
      </w:r>
      <w:r/>
    </w:p>
    <w:tbl>
      <w:tblPr>
        <w:tblStyle w:val="841"/>
        <w:tblW w:w="5592" w:type="pct"/>
        <w:jc w:val="center"/>
        <w:tblLayout w:type="autofit"/>
        <w:tblCellMar>
          <w:left w:w="108" w:type="dxa"/>
          <w:top w:w="0" w:type="dxa"/>
          <w:right w:w="108" w:type="dxa"/>
          <w:bottom w:w="0" w:type="dxa"/>
        </w:tblCellMar>
        <w:tblLook w:val="04A0" w:firstRow="1" w:lastRow="0" w:firstColumn="1" w:lastColumn="0" w:noHBand="0" w:noVBand="1"/>
      </w:tblPr>
      <w:tblGrid>
        <w:gridCol w:w="1534"/>
        <w:gridCol w:w="8091"/>
      </w:tblGrid>
      <w:tr>
        <w:trPr>
          <w:jc w:val="center"/>
          <w:trHeight w:val="735"/>
        </w:trPr>
        <w:tc>
          <w:tcPr>
            <w:shd w:val="clear" w:color="auto" w:fill="d7d7d7" w:themeFill="background1" w:themeFillShade="D8"/>
            <w:tcBorders>
              <w:top w:val="single" w:color="000000" w:sz="8" w:space="0"/>
              <w:left w:val="single" w:color="000000" w:sz="8" w:space="0"/>
              <w:bottom w:val="single" w:color="000000" w:sz="8" w:space="0"/>
              <w:right w:val="single" w:color="000000" w:sz="8" w:space="0"/>
            </w:tcBorders>
            <w:tcW w:w="797" w:type="pct"/>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lang w:bidi="ar"/>
              </w:rPr>
              <w:t xml:space="preserve">指标项</w:t>
            </w:r>
            <w:r/>
          </w:p>
        </w:tc>
        <w:tc>
          <w:tcPr>
            <w:shd w:val="clear" w:color="auto" w:fill="d7d7d7" w:themeFill="background1" w:themeFillShade="D8"/>
            <w:tcBorders>
              <w:top w:val="single" w:color="000000" w:sz="8" w:space="0"/>
              <w:left w:val="none" w:color="000000" w:sz="4" w:space="0"/>
              <w:bottom w:val="single" w:color="000000" w:sz="8" w:space="0"/>
              <w:right w:val="single" w:color="000000" w:sz="8" w:space="0"/>
            </w:tcBorders>
            <w:tcW w:w="4203" w:type="pct"/>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lang w:bidi="ar"/>
              </w:rPr>
              <w:t xml:space="preserve">技术规格及参数</w:t>
            </w:r>
            <w:r/>
          </w:p>
        </w:tc>
      </w:tr>
      <w:tr>
        <w:trPr>
          <w:jc w:val="center"/>
          <w:trHeight w:val="890"/>
        </w:trPr>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lang w:bidi="ar"/>
              </w:rPr>
              <w:t xml:space="preserve">视频网关</w:t>
            </w:r>
            <w:r/>
          </w:p>
        </w:tc>
        <w:tc>
          <w:tcPr>
            <w:shd w:val="clear" w:color="auto" w:fill="auto"/>
            <w:tcBorders>
              <w:top w:val="single" w:color="000000" w:sz="4" w:space="0"/>
              <w:left w:val="single" w:color="000000" w:sz="4" w:space="0"/>
              <w:bottom w:val="single" w:color="000000" w:sz="4" w:space="0"/>
              <w:right w:val="single" w:color="000000" w:sz="4" w:space="0"/>
            </w:tcBorders>
            <w:tcW w:w="4203" w:type="pct"/>
            <w:vAlign w:val="center"/>
            <w:textDirection w:val="lrTb"/>
            <w:noWrap w:val="false"/>
          </w:tcPr>
          <w:p>
            <w:pPr>
              <w:spacing w:line="360" w:lineRule="auto"/>
              <w:rPr>
                <w:rFonts w:ascii="宋体" w:hAnsi="宋体"/>
                <w:color w:val="auto"/>
                <w:sz w:val="21"/>
                <w:szCs w:val="21"/>
                <w:highlight w:val="none"/>
                <w:lang w:bidi="ar"/>
              </w:rPr>
            </w:pPr>
            <w:r>
              <w:rPr>
                <w:rFonts w:hint="eastAsia" w:ascii="宋体" w:hAnsi="宋体" w:cs="宋体"/>
                <w:color w:val="auto"/>
                <w:sz w:val="21"/>
                <w:szCs w:val="21"/>
                <w:highlight w:val="none"/>
                <w:lang w:bidi="ar"/>
              </w:rPr>
              <w:t xml:space="preserve">满足物理和环境安全层面中视频监控数据存储完整性保护要求</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1、硬件要求：标准2U设备，冗余电源，国产化操作系统，国产化CPU≥8核16线程，内存≥16G，硬盘≥1THDDX1，国密卡，千兆电口≥6个、千兆光口≥4个</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2、性能要求：支持32路视像头</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3、支持SM2、SM3、SM4算法。</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4、支持先进的RAID（冗余阵列独立磁盘）技术，有效防止数据丢失，实现数据冗余和可靠性。</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5、提供视频流签名功能，能实现对视频关键帧进行数字签名并将签名结果插入视频流中保存在NVR，保证视频的完整性。</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6、提供视频数据加密功能，能实现对视频数据加密并将视频数据密文传输存储至视频存储设备</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NVR</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中，保证视频数据的机密性。</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7、视频解密网关支持对视频安全网关输出的加密视频进行解密，解密后授权用户可使用客户端或网页访问播放视频。</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8、提供不同协议视频取流设置功能。用户可通过勾选指定视频流协议，来指定对哪些协议的视频流做签名</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对哪些协议的视频流直接透传给NVR。</w:t>
            </w:r>
            <w:r/>
          </w:p>
          <w:p>
            <w:pPr>
              <w:pStyle w:val="889"/>
              <w:ind w:left="0" w:firstLine="0"/>
              <w:jc w:val="left"/>
              <w:rPr>
                <w:color w:val="auto"/>
                <w:highlight w:val="none"/>
              </w:rPr>
            </w:pPr>
            <w:r>
              <w:rPr>
                <w:rFonts w:hint="eastAsia" w:ascii="宋体" w:hAnsi="宋体" w:cs="宋体"/>
                <w:color w:val="auto"/>
                <w:sz w:val="21"/>
                <w:szCs w:val="21"/>
                <w:highlight w:val="none"/>
                <w:lang w:bidi="ar"/>
              </w:rPr>
              <w:t xml:space="preserve">9、</w:t>
            </w:r>
            <w:r>
              <w:rPr>
                <w:rFonts w:hint="eastAsia" w:ascii="宋体" w:hAnsi="宋体" w:eastAsia="宋体" w:cs="宋体"/>
                <w:color w:val="auto"/>
                <w:sz w:val="21"/>
                <w:szCs w:val="21"/>
                <w:highlight w:val="none"/>
                <w:lang w:bidi="ar"/>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数字证书认证系统</w:t>
      </w:r>
      <w:r/>
    </w:p>
    <w:tbl>
      <w:tblPr>
        <w:tblStyle w:val="841"/>
        <w:tblW w:w="5596" w:type="pct"/>
        <w:jc w:val="center"/>
        <w:tblLayout w:type="autofit"/>
        <w:tblCellMar>
          <w:left w:w="108" w:type="dxa"/>
          <w:top w:w="0" w:type="dxa"/>
          <w:right w:w="108" w:type="dxa"/>
          <w:bottom w:w="0" w:type="dxa"/>
        </w:tblCellMar>
        <w:tblLook w:val="04A0" w:firstRow="1" w:lastRow="0" w:firstColumn="1" w:lastColumn="0" w:noHBand="0" w:noVBand="1"/>
      </w:tblPr>
      <w:tblGrid>
        <w:gridCol w:w="1547"/>
        <w:gridCol w:w="8085"/>
      </w:tblGrid>
      <w:tr>
        <w:trPr>
          <w:jc w:val="center"/>
          <w:trHeight w:val="562"/>
        </w:trPr>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jc w:val="center"/>
              <w:spacing w:line="360" w:lineRule="auto"/>
              <w:widowControl w:val="off"/>
              <w:rPr>
                <w:rFonts w:ascii="宋体" w:hAnsi="宋体"/>
                <w:color w:val="auto"/>
                <w:sz w:val="21"/>
                <w:szCs w:val="21"/>
                <w:highlight w:val="none"/>
                <w:lang w:bidi="ar"/>
              </w:rPr>
            </w:pPr>
            <w:r>
              <w:rPr>
                <w:rFonts w:hint="eastAsia" w:ascii="宋体" w:hAnsi="宋体" w:cs="宋体"/>
                <w:b/>
                <w:bCs/>
                <w:color w:val="auto"/>
                <w:sz w:val="21"/>
                <w:szCs w:val="21"/>
                <w:highlight w:val="none"/>
              </w:rPr>
              <w:t xml:space="preserve">指标项</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7873" w:type="dxa"/>
            <w:vAlign w:val="center"/>
            <w:textDirection w:val="lrTb"/>
            <w:noWrap w:val="false"/>
          </w:tcPr>
          <w:p>
            <w:pPr>
              <w:spacing w:line="360" w:lineRule="auto"/>
              <w:widowControl w:val="off"/>
              <w:rPr>
                <w:rFonts w:asciiTheme="minorEastAsia" w:hAnsiTheme="minorEastAsia"/>
                <w:color w:val="auto"/>
                <w:sz w:val="21"/>
                <w:szCs w:val="21"/>
                <w:highlight w:val="none"/>
                <w:lang w:bidi="ar"/>
              </w:rPr>
            </w:pPr>
            <w:r>
              <w:rPr>
                <w:rFonts w:hint="eastAsia" w:cs="宋体" w:asciiTheme="minorEastAsia" w:hAnsiTheme="minorEastAsia"/>
                <w:b/>
                <w:bCs/>
                <w:color w:val="auto"/>
                <w:sz w:val="21"/>
                <w:szCs w:val="21"/>
                <w:highlight w:val="none"/>
              </w:rPr>
              <w:t xml:space="preserve">技术规格及参数</w:t>
            </w:r>
            <w:r/>
          </w:p>
        </w:tc>
      </w:tr>
      <w:tr>
        <w:trPr>
          <w:jc w:val="center"/>
          <w:trHeight w:val="4064"/>
        </w:trPr>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lang w:bidi="ar"/>
              </w:rPr>
              <w:t xml:space="preserve">数字证书服务</w:t>
            </w:r>
            <w:r/>
          </w:p>
        </w:tc>
        <w:tc>
          <w:tcPr>
            <w:shd w:val="clear" w:color="auto" w:fill="auto"/>
            <w:tcBorders>
              <w:top w:val="single" w:color="000000" w:sz="4" w:space="0"/>
              <w:left w:val="single" w:color="000000" w:sz="4" w:space="0"/>
              <w:bottom w:val="single" w:color="000000" w:sz="4" w:space="0"/>
              <w:right w:val="single" w:color="000000" w:sz="4" w:space="0"/>
            </w:tcBorders>
            <w:tcW w:w="7873" w:type="dxa"/>
            <w:vAlign w:val="center"/>
            <w:textDirection w:val="lrTb"/>
            <w:noWrap w:val="false"/>
          </w:tcPr>
          <w:p>
            <w:pPr>
              <w:spacing w:line="336" w:lineRule="auto"/>
              <w:rPr>
                <w:rFonts w:hint="eastAsia" w:asciiTheme="minorEastAsia" w:hAnsiTheme="minorEastAsia" w:eastAsiaTheme="minorEastAsia"/>
                <w:color w:val="auto"/>
                <w:sz w:val="21"/>
                <w:szCs w:val="21"/>
                <w:highlight w:val="none"/>
                <w:lang w:eastAsia="zh-CN" w:bidi="ar"/>
              </w:rPr>
            </w:pPr>
            <w:r>
              <w:rPr>
                <w:rFonts w:hint="eastAsia" w:cs="宋体" w:asciiTheme="minorEastAsia" w:hAnsiTheme="minorEastAsia"/>
                <w:color w:val="auto"/>
                <w:sz w:val="21"/>
                <w:szCs w:val="21"/>
                <w:highlight w:val="none"/>
                <w:lang w:bidi="ar"/>
              </w:rPr>
              <w:t xml:space="preserve">数字证书服务可配合移动认证服务器，为移动端用户提供数字证书下载服务，数字证书用于身份鉴别、签名验签和加解密等功能需求。</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1、硬件要求：标准1U设备，双电源，国产化操作系统，国产化CPU≥8核16线程，硬盘≥480G，内存≥8G，千兆电口≥6个，千兆光口≥4个</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2、性能要求：用户数≥500</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3、支持对接密码服务平台，实现移动端用户证书下载和更新服务</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4、结构包括证书签发系统CA、证书注册系统RA、目录服务系统。</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5、支持申请签名证书、SSL服务器证书、SCEP证书</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6、支持Ukey远程解锁</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7、支持查看/修改（停用/启用）远程服务</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8、支持SNMPv2/v3</w:t>
            </w:r>
            <w:r>
              <w:rPr>
                <w:rFonts w:hint="eastAsia" w:cs="宋体" w:asciiTheme="minorEastAsia" w:hAnsiTheme="minorEastAsia"/>
                <w:color w:val="auto"/>
                <w:sz w:val="21"/>
                <w:szCs w:val="21"/>
                <w:highlight w:val="none"/>
                <w:lang w:eastAsia="zh-CN" w:bidi="ar"/>
              </w:rPr>
              <w:t xml:space="preserve">；</w:t>
            </w:r>
            <w:r/>
          </w:p>
          <w:p>
            <w:pPr>
              <w:pStyle w:val="889"/>
              <w:ind w:left="0" w:firstLine="0"/>
              <w:jc w:val="left"/>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1"/>
                <w:szCs w:val="21"/>
                <w:highlight w:val="none"/>
                <w:lang w:bidi="ar"/>
              </w:rPr>
              <w:t xml:space="preserve">9、</w:t>
            </w:r>
            <w:r>
              <w:rPr>
                <w:rFonts w:hint="eastAsia" w:cs="宋体" w:asciiTheme="minorEastAsia" w:hAnsiTheme="minorEastAsia" w:eastAsiaTheme="minorEastAsia"/>
                <w:color w:val="auto"/>
                <w:sz w:val="21"/>
                <w:szCs w:val="21"/>
                <w:highlight w:val="none"/>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移动端认证模块</w:t>
      </w:r>
      <w:r/>
    </w:p>
    <w:tbl>
      <w:tblPr>
        <w:tblStyle w:val="841"/>
        <w:tblW w:w="5603" w:type="pct"/>
        <w:jc w:val="center"/>
        <w:tblLayout w:type="autofit"/>
        <w:tblCellMar>
          <w:left w:w="108" w:type="dxa"/>
          <w:top w:w="0" w:type="dxa"/>
          <w:right w:w="108" w:type="dxa"/>
          <w:bottom w:w="0" w:type="dxa"/>
        </w:tblCellMar>
        <w:tblLook w:val="04A0" w:firstRow="1" w:lastRow="0" w:firstColumn="1" w:lastColumn="0" w:noHBand="0" w:noVBand="1"/>
      </w:tblPr>
      <w:tblGrid>
        <w:gridCol w:w="1557"/>
        <w:gridCol w:w="8087"/>
      </w:tblGrid>
      <w:tr>
        <w:trPr>
          <w:jc w:val="center"/>
          <w:trHeight w:val="90"/>
        </w:trPr>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spacing w:line="360" w:lineRule="auto"/>
              <w:widowControl w:val="off"/>
              <w:rPr>
                <w:rFonts w:ascii="宋体" w:hAnsi="宋体"/>
                <w:b/>
                <w:bCs/>
                <w:color w:val="auto"/>
                <w:sz w:val="21"/>
                <w:szCs w:val="21"/>
                <w:highlight w:val="none"/>
              </w:rPr>
            </w:pPr>
            <w:r>
              <w:rPr>
                <w:rFonts w:hint="eastAsia" w:ascii="宋体" w:hAnsi="宋体" w:cs="宋体"/>
                <w:b/>
                <w:bCs/>
                <w:color w:val="auto"/>
                <w:sz w:val="21"/>
                <w:szCs w:val="21"/>
                <w:highlight w:val="none"/>
              </w:rPr>
              <w:t xml:space="preserve">指标项</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4193" w:type="pct"/>
            <w:vAlign w:val="center"/>
            <w:textDirection w:val="lrTb"/>
            <w:noWrap w:val="false"/>
          </w:tcPr>
          <w:p>
            <w:pPr>
              <w:spacing w:line="360" w:lineRule="auto"/>
              <w:widowControl w:val="off"/>
              <w:rPr>
                <w:rFonts w:asciiTheme="minorEastAsia" w:hAnsiTheme="minorEastAsia"/>
                <w:b/>
                <w:bCs/>
                <w:color w:val="auto"/>
                <w:sz w:val="21"/>
                <w:szCs w:val="21"/>
                <w:highlight w:val="none"/>
              </w:rPr>
            </w:pPr>
            <w:r>
              <w:rPr>
                <w:rFonts w:hint="eastAsia" w:cs="宋体" w:asciiTheme="minorEastAsia" w:hAnsiTheme="minorEastAsia"/>
                <w:b/>
                <w:bCs/>
                <w:color w:val="auto"/>
                <w:sz w:val="21"/>
                <w:szCs w:val="21"/>
                <w:highlight w:val="none"/>
              </w:rPr>
              <w:t xml:space="preserve">技术规格及参数</w:t>
            </w:r>
            <w:r/>
          </w:p>
        </w:tc>
      </w:tr>
      <w:tr>
        <w:trPr>
          <w:jc w:val="center"/>
          <w:trHeight w:val="2800"/>
        </w:trPr>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spacing w:line="360" w:lineRule="auto"/>
              <w:rPr>
                <w:rFonts w:ascii="宋体" w:hAnsi="宋体"/>
                <w:color w:val="auto"/>
                <w:sz w:val="21"/>
                <w:szCs w:val="21"/>
                <w:highlight w:val="none"/>
                <w:lang w:bidi="ar"/>
              </w:rPr>
            </w:pPr>
            <w:r>
              <w:rPr>
                <w:rFonts w:hint="eastAsia" w:ascii="宋体" w:hAnsi="宋体" w:cs="宋体"/>
                <w:color w:val="auto"/>
                <w:sz w:val="21"/>
                <w:szCs w:val="21"/>
                <w:highlight w:val="none"/>
                <w:lang w:bidi="ar"/>
              </w:rPr>
              <w:t xml:space="preserve">移动端认证模块</w:t>
            </w:r>
            <w:r/>
          </w:p>
        </w:tc>
        <w:tc>
          <w:tcPr>
            <w:shd w:val="clear" w:color="auto" w:fill="auto"/>
            <w:tcBorders>
              <w:top w:val="single" w:color="000000" w:sz="4" w:space="0"/>
              <w:left w:val="single" w:color="000000" w:sz="4" w:space="0"/>
              <w:bottom w:val="single" w:color="000000" w:sz="4" w:space="0"/>
              <w:right w:val="single" w:color="000000" w:sz="4" w:space="0"/>
            </w:tcBorders>
            <w:tcW w:w="4193" w:type="pct"/>
            <w:vAlign w:val="center"/>
            <w:textDirection w:val="lrTb"/>
            <w:noWrap w:val="false"/>
          </w:tcPr>
          <w:p>
            <w:pPr>
              <w:spacing w:line="360" w:lineRule="auto"/>
              <w:rPr>
                <w:rFonts w:asciiTheme="minorEastAsia" w:hAnsiTheme="minorEastAsia"/>
                <w:color w:val="auto"/>
                <w:sz w:val="21"/>
                <w:szCs w:val="21"/>
                <w:highlight w:val="none"/>
                <w:lang w:bidi="ar"/>
              </w:rPr>
            </w:pPr>
            <w:r>
              <w:rPr>
                <w:rFonts w:hint="eastAsia" w:cs="宋体" w:asciiTheme="minorEastAsia" w:hAnsiTheme="minorEastAsia"/>
                <w:color w:val="auto"/>
                <w:sz w:val="21"/>
                <w:szCs w:val="21"/>
                <w:highlight w:val="none"/>
                <w:lang w:bidi="ar"/>
              </w:rPr>
              <w:t xml:space="preserve">需与密码服务平台配合使用，提供数字证书的下载、管理、用户认证及数字签名功能</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提供用户管理、二维码扫码登录、扫码签名等功能。</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1.实现对证书的下载和管理功能</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2.实现对用户的管理功能</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3.二维码扫描认证、扫码签章、数字签章验证、数字证书认证、及数字签名功能</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4.密码软键盘</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5.威胁感知</w:t>
            </w:r>
            <w:r>
              <w:rPr>
                <w:rFonts w:hint="eastAsia" w:cs="宋体" w:asciiTheme="minorEastAsia" w:hAnsiTheme="minorEastAsia"/>
                <w:color w:val="auto"/>
                <w:sz w:val="21"/>
                <w:szCs w:val="21"/>
                <w:highlight w:val="none"/>
                <w:lang w:bidi="ar"/>
              </w:rPr>
              <w:br/>
            </w:r>
            <w:r>
              <w:rPr>
                <w:rFonts w:hint="eastAsia" w:cs="宋体" w:asciiTheme="minorEastAsia" w:hAnsiTheme="minorEastAsia"/>
                <w:color w:val="auto"/>
                <w:sz w:val="21"/>
                <w:szCs w:val="21"/>
                <w:highlight w:val="none"/>
                <w:lang w:bidi="ar"/>
              </w:rPr>
              <w:t xml:space="preserve">6.安全通信SSL</w:t>
            </w:r>
            <w:r/>
          </w:p>
          <w:p>
            <w:pPr>
              <w:pStyle w:val="889"/>
              <w:ind w:left="0" w:firstLine="0"/>
              <w:jc w:val="left"/>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1"/>
                <w:szCs w:val="21"/>
                <w:highlight w:val="none"/>
              </w:rPr>
              <w:t xml:space="preserve">7</w:t>
            </w:r>
            <w:r>
              <w:rPr>
                <w:rFonts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rPr>
              <w:t xml:space="preserve">五年7*24小时响应，4小时内到达现场</w:t>
            </w:r>
            <w:r/>
          </w:p>
        </w:tc>
      </w:tr>
    </w:tbl>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国密浏览器</w:t>
      </w:r>
      <w:r/>
    </w:p>
    <w:tbl>
      <w:tblPr>
        <w:tblStyle w:val="841"/>
        <w:tblW w:w="5603" w:type="pct"/>
        <w:jc w:val="center"/>
        <w:tblLayout w:type="autofit"/>
        <w:tblCellMar>
          <w:left w:w="108" w:type="dxa"/>
          <w:top w:w="0" w:type="dxa"/>
          <w:right w:w="108" w:type="dxa"/>
          <w:bottom w:w="0" w:type="dxa"/>
        </w:tblCellMar>
        <w:tblLook w:val="04A0" w:firstRow="1" w:lastRow="0" w:firstColumn="1" w:lastColumn="0" w:noHBand="0" w:noVBand="1"/>
      </w:tblPr>
      <w:tblGrid>
        <w:gridCol w:w="1557"/>
        <w:gridCol w:w="8087"/>
      </w:tblGrid>
      <w:tr>
        <w:trPr>
          <w:jc w:val="center"/>
          <w:trHeight w:val="90"/>
        </w:trPr>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spacing w:line="360" w:lineRule="auto"/>
              <w:widowControl w:val="off"/>
              <w:rPr>
                <w:rFonts w:ascii="宋体" w:hAnsi="宋体"/>
                <w:b/>
                <w:bCs/>
                <w:color w:val="auto"/>
                <w:sz w:val="21"/>
                <w:szCs w:val="21"/>
                <w:highlight w:val="none"/>
              </w:rPr>
            </w:pPr>
            <w:r>
              <w:rPr>
                <w:rFonts w:hint="eastAsia" w:ascii="宋体" w:hAnsi="宋体" w:cs="宋体"/>
                <w:b/>
                <w:bCs/>
                <w:color w:val="auto"/>
                <w:sz w:val="21"/>
                <w:szCs w:val="21"/>
                <w:highlight w:val="none"/>
              </w:rPr>
              <w:t xml:space="preserve">指标项</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4193" w:type="pct"/>
            <w:vAlign w:val="center"/>
            <w:textDirection w:val="lrTb"/>
            <w:noWrap w:val="false"/>
          </w:tcPr>
          <w:p>
            <w:pPr>
              <w:spacing w:line="360" w:lineRule="auto"/>
              <w:widowControl w:val="off"/>
              <w:rPr>
                <w:rFonts w:asciiTheme="minorEastAsia" w:hAnsiTheme="minorEastAsia"/>
                <w:b/>
                <w:bCs/>
                <w:color w:val="auto"/>
                <w:sz w:val="21"/>
                <w:szCs w:val="21"/>
                <w:highlight w:val="none"/>
              </w:rPr>
            </w:pPr>
            <w:r>
              <w:rPr>
                <w:rFonts w:hint="eastAsia" w:cs="宋体" w:asciiTheme="minorEastAsia" w:hAnsiTheme="minorEastAsia"/>
                <w:b/>
                <w:bCs/>
                <w:color w:val="auto"/>
                <w:sz w:val="21"/>
                <w:szCs w:val="21"/>
                <w:highlight w:val="none"/>
              </w:rPr>
              <w:t xml:space="preserve">技术规格及参数</w:t>
            </w:r>
            <w:r/>
          </w:p>
        </w:tc>
      </w:tr>
      <w:tr>
        <w:trPr>
          <w:jc w:val="center"/>
          <w:trHeight w:val="2800"/>
        </w:trPr>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spacing w:line="360" w:lineRule="auto"/>
              <w:rPr>
                <w:rFonts w:ascii="宋体" w:hAnsi="宋体"/>
                <w:color w:val="auto"/>
                <w:sz w:val="21"/>
                <w:szCs w:val="21"/>
                <w:highlight w:val="none"/>
                <w:lang w:bidi="ar"/>
              </w:rPr>
            </w:pPr>
            <w:r>
              <w:rPr>
                <w:rFonts w:hint="eastAsia" w:ascii="宋体" w:hAnsi="宋体" w:cs="宋体"/>
                <w:color w:val="auto"/>
                <w:sz w:val="21"/>
                <w:szCs w:val="21"/>
                <w:highlight w:val="none"/>
                <w:lang w:bidi="ar"/>
              </w:rPr>
              <w:t xml:space="preserve">国密浏览器</w:t>
            </w:r>
            <w:r/>
          </w:p>
        </w:tc>
        <w:tc>
          <w:tcPr>
            <w:shd w:val="clear" w:color="auto" w:fill="auto"/>
            <w:tcBorders>
              <w:top w:val="single" w:color="000000" w:sz="4" w:space="0"/>
              <w:left w:val="single" w:color="000000" w:sz="4" w:space="0"/>
              <w:bottom w:val="single" w:color="000000" w:sz="4" w:space="0"/>
              <w:right w:val="single" w:color="000000" w:sz="4" w:space="0"/>
            </w:tcBorders>
            <w:tcW w:w="4193" w:type="pct"/>
            <w:vAlign w:val="center"/>
            <w:textDirection w:val="lrTb"/>
            <w:noWrap w:val="false"/>
          </w:tcPr>
          <w:p>
            <w:pPr>
              <w:spacing w:line="360" w:lineRule="auto"/>
              <w:rPr>
                <w:rFonts w:asciiTheme="minorEastAsia" w:hAnsiTheme="minorEastAsia"/>
                <w:color w:val="auto"/>
                <w:sz w:val="21"/>
                <w:szCs w:val="21"/>
                <w:highlight w:val="none"/>
                <w:lang w:bidi="ar"/>
              </w:rPr>
            </w:pPr>
            <w:r>
              <w:rPr>
                <w:rFonts w:hint="eastAsia" w:cs="宋体" w:asciiTheme="minorEastAsia" w:hAnsiTheme="minorEastAsia"/>
                <w:color w:val="auto"/>
                <w:sz w:val="21"/>
                <w:szCs w:val="21"/>
                <w:highlight w:val="none"/>
                <w:lang w:bidi="ar"/>
              </w:rPr>
              <w:t xml:space="preserve">标准符合性：支持 GM/T 0024《SSL VPN 技术规范》国密 SSL 协议、GB/T 38636-2020《传输层密码协议（TLCP）》</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符合 GM/T 0028-2014《密码模块安全技术要求》安全等级第二级</w:t>
            </w:r>
            <w:r/>
          </w:p>
          <w:p>
            <w:pPr>
              <w:spacing w:line="360" w:lineRule="auto"/>
              <w:rPr>
                <w:rFonts w:asciiTheme="minorEastAsia" w:hAnsiTheme="minorEastAsia"/>
                <w:color w:val="auto"/>
                <w:sz w:val="21"/>
                <w:szCs w:val="21"/>
                <w:highlight w:val="none"/>
                <w:lang w:bidi="ar"/>
              </w:rPr>
            </w:pPr>
            <w:r>
              <w:rPr>
                <w:rFonts w:hint="eastAsia" w:cs="宋体" w:asciiTheme="minorEastAsia" w:hAnsiTheme="minorEastAsia"/>
                <w:color w:val="auto"/>
                <w:sz w:val="21"/>
                <w:szCs w:val="21"/>
                <w:highlight w:val="none"/>
                <w:lang w:bidi="ar"/>
              </w:rPr>
              <w:t xml:space="preserve">国密算法：支持 SM2/SM3/SM4 国密算法套件</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支持 SM2 双证书（签名+加密）</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支持基于 SM2 的数字证书及 CRL</w:t>
            </w:r>
            <w:r/>
          </w:p>
          <w:p>
            <w:pPr>
              <w:spacing w:line="360" w:lineRule="auto"/>
              <w:rPr>
                <w:rFonts w:asciiTheme="minorEastAsia" w:hAnsiTheme="minorEastAsia"/>
                <w:color w:val="auto"/>
                <w:sz w:val="21"/>
                <w:szCs w:val="21"/>
                <w:highlight w:val="none"/>
                <w:lang w:bidi="ar"/>
              </w:rPr>
            </w:pPr>
            <w:r>
              <w:rPr>
                <w:rFonts w:hint="eastAsia" w:cs="宋体" w:asciiTheme="minorEastAsia" w:hAnsiTheme="minorEastAsia"/>
                <w:color w:val="auto"/>
                <w:sz w:val="21"/>
                <w:szCs w:val="21"/>
                <w:highlight w:val="none"/>
                <w:lang w:bidi="ar"/>
              </w:rPr>
              <w:t xml:space="preserve">双协议栈：同时支持国密 SSL 协议 + 国际标准 TLS，支持 SSL 单向/双向链路</w:t>
            </w:r>
            <w:r/>
          </w:p>
          <w:p>
            <w:pPr>
              <w:spacing w:line="360" w:lineRule="auto"/>
              <w:rPr>
                <w:rFonts w:asciiTheme="minorEastAsia" w:hAnsiTheme="minorEastAsia"/>
                <w:color w:val="auto"/>
                <w:sz w:val="21"/>
                <w:szCs w:val="21"/>
                <w:highlight w:val="none"/>
                <w:lang w:bidi="ar"/>
              </w:rPr>
            </w:pPr>
            <w:r>
              <w:rPr>
                <w:rFonts w:hint="eastAsia" w:cs="宋体" w:asciiTheme="minorEastAsia" w:hAnsiTheme="minorEastAsia"/>
                <w:color w:val="auto"/>
                <w:sz w:val="21"/>
                <w:szCs w:val="21"/>
                <w:highlight w:val="none"/>
                <w:lang w:bidi="ar"/>
              </w:rPr>
              <w:t xml:space="preserve">SKF / Ukey：支持通过国密 SKF 接口（GM/T 0016）访问硬件数字证书（USB Key），适配智能密码钥匙做身份鉴别</w:t>
            </w:r>
            <w:r/>
          </w:p>
          <w:p>
            <w:pPr>
              <w:spacing w:line="360" w:lineRule="auto"/>
              <w:rPr>
                <w:rFonts w:asciiTheme="minorEastAsia" w:hAnsiTheme="minorEastAsia"/>
                <w:color w:val="auto"/>
                <w:sz w:val="21"/>
                <w:szCs w:val="21"/>
                <w:highlight w:val="none"/>
                <w:lang w:bidi="ar"/>
              </w:rPr>
            </w:pPr>
            <w:r>
              <w:rPr>
                <w:rFonts w:hint="eastAsia" w:cs="宋体" w:asciiTheme="minorEastAsia" w:hAnsiTheme="minorEastAsia"/>
                <w:color w:val="auto"/>
                <w:sz w:val="21"/>
                <w:szCs w:val="21"/>
                <w:highlight w:val="none"/>
                <w:lang w:bidi="ar"/>
              </w:rPr>
              <w:t xml:space="preserve">信创兼容：CPU 兼容龙芯、飞腾、兆芯、华为鲲鹏</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OS 兼容统信 UOS、银河麒麟（含 ARM/x86）</w:t>
            </w:r>
            <w:r/>
          </w:p>
          <w:p>
            <w:pPr>
              <w:pStyle w:val="889"/>
              <w:ind w:left="0" w:firstLine="0"/>
              <w:jc w:val="left"/>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1"/>
                <w:szCs w:val="21"/>
                <w:highlight w:val="none"/>
              </w:rPr>
              <w:t xml:space="preserve">五年7*24小时响应，4小时内到达现场</w:t>
            </w:r>
            <w:r/>
          </w:p>
        </w:tc>
      </w:tr>
    </w:tbl>
    <w:p>
      <w:pPr>
        <w:rPr>
          <w:color w:val="auto"/>
          <w:highlight w:val="none"/>
        </w:rPr>
      </w:pPr>
      <w:r>
        <w:rPr>
          <w:color w:val="auto"/>
          <w:highlight w:val="none"/>
        </w:rPr>
      </w:r>
      <w:r/>
    </w:p>
    <w:p>
      <w:pPr>
        <w:numPr>
          <w:ilvl w:val="1"/>
          <w:numId w:val="5"/>
        </w:numPr>
        <w:jc w:val="both"/>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站点证书</w:t>
      </w:r>
      <w:r/>
    </w:p>
    <w:tbl>
      <w:tblPr>
        <w:tblStyle w:val="841"/>
        <w:tblW w:w="5603" w:type="pct"/>
        <w:jc w:val="center"/>
        <w:tblLayout w:type="autofit"/>
        <w:tblCellMar>
          <w:left w:w="108" w:type="dxa"/>
          <w:top w:w="0" w:type="dxa"/>
          <w:right w:w="108" w:type="dxa"/>
          <w:bottom w:w="0" w:type="dxa"/>
        </w:tblCellMar>
        <w:tblLook w:val="04A0" w:firstRow="1" w:lastRow="0" w:firstColumn="1" w:lastColumn="0" w:noHBand="0" w:noVBand="1"/>
      </w:tblPr>
      <w:tblGrid>
        <w:gridCol w:w="1557"/>
        <w:gridCol w:w="8087"/>
      </w:tblGrid>
      <w:tr>
        <w:trPr>
          <w:jc w:val="center"/>
          <w:trHeight w:val="90"/>
        </w:trPr>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spacing w:line="360" w:lineRule="auto"/>
              <w:widowControl w:val="off"/>
              <w:rPr>
                <w:rFonts w:ascii="宋体" w:hAnsi="宋体"/>
                <w:b/>
                <w:bCs/>
                <w:color w:val="auto"/>
                <w:sz w:val="21"/>
                <w:szCs w:val="21"/>
                <w:highlight w:val="none"/>
              </w:rPr>
            </w:pPr>
            <w:r>
              <w:rPr>
                <w:rFonts w:hint="eastAsia" w:ascii="宋体" w:hAnsi="宋体" w:cs="宋体"/>
                <w:b/>
                <w:bCs/>
                <w:color w:val="auto"/>
                <w:sz w:val="21"/>
                <w:szCs w:val="21"/>
                <w:highlight w:val="none"/>
              </w:rPr>
              <w:t xml:space="preserve">指标项</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4193" w:type="pct"/>
            <w:vAlign w:val="center"/>
            <w:textDirection w:val="lrTb"/>
            <w:noWrap w:val="false"/>
          </w:tcPr>
          <w:p>
            <w:pPr>
              <w:jc w:val="center"/>
              <w:spacing w:line="360" w:lineRule="auto"/>
              <w:widowControl w:val="off"/>
              <w:rPr>
                <w:rFonts w:ascii="宋体" w:hAnsi="宋体"/>
                <w:b/>
                <w:bCs/>
                <w:color w:val="auto"/>
                <w:sz w:val="21"/>
                <w:szCs w:val="21"/>
                <w:highlight w:val="none"/>
              </w:rPr>
            </w:pPr>
            <w:r>
              <w:rPr>
                <w:rFonts w:hint="eastAsia" w:ascii="宋体" w:hAnsi="宋体" w:cs="宋体"/>
                <w:b/>
                <w:bCs/>
                <w:color w:val="auto"/>
                <w:sz w:val="21"/>
                <w:szCs w:val="21"/>
                <w:highlight w:val="none"/>
              </w:rPr>
              <w:t xml:space="preserve">技术规格及参数</w:t>
            </w:r>
            <w:r/>
          </w:p>
        </w:tc>
      </w:tr>
      <w:tr>
        <w:trPr>
          <w:jc w:val="center"/>
          <w:trHeight w:val="1257"/>
        </w:trPr>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spacing w:line="360" w:lineRule="auto"/>
              <w:rPr>
                <w:rFonts w:ascii="宋体" w:hAnsi="宋体"/>
                <w:color w:val="auto"/>
                <w:sz w:val="21"/>
                <w:szCs w:val="21"/>
                <w:highlight w:val="none"/>
                <w:lang w:bidi="ar"/>
              </w:rPr>
            </w:pPr>
            <w:r>
              <w:rPr>
                <w:rFonts w:hint="eastAsia" w:ascii="宋体" w:hAnsi="宋体" w:cs="宋体"/>
                <w:color w:val="auto"/>
                <w:sz w:val="21"/>
                <w:szCs w:val="21"/>
                <w:highlight w:val="none"/>
                <w:lang w:bidi="ar"/>
              </w:rPr>
              <w:t xml:space="preserve">站点证书</w:t>
            </w:r>
            <w:r/>
          </w:p>
        </w:tc>
        <w:tc>
          <w:tcPr>
            <w:shd w:val="clear" w:color="auto" w:fill="auto"/>
            <w:tcBorders>
              <w:top w:val="single" w:color="000000" w:sz="4" w:space="0"/>
              <w:left w:val="single" w:color="000000" w:sz="4" w:space="0"/>
              <w:bottom w:val="single" w:color="000000" w:sz="4" w:space="0"/>
              <w:right w:val="single" w:color="000000" w:sz="4" w:space="0"/>
            </w:tcBorders>
            <w:tcW w:w="4193" w:type="pct"/>
            <w:vAlign w:val="center"/>
            <w:textDirection w:val="lrTb"/>
            <w:noWrap w:val="false"/>
          </w:tcPr>
          <w:p>
            <w:pPr>
              <w:spacing w:line="360" w:lineRule="auto"/>
              <w:rPr>
                <w:rFonts w:asciiTheme="minorEastAsia" w:hAnsiTheme="minorEastAsia"/>
                <w:color w:val="auto"/>
                <w:sz w:val="21"/>
                <w:szCs w:val="21"/>
                <w:highlight w:val="none"/>
                <w:lang w:bidi="ar"/>
              </w:rPr>
            </w:pPr>
            <w:r>
              <w:rPr>
                <w:rFonts w:hint="eastAsia" w:cs="宋体" w:asciiTheme="minorEastAsia" w:hAnsiTheme="minorEastAsia"/>
                <w:color w:val="auto"/>
                <w:sz w:val="21"/>
                <w:szCs w:val="21"/>
                <w:highlight w:val="none"/>
                <w:lang w:bidi="ar"/>
              </w:rPr>
              <w:t xml:space="preserve">实现服务端身份鉴别及HTTPS加密通道建立，分别支持RSA和国密算法信创兼容：CPU 兼容龙芯、飞腾、兆芯、华为鲲鹏</w:t>
            </w:r>
            <w:r>
              <w:rPr>
                <w:rFonts w:hint="eastAsia" w:cs="宋体" w:asciiTheme="minorEastAsia" w:hAnsiTheme="minorEastAsia"/>
                <w:color w:val="auto"/>
                <w:sz w:val="21"/>
                <w:szCs w:val="21"/>
                <w:highlight w:val="none"/>
                <w:lang w:eastAsia="zh-CN" w:bidi="ar"/>
              </w:rPr>
              <w:t xml:space="preserve">；</w:t>
            </w:r>
            <w:r>
              <w:rPr>
                <w:rFonts w:hint="eastAsia" w:cs="宋体" w:asciiTheme="minorEastAsia" w:hAnsiTheme="minorEastAsia"/>
                <w:color w:val="auto"/>
                <w:sz w:val="21"/>
                <w:szCs w:val="21"/>
                <w:highlight w:val="none"/>
                <w:lang w:bidi="ar"/>
              </w:rPr>
              <w:t xml:space="preserve">OS 兼容统信 UOS、银河麒麟（含 ARM/x86）</w:t>
            </w:r>
            <w:r/>
          </w:p>
          <w:p>
            <w:pPr>
              <w:pStyle w:val="889"/>
              <w:ind w:left="0" w:firstLine="0"/>
              <w:jc w:val="left"/>
              <w:rPr>
                <w:color w:val="auto"/>
                <w:highlight w:val="none"/>
              </w:rPr>
            </w:pPr>
            <w:r>
              <w:rPr>
                <w:rFonts w:hint="eastAsia" w:cs="宋体" w:asciiTheme="minorEastAsia" w:hAnsiTheme="minorEastAsia" w:eastAsiaTheme="minorEastAsia"/>
                <w:color w:val="auto"/>
                <w:sz w:val="21"/>
                <w:szCs w:val="21"/>
                <w:highlight w:val="none"/>
              </w:rPr>
              <w:t xml:space="preserve">五年7*24小时响应，4小时内到达现场</w:t>
            </w:r>
            <w:r/>
          </w:p>
        </w:tc>
      </w:tr>
    </w:tbl>
    <w:p>
      <w:pPr>
        <w:rPr>
          <w:color w:val="auto"/>
          <w:highlight w:val="none"/>
        </w:rPr>
      </w:pPr>
      <w:r>
        <w:rPr>
          <w:color w:val="auto"/>
          <w:highlight w:val="none"/>
        </w:rPr>
      </w:r>
      <w:r/>
    </w:p>
    <w:p>
      <w:pPr>
        <w:numPr>
          <w:ilvl w:val="0"/>
          <w:numId w:val="7"/>
        </w:numPr>
        <w:ind w:firstLine="420"/>
        <w:jc w:val="both"/>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机柜租赁服务</w:t>
      </w:r>
      <w:r/>
    </w:p>
    <w:tbl>
      <w:tblPr>
        <w:tblStyle w:val="841"/>
        <w:tblW w:w="5603" w:type="pct"/>
        <w:jc w:val="center"/>
        <w:tblLayout w:type="autofit"/>
        <w:tblCellMar>
          <w:left w:w="108" w:type="dxa"/>
          <w:top w:w="0" w:type="dxa"/>
          <w:right w:w="108" w:type="dxa"/>
          <w:bottom w:w="0" w:type="dxa"/>
        </w:tblCellMar>
        <w:tblLook w:val="04A0" w:firstRow="1" w:lastRow="0" w:firstColumn="1" w:lastColumn="0" w:noHBand="0" w:noVBand="1"/>
      </w:tblPr>
      <w:tblGrid>
        <w:gridCol w:w="1557"/>
        <w:gridCol w:w="8087"/>
      </w:tblGrid>
      <w:tr>
        <w:trPr>
          <w:jc w:val="center"/>
          <w:trHeight w:val="90"/>
        </w:trPr>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spacing w:line="360" w:lineRule="auto"/>
              <w:widowControl w:val="off"/>
              <w:rPr>
                <w:rFonts w:ascii="宋体" w:hAnsi="宋体"/>
                <w:b/>
                <w:bCs/>
                <w:color w:val="auto"/>
                <w:sz w:val="21"/>
                <w:szCs w:val="21"/>
                <w:highlight w:val="none"/>
              </w:rPr>
            </w:pPr>
            <w:r>
              <w:rPr>
                <w:rFonts w:hint="eastAsia" w:ascii="宋体" w:hAnsi="宋体" w:cs="宋体"/>
                <w:b/>
                <w:bCs/>
                <w:color w:val="auto"/>
                <w:sz w:val="21"/>
                <w:szCs w:val="21"/>
                <w:highlight w:val="none"/>
              </w:rPr>
              <w:t xml:space="preserve">指标项</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4193" w:type="pct"/>
            <w:vAlign w:val="center"/>
            <w:textDirection w:val="lrTb"/>
            <w:noWrap w:val="false"/>
          </w:tcPr>
          <w:p>
            <w:pPr>
              <w:jc w:val="center"/>
              <w:spacing w:line="360" w:lineRule="auto"/>
              <w:widowControl w:val="off"/>
              <w:rPr>
                <w:rFonts w:ascii="宋体" w:hAnsi="宋体"/>
                <w:b/>
                <w:bCs/>
                <w:color w:val="auto"/>
                <w:sz w:val="21"/>
                <w:szCs w:val="21"/>
                <w:highlight w:val="none"/>
              </w:rPr>
            </w:pPr>
            <w:r>
              <w:rPr>
                <w:rFonts w:hint="eastAsia" w:ascii="宋体" w:hAnsi="宋体" w:cs="宋体"/>
                <w:b/>
                <w:bCs/>
                <w:color w:val="auto"/>
                <w:sz w:val="21"/>
                <w:szCs w:val="21"/>
                <w:highlight w:val="none"/>
              </w:rPr>
              <w:t xml:space="preserve">技术规格及参数</w:t>
            </w:r>
            <w:r/>
          </w:p>
        </w:tc>
      </w:tr>
      <w:tr>
        <w:trPr>
          <w:jc w:val="center"/>
          <w:trHeight w:val="1257"/>
        </w:trPr>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spacing w:line="360" w:lineRule="auto"/>
              <w:rPr>
                <w:rFonts w:ascii="宋体" w:hAnsi="宋体"/>
                <w:color w:val="auto"/>
                <w:sz w:val="21"/>
                <w:szCs w:val="21"/>
                <w:highlight w:val="none"/>
                <w:lang w:bidi="ar"/>
              </w:rPr>
            </w:pPr>
            <w:r>
              <w:rPr>
                <w:rFonts w:hint="eastAsia" w:ascii="宋体" w:hAnsi="宋体" w:cs="宋体"/>
                <w:color w:val="auto"/>
                <w:sz w:val="21"/>
                <w:szCs w:val="21"/>
                <w:highlight w:val="none"/>
                <w:lang w:bidi="ar"/>
              </w:rPr>
              <w:t xml:space="preserve">机柜租赁服务</w:t>
            </w:r>
            <w:r/>
          </w:p>
        </w:tc>
        <w:tc>
          <w:tcPr>
            <w:shd w:val="clear" w:color="auto" w:fill="auto"/>
            <w:tcBorders>
              <w:top w:val="single" w:color="000000" w:sz="4" w:space="0"/>
              <w:left w:val="single" w:color="000000" w:sz="4" w:space="0"/>
              <w:bottom w:val="single" w:color="000000" w:sz="4" w:space="0"/>
              <w:right w:val="single" w:color="000000" w:sz="4" w:space="0"/>
            </w:tcBorders>
            <w:tcW w:w="4193" w:type="pct"/>
            <w:vAlign w:val="center"/>
            <w:textDirection w:val="lrTb"/>
            <w:noWrap w:val="false"/>
          </w:tcPr>
          <w:p>
            <w:pPr>
              <w:spacing w:line="360" w:lineRule="auto"/>
              <w:rPr>
                <w:rFonts w:hint="default" w:eastAsiaTheme="minorEastAsia"/>
                <w:color w:val="auto"/>
                <w:highlight w:val="none"/>
                <w:lang w:val="en-US" w:eastAsia="zh-CN"/>
              </w:rPr>
            </w:pPr>
            <w:r>
              <w:rPr>
                <w:rFonts w:hint="eastAsia"/>
                <w:color w:val="auto"/>
                <w:highlight w:val="none"/>
                <w:lang w:val="en-US" w:eastAsia="zh-CN"/>
              </w:rPr>
              <w:t xml:space="preserve">数量：14台；</w:t>
            </w:r>
            <w:r/>
          </w:p>
          <w:p>
            <w:pPr>
              <w:spacing w:line="360" w:lineRule="auto"/>
              <w:rPr>
                <w:color w:val="auto"/>
                <w:highlight w:val="none"/>
              </w:rPr>
            </w:pPr>
            <w:r>
              <w:rPr>
                <w:rFonts w:hint="eastAsia"/>
                <w:color w:val="auto"/>
                <w:highlight w:val="none"/>
              </w:rPr>
              <w:t xml:space="preserve">标准机房机柜租赁服务，含机位空间、标准供电6kw、机柜托管、机房环境运维、7×24值守、基础网络环境、安防管理、故障处置、日常巡检等全套IDC机柜租赁配套服务。</w:t>
            </w:r>
            <w:r/>
          </w:p>
        </w:tc>
      </w:tr>
    </w:tbl>
    <w:p>
      <w:pPr>
        <w:ind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7软件部分实施服务及售后服务要求</w:t>
      </w:r>
      <w:r/>
    </w:p>
    <w:p>
      <w:pPr>
        <w:ind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7.1实施要求</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7.1.</w:t>
      </w:r>
      <w:r>
        <w:rPr>
          <w:rFonts w:hint="eastAsia" w:ascii="宋体" w:hAnsi="宋体"/>
          <w:color w:val="auto"/>
          <w:sz w:val="21"/>
          <w:highlight w:val="none"/>
        </w:rPr>
        <w:t xml:space="preserve">1.项目人员要求：指定1人作为项目经理，负责跟踪推进项目工作和问题的协调落实</w:t>
      </w:r>
      <w:r>
        <w:rPr>
          <w:rFonts w:hint="eastAsia" w:ascii="宋体" w:hAnsi="宋体"/>
          <w:color w:val="auto"/>
          <w:sz w:val="21"/>
          <w:highlight w:val="none"/>
          <w:lang w:eastAsia="zh-CN"/>
        </w:rPr>
        <w:t xml:space="preserve">；</w:t>
      </w:r>
      <w:r>
        <w:rPr>
          <w:rFonts w:hint="eastAsia" w:ascii="宋体" w:hAnsi="宋体"/>
          <w:color w:val="auto"/>
          <w:sz w:val="21"/>
          <w:highlight w:val="none"/>
        </w:rPr>
        <w:t xml:space="preserve">指定1人作为项目技术负责人，负责项目实施过程中技术问题的统一扎口与处置</w:t>
      </w:r>
      <w:r>
        <w:rPr>
          <w:rFonts w:hint="eastAsia" w:ascii="宋体" w:hAnsi="宋体"/>
          <w:color w:val="auto"/>
          <w:sz w:val="21"/>
          <w:highlight w:val="none"/>
          <w:lang w:eastAsia="zh-CN"/>
        </w:rPr>
        <w:t xml:space="preserve">；</w:t>
      </w:r>
      <w:r>
        <w:rPr>
          <w:rFonts w:hint="eastAsia" w:ascii="宋体" w:hAnsi="宋体"/>
          <w:color w:val="auto"/>
          <w:sz w:val="21"/>
          <w:highlight w:val="none"/>
        </w:rPr>
        <w:t xml:space="preserve">除项目技术负责人外其他人员要求能够顺利开展项目实施工作。</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7.1.</w:t>
      </w:r>
      <w:r>
        <w:rPr>
          <w:rFonts w:hint="eastAsia" w:ascii="宋体" w:hAnsi="宋体"/>
          <w:color w:val="auto"/>
          <w:sz w:val="21"/>
          <w:highlight w:val="none"/>
        </w:rPr>
        <w:t xml:space="preserve">2.实施要求：必须免费安装此次招标系统的软件程序，并协助安装服务器存储系统的数据库系统。</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7.1.</w:t>
      </w:r>
      <w:r>
        <w:rPr>
          <w:rFonts w:hint="eastAsia" w:ascii="宋体" w:hAnsi="宋体"/>
          <w:color w:val="auto"/>
          <w:sz w:val="21"/>
          <w:highlight w:val="none"/>
        </w:rPr>
        <w:t xml:space="preserve">3.投标方需提供项目详尽的实施方案和进度表。</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7.1.</w:t>
      </w:r>
      <w:r>
        <w:rPr>
          <w:rFonts w:hint="eastAsia" w:ascii="宋体" w:hAnsi="宋体"/>
          <w:color w:val="auto"/>
          <w:sz w:val="21"/>
          <w:highlight w:val="none"/>
        </w:rPr>
        <w:t xml:space="preserve">4.投标人应在系统实施方案中描述具体的实施团队的组成、工作的内容、投入人员、项目进程表及采购人的配合等内容。在所有工作开展之前，公司的实施人员应制定一套完整科学可行的实施方案，作为工程实施的总体计划和步骤。实施方案内容大致包括。</w:t>
      </w:r>
      <w:r/>
    </w:p>
    <w:p>
      <w:pPr>
        <w:ind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①组织保障安排：成立领导小组，领导小组中的责任分工。</w:t>
      </w:r>
      <w:r/>
    </w:p>
    <w:p>
      <w:pPr>
        <w:ind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②制定具体的实施流程、实施内容。</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7.1.</w:t>
      </w:r>
      <w:r>
        <w:rPr>
          <w:rFonts w:hint="eastAsia" w:ascii="宋体" w:hAnsi="宋体"/>
          <w:color w:val="auto"/>
          <w:sz w:val="21"/>
          <w:highlight w:val="none"/>
        </w:rPr>
        <w:t xml:space="preserve">5.实施期间，投标方必须</w:t>
      </w:r>
      <w:r>
        <w:rPr>
          <w:rFonts w:hint="eastAsia" w:ascii="宋体" w:hAnsi="宋体"/>
          <w:color w:val="auto"/>
          <w:sz w:val="21"/>
          <w:szCs w:val="21"/>
          <w:highlight w:val="none"/>
        </w:rPr>
        <w:t xml:space="preserve">派遣具</w:t>
      </w:r>
      <w:r>
        <w:rPr>
          <w:rFonts w:hint="eastAsia" w:ascii="宋体" w:hAnsi="宋体"/>
          <w:color w:val="auto"/>
          <w:sz w:val="21"/>
          <w:highlight w:val="none"/>
        </w:rPr>
        <w:t xml:space="preserve">有多年项目经验的项目经理一名</w:t>
      </w:r>
      <w:r>
        <w:rPr>
          <w:rFonts w:hint="eastAsia" w:ascii="宋体" w:hAnsi="宋体"/>
          <w:color w:val="auto"/>
          <w:sz w:val="21"/>
          <w:highlight w:val="none"/>
          <w:lang w:eastAsia="zh-CN"/>
        </w:rPr>
        <w:t xml:space="preserve">，</w:t>
      </w:r>
      <w:r>
        <w:rPr>
          <w:rFonts w:hint="eastAsia" w:ascii="宋体" w:hAnsi="宋体"/>
          <w:color w:val="auto"/>
          <w:sz w:val="21"/>
          <w:highlight w:val="none"/>
        </w:rPr>
        <w:t xml:space="preserve">派遣专业工程师不少于10名进</w:t>
      </w:r>
      <w:r>
        <w:rPr>
          <w:rFonts w:hint="eastAsia" w:ascii="宋体" w:hAnsi="宋体"/>
          <w:color w:val="auto"/>
          <w:sz w:val="21"/>
          <w:szCs w:val="21"/>
          <w:highlight w:val="none"/>
        </w:rPr>
        <w:t xml:space="preserve">行项目实施工作</w:t>
      </w:r>
      <w:r>
        <w:rPr>
          <w:rFonts w:hint="eastAsia" w:ascii="宋体" w:hAnsi="宋体"/>
          <w:color w:val="auto"/>
          <w:sz w:val="21"/>
          <w:highlight w:val="none"/>
        </w:rPr>
        <w:t xml:space="preserve">。</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7.1.</w:t>
      </w:r>
      <w:r>
        <w:rPr>
          <w:rFonts w:hint="eastAsia" w:ascii="宋体" w:hAnsi="宋体"/>
          <w:color w:val="auto"/>
          <w:sz w:val="21"/>
          <w:highlight w:val="none"/>
        </w:rPr>
        <w:t xml:space="preserve">6.系统运行前完成医院基础数据的收集整理、校对录入和测试，做好数据初始化工作。</w:t>
      </w:r>
      <w:r/>
    </w:p>
    <w:p>
      <w:pPr>
        <w:ind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7.2培训要求</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7.2.</w:t>
      </w:r>
      <w:r>
        <w:rPr>
          <w:rFonts w:hint="eastAsia" w:ascii="宋体" w:hAnsi="宋体"/>
          <w:color w:val="auto"/>
          <w:sz w:val="21"/>
          <w:highlight w:val="none"/>
        </w:rPr>
        <w:t xml:space="preserve">1.从合同签订开始，中标人相关技术人员对所有科室操作进行分期、分批的各种技术培训。根据不同专业、不同管理要求对科室负责人及所有上岗操作使用人员进行系统主要功能、系统操作使用方法、系统工作流程培训。通过培训，使他们较好的掌握应用软件的使用方法，熟悉系统工作流程，基本达到了数据录入准确、及时、迅速的要求。</w:t>
      </w:r>
      <w:r/>
    </w:p>
    <w:p>
      <w:pPr>
        <w:ind w:firstLine="420"/>
        <w:spacing w:line="360" w:lineRule="auto"/>
        <w:tabs>
          <w:tab w:val="left" w:pos="420" w:leader="none"/>
        </w:tabs>
        <w:rPr>
          <w:rFonts w:hint="eastAsia" w:ascii="宋体" w:hAnsi="宋体" w:eastAsiaTheme="minorEastAsia"/>
          <w:color w:val="auto"/>
          <w:sz w:val="21"/>
          <w:highlight w:val="none"/>
          <w:lang w:eastAsia="zh-CN"/>
        </w:rPr>
      </w:pPr>
      <w:r>
        <w:rPr>
          <w:rFonts w:ascii="宋体" w:hAnsi="宋体"/>
          <w:color w:val="auto"/>
          <w:sz w:val="21"/>
          <w:highlight w:val="none"/>
        </w:rPr>
        <w:t xml:space="preserve">7.2.</w:t>
      </w:r>
      <w:r>
        <w:rPr>
          <w:rFonts w:hint="eastAsia" w:ascii="宋体" w:hAnsi="宋体"/>
          <w:color w:val="auto"/>
          <w:sz w:val="21"/>
          <w:highlight w:val="none"/>
        </w:rPr>
        <w:t xml:space="preserve">2.应制定详细人员培训方案，包括培训目的、形式、培训时间安排、人数、次数、培训课程（包括课程介绍）、培训师资情况、培训组织方式等</w:t>
      </w:r>
      <w:r>
        <w:rPr>
          <w:rFonts w:hint="eastAsia" w:ascii="宋体" w:hAnsi="宋体"/>
          <w:color w:val="auto"/>
          <w:sz w:val="21"/>
          <w:highlight w:val="none"/>
          <w:lang w:eastAsia="zh-CN"/>
        </w:rPr>
        <w:t xml:space="preserve">；</w:t>
      </w:r>
      <w:r/>
    </w:p>
    <w:p>
      <w:pPr>
        <w:ind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7.3运行要求</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7.3.</w:t>
      </w:r>
      <w:r>
        <w:rPr>
          <w:rFonts w:hint="eastAsia" w:ascii="宋体" w:hAnsi="宋体"/>
          <w:color w:val="auto"/>
          <w:sz w:val="21"/>
          <w:highlight w:val="none"/>
        </w:rPr>
        <w:t xml:space="preserve">1.投标人提供详尽的系统运行方案，系统运行分为试运行、正式运行、稳定运行及系统移交等步骤，保障系统在我院的平稳运</w:t>
      </w:r>
      <w:bookmarkStart w:id="27" w:name="_GoBack"/>
      <w:r/>
      <w:bookmarkEnd w:id="27"/>
      <w:r>
        <w:rPr>
          <w:rFonts w:hint="eastAsia" w:ascii="宋体" w:hAnsi="宋体"/>
          <w:color w:val="auto"/>
          <w:sz w:val="21"/>
          <w:highlight w:val="none"/>
        </w:rPr>
        <w:t xml:space="preserve">行和验收交接。</w:t>
      </w:r>
      <w:r/>
    </w:p>
    <w:p>
      <w:pPr>
        <w:ind w:firstLine="422"/>
        <w:spacing w:line="360" w:lineRule="auto"/>
        <w:tabs>
          <w:tab w:val="left" w:pos="420" w:leader="none"/>
        </w:tabs>
        <w:rPr>
          <w:rFonts w:ascii="宋体" w:hAnsi="宋体"/>
          <w:b/>
          <w:bCs/>
          <w:color w:val="auto"/>
          <w:sz w:val="21"/>
          <w:highlight w:val="none"/>
        </w:rPr>
      </w:pPr>
      <w:r>
        <w:rPr>
          <w:rFonts w:hint="eastAsia" w:ascii="宋体" w:hAnsi="宋体"/>
          <w:b/>
          <w:bCs/>
          <w:color w:val="auto"/>
          <w:sz w:val="21"/>
          <w:highlight w:val="none"/>
        </w:rPr>
        <w:t xml:space="preserve">7.4售后服务要求（投标文件中提供下述服务要求承诺书，不提供视为非实质性响应，投标无效。）</w:t>
      </w:r>
      <w:r/>
    </w:p>
    <w:p>
      <w:pPr>
        <w:ind w:firstLine="422"/>
        <w:spacing w:line="360" w:lineRule="auto"/>
        <w:tabs>
          <w:tab w:val="left" w:pos="420" w:leader="none"/>
        </w:tabs>
        <w:rPr>
          <w:rFonts w:hint="eastAsia" w:ascii="宋体" w:hAnsi="宋体" w:eastAsiaTheme="minorEastAsia"/>
          <w:b/>
          <w:bCs/>
          <w:color w:val="auto"/>
          <w:sz w:val="21"/>
          <w:highlight w:val="none"/>
          <w:lang w:eastAsia="zh-CN"/>
        </w:rPr>
      </w:pPr>
      <w:r>
        <w:rPr>
          <w:rFonts w:ascii="宋体" w:hAnsi="宋体"/>
          <w:b/>
          <w:bCs/>
          <w:color w:val="auto"/>
          <w:sz w:val="21"/>
          <w:highlight w:val="none"/>
        </w:rPr>
        <w:t xml:space="preserve">7.4.</w:t>
      </w:r>
      <w:r>
        <w:rPr>
          <w:rFonts w:hint="eastAsia" w:ascii="宋体" w:hAnsi="宋体"/>
          <w:b/>
          <w:bCs/>
          <w:color w:val="auto"/>
          <w:sz w:val="21"/>
          <w:highlight w:val="none"/>
        </w:rPr>
        <w:t xml:space="preserve">1.免费维保期内投标人应采用定期走访、现场服务、电话和网络咨询方式为用户提供全方位技术服务</w:t>
      </w:r>
      <w:r>
        <w:rPr>
          <w:rFonts w:hint="eastAsia" w:ascii="宋体" w:hAnsi="宋体"/>
          <w:b/>
          <w:bCs/>
          <w:color w:val="auto"/>
          <w:sz w:val="21"/>
          <w:highlight w:val="none"/>
          <w:lang w:eastAsia="zh-CN"/>
        </w:rPr>
        <w:t xml:space="preserve">；</w:t>
      </w:r>
      <w:r/>
    </w:p>
    <w:p>
      <w:pPr>
        <w:ind w:firstLine="422"/>
        <w:spacing w:line="360" w:lineRule="auto"/>
        <w:tabs>
          <w:tab w:val="left" w:pos="420" w:leader="none"/>
        </w:tabs>
        <w:rPr>
          <w:rFonts w:hint="eastAsia" w:ascii="宋体" w:hAnsi="宋体" w:eastAsiaTheme="minorEastAsia"/>
          <w:b/>
          <w:bCs/>
          <w:color w:val="auto"/>
          <w:sz w:val="21"/>
          <w:highlight w:val="none"/>
          <w:lang w:eastAsia="zh-CN"/>
        </w:rPr>
      </w:pPr>
      <w:r>
        <w:rPr>
          <w:rFonts w:ascii="宋体" w:hAnsi="宋体"/>
          <w:b/>
          <w:bCs/>
          <w:color w:val="auto"/>
          <w:sz w:val="21"/>
          <w:highlight w:val="none"/>
        </w:rPr>
        <w:t xml:space="preserve">7.4.</w:t>
      </w:r>
      <w:r>
        <w:rPr>
          <w:rFonts w:hint="eastAsia" w:ascii="宋体" w:hAnsi="宋体"/>
          <w:b/>
          <w:bCs/>
          <w:color w:val="auto"/>
          <w:sz w:val="21"/>
          <w:highlight w:val="none"/>
        </w:rPr>
        <w:t xml:space="preserve">2.如系统出现故障不能正常运行，投标人在接到医院的请求后，应立即安排技术人员进行软件维护，按照国家及行业标准对故障进行及时处理，确保系统正常运行</w:t>
      </w:r>
      <w:r>
        <w:rPr>
          <w:rFonts w:hint="eastAsia" w:ascii="宋体" w:hAnsi="宋体"/>
          <w:b/>
          <w:bCs/>
          <w:color w:val="auto"/>
          <w:sz w:val="21"/>
          <w:highlight w:val="none"/>
          <w:lang w:eastAsia="zh-CN"/>
        </w:rPr>
        <w:t xml:space="preserve">；</w:t>
      </w:r>
      <w:r/>
    </w:p>
    <w:p>
      <w:pPr>
        <w:ind w:firstLine="422"/>
        <w:spacing w:line="360" w:lineRule="auto"/>
        <w:tabs>
          <w:tab w:val="left" w:pos="420" w:leader="none"/>
        </w:tabs>
        <w:rPr>
          <w:rFonts w:ascii="宋体" w:hAnsi="宋体"/>
          <w:b/>
          <w:bCs/>
          <w:color w:val="auto"/>
          <w:sz w:val="21"/>
          <w:highlight w:val="none"/>
        </w:rPr>
      </w:pPr>
      <w:r>
        <w:rPr>
          <w:rFonts w:ascii="宋体" w:hAnsi="宋体"/>
          <w:b/>
          <w:bCs/>
          <w:color w:val="auto"/>
          <w:sz w:val="21"/>
          <w:highlight w:val="none"/>
        </w:rPr>
        <w:t xml:space="preserve">7.4.</w:t>
      </w:r>
      <w:r>
        <w:rPr>
          <w:rFonts w:hint="eastAsia" w:ascii="宋体" w:hAnsi="宋体"/>
          <w:b/>
          <w:bCs/>
          <w:color w:val="auto"/>
          <w:sz w:val="21"/>
          <w:highlight w:val="none"/>
        </w:rPr>
        <w:t xml:space="preserve">3.提供7*24小时售后服务支撑体系，出现故障时，提供15分钟内响应，4小时内派遣工程师赶到现场或远程支持，查找原因，提出解决方案，使其恢复正常服务为止。</w:t>
      </w:r>
      <w:r/>
    </w:p>
    <w:p>
      <w:pPr>
        <w:ind w:firstLine="422"/>
        <w:spacing w:line="360" w:lineRule="auto"/>
        <w:tabs>
          <w:tab w:val="left" w:pos="420" w:leader="none"/>
          <w:tab w:val="left" w:pos="540" w:leader="none"/>
        </w:tabs>
        <w:rPr>
          <w:rFonts w:ascii="宋体" w:hAnsi="宋体"/>
          <w:b/>
          <w:bCs/>
          <w:color w:val="auto"/>
          <w:sz w:val="21"/>
          <w:highlight w:val="none"/>
        </w:rPr>
      </w:pPr>
      <w:r>
        <w:rPr>
          <w:rFonts w:ascii="宋体" w:hAnsi="宋体"/>
          <w:b/>
          <w:bCs/>
          <w:color w:val="auto"/>
          <w:sz w:val="21"/>
          <w:highlight w:val="none"/>
        </w:rPr>
        <w:t xml:space="preserve">7.4.</w:t>
      </w:r>
      <w:r>
        <w:rPr>
          <w:rFonts w:hint="eastAsia" w:ascii="宋体" w:hAnsi="宋体"/>
          <w:b/>
          <w:bCs/>
          <w:color w:val="auto"/>
          <w:sz w:val="21"/>
          <w:highlight w:val="none"/>
        </w:rPr>
        <w:t xml:space="preserve">4.系统整体上线时，提供不少于100人的工程师团队进行现场支持。</w:t>
      </w:r>
      <w:r/>
    </w:p>
    <w:p>
      <w:pPr>
        <w:ind w:firstLine="422"/>
        <w:spacing w:line="360" w:lineRule="auto"/>
        <w:tabs>
          <w:tab w:val="left" w:pos="420" w:leader="none"/>
          <w:tab w:val="left" w:pos="540" w:leader="none"/>
        </w:tabs>
        <w:rPr>
          <w:rFonts w:ascii="宋体" w:hAnsi="宋体"/>
          <w:b/>
          <w:bCs/>
          <w:color w:val="auto"/>
          <w:sz w:val="21"/>
          <w:highlight w:val="none"/>
        </w:rPr>
      </w:pPr>
      <w:r>
        <w:rPr>
          <w:rFonts w:ascii="宋体" w:hAnsi="宋体"/>
          <w:b/>
          <w:bCs/>
          <w:color w:val="auto"/>
          <w:sz w:val="21"/>
          <w:highlight w:val="none"/>
        </w:rPr>
        <w:t xml:space="preserve">7.4.</w:t>
      </w:r>
      <w:r>
        <w:rPr>
          <w:rFonts w:hint="eastAsia" w:ascii="宋体" w:hAnsi="宋体"/>
          <w:b/>
          <w:bCs/>
          <w:color w:val="auto"/>
          <w:sz w:val="21"/>
          <w:highlight w:val="none"/>
        </w:rPr>
        <w:t xml:space="preserve">5.软件免费维保期限内，提供不少于15人的驻场运维服务，驻场工程师需具有2年以上相关项目工作经验。</w:t>
      </w:r>
      <w:r/>
    </w:p>
    <w:p>
      <w:pPr>
        <w:ind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8 硬件部分实施要求</w:t>
      </w:r>
      <w:r/>
    </w:p>
    <w:p>
      <w:pPr>
        <w:ind w:firstLine="420"/>
        <w:spacing w:line="360" w:lineRule="auto"/>
        <w:tabs>
          <w:tab w:val="left" w:pos="420" w:leader="none"/>
        </w:tabs>
        <w:rPr>
          <w:rFonts w:ascii="宋体" w:hAnsi="宋体" w:cs="宋体"/>
          <w:color w:val="auto"/>
          <w:sz w:val="21"/>
          <w:highlight w:val="none"/>
        </w:rPr>
      </w:pPr>
      <w:r>
        <w:rPr>
          <w:rFonts w:hint="eastAsia" w:ascii="宋体" w:hAnsi="宋体" w:cs="宋体"/>
          <w:color w:val="auto"/>
          <w:sz w:val="21"/>
          <w:highlight w:val="none"/>
        </w:rPr>
        <w:t xml:space="preserve">8.1技术、质量要求</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8.1.</w:t>
      </w:r>
      <w:r>
        <w:rPr>
          <w:rFonts w:hint="eastAsia" w:ascii="宋体" w:hAnsi="宋体" w:cs="宋体"/>
          <w:color w:val="auto"/>
          <w:sz w:val="21"/>
          <w:highlight w:val="none"/>
        </w:rPr>
        <w:t xml:space="preserve">1、所提供产品质量必须符合国家相关标准。所有报价的产品，各项技术应当符合国家（强制性）标准及各项规范要求</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rPr>
        <w:t xml:space="preserve">国家没有相应标准、规范的，可使用行业标准、规定</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rPr>
        <w:t xml:space="preserve">非标准设备按招标约定的技术要求和规范。</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8.1.</w:t>
      </w:r>
      <w:r>
        <w:rPr>
          <w:rFonts w:hint="eastAsia" w:ascii="宋体" w:hAnsi="宋体" w:cs="宋体"/>
          <w:color w:val="auto"/>
          <w:sz w:val="21"/>
          <w:highlight w:val="none"/>
        </w:rPr>
        <w:t xml:space="preserve">2、投标人必须明确所投产品一些必须说明的技术参数，以及明确生产厂家、型号规格等，并提供详细的技术参数及性能说明书。</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8.1.</w:t>
      </w:r>
      <w:r>
        <w:rPr>
          <w:rFonts w:hint="eastAsia" w:ascii="宋体" w:hAnsi="宋体" w:cs="宋体"/>
          <w:color w:val="auto"/>
          <w:sz w:val="21"/>
          <w:highlight w:val="none"/>
        </w:rPr>
        <w:t xml:space="preserve">3、中标人如果对招标文件提出的技术规格与要求存在某些条款不响应时，应在投标文件中逐条列出，未列出的视同响应。</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8.1.</w:t>
      </w:r>
      <w:r>
        <w:rPr>
          <w:rFonts w:hint="eastAsia" w:ascii="宋体" w:hAnsi="宋体" w:cs="宋体"/>
          <w:color w:val="auto"/>
          <w:sz w:val="21"/>
          <w:highlight w:val="none"/>
        </w:rPr>
        <w:t xml:space="preserve">4、投标单位应提供货物的免费送货、安装、调试及培训使用。</w:t>
      </w:r>
      <w:r/>
    </w:p>
    <w:p>
      <w:pPr>
        <w:ind w:firstLine="420"/>
        <w:spacing w:line="360" w:lineRule="auto"/>
        <w:tabs>
          <w:tab w:val="left" w:pos="420" w:leader="none"/>
        </w:tabs>
        <w:rPr>
          <w:rFonts w:ascii="宋体" w:hAnsi="宋体" w:cs="宋体"/>
          <w:color w:val="auto"/>
          <w:sz w:val="21"/>
          <w:highlight w:val="none"/>
        </w:rPr>
      </w:pPr>
      <w:r>
        <w:rPr>
          <w:rFonts w:hint="eastAsia" w:ascii="宋体" w:hAnsi="宋体" w:cs="宋体"/>
          <w:color w:val="auto"/>
          <w:sz w:val="21"/>
          <w:highlight w:val="none"/>
        </w:rPr>
        <w:t xml:space="preserve">8.2安装调试要求</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8.2.</w:t>
      </w:r>
      <w:r>
        <w:rPr>
          <w:rFonts w:hint="eastAsia" w:ascii="宋体" w:hAnsi="宋体" w:cs="宋体"/>
          <w:color w:val="auto"/>
          <w:sz w:val="21"/>
          <w:highlight w:val="none"/>
        </w:rPr>
        <w:t xml:space="preserve">1、设备安装须符合国家最新的有关标准和规范。</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8.2.</w:t>
      </w:r>
      <w:r>
        <w:rPr>
          <w:rFonts w:hint="eastAsia" w:ascii="宋体" w:hAnsi="宋体" w:cs="宋体"/>
          <w:color w:val="auto"/>
          <w:sz w:val="21"/>
          <w:highlight w:val="none"/>
        </w:rPr>
        <w:t xml:space="preserve">2、安装完毕后，中标方应派遣有经验的工程技术人员进行设备的调试及试运行</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rPr>
        <w:t xml:space="preserve">并负责测试和调试所需的人员、工具、材料、仪器及一切费用，并填写测试报告交由采购单位存档。</w:t>
      </w:r>
      <w:r/>
    </w:p>
    <w:p>
      <w:pPr>
        <w:ind w:firstLine="420"/>
        <w:spacing w:line="360" w:lineRule="auto"/>
        <w:tabs>
          <w:tab w:val="left" w:pos="420" w:leader="none"/>
        </w:tabs>
        <w:rPr>
          <w:rFonts w:hint="eastAsia" w:ascii="宋体" w:hAnsi="宋体" w:eastAsiaTheme="minorEastAsia"/>
          <w:color w:val="auto"/>
          <w:sz w:val="21"/>
          <w:highlight w:val="none"/>
          <w:lang w:eastAsia="zh-CN"/>
        </w:rPr>
      </w:pPr>
      <w:r>
        <w:rPr>
          <w:rFonts w:ascii="宋体" w:hAnsi="宋体"/>
          <w:color w:val="auto"/>
          <w:sz w:val="21"/>
          <w:highlight w:val="none"/>
        </w:rPr>
        <w:t xml:space="preserve">8.2.</w:t>
      </w:r>
      <w:r>
        <w:rPr>
          <w:rFonts w:hint="eastAsia" w:ascii="宋体" w:hAnsi="宋体" w:cs="宋体"/>
          <w:color w:val="auto"/>
          <w:sz w:val="21"/>
          <w:highlight w:val="none"/>
        </w:rPr>
        <w:t xml:space="preserve">3、中标方应遵守现场的一切规章制度，应自行负责施工现场的安全管理，安全、文明安装和调试</w:t>
      </w:r>
      <w:r>
        <w:rPr>
          <w:rFonts w:hint="eastAsia" w:ascii="宋体" w:hAnsi="宋体" w:cs="宋体"/>
          <w:color w:val="auto"/>
          <w:sz w:val="21"/>
          <w:highlight w:val="none"/>
          <w:lang w:eastAsia="zh-CN"/>
        </w:rPr>
        <w:t xml:space="preserve">；</w:t>
      </w:r>
      <w:r/>
    </w:p>
    <w:p>
      <w:pPr>
        <w:ind w:firstLine="420"/>
        <w:spacing w:line="360" w:lineRule="auto"/>
        <w:tabs>
          <w:tab w:val="left" w:pos="420" w:leader="none"/>
        </w:tabs>
        <w:rPr>
          <w:rFonts w:hint="eastAsia" w:ascii="宋体" w:hAnsi="宋体" w:eastAsiaTheme="minorEastAsia"/>
          <w:color w:val="auto"/>
          <w:sz w:val="21"/>
          <w:highlight w:val="none"/>
          <w:lang w:eastAsia="zh-CN"/>
        </w:rPr>
      </w:pPr>
      <w:r>
        <w:rPr>
          <w:rFonts w:ascii="宋体" w:hAnsi="宋体"/>
          <w:color w:val="auto"/>
          <w:sz w:val="21"/>
          <w:highlight w:val="none"/>
        </w:rPr>
        <w:t xml:space="preserve">8.2.</w:t>
      </w:r>
      <w:r>
        <w:rPr>
          <w:rFonts w:hint="eastAsia" w:ascii="宋体" w:hAnsi="宋体" w:cs="宋体"/>
          <w:color w:val="auto"/>
          <w:sz w:val="21"/>
          <w:highlight w:val="none"/>
        </w:rPr>
        <w:t xml:space="preserve">4、中标方负责保管、看护进场的设备及附配件</w:t>
      </w:r>
      <w:r>
        <w:rPr>
          <w:rFonts w:hint="eastAsia" w:ascii="宋体" w:hAnsi="宋体" w:cs="宋体"/>
          <w:color w:val="auto"/>
          <w:sz w:val="21"/>
          <w:highlight w:val="none"/>
          <w:lang w:eastAsia="zh-CN"/>
        </w:rPr>
        <w:t xml:space="preserve">；</w:t>
      </w:r>
      <w:r/>
    </w:p>
    <w:p>
      <w:pPr>
        <w:ind w:firstLine="420"/>
        <w:spacing w:line="360" w:lineRule="auto"/>
        <w:tabs>
          <w:tab w:val="left" w:pos="420" w:leader="none"/>
        </w:tabs>
        <w:rPr>
          <w:rFonts w:hint="eastAsia" w:ascii="宋体" w:hAnsi="宋体" w:eastAsiaTheme="minorEastAsia"/>
          <w:color w:val="auto"/>
          <w:sz w:val="21"/>
          <w:highlight w:val="none"/>
          <w:lang w:eastAsia="zh-CN"/>
        </w:rPr>
      </w:pPr>
      <w:r>
        <w:rPr>
          <w:rFonts w:ascii="宋体" w:hAnsi="宋体"/>
          <w:color w:val="auto"/>
          <w:sz w:val="21"/>
          <w:highlight w:val="none"/>
        </w:rPr>
        <w:t xml:space="preserve">8.2.</w:t>
      </w:r>
      <w:r>
        <w:rPr>
          <w:rFonts w:hint="eastAsia" w:ascii="宋体" w:hAnsi="宋体" w:cs="宋体"/>
          <w:color w:val="auto"/>
          <w:sz w:val="21"/>
          <w:highlight w:val="none"/>
        </w:rPr>
        <w:t xml:space="preserve">5、中标方应对设备及附配件、安装设备（工具）等提供适当的保护、包装或覆盖等处理，以免受损</w:t>
      </w:r>
      <w:r>
        <w:rPr>
          <w:rFonts w:hint="eastAsia" w:ascii="宋体" w:hAnsi="宋体" w:cs="宋体"/>
          <w:color w:val="auto"/>
          <w:sz w:val="21"/>
          <w:highlight w:val="none"/>
          <w:lang w:eastAsia="zh-CN"/>
        </w:rPr>
        <w:t xml:space="preserve">；</w:t>
      </w:r>
      <w:r/>
    </w:p>
    <w:p>
      <w:pPr>
        <w:ind w:firstLine="420"/>
        <w:spacing w:line="360" w:lineRule="auto"/>
        <w:tabs>
          <w:tab w:val="left" w:pos="420" w:leader="none"/>
        </w:tabs>
        <w:rPr>
          <w:rFonts w:hint="eastAsia" w:ascii="宋体" w:hAnsi="宋体" w:eastAsiaTheme="minorEastAsia"/>
          <w:color w:val="auto"/>
          <w:sz w:val="21"/>
          <w:highlight w:val="none"/>
          <w:lang w:eastAsia="zh-CN"/>
        </w:rPr>
      </w:pPr>
      <w:r>
        <w:rPr>
          <w:rFonts w:ascii="宋体" w:hAnsi="宋体"/>
          <w:color w:val="auto"/>
          <w:sz w:val="21"/>
          <w:highlight w:val="none"/>
        </w:rPr>
        <w:t xml:space="preserve">8.2.</w:t>
      </w:r>
      <w:r>
        <w:rPr>
          <w:rFonts w:hint="eastAsia" w:ascii="宋体" w:hAnsi="宋体" w:cs="宋体"/>
          <w:color w:val="auto"/>
          <w:sz w:val="21"/>
          <w:highlight w:val="none"/>
        </w:rPr>
        <w:t xml:space="preserve">6、无论安装调试期间或保修过程中，中标方负责及时清理垃圾</w:t>
      </w:r>
      <w:r>
        <w:rPr>
          <w:rFonts w:hint="eastAsia" w:ascii="宋体" w:hAnsi="宋体" w:cs="宋体"/>
          <w:color w:val="auto"/>
          <w:sz w:val="21"/>
          <w:highlight w:val="none"/>
          <w:lang w:eastAsia="zh-CN"/>
        </w:rPr>
        <w:t xml:space="preserve">；</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8.2.</w:t>
      </w:r>
      <w:r>
        <w:rPr>
          <w:rFonts w:hint="eastAsia" w:ascii="宋体" w:hAnsi="宋体" w:cs="宋体"/>
          <w:color w:val="auto"/>
          <w:sz w:val="21"/>
          <w:highlight w:val="none"/>
        </w:rPr>
        <w:t xml:space="preserve">7、中标方承担安装调试期间安装场所的安全以及设备和安装调试人员的安全责任。</w:t>
      </w:r>
      <w:r/>
    </w:p>
    <w:p>
      <w:pPr>
        <w:ind w:firstLine="420"/>
        <w:spacing w:line="360" w:lineRule="auto"/>
        <w:tabs>
          <w:tab w:val="left" w:pos="420" w:leader="none"/>
        </w:tabs>
        <w:rPr>
          <w:rFonts w:ascii="宋体" w:hAnsi="宋体" w:cs="宋体"/>
          <w:color w:val="auto"/>
          <w:sz w:val="21"/>
          <w:highlight w:val="none"/>
        </w:rPr>
      </w:pPr>
      <w:r>
        <w:rPr>
          <w:rFonts w:hint="eastAsia" w:ascii="宋体" w:hAnsi="宋体" w:cs="宋体"/>
          <w:color w:val="auto"/>
          <w:sz w:val="21"/>
          <w:highlight w:val="none"/>
        </w:rPr>
        <w:t xml:space="preserve">8.3售后服务要求</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8.3.</w:t>
      </w:r>
      <w:r>
        <w:rPr>
          <w:rFonts w:hint="eastAsia" w:ascii="宋体" w:hAnsi="宋体" w:cs="宋体"/>
          <w:color w:val="auto"/>
          <w:sz w:val="21"/>
          <w:highlight w:val="none"/>
        </w:rPr>
        <w:t xml:space="preserve">1、质保期：5年，全免费上门质保服务，投标单位至少提供5年全免费上门质保服务。因人为因素出现的故障不在免费质保范围内。</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8.3.</w:t>
      </w:r>
      <w:r>
        <w:rPr>
          <w:rFonts w:hint="eastAsia" w:ascii="宋体" w:hAnsi="宋体" w:cs="宋体"/>
          <w:color w:val="auto"/>
          <w:sz w:val="21"/>
          <w:highlight w:val="none"/>
        </w:rPr>
        <w:t xml:space="preserve">2、按合同定期到货和安装，安装前中标人需把设备资料报招标人审核。</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8.3.</w:t>
      </w:r>
      <w:r>
        <w:rPr>
          <w:rFonts w:hint="eastAsia" w:ascii="宋体" w:hAnsi="宋体" w:cs="宋体"/>
          <w:color w:val="auto"/>
          <w:sz w:val="21"/>
          <w:highlight w:val="none"/>
        </w:rPr>
        <w:t xml:space="preserve">3、终身维修并标明保修期后的具体维修维护事宜。</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8.3.</w:t>
      </w:r>
      <w:r>
        <w:rPr>
          <w:rFonts w:hint="eastAsia" w:ascii="宋体" w:hAnsi="宋体" w:cs="宋体"/>
          <w:color w:val="auto"/>
          <w:sz w:val="21"/>
          <w:highlight w:val="none"/>
        </w:rPr>
        <w:t xml:space="preserve">4、在质保期满后，中标人需长期提供优惠价格的主要零配件。</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8.3.</w:t>
      </w:r>
      <w:r>
        <w:rPr>
          <w:rFonts w:hint="eastAsia" w:ascii="宋体" w:hAnsi="宋体" w:cs="宋体"/>
          <w:color w:val="auto"/>
          <w:sz w:val="21"/>
          <w:highlight w:val="none"/>
        </w:rPr>
        <w:t xml:space="preserve">5、在使用过程中发生问题，供应商在接到通知后，半小时内响应、2小时内到达现场、24小时内修复问题。如果不能解决问题，请提供解决方案或提供备用机。</w:t>
      </w:r>
      <w:r/>
    </w:p>
    <w:p>
      <w:pPr>
        <w:ind w:firstLine="420"/>
        <w:spacing w:line="360" w:lineRule="auto"/>
        <w:tabs>
          <w:tab w:val="left" w:pos="420" w:leader="none"/>
        </w:tabs>
        <w:rPr>
          <w:rFonts w:ascii="宋体" w:hAnsi="宋体"/>
          <w:color w:val="auto"/>
          <w:sz w:val="21"/>
          <w:highlight w:val="none"/>
        </w:rPr>
      </w:pPr>
      <w:r>
        <w:rPr>
          <w:rFonts w:ascii="宋体" w:hAnsi="宋体"/>
          <w:color w:val="auto"/>
          <w:sz w:val="21"/>
          <w:highlight w:val="none"/>
        </w:rPr>
        <w:t xml:space="preserve">8.3.</w:t>
      </w:r>
      <w:r>
        <w:rPr>
          <w:rFonts w:hint="eastAsia" w:ascii="宋体" w:hAnsi="宋体" w:cs="宋体"/>
          <w:color w:val="auto"/>
          <w:sz w:val="21"/>
          <w:highlight w:val="none"/>
        </w:rPr>
        <w:t xml:space="preserve">6、在免费质保期内，供应商应对货物出现的质量负责处理解决。</w:t>
      </w:r>
      <w:r/>
    </w:p>
    <w:p>
      <w:pPr>
        <w:ind w:firstLine="422"/>
        <w:spacing w:line="360" w:lineRule="exact"/>
        <w:rPr>
          <w:rFonts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五、项目服务要求</w:t>
      </w:r>
      <w:r/>
    </w:p>
    <w:p>
      <w:pPr>
        <w:numPr>
          <w:ilvl w:val="1"/>
          <w:numId w:val="0"/>
        </w:num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5.1 项目实施要求</w:t>
      </w:r>
      <w:r/>
    </w:p>
    <w:p>
      <w:pPr>
        <w:ind w:firstLine="420"/>
        <w:spacing w:before="120" w:after="120"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投标人应具备完成本次项目的实施能力，应具备能够满足医疗卫生信息化项目特点的管理体系，应能提供合格的信息系统建设和服务等。</w:t>
      </w:r>
      <w:r/>
    </w:p>
    <w:p>
      <w:pPr>
        <w:ind w:firstLine="420"/>
        <w:spacing w:before="120" w:after="120"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投标人应结合本项目采购需求作出详细可行的项目实施方案，投标人应充分认识到项目风险管理的重要性，在投标文件中分析识别项目中的各类风险因素，并采取相应的对策。</w:t>
      </w:r>
      <w:r/>
    </w:p>
    <w:p>
      <w:pPr>
        <w:ind w:firstLine="420"/>
        <w:spacing w:before="120" w:after="120"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投标人应组建一个配置合理的项目团队，并详细说明拟派出的项目团队人员情况，投标人在实施周期内应有足够的人力投入以保障项目如期交付。</w:t>
      </w:r>
      <w:r/>
    </w:p>
    <w:p>
      <w:pPr>
        <w:ind w:firstLine="420"/>
        <w:spacing w:before="120" w:after="120"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项目实施服务期间，如因管理政策变化或医院流程变更的原因，需要对系统进行相应的客户化修改，投标人须无条件满足。</w:t>
      </w:r>
      <w:r/>
    </w:p>
    <w:p>
      <w:pPr>
        <w:numPr>
          <w:ilvl w:val="1"/>
          <w:numId w:val="0"/>
        </w:num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5.2 项目培训要求</w:t>
      </w:r>
      <w:r/>
    </w:p>
    <w:p>
      <w:pPr>
        <w:ind w:firstLine="420"/>
        <w:spacing w:before="120" w:after="120"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实施期间，投标人应提供建设内容相关的培训服务（培训费用已包含在预算内），培训方式应包括一对一培训、小班培训和集中培训等，考虑到医院环境的特殊性，必要时还应提供网络培训。投标人需针对医院管理人员、业务系统使用人员、系统管理人员等不同培训对象，制定有针对性的课程内容。</w:t>
      </w:r>
      <w:r/>
    </w:p>
    <w:p>
      <w:pPr>
        <w:numPr>
          <w:ilvl w:val="1"/>
          <w:numId w:val="0"/>
        </w:num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5.3 项目验收要求</w:t>
      </w:r>
      <w:r/>
    </w:p>
    <w:p>
      <w:pPr>
        <w:ind w:firstLine="420"/>
        <w:spacing w:before="120" w:after="120"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本项目涉及产品种类较多，其中：</w:t>
      </w:r>
      <w:r/>
    </w:p>
    <w:p>
      <w:pPr>
        <w:ind w:firstLine="420"/>
        <w:spacing w:before="120" w:after="120"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软件验收将按各系统上线试运行情况分别进行功能验收。每个系统上线后需进行试运行，试运行期间系统运行稳定，在试运行结束时，中标人可向采购人申请该系统的分项验收。中标人提出书面申请，经采购人同意后组织验收组进行初步验收。初步验收合格后采购人应当出具该部分验收内容的初步验收合格报告。</w:t>
      </w:r>
      <w:r/>
    </w:p>
    <w:p>
      <w:pPr>
        <w:ind w:firstLine="420"/>
        <w:spacing w:before="120" w:after="120"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（2）硬件产品到货后进行验收，产品完好无破损，安装后进行通电测试，功能运行正常视为该产品验收通过，采购人应当出具该产品的验收合格报告。</w:t>
      </w:r>
      <w:r/>
    </w:p>
    <w:p>
      <w:pPr>
        <w:ind w:firstLine="420"/>
        <w:spacing w:before="120" w:after="120"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（3）项目涉及的各产品全部验收完成，由采购人组织整体验收，整体验收通过后，采购人应当出具项目最终验收合格报告。</w:t>
      </w:r>
      <w:r/>
    </w:p>
    <w:p>
      <w:pPr>
        <w:ind w:firstLine="420"/>
        <w:spacing w:before="120" w:after="120"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应遵循知识产权管理体系做好文档管理工作，在项目验收时进行相关文档的移交，文档资料必须符合软件工程的相关要求，并提供明确的交付清单。</w:t>
      </w:r>
      <w:r/>
    </w:p>
    <w:p>
      <w:pPr>
        <w:numPr>
          <w:ilvl w:val="1"/>
          <w:numId w:val="0"/>
        </w:num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5.4 质保运维要求</w:t>
      </w:r>
      <w:r/>
    </w:p>
    <w:p>
      <w:pPr>
        <w:ind w:firstLine="420"/>
        <w:spacing w:before="120" w:after="120"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为确保项目产品交付后的稳定可靠运行，投标人应具备与本项目相适应的信息技术运维服务能力。</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服务范围：保障已交付产品的正常使用，包括但不限于定期巡检、缺陷修复、功能完善等。</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服务响应时间要求：提供7×24电话或即时通讯软件服务，接到采购人报修通知2小时内做出明确响应和安排，8小时内做出故障诊断报告。如需现场服务的，具有解决故障能力的工程师在接到报修通知次日内到达现场。</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6、项目总体要求</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6.1投标人在报价前需充分勘察现场。本项目装饰面层（墙、地、顶）已基本完成，弱电线缆已由前序单位敷设完毕。投标人需在不破坏既有装饰效果的前提下完成设备安装与调试。所有因现场条件受限（如开孔尺寸已定、夜间施工、成品保护、场地内二次运输、吊顶已封板）产生的额外费用（包括但不限于结构或装修面的开孔、拆除、封堵或恢复等），均应包含在投标总价中，中标后不予调整。</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6.2投标人应根据招标人在招标过程中提供的图纸、清单、技术要求等文件，实现各系统的具体功能。</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7、第三方系统对接要求</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本次采购包含的软件产品均应具备良好的开放性、可移植性和可扩展性等，开放软件功能接口，配合采购人完成系统对接，相关软件费用均包含在报价内。</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中标供应商在合同履约期内应提供与第三方系统对接和调试工作，相关费用包含在报价内。</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本项目第三方系统对接要求包括且不限于采购书内各系统与第三方系统的对接需求。</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8、项目交付要求</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在本项目实施过程中，各个阶段都会有各种成果和文档资料。这些成果和文档资料对系统的维护和持续发展起着非常重大的作用。因此，要求将全面、规范的成果和文档资料交付给用户，并提供明确的交付清单。</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本项目交付要求应包括且不限于采购书中各系统的交付需求。</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9、整体验收标准与程序</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项目整体验收标准按照国家、地区相关标准，以及招标文件、投标文件、合同及其它项目正式文件中的要求条款执行。所有验收意见将由采购人以书面形式做出并签字或盖章确认。</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10、知识产权需求</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10.1.所有中标人为本项目提供的服务、交付物及交付物中所有软件目标代码、源代码（中标人自有的产品和第三方的成熟产品除外）、版权、专利权、设计、专有知识、派生知识、方法、技术、工艺及文档材料，采购人均与中标人共同享有所有的产权、所有权及其它知识产权和权益。</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10.2.中标人独立于本项目之外完成的工作成果的知识产权归中标人所有。基于本项目的一切成果，采购人享有知识产权和所有权。</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10.3.采购人利用中标人提供的工作成果完成的成果，其所有权归采购人所有。</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10.4.中标人应保证本项目提供的服务及相关的软件和技术资料，均已得到有关知识产权的权利人的合法授权，如发生涉及专利权、著作权、商标权等争议，中标人负责处理，并承担由此引起的全部法律及经济责任。</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10.5.中标人应保证采购人在中国境内使用服务或服务的任何一部分时，免受第三方提出的侵犯其知识产权的诉讼。如采购人因本项目服务成果的知识产权原因而受到第三方索赔请求，中标人应负责处理，并承担采购人因此发生的全部费用及损失。</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10.6.如果有人提出法律或行政程序（合称“侵权指控”），声称中标人所拥有的应用软件侵犯了其合法权益（包括但不限于知识产权），中标人应当负责解决，并赔偿采购人就此所承担的一切损失和费用，包括但不限于上述侵权指控中所产生的诉讼费用、调查费用、合理的律师费用、和解金额或生效法律文书中规定的赔偿金额。</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10.7.如果在侵权指控的审理过程中，有关机关禁止采购人或采购人指定的第三方继续使用系统软件和/或应用软件的，中标人应采取以下措施之一（中标人采取下列措施，不能免除中标人就采购人或采购人指定的第三方因此遭受的损失进行赔偿的义务）：</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（1）使采购人或采购人指定的第三方重新免费获得使用上述软件权利，或免费更换或改造上述软件，使采购人或采购人指定的第三方不受上述禁令限制继续使用该系统。</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（2）其它使采购人对上述软件拥有合法使用权或所有权，或其它弥补采购人受损利益，实现合同目的的合理方式。</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11、保密需求</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11.1.采购人对其向中标人提供/披露的各类技术、信息数据、商业资料、规格说明、图纸、文件及专有技术等 （统称“保密资料”）享有合法所有权，保密资料包括但不限于：</w:t>
      </w:r>
      <w:r/>
    </w:p>
    <w:p>
      <w:pPr>
        <w:ind w:firstLine="420"/>
        <w:spacing w:line="36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（1）技术信息：包括涉及采购人建设中的技术信息，包括软件技术、数据、管理文件等</w:t>
      </w:r>
      <w:r>
        <w:rPr>
          <w:rFonts w:hint="eastAsia" w:ascii="宋体" w:hAnsi="宋体" w:cs="宋体"/>
          <w:color w:val="auto"/>
          <w:sz w:val="21"/>
          <w:szCs w:val="21"/>
          <w:highlight w:val="none"/>
          <w:lang w:eastAsia="zh-CN"/>
        </w:rPr>
        <w:t xml:space="preserve">；</w:t>
      </w:r>
      <w:r/>
    </w:p>
    <w:p>
      <w:pPr>
        <w:ind w:firstLine="420"/>
        <w:spacing w:line="36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（2）运营信息：包括涉及采购人业务运行的各种信息，经营方向、经营决策、定价政策以及内部掌握的合同、协议、项目方案等</w:t>
      </w:r>
      <w:r>
        <w:rPr>
          <w:rFonts w:hint="eastAsia" w:ascii="宋体" w:hAnsi="宋体" w:cs="宋体"/>
          <w:color w:val="auto"/>
          <w:sz w:val="21"/>
          <w:szCs w:val="21"/>
          <w:highlight w:val="none"/>
          <w:lang w:eastAsia="zh-CN"/>
        </w:rPr>
        <w:t xml:space="preserve">；</w:t>
      </w:r>
      <w:r/>
    </w:p>
    <w:p>
      <w:pPr>
        <w:ind w:firstLine="420"/>
        <w:spacing w:line="36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（3）患者信息：包括涉及采购人门诊、住院患者的相关诊疗信息，如患者基本信息、诊疗计划、病历信息、费用信息、处方等</w:t>
      </w:r>
      <w:r>
        <w:rPr>
          <w:rFonts w:hint="eastAsia" w:ascii="宋体" w:hAnsi="宋体" w:cs="宋体"/>
          <w:color w:val="auto"/>
          <w:sz w:val="21"/>
          <w:szCs w:val="21"/>
          <w:highlight w:val="none"/>
          <w:lang w:eastAsia="zh-CN"/>
        </w:rPr>
        <w:t xml:space="preserve">；</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同时，在采购人经营中，某一信息的泄露会造成下列后果之一的，也属于“保密信息”范围：</w:t>
      </w:r>
      <w:r/>
    </w:p>
    <w:p>
      <w:pPr>
        <w:ind w:firstLine="420"/>
        <w:spacing w:line="36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（1）影响采购人经营和发展的事项</w:t>
      </w:r>
      <w:r>
        <w:rPr>
          <w:rFonts w:hint="eastAsia" w:ascii="宋体" w:hAnsi="宋体" w:cs="宋体"/>
          <w:color w:val="auto"/>
          <w:sz w:val="21"/>
          <w:szCs w:val="21"/>
          <w:highlight w:val="none"/>
          <w:lang w:eastAsia="zh-CN"/>
        </w:rPr>
        <w:t xml:space="preserve">；</w:t>
      </w:r>
      <w:r/>
    </w:p>
    <w:p>
      <w:pPr>
        <w:ind w:firstLine="420"/>
        <w:spacing w:line="36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（2）影响采购人业务活动的事项</w:t>
      </w:r>
      <w:r>
        <w:rPr>
          <w:rFonts w:hint="eastAsia" w:ascii="宋体" w:hAnsi="宋体" w:cs="宋体"/>
          <w:color w:val="auto"/>
          <w:sz w:val="21"/>
          <w:szCs w:val="21"/>
          <w:highlight w:val="none"/>
          <w:lang w:eastAsia="zh-CN"/>
        </w:rPr>
        <w:t xml:space="preserve">；</w:t>
      </w:r>
      <w:r/>
    </w:p>
    <w:p>
      <w:pPr>
        <w:ind w:firstLine="420"/>
        <w:spacing w:line="36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（3）影响采购人技术进步的事项</w:t>
      </w:r>
      <w:r>
        <w:rPr>
          <w:rFonts w:hint="eastAsia" w:ascii="宋体" w:hAnsi="宋体" w:cs="宋体"/>
          <w:color w:val="auto"/>
          <w:sz w:val="21"/>
          <w:szCs w:val="21"/>
          <w:highlight w:val="none"/>
          <w:lang w:eastAsia="zh-CN"/>
        </w:rPr>
        <w:t xml:space="preserve">；</w:t>
      </w:r>
      <w:r/>
    </w:p>
    <w:p>
      <w:pPr>
        <w:ind w:firstLine="420"/>
        <w:spacing w:line="36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（4）使采购人在竞争中处于被动或不利的事项</w:t>
      </w:r>
      <w:r>
        <w:rPr>
          <w:rFonts w:hint="eastAsia" w:ascii="宋体" w:hAnsi="宋体" w:cs="宋体"/>
          <w:color w:val="auto"/>
          <w:sz w:val="21"/>
          <w:szCs w:val="21"/>
          <w:highlight w:val="none"/>
          <w:lang w:eastAsia="zh-CN"/>
        </w:rPr>
        <w:t xml:space="preserve">；</w:t>
      </w:r>
      <w:r/>
    </w:p>
    <w:p>
      <w:pPr>
        <w:ind w:firstLine="420"/>
        <w:spacing w:line="36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（5）使采购人经济利益受到损害的事项</w:t>
      </w:r>
      <w:r>
        <w:rPr>
          <w:rFonts w:hint="eastAsia" w:ascii="宋体" w:hAnsi="宋体" w:cs="宋体"/>
          <w:color w:val="auto"/>
          <w:sz w:val="21"/>
          <w:szCs w:val="21"/>
          <w:highlight w:val="none"/>
          <w:lang w:eastAsia="zh-CN"/>
        </w:rPr>
        <w:t xml:space="preserve">；</w:t>
      </w:r>
      <w:r/>
    </w:p>
    <w:p>
      <w:pPr>
        <w:ind w:firstLine="420"/>
        <w:spacing w:line="36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（6）影响采购人对外交流和谈判顺利进行的事项</w:t>
      </w:r>
      <w:r>
        <w:rPr>
          <w:rFonts w:hint="eastAsia" w:ascii="宋体" w:hAnsi="宋体" w:cs="宋体"/>
          <w:color w:val="auto"/>
          <w:sz w:val="21"/>
          <w:szCs w:val="21"/>
          <w:highlight w:val="none"/>
          <w:lang w:eastAsia="zh-CN"/>
        </w:rPr>
        <w:t xml:space="preserve">；</w:t>
      </w:r>
      <w:r/>
    </w:p>
    <w:p>
      <w:pPr>
        <w:ind w:firstLine="420"/>
        <w:spacing w:line="36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（7）影响采购人的稳定和安全的事项</w:t>
      </w:r>
      <w:r>
        <w:rPr>
          <w:rFonts w:hint="eastAsia" w:ascii="宋体" w:hAnsi="宋体" w:cs="宋体"/>
          <w:color w:val="auto"/>
          <w:sz w:val="21"/>
          <w:szCs w:val="21"/>
          <w:highlight w:val="none"/>
          <w:lang w:eastAsia="zh-CN"/>
        </w:rPr>
        <w:t xml:space="preserve">；</w:t>
      </w:r>
      <w:r/>
    </w:p>
    <w:p>
      <w:pPr>
        <w:ind w:firstLine="420"/>
        <w:spacing w:line="36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（8）影响采购人对外承担保密义务的事项</w:t>
      </w:r>
      <w:r>
        <w:rPr>
          <w:rFonts w:hint="eastAsia" w:ascii="宋体" w:hAnsi="宋体" w:cs="宋体"/>
          <w:color w:val="auto"/>
          <w:sz w:val="21"/>
          <w:szCs w:val="21"/>
          <w:highlight w:val="none"/>
          <w:lang w:eastAsia="zh-CN"/>
        </w:rPr>
        <w:t xml:space="preserve">；</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（9）能使竞争对手降低研发成本或推广成本的。</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11.2．中标人应将上述采购人保密资料作为商业秘密予以保护。如发生泄密，采购人有权追究中标人泄密责任。</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除本项目授权实施的行为外，中标人不得将保密资料部分地或全部地对外披露，中标人可仅为本项目正常开展的目的向其确有知悉必要的雇员披露采购人提供的保密资料，但同时须指示其雇员遵守本条规定的保密及不披露义务。中标人对于其雇员或代理人在项目中保密义务项下的行为负责。</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中标人应当妥善保管保密资料，并对保密资料在中标人期间发生的被盗、泄露或其他有损保密资料保密性的事件承担全部责任。中标人仅在为履行本项目之目的的条件下，且在被采购人允许时，能对保密资料进行复制。中标人应当在本项目结束或终止时，将所有保密资料原件、复印件等全部返还采购人，并销毁所有复印件。</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（3）为保障采购人保密资料安全，采购人有权要求中标人及可能接触到保密资料的中标人雇员单独出具相应保密承诺。</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无论在项目合作期间或项目合作终止后，如果没有得到采购人的书面认可，中标人均不得泄露、告知、公布、发表、出版、传授、转让、或其他任何方式使任何第三方（包括按采购人的管理规定不得知悉该项秘密内容的采购人其他职员）知悉属于采购人或虽属第三方但采购人承诺有保密义务的商业秘密信息。中标人的保密义务应持续到采购人宣布解密为止。</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11.3.中标人（包括中标人任何使用、获得本协议涉密事项的所有人员、关联单位、客户等）泄露采购人保密资料的，中标人应全额赔偿采购人损失。同时采购人均有权采取一切必要法律措施防止继续泄密，由此产生的所有费用由中标人承担。</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11.4.任何一方对其获知的本合同各方的商业秘密和国家秘密等非公开信息负有保密义务。</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11.5.在下列情形下：当国家机关调查、审查、审计时，以及其他符合法律规定的情形下，无须事先征求中标人同意而可以披露关于采购过程、合同文本、签署情况的资料、中标人的名称及地址、采购内容的有关信息以及补充条款等，但应当在合理的必要范围内。对任何已经公布过的内容或与之内容相同的资料，以及中标人已经泄露或公开的，无须再承担保密责任。</w:t>
      </w:r>
      <w:r/>
    </w:p>
    <w:p>
      <w:pPr>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11.6.此外的其他情形下，除非法律法规另有规定或得到本项目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pStyle w:val="832"/>
        <w:rPr>
          <w:color w:val="auto"/>
          <w:highlight w:val="none"/>
        </w:rPr>
      </w:pPr>
      <w:r>
        <w:rPr>
          <w:rFonts w:hint="eastAsia"/>
          <w:color w:val="auto"/>
          <w:highlight w:val="none"/>
        </w:rPr>
        <w:t xml:space="preserve">六、综合说明：</w:t>
      </w:r>
      <w:r/>
    </w:p>
    <w:p>
      <w:pPr>
        <w:pStyle w:val="914"/>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1、若因国家法规、政策变动导致本项目无法执行，则合同自动终止，合同双方互不追究任何责任。</w:t>
      </w:r>
      <w:bookmarkEnd w:id="14"/>
      <w:r/>
      <w:r/>
    </w:p>
    <w:p>
      <w:pPr>
        <w:pStyle w:val="914"/>
        <w:ind w:firstLine="420"/>
        <w:spacing w:line="440" w:lineRule="exact"/>
        <w:rPr>
          <w:rFonts w:hAnsi="宋体" w:eastAsia="宋体" w:cs="宋体"/>
          <w:color w:val="auto"/>
          <w:sz w:val="21"/>
          <w:szCs w:val="21"/>
          <w:highlight w:val="none"/>
        </w:rPr>
      </w:pPr>
      <w:r/>
      <w:bookmarkStart w:id="18" w:name="_Toc142194273"/>
      <w:r/>
      <w:bookmarkStart w:id="19" w:name="_Toc13889378"/>
      <w:r/>
      <w:bookmarkStart w:id="20" w:name="_Toc13642118"/>
      <w:r>
        <w:rPr>
          <w:rFonts w:hint="eastAsia" w:hAnsi="宋体" w:eastAsia="宋体" w:cs="宋体"/>
          <w:color w:val="auto"/>
          <w:sz w:val="21"/>
          <w:szCs w:val="21"/>
          <w:highlight w:val="none"/>
        </w:rPr>
        <w:t xml:space="preserve">2、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p>
    <w:p>
      <w:pPr>
        <w:pStyle w:val="914"/>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3、单位负责人为同一人或者存在直接控股、管理关系的不同供应商，不得参加同一合同项下的政府采购活动。为本项目提供整体设计、规范编制或者项目管理、监理、监测等服务的供应商，不得再参加该采购项目的其他采购活动。</w:t>
      </w:r>
      <w:r/>
    </w:p>
    <w:p>
      <w:pPr>
        <w:pStyle w:val="914"/>
        <w:ind w:firstLine="420"/>
        <w:spacing w:line="44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4、采购要求中涉及的各项规格尺寸、功率等技术要求若未注明具体偏差范围的，最大允差不得超过5％。</w:t>
      </w:r>
      <w:r/>
    </w:p>
    <w:p>
      <w:pPr>
        <w:pStyle w:val="914"/>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5、投标人必须满足采购需求中提出的全部内容与要求，投标人应将不同意的条款和更有利的条款在“采购需求偏离表”中列出，投标人完全同意的条款不需要列出，投标人不同意某项条款（即负偏离）属于不响应，按响应无效处理。</w:t>
      </w:r>
      <w:r/>
    </w:p>
    <w:p>
      <w:pPr>
        <w:pStyle w:val="914"/>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6、采购项目需要落实的政府采购政策：</w:t>
      </w:r>
      <w:r/>
    </w:p>
    <w:p>
      <w:pPr>
        <w:pStyle w:val="914"/>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6.1 根据财政部、工业和信息化部关于印发《政府采购促进中小企业发展管理办法》的规定执行。 </w:t>
      </w:r>
      <w:r/>
    </w:p>
    <w:p>
      <w:pPr>
        <w:pStyle w:val="914"/>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6.2 根据财政部、司法部《关于政府采购支持监狱企业发展有关问题的通知》（财库〔2014〕68号）的规定执行。 </w:t>
      </w:r>
      <w:r/>
    </w:p>
    <w:p>
      <w:pPr>
        <w:pStyle w:val="914"/>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6.3 根据财政部、民政部、中国残疾人联合会《关于促进残疾人就业政府采购政策的通知》（财库〔2017〕141号）的规定执行。 </w:t>
      </w:r>
      <w:r/>
    </w:p>
    <w:p>
      <w:pPr>
        <w:pStyle w:val="914"/>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6.4苏州市财政局《关于贯彻执行绿色采购、促进残疾人就业和支持监狱企业发展有关政策的通知（苏财购〔2020〕10号）》。</w:t>
      </w:r>
      <w:r/>
    </w:p>
    <w:p>
      <w:pPr>
        <w:pStyle w:val="914"/>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6.5财库〔2022〕19号关于进一步加大政府采购支持中小企业力度的通知。</w:t>
      </w:r>
      <w:r/>
    </w:p>
    <w:p>
      <w:pPr>
        <w:pStyle w:val="914"/>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6.6苏财购〔2022〕16号关于印发《苏州市政府采购促进中小企业发展实施意见》的通知</w:t>
      </w:r>
      <w:r/>
    </w:p>
    <w:p>
      <w:pPr>
        <w:pStyle w:val="914"/>
        <w:ind w:firstLine="420"/>
        <w:spacing w:line="44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6.7 绿色采购</w:t>
      </w:r>
      <w:r/>
    </w:p>
    <w:p>
      <w:pPr>
        <w:pStyle w:val="914"/>
        <w:ind w:firstLine="420"/>
        <w:spacing w:line="44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pStyle w:val="914"/>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6.8、政府采购中实施本国产品标准及相关政策</w:t>
      </w:r>
      <w:r/>
    </w:p>
    <w:p>
      <w:pPr>
        <w:pStyle w:val="914"/>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（1）本项目对采购本国产品给予政策支持，具体内容见招标文件“第六章 评标方法、评分标准”。</w:t>
      </w:r>
      <w:r/>
    </w:p>
    <w:p>
      <w:pPr>
        <w:pStyle w:val="914"/>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14"/>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对医疗器械产品，取得药品监督管理部门授予的准字号医疗器械注册证的，属于在中国境内生产的产品</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其他产品，根据实际情况判断是否在中国境内生产。</w:t>
      </w:r>
      <w:r/>
    </w:p>
    <w:p>
      <w:pPr>
        <w:pStyle w:val="914"/>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7、根据苏州市财政局《关于深入开展苏州市政府采购合同信用融资业务的通知》相关要求，本项目支持政府采购合同信用融资。</w:t>
      </w:r>
      <w:r/>
    </w:p>
    <w:p>
      <w:pPr>
        <w:pStyle w:val="914"/>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8、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pStyle w:val="914"/>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9、凡涉及招标文件的补充说明和修改，均以采购代理机构在网上发布的内容为准。</w:t>
      </w:r>
      <w:r/>
    </w:p>
    <w:p>
      <w:pPr>
        <w:pStyle w:val="831"/>
        <w:rPr>
          <w:color w:val="auto"/>
          <w:sz w:val="36"/>
          <w:szCs w:val="36"/>
          <w:highlight w:val="none"/>
        </w:rPr>
      </w:pPr>
      <w:r>
        <w:rPr>
          <w:rFonts w:hint="eastAsia"/>
          <w:color w:val="auto"/>
          <w:sz w:val="28"/>
          <w:szCs w:val="28"/>
          <w:highlight w:val="none"/>
        </w:rPr>
        <w:br w:type="page" w:clear="all"/>
      </w:r>
      <w:r>
        <w:rPr>
          <w:rFonts w:hint="eastAsia"/>
          <w:color w:val="auto"/>
          <w:highlight w:val="none"/>
        </w:rPr>
        <w:t xml:space="preserve">第五章  合同主要条款</w:t>
      </w:r>
      <w:r/>
    </w:p>
    <w:p>
      <w:pPr>
        <w:ind w:firstLine="6300"/>
        <w:rPr>
          <w:rFonts w:ascii="宋体" w:hAnsi="宋体" w:cs="宋体"/>
          <w:color w:val="auto"/>
          <w:sz w:val="21"/>
          <w:szCs w:val="21"/>
          <w:highlight w:val="none"/>
        </w:rPr>
      </w:pPr>
      <w:r>
        <w:rPr>
          <w:rFonts w:ascii="宋体" w:hAnsi="宋体" w:cs="宋体"/>
          <w:color w:val="auto"/>
          <w:sz w:val="21"/>
          <w:szCs w:val="21"/>
          <w:highlight w:val="none"/>
        </w:rPr>
      </w:r>
      <w:r/>
    </w:p>
    <w:p>
      <w:pPr>
        <w:ind w:firstLine="6300"/>
        <w:rPr>
          <w:rFonts w:ascii="宋体" w:hAnsi="宋体" w:cs="宋体"/>
          <w:color w:val="auto"/>
          <w:sz w:val="21"/>
          <w:szCs w:val="21"/>
          <w:highlight w:val="none"/>
        </w:rPr>
      </w:pPr>
      <w:r>
        <w:rPr>
          <w:rFonts w:hint="eastAsia" w:ascii="宋体" w:hAnsi="宋体" w:cs="宋体"/>
          <w:color w:val="auto"/>
          <w:sz w:val="21"/>
          <w:szCs w:val="21"/>
          <w:highlight w:val="none"/>
        </w:rPr>
        <w:t xml:space="preserve">合同编号：</w:t>
      </w:r>
      <w:r/>
    </w:p>
    <w:p>
      <w:pPr>
        <w:ind w:firstLine="6300"/>
        <w:rPr>
          <w:rFonts w:ascii="宋体" w:hAnsi="宋体" w:cs="宋体"/>
          <w:color w:val="auto"/>
          <w:sz w:val="21"/>
          <w:szCs w:val="21"/>
          <w:highlight w:val="none"/>
        </w:rPr>
      </w:pPr>
      <w:r>
        <w:rPr>
          <w:rFonts w:ascii="宋体" w:hAnsi="宋体" w:cs="宋体"/>
          <w:color w:val="auto"/>
          <w:sz w:val="21"/>
          <w:szCs w:val="21"/>
          <w:highlight w:val="none"/>
        </w:rPr>
      </w:r>
      <w:r/>
    </w:p>
    <w:p>
      <w:pPr>
        <w:ind w:firstLine="422"/>
        <w:spacing w:line="42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甲方： </w:t>
      </w:r>
      <w:r>
        <w:rPr>
          <w:rFonts w:hint="eastAsia" w:ascii="宋体" w:hAnsi="宋体" w:cs="宋体"/>
          <w:color w:val="auto"/>
          <w:sz w:val="21"/>
          <w:szCs w:val="21"/>
          <w:highlight w:val="none"/>
        </w:rPr>
        <w:t xml:space="preserve">                               （以下简称甲方）</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联系方式：</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地址：</w:t>
      </w:r>
      <w:r/>
    </w:p>
    <w:p>
      <w:pPr>
        <w:ind w:firstLine="420"/>
        <w:spacing w:line="420" w:lineRule="exact"/>
        <w:rPr>
          <w:rFonts w:ascii="宋体" w:hAnsi="宋体" w:cs="宋体"/>
          <w:color w:val="auto"/>
          <w:sz w:val="21"/>
          <w:szCs w:val="21"/>
          <w:highlight w:val="none"/>
        </w:rPr>
      </w:pPr>
      <w:r>
        <w:rPr>
          <w:rFonts w:ascii="宋体" w:hAnsi="宋体" w:cs="宋体"/>
          <w:color w:val="auto"/>
          <w:sz w:val="21"/>
          <w:szCs w:val="21"/>
          <w:highlight w:val="none"/>
        </w:rPr>
      </w:r>
      <w:r/>
    </w:p>
    <w:p>
      <w:pPr>
        <w:ind w:firstLine="422"/>
        <w:spacing w:line="42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乙方：</w:t>
      </w:r>
      <w:r>
        <w:rPr>
          <w:rFonts w:hint="eastAsia" w:ascii="宋体" w:hAnsi="宋体" w:cs="宋体"/>
          <w:color w:val="auto"/>
          <w:sz w:val="21"/>
          <w:szCs w:val="21"/>
          <w:highlight w:val="none"/>
        </w:rPr>
        <w:t xml:space="preserve">                                （以下简称乙方）     </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联系方式：</w:t>
      </w:r>
      <w:r/>
    </w:p>
    <w:p>
      <w:pPr>
        <w:ind w:firstLine="420"/>
        <w:spacing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地址：</w:t>
      </w:r>
      <w:bookmarkEnd w:id="18"/>
      <w:r/>
      <w:bookmarkEnd w:id="19"/>
      <w:r/>
      <w:bookmarkEnd w:id="20"/>
      <w:r/>
      <w:r/>
    </w:p>
    <w:p>
      <w:pPr>
        <w:ind w:firstLine="420"/>
        <w:jc w:val="both"/>
        <w:spacing w:line="420" w:lineRule="exact"/>
        <w:rPr>
          <w:rFonts w:ascii="宋体" w:hAnsi="宋体" w:cs="宋体"/>
          <w:color w:val="auto"/>
          <w:sz w:val="21"/>
          <w:szCs w:val="21"/>
          <w:highlight w:val="none"/>
        </w:rPr>
      </w:pPr>
      <w:r/>
      <w:bookmarkStart w:id="21" w:name="_Toc142194275"/>
      <w:r/>
      <w:bookmarkStart w:id="22" w:name="_Toc142194276"/>
      <w:r/>
      <w:r/>
    </w:p>
    <w:p>
      <w:pPr>
        <w:ind w:firstLine="420"/>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根据</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项目编号为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的招标文件及该文件的响应文件和中标通知书，甲、乙双方根据《中华人民共和国政府采购法》、《中华人民共和国民法典》等相关法律以及本项目采购文件的规定，签署本合同。</w:t>
      </w:r>
      <w:r/>
    </w:p>
    <w:p>
      <w:pPr>
        <w:pStyle w:val="834"/>
        <w:rPr>
          <w:color w:val="auto"/>
          <w:highlight w:val="none"/>
        </w:rPr>
      </w:pPr>
      <w:r/>
      <w:bookmarkStart w:id="23" w:name="_Toc13543224"/>
      <w:r>
        <w:rPr>
          <w:rFonts w:hint="eastAsia"/>
          <w:color w:val="auto"/>
          <w:highlight w:val="none"/>
        </w:rPr>
        <w:t xml:space="preserve">一、合同文件</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以下文件是构成本合同不可分割的部分：</w:t>
      </w:r>
      <w:r/>
    </w:p>
    <w:p>
      <w:pPr>
        <w:ind w:firstLine="420"/>
        <w:spacing w:line="44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（一）本项目采购文件</w:t>
      </w:r>
      <w:r>
        <w:rPr>
          <w:rFonts w:hint="eastAsia" w:ascii="宋体" w:hAnsi="宋体" w:cs="宋体"/>
          <w:color w:val="auto"/>
          <w:sz w:val="21"/>
          <w:szCs w:val="21"/>
          <w:highlight w:val="none"/>
          <w:lang w:eastAsia="zh-CN"/>
        </w:rPr>
        <w:t xml:space="preserve">；</w:t>
      </w:r>
      <w:r/>
    </w:p>
    <w:p>
      <w:pPr>
        <w:ind w:firstLine="420"/>
        <w:spacing w:line="44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（二）中标单位响应文件</w:t>
      </w:r>
      <w:r>
        <w:rPr>
          <w:rFonts w:hint="eastAsia" w:ascii="宋体" w:hAnsi="宋体" w:cs="宋体"/>
          <w:color w:val="auto"/>
          <w:sz w:val="21"/>
          <w:szCs w:val="21"/>
          <w:highlight w:val="none"/>
          <w:lang w:eastAsia="zh-CN"/>
        </w:rPr>
        <w:t xml:space="preserve">；</w:t>
      </w:r>
      <w:r/>
    </w:p>
    <w:p>
      <w:pPr>
        <w:ind w:firstLine="420"/>
        <w:spacing w:line="44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（三）合同条款</w:t>
      </w:r>
      <w:r>
        <w:rPr>
          <w:rFonts w:hint="eastAsia" w:ascii="宋体" w:hAnsi="宋体" w:cs="宋体"/>
          <w:color w:val="auto"/>
          <w:sz w:val="21"/>
          <w:szCs w:val="21"/>
          <w:highlight w:val="none"/>
          <w:lang w:eastAsia="zh-CN"/>
        </w:rPr>
        <w:t xml:space="preserve">；</w:t>
      </w:r>
      <w:r/>
    </w:p>
    <w:p>
      <w:pPr>
        <w:ind w:firstLine="420"/>
        <w:spacing w:line="44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（四）中标单位做出的有关澄清、说明或者补正文件</w:t>
      </w:r>
      <w:r>
        <w:rPr>
          <w:rFonts w:hint="eastAsia" w:ascii="宋体" w:hAnsi="宋体" w:cs="宋体"/>
          <w:color w:val="auto"/>
          <w:sz w:val="21"/>
          <w:szCs w:val="21"/>
          <w:highlight w:val="none"/>
          <w:lang w:eastAsia="zh-CN"/>
        </w:rPr>
        <w:t xml:space="preserve">；</w:t>
      </w:r>
      <w:r/>
    </w:p>
    <w:p>
      <w:pPr>
        <w:ind w:firstLine="420"/>
        <w:spacing w:line="44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（五）确定中标单位的文件（包括但不限于中标通知书、成交通知书等）</w:t>
      </w:r>
      <w:r>
        <w:rPr>
          <w:rFonts w:hint="eastAsia" w:ascii="宋体" w:hAnsi="宋体" w:cs="宋体"/>
          <w:color w:val="auto"/>
          <w:sz w:val="21"/>
          <w:szCs w:val="21"/>
          <w:highlight w:val="none"/>
          <w:lang w:eastAsia="zh-CN"/>
        </w:rPr>
        <w:t xml:space="preserve">；</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（六）本合同附件。</w:t>
      </w:r>
      <w:r/>
    </w:p>
    <w:p>
      <w:pPr>
        <w:pStyle w:val="834"/>
        <w:rPr>
          <w:color w:val="auto"/>
          <w:highlight w:val="none"/>
        </w:rPr>
      </w:pPr>
      <w:r>
        <w:rPr>
          <w:rFonts w:hint="eastAsia"/>
          <w:color w:val="auto"/>
          <w:highlight w:val="none"/>
        </w:rPr>
        <w:t xml:space="preserve">二、服务内容</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本合同项下乙方所提供的服务内容为：。</w:t>
      </w:r>
      <w:r/>
    </w:p>
    <w:p>
      <w:pPr>
        <w:pStyle w:val="834"/>
        <w:rPr>
          <w:color w:val="auto"/>
          <w:highlight w:val="none"/>
        </w:rPr>
      </w:pPr>
      <w:r>
        <w:rPr>
          <w:rFonts w:hint="eastAsia"/>
          <w:color w:val="auto"/>
          <w:highlight w:val="none"/>
        </w:rPr>
        <w:t xml:space="preserve">三、合同金额</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本合同为固定单价合同，合同价格按此次中标价格执行，合同总金额为人民币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投标总价包括设备、随机备品备件、易损件（包括保障设备正常运行五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垃圾清运费、零星工程费、与一期衔接配合费、总包配合费、培训费、质保期内维护保养费，以及相关税费等保证本项目正常实施和运行所需的一切相关费用）。</w:t>
      </w:r>
      <w:r/>
    </w:p>
    <w:p>
      <w:pPr>
        <w:pStyle w:val="834"/>
        <w:rPr>
          <w:color w:val="auto"/>
          <w:highlight w:val="none"/>
        </w:rPr>
      </w:pPr>
      <w:r>
        <w:rPr>
          <w:rFonts w:hint="eastAsia"/>
          <w:color w:val="auto"/>
          <w:highlight w:val="none"/>
        </w:rPr>
        <w:t xml:space="preserve">四、付款约定</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1、甲方根据乙方在本合同中所提供银行开户信息转账支付。</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乙方开户名称：</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开户银行：</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银行账号：</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2、付款条件和付款时间：</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第一期款项 </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合同签订生效，乙方工程师进场履职且正式提交项目实施方案并经甲方核验无误后，甲方向乙方支付合同总价60%预付款。</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第二期款项</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每个系统（产品）完成安装调试并验收合格后，甲方向乙方支付该系统（产品）合同额的20%，整体付款至该系统（产品）合同额的80%。</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第三期款项</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所有系统（产品）完成安装、调试，系统（产品）整体验收合格后，甲方向乙方支付合同总价20%款项</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累计付款至合同总价的100%。</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付款前，乙方需向甲方提供：</w:t>
      </w:r>
      <w:r/>
    </w:p>
    <w:p>
      <w:pPr>
        <w:ind w:firstLine="420"/>
        <w:spacing w:line="44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A、合格发票（发票必须备注中标单位的收款银行和账号）</w:t>
      </w:r>
      <w:r>
        <w:rPr>
          <w:rFonts w:hint="eastAsia" w:ascii="宋体" w:hAnsi="宋体" w:cs="宋体"/>
          <w:color w:val="auto"/>
          <w:sz w:val="21"/>
          <w:szCs w:val="21"/>
          <w:highlight w:val="none"/>
          <w:lang w:eastAsia="zh-CN"/>
        </w:rPr>
        <w:t xml:space="preserve">；</w:t>
      </w:r>
      <w:r/>
    </w:p>
    <w:p>
      <w:pPr>
        <w:ind w:firstLine="420"/>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3、本合同全部款项由集中建设实施单位苏州市和业建设发展有限公司专债专户统一支付。</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4、在政府采购合同履行中，甲方需追加货物、工程或者服务的，需要具备以下要求：（1）追加金额不得超过原合同金额的10%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（2）原合同金额10%以内的追加费用，仅限于原合同内采购清单数量调整增加的项目费用，原合同外采购内容不得计入。</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五、合同履行地点、期限</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1、合同履行地点：采购人指定地点。</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2、服务期限：合同售后服务期满足本项目招标文件、投标文件要求。</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六、服务要求</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1、乙方提供的货物和服务应符合本合同、采购文件、投标（响应）文件以及乙方做出的书面澄清及承诺。</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2、支持服务保证</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乙方必须提供技术支持服务以保证系统的平稳运行。</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乙方需要与甲方共同合作，统一安排运维管理，保证系统的有效运转。</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乙方需要制定全面的工作计划，保证按照工作计划进行运维管理。</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七、甲方的权利和义务</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1、甲方有权监督本项目进度，对乙方按照合同约定所完成工作内容予以监督。</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2、甲方应按本合同约定的付款方式向乙方支付款项。</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3、甲方有权利组织项目审计。</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八、乙方权利和义务</w:t>
      </w:r>
      <w:r/>
    </w:p>
    <w:p>
      <w:pPr>
        <w:ind w:firstLine="420"/>
        <w:spacing w:line="440" w:lineRule="exact"/>
        <w:rPr>
          <w:rFonts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、在甲方现场工作的乙方项目人员应当遵守甲方的一般工作规范和安全要求。乙方项目人员在项目实施过程中发生任何意外事故、重大疾病、猝死、造成甲方或第三人损害等均应由乙方自行处理并承担所有责任。</w:t>
      </w:r>
      <w:r/>
    </w:p>
    <w:p>
      <w:pPr>
        <w:ind w:firstLine="420"/>
        <w:spacing w:line="440" w:lineRule="exact"/>
        <w:rPr>
          <w:rFonts w:hint="eastAsia" w:ascii="宋体" w:hAnsi="宋体" w:cs="宋体" w:eastAsiaTheme="minorEastAsia"/>
          <w:color w:val="auto"/>
          <w:sz w:val="21"/>
          <w:szCs w:val="21"/>
          <w:highlight w:val="none"/>
          <w:lang w:eastAsia="zh-CN"/>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乙方提供的服务和产品不应侵犯任何第三方知识产权和其他合法权益，不会对甲方造成任何损害。本项目中乙方提供的所有产品（软件、硬件、服务等）应保证是合法的，如包含第三方产品（软件、硬件、服务等），乙方应保证是合法可用的，且甲方无需为使用该等第三方软件、硬件、服务等支付任何其他费用</w:t>
      </w:r>
      <w:r>
        <w:rPr>
          <w:rFonts w:hint="eastAsia" w:ascii="宋体" w:hAnsi="宋体" w:cs="宋体"/>
          <w:color w:val="auto"/>
          <w:sz w:val="21"/>
          <w:szCs w:val="21"/>
          <w:highlight w:val="none"/>
          <w:lang w:eastAsia="zh-CN"/>
        </w:rPr>
        <w:t xml:space="preserve">；</w:t>
      </w:r>
      <w:r/>
    </w:p>
    <w:p>
      <w:pPr>
        <w:ind w:firstLine="420"/>
        <w:spacing w:line="44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3、乙方应保证各系统运行过程中不会出现任何重大故障（该等重大故障包括但不限于非人为因素导致发生全部或部分系统瘫痪、出现系统错误、出现系统漏洞、某项功能失灵等严重影响系统正常运行使用的故障）</w:t>
      </w:r>
      <w:r>
        <w:rPr>
          <w:rFonts w:hint="eastAsia" w:ascii="宋体" w:hAnsi="宋体" w:cs="宋体"/>
          <w:color w:val="auto"/>
          <w:sz w:val="21"/>
          <w:szCs w:val="21"/>
          <w:highlight w:val="none"/>
          <w:lang w:eastAsia="zh-CN"/>
        </w:rPr>
        <w:t xml:space="preserve">；</w:t>
      </w:r>
      <w:r/>
    </w:p>
    <w:p>
      <w:pPr>
        <w:ind w:firstLine="420"/>
        <w:spacing w:line="44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4、乙方应确保甲方从项目启动起即可长期、独立、不受任何干扰地使用、部署、二次开发本项目系统，并且在使用期间不受到任何限制（包括但不限于各类授权数量限制）</w:t>
      </w:r>
      <w:r>
        <w:rPr>
          <w:rFonts w:hint="eastAsia" w:ascii="宋体" w:hAnsi="宋体" w:cs="宋体"/>
          <w:color w:val="auto"/>
          <w:sz w:val="21"/>
          <w:szCs w:val="21"/>
          <w:highlight w:val="none"/>
          <w:lang w:eastAsia="zh-CN"/>
        </w:rPr>
        <w:t xml:space="preserve">；</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5、乙方过错导致违反上述承诺的，视为乙方违约，乙方应自行承担所有责任，若造成甲方或第三方损失的，乙方应赔偿直接损失。</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九、交付</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1、交付进度</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本项目合同应在约定的服务履行期限内完成交付。</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2、乙方在交付前应当对所提供的软件系统进行功能和系统测试，并提供测试报告，以确认提供的软件系统符合本合同的规定。</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3、乙方应在项目上线时将系统的技术文档等资料、口令密码、乙方或第三方的产品和软件许可授权等一并交付甲方。</w:t>
      </w:r>
      <w:r/>
    </w:p>
    <w:p>
      <w:pPr>
        <w:ind w:firstLine="420"/>
        <w:spacing w:line="440" w:lineRule="exact"/>
        <w:rPr>
          <w:rFonts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、乙方应在项目上线前依据甲方需求，组织原厂培训人员对甲方相关人员进行集中培训与指导。</w:t>
      </w:r>
      <w:r/>
    </w:p>
    <w:p>
      <w:pPr>
        <w:ind w:firstLine="420"/>
        <w:spacing w:line="44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5、乙方需提供本项目中所有系统的数据库管理员账户及密码以及完整的表结构文档</w:t>
      </w:r>
      <w:r>
        <w:rPr>
          <w:rFonts w:hint="eastAsia" w:ascii="宋体" w:hAnsi="宋体" w:cs="宋体"/>
          <w:color w:val="auto"/>
          <w:sz w:val="21"/>
          <w:szCs w:val="21"/>
          <w:highlight w:val="none"/>
          <w:lang w:eastAsia="zh-CN"/>
        </w:rPr>
        <w:t xml:space="preserve">；</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十、项目验收</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项目整体验收标准按照国家、地区相关标准，以及招标文件、投标文件、合同及其它项目正式文件中的要求条款执行，每个采购包分别验收。</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验收条件：</w:t>
      </w:r>
      <w:r/>
    </w:p>
    <w:p>
      <w:pPr>
        <w:ind w:firstLine="420"/>
        <w:spacing w:line="44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（1）采购包内所有设备到货并安装调试完成，软件系统全量功能上线，满足采购书中各系统的验收需求</w:t>
      </w:r>
      <w:r>
        <w:rPr>
          <w:rFonts w:hint="eastAsia" w:ascii="宋体" w:hAnsi="宋体" w:cs="宋体"/>
          <w:color w:val="auto"/>
          <w:sz w:val="21"/>
          <w:szCs w:val="21"/>
          <w:highlight w:val="none"/>
          <w:lang w:eastAsia="zh-CN"/>
        </w:rPr>
        <w:t xml:space="preserve">；</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（2）本项目中涉及的第三方系统对接，要求实时、准确。</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）本项目所有系统要求运行稳定，无故障，数据无错误。</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验收形式：每个采购包分别进行整体验收，详见各系统的系统验收需求和标准。</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所有验收意见将由采购人以书面形式做出并签字和/或盖章确认。</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十一、质量保证与售后服务</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1、乙方应按采购文件、响应文件及乙方在采购过程中做出的书面说明或承诺提供合格货物。</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2、乙方应按采购文件、响应文件及乙方在采购过程中做出的书面说明或承诺提供及时、快速、优质的售后服务。</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十二、违约责任</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若乙方未如期按照合同约定交付合同货物或提供服务，或乙方未能履行合同规定的任何其他义务时，甲方有权直接向乙方发出违约通知书，乙方应按照甲方选择的下列一种或多种方式承担赔偿责任及违约责任：</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乙方每迟延交付合同货物或提供服务一日，乙方应按照本合同总金额的万分之五向甲方支付违约金，同时甲方有权解除本合同。如甲方未选择解除合同的，乙方仍应在甲方要求的期限内履行约定的义务，并承担由此给甲方造成的损失及甲方因此产生的对第三方的责任。</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在甲方规定的时间内，用符合合同规定的规格、质量和性能要求的新零件、部件或货物来更换有缺陷的零件、部件和货物，或修补缺陷部分以达到合同规定的要求，乙方应承担由此发生的相关费用并承担由此给甲方造成的损失及甲方因此产生的对第三方的责任。此时，相关货物的质量保修期也应相应延长。</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3）根据货物、服务低劣程度、损坏程度以及使甲方所遭受的损失及甲方因此产生的对第三方的责任，经双方商定降低货物、服务的价格或赔偿甲方所遭受的损失及甲方因此产生的对第三方的责任。</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4）按合同规定的同种货币将甲方所退货物已支付的货款全部退还给甲方，并承担由此发生的损失和相关费用及甲方因此产生的对第三方的责任。</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5）甲方有权部分或全部解除合同，并要求乙方赔偿由此造成的损失及甲方因此产生的对第三方的责任。此时甲方可采取必要的补救措施，相关费用由乙方承担。</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6）甲方为采取必要的补救措施或因防止损失扩大而支出的合理费用应由乙方承担。</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如果乙方在收到甲方的违约通知书7日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3、当违约行为给对方造成损失时，违约方还应当赔偿对方因此所受全部损失。当构成严重违约致使不能实现合同目的时，守约方可以单方面决定解除合同，违约方同时还应当承担违约责任。</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4、因乙方违约导致合同解除的，乙方应当全额退还甲方已经支付的货款，自行取回货物，并向甲方支付合同总金额20%的违约金并承担所有费用。</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5、如果出现政府采购监管部门在处理投诉事项期间，通知甲方暂停采购活动的情形，或者询问或质疑事项可能影响最终成交结果的，导致甲方中止履行合同的情形，均不视为甲方违约。</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6、甲方无故逾期支付货款的应按照逾期付款金额的每天万分之四支付逾期付款违约金。</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7、甲方违反合同规定，无故拒绝接收乙方交付的合格货物，应当承担乙方由此造成的损失。</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十三、廉政协议</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1、甲乙双方约定</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1.1甲乙双方应共同遵守国家和省、市、行业主管部门关于加强基础设施建设管理（政府采购）以及党风廉政建设的各项规定。</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1.2甲乙双方应认真执行约定的合同文件，自觉按合同办事。</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1.3除非法律认定的商业秘密和合同文件另有规定之外，甲乙双方的业务活动应坚持公开、公正、透明的原则，严禁搞损害国家和集体利益、违反工程建设管理（政府采购）规章制度的不正当交易。</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1.4甲乙双方应加强对本方人员的廉政监督，建立和健全廉政制度，认真查处本方的违法违纪行为。</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1.5甲乙双方有对本方人员开展廉政告知、廉政教育和职业道德教育的义务。</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1.6甲乙双方如发现对方在业务活动中有不廉洁行为，有及时提醒对方并督促其纠正的权利和义务。</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2、甲方在廉政建设方面的责任</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2.1甲方及其工作人员不得以任何形式向乙方索要和收受回扣。</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2.2甲方及其工作人员不得接受乙方的礼金、有价证券和贵重物品，不得在乙方报销任何应由个人支付的费用。</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2.3甲方工作人员不得参加可能对公正执行公务有影响的宴请和娱乐、旅游活动。</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2.4甲方及其工作人员不得要求或者接受乙方为其住房装修、婚丧嫁娶、家属子女的工作安排以及出国等提供方便。</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2.5甲方工作人员不得在家里或宿舍接待乙方有关项目事项的询访。</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3、乙方在廉政建设方面的责任</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3.1乙方不得以任何理由向甲方工作人员行贿或馈赠礼品。</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3.2乙方不得以任何名义为甲方及其工作人员报支需由其个人支付的任何费用。</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3.3乙方不得以任何理由邀请甲方工作人员参加由公款支付的娱乐性活动。</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3.4乙方不得为甲方单位和个人购置或提供通讯工具、交通工具、家电和高档办公用品。</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3.5乙方人员不得到甲方人员家里或宿舍里询访有关项目事项。</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4、对见证单位的约定和授权</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4.1双方约定：本廉政合同的见证单位为纪检监察部门，双方授权见证单位主持本廉政合同执行情况的检查，提出在本廉政合同规定范围内的裁定意见。</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5、检查方式</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5.1本廉政合同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十四、合同的解除和转让</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因不可抗力（不可抗力指下列事件：战争、动乱、瘟疫、严重火灾、洪水、地震、风暴或其他自然灾害，以及本合同各方不可预见、不可防止并不能避免或克服的一切其他因素及事件）致使不能实现合同目的，各方皆有权解除合同，提出方应当在不可抗力发生之后三十天内书面通知对方以主张解除合同，合同在书面通知到达对方时解除。</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2、如乙方过错导致有下列情形之一，甲方有权解除本合同</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合同解除后，乙方应返还已收取的合同价款（扣除其中甲方继续使用部分对应价款后），乙方应向甲方支付合同总金额20%的违约金并承担所有费用：</w:t>
      </w:r>
      <w:r/>
    </w:p>
    <w:p>
      <w:pPr>
        <w:ind w:firstLine="420"/>
        <w:spacing w:line="44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（1）因乙方原因导致项目逾期交付超过30日的</w:t>
      </w:r>
      <w:r>
        <w:rPr>
          <w:rFonts w:hint="eastAsia" w:ascii="宋体" w:hAnsi="宋体" w:cs="宋体"/>
          <w:color w:val="auto"/>
          <w:sz w:val="21"/>
          <w:szCs w:val="21"/>
          <w:highlight w:val="none"/>
          <w:lang w:eastAsia="zh-CN"/>
        </w:rPr>
        <w:t xml:space="preserve">；</w:t>
      </w:r>
      <w:r/>
    </w:p>
    <w:p>
      <w:pPr>
        <w:ind w:firstLine="420"/>
        <w:spacing w:line="44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（2）因乙方原因导致项目任一项验收不合格，乙方又未在甲方合理限定的时间期限内完成整改的</w:t>
      </w:r>
      <w:r>
        <w:rPr>
          <w:rFonts w:hint="eastAsia" w:ascii="宋体" w:hAnsi="宋体" w:cs="宋体"/>
          <w:color w:val="auto"/>
          <w:sz w:val="21"/>
          <w:szCs w:val="21"/>
          <w:highlight w:val="none"/>
          <w:lang w:eastAsia="zh-CN"/>
        </w:rPr>
        <w:t xml:space="preserve">；</w:t>
      </w:r>
      <w:r/>
    </w:p>
    <w:p>
      <w:pPr>
        <w:ind w:firstLine="420"/>
        <w:spacing w:line="440" w:lineRule="exact"/>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（3）乙方违约导致甲方重大损失或合同目的无法实现的</w:t>
      </w:r>
      <w:r>
        <w:rPr>
          <w:rFonts w:hint="eastAsia" w:ascii="宋体" w:hAnsi="宋体" w:cs="宋体"/>
          <w:color w:val="auto"/>
          <w:sz w:val="21"/>
          <w:szCs w:val="21"/>
          <w:highlight w:val="none"/>
          <w:lang w:eastAsia="zh-CN"/>
        </w:rPr>
        <w:t xml:space="preserve">；</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3、乙方不得将合同进行转让，不得由第三方完成义务及责任。</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4、甲方和乙方协商一致，可以解除合同。</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5、合同的部分和全部都不得转让。</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6、政府采购合同继续履行将损害国家利益和社会公共利益，甲方有权变更、中止或者终止、解除合同。</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7、小型、微型企业不得分包或转包给大型、中型企业，中型企业不得分包或转包给大型企业。</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8、有权解除合同的一方，应当在其知道或者应当知道解除事由之日起【一年】内书面通知对方提出解除合同</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另一方如有异议，应当在解除合同通知到达之日起【15】工作日内提出异议，否则视为无异议，合同自异议期满次日起解除。</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十五、联系方式</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1、合同双方发出与本合同有关的通知或回复，应以专人送递、传真或特快专递方式发出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如果以专人送递或特快专递发送，以送达至对方的住所地或通讯联络地为送达</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如果以传真方式发送，发件人在收到传真报告后视为送达</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如果采用电话或电子邮件的方式，则应在发送后由对方以书面方式予以确认。</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3、上述发出通知、回复的费用由发出一方承担。</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十六、争议的解决</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与本合同有关的一切争议，双方应通过友好协商解决。如果经协商不能达成协议，可以向甲方所在地有管辖权的人民法院起诉。</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十七、合同生效及其他</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1、本合同经甲乙双方签章之日起生效。</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本合同系指本文件及其附件中的所有部分，招标文件、中标的响应文件、中标通知书、乙方在招标过程中的澄清和承诺等为本合同不可缺少的组成部分。本合同履行过程中发生相关修改内容，须符合《中华人民共和国政府采购法》和相关法律法规规定</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补充协议作为本合同不可分割的一部分。</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3、本合同壹式捌份，甲方执伍份，乙方执贰份，招标代理机构壹份，具有同等法律效力。</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4、本合同应按照中华人民共和国的现行法律进行解释。</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5、未尽事宜，双方将协商解决，并就具体问题签署补充合同或备忘录。补充合同或备忘录与本合同具有同等法律效力。</w:t>
      </w:r>
      <w:r/>
    </w:p>
    <w:p>
      <w:pPr>
        <w:ind w:firstLine="420"/>
        <w:spacing w:line="440" w:lineRule="exact"/>
        <w:rPr>
          <w:rFonts w:ascii="宋体" w:hAnsi="宋体" w:cs="宋体"/>
          <w:color w:val="auto"/>
          <w:sz w:val="21"/>
          <w:szCs w:val="21"/>
          <w:highlight w:val="none"/>
        </w:rPr>
      </w:pPr>
      <w:r/>
      <w:bookmarkStart w:id="24" w:name="_Hlk132390230"/>
      <w:r/>
      <w:r/>
    </w:p>
    <w:p>
      <w:pPr>
        <w:ind w:firstLine="420"/>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甲    方：                             乙    方：</w:t>
      </w:r>
      <w:r/>
    </w:p>
    <w:p>
      <w:pPr>
        <w:ind w:firstLine="420"/>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名称（公章）：                          名称（公章）：</w:t>
      </w:r>
      <w:r/>
    </w:p>
    <w:p>
      <w:pPr>
        <w:ind w:firstLine="420"/>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签订日期：   年  月  日                签订日期：    年  月  日</w:t>
      </w:r>
      <w:bookmarkEnd w:id="24"/>
      <w:r/>
      <w:bookmarkEnd w:id="23"/>
      <w:r/>
      <w:r/>
    </w:p>
    <w:p>
      <w:pPr>
        <w:ind w:firstLine="420"/>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831"/>
        <w:rPr>
          <w:color w:val="auto"/>
          <w:sz w:val="36"/>
          <w:szCs w:val="36"/>
          <w:highlight w:val="none"/>
        </w:rPr>
      </w:pPr>
      <w:r>
        <w:rPr>
          <w:rFonts w:hint="eastAsia"/>
          <w:color w:val="auto"/>
          <w:highlight w:val="none"/>
        </w:rPr>
        <w:br w:type="page" w:clear="all"/>
      </w:r>
      <w:r>
        <w:rPr>
          <w:rFonts w:hint="eastAsia"/>
          <w:color w:val="auto"/>
          <w:highlight w:val="none"/>
        </w:rPr>
        <w:t xml:space="preserve">第六章  评标方法与评分标准</w:t>
      </w:r>
      <w:r/>
    </w:p>
    <w:p>
      <w:pPr>
        <w:ind w:firstLine="422"/>
        <w:jc w:val="center"/>
        <w:spacing w:line="380" w:lineRule="exact"/>
        <w:rPr>
          <w:rFonts w:ascii="宋体" w:hAnsi="宋体" w:cs="宋体"/>
          <w:b/>
          <w:color w:val="auto"/>
          <w:sz w:val="21"/>
          <w:szCs w:val="21"/>
          <w:highlight w:val="none"/>
        </w:rPr>
      </w:pPr>
      <w:r/>
      <w:bookmarkStart w:id="25" w:name="_Toc142194274"/>
      <w:r/>
      <w:r/>
    </w:p>
    <w:p>
      <w:pPr>
        <w:ind w:firstLine="422"/>
        <w:spacing w:line="46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一、评标办法</w:t>
      </w:r>
      <w:bookmarkEnd w:id="25"/>
      <w:r/>
      <w:r/>
    </w:p>
    <w:p>
      <w:pPr>
        <w:ind w:firstLine="420"/>
        <w:spacing w:line="4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本次招标评标采用综合评分法，即在满足招标文件实质性要求前提下，按照招标文件中规定的评分标准和各项因素进行综合评审后，以评标总得分最高的前三名投标人作为中标候选人。评审因素及各比重如下：价格分值占总分值的比重为30%（权重），技术与质量及其它占70%（权重）。（保留小数点后2位）</w:t>
      </w:r>
      <w:r/>
    </w:p>
    <w:p>
      <w:pPr>
        <w:ind w:firstLine="420"/>
        <w:spacing w:line="4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2、评标时，评标委员会分别对每个有效投标人的投标书（报价除外）进行评价、打分，对评委的评分（除价格分外）进行统计汇总，按算术平均方法计算出每个投标人的得分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报价得分直接计算取得，二者相加为投标人的总得分，综合得分最高者为中标人。（保留小数点后2位）</w:t>
      </w:r>
      <w:r/>
    </w:p>
    <w:p>
      <w:pPr>
        <w:ind w:firstLine="420"/>
        <w:spacing w:line="4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中标人。</w:t>
      </w:r>
      <w:r/>
    </w:p>
    <w:p>
      <w:pPr>
        <w:ind w:firstLine="422"/>
        <w:spacing w:line="46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4、</w:t>
      </w:r>
      <w:r>
        <w:rPr>
          <w:rFonts w:hint="eastAsia" w:hAnsi="宋体" w:cs="宋体"/>
          <w:b/>
          <w:bCs/>
          <w:color w:val="auto"/>
          <w:sz w:val="21"/>
          <w:szCs w:val="21"/>
          <w:highlight w:val="none"/>
        </w:rPr>
        <w:t xml:space="preserve">提供相同品牌货物且通过资格审查、符合性审查的不同投标人参加同一合同项下投标的，按一家投标人计算，评审后得分最高的同品牌投标人获得中标人推荐资格</w:t>
      </w:r>
      <w:r>
        <w:rPr>
          <w:rFonts w:hint="eastAsia" w:hAnsi="宋体" w:cs="宋体"/>
          <w:b/>
          <w:bCs/>
          <w:color w:val="auto"/>
          <w:sz w:val="21"/>
          <w:szCs w:val="21"/>
          <w:highlight w:val="none"/>
          <w:lang w:eastAsia="zh-CN"/>
        </w:rPr>
        <w:t xml:space="preserve">；</w:t>
      </w:r>
      <w:r>
        <w:rPr>
          <w:rFonts w:hint="eastAsia" w:hAnsi="宋体" w:cs="宋体"/>
          <w:b/>
          <w:bCs/>
          <w:color w:val="auto"/>
          <w:sz w:val="21"/>
          <w:szCs w:val="21"/>
          <w:highlight w:val="none"/>
        </w:rPr>
        <w:t xml:space="preserve">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firstLine="422"/>
        <w:spacing w:line="46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bookmarkEnd w:id="21"/>
      <w:r/>
      <w:r/>
    </w:p>
    <w:p>
      <w:pPr>
        <w:ind w:firstLine="422"/>
        <w:spacing w:line="46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（一）投标报价（30分）</w:t>
      </w:r>
      <w:r/>
    </w:p>
    <w:p>
      <w:pPr>
        <w:pStyle w:val="1112"/>
        <w:ind w:firstLine="420"/>
        <w:spacing w:line="460" w:lineRule="exact"/>
        <w:rPr>
          <w:rFonts w:hAnsi="宋体" w:eastAsia="宋体" w:cs="宋体"/>
          <w:color w:val="auto"/>
          <w:sz w:val="21"/>
          <w:szCs w:val="21"/>
          <w:highlight w:val="none"/>
        </w:rPr>
      </w:pPr>
      <w:r/>
      <w:bookmarkStart w:id="26" w:name="OLE_LINK5"/>
      <w:r>
        <w:rPr>
          <w:rFonts w:hint="eastAsia" w:hAnsi="宋体" w:eastAsia="宋体" w:cs="宋体"/>
          <w:color w:val="auto"/>
          <w:sz w:val="21"/>
          <w:szCs w:val="21"/>
          <w:highlight w:val="none"/>
        </w:rPr>
        <w:t xml:space="preserve">1、价格分采用低价优先法计算，即满足招标文件要求且投标价格最低的投标报价为评标基准价，其价格分为满分。其他投标人的价格分统一按照下列公式计算：（保留小数点后二位）</w:t>
      </w:r>
      <w:r/>
    </w:p>
    <w:p>
      <w:pPr>
        <w:pStyle w:val="1112"/>
        <w:ind w:firstLine="420"/>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报价得分=（评标基准价/投标报价）*价格权值*100（本次招标价格权值为30%）</w:t>
      </w:r>
      <w:r/>
    </w:p>
    <w:p>
      <w:pPr>
        <w:pStyle w:val="1112"/>
        <w:ind w:firstLine="420"/>
        <w:spacing w:line="4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2、针对小微企业、监狱企业及残疾人企业的评审：</w:t>
      </w:r>
      <w:bookmarkEnd w:id="22"/>
      <w:r/>
      <w:r/>
    </w:p>
    <w:p>
      <w:pPr>
        <w:ind w:firstLine="420"/>
        <w:spacing w:line="4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及《关于进一步加大政府采购支持中小企业力度的通知》（财库〔2022〕19号）等文件的精神，对属于小微企业、监狱企业、残疾人企业给予价格评审加分。投标人提供的货物全部为小型或微型企业、残疾人企业和监狱企业制造的，其价格在评审时给予</w:t>
      </w:r>
      <w:r>
        <w:rPr>
          <w:rFonts w:ascii="宋体" w:hAnsi="宋体" w:cs="宋体"/>
          <w:b/>
          <w:color w:val="auto"/>
          <w:sz w:val="21"/>
          <w:szCs w:val="21"/>
          <w:highlight w:val="none"/>
        </w:rPr>
        <w:t xml:space="preserve">1</w:t>
      </w:r>
      <w:r>
        <w:rPr>
          <w:rFonts w:hint="eastAsia" w:ascii="宋体" w:hAnsi="宋体" w:cs="宋体"/>
          <w:b/>
          <w:color w:val="auto"/>
          <w:sz w:val="21"/>
          <w:szCs w:val="21"/>
          <w:highlight w:val="none"/>
        </w:rPr>
        <w:t xml:space="preserve">0%</w:t>
      </w:r>
      <w:r>
        <w:rPr>
          <w:rFonts w:hint="eastAsia" w:ascii="宋体" w:hAnsi="宋体" w:cs="宋体"/>
          <w:color w:val="auto"/>
          <w:sz w:val="21"/>
          <w:szCs w:val="21"/>
          <w:highlight w:val="none"/>
        </w:rPr>
        <w:t xml:space="preserve">的扣除，用扣除后的价格参与评审。如扣除后的价格为最低价的，则作为评审基准价，若最后中标，中标价格则以实际投标报价为准。残疾人企业或监狱企业属于小型、微型企业的，不重复享受政策。</w:t>
      </w:r>
      <w:r/>
    </w:p>
    <w:p>
      <w:pPr>
        <w:ind w:firstLine="422"/>
        <w:spacing w:line="46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（2）本项目为非专门面向中小企业采购项目，所属行业为工业，</w:t>
      </w:r>
      <w:r>
        <w:rPr>
          <w:rFonts w:hint="eastAsia" w:ascii="宋体" w:hAnsi="宋体" w:cs="宋体"/>
          <w:color w:val="auto"/>
          <w:sz w:val="21"/>
          <w:szCs w:val="21"/>
          <w:highlight w:val="none"/>
        </w:rPr>
        <w:t xml:space="preserve">小微企业投标应提供经签署的《中小企业声明函》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监狱企业必须提供由省级以上监狱管理局、戒毒管理局（含新疆生产建设兵团）出具的属于监狱企业的证明文件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残疾人福利性单位必须提供《残疾人福利性单位声明函》，供应商提供的《残疾人福利性单位声明函》与事实不符的，依照《中华人民共和国政府采购法》第七十七条第一款的规定追究法律责任。在响应文件中未提供相关材料、资料的，不享受评审优惠政策。</w:t>
      </w:r>
      <w:bookmarkEnd w:id="26"/>
      <w:r/>
      <w:r/>
    </w:p>
    <w:p>
      <w:pPr>
        <w:ind w:firstLine="422"/>
        <w:spacing w:line="46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w:t>
      </w:r>
      <w:r>
        <w:rPr>
          <w:rFonts w:hint="eastAsia" w:hAnsi="宋体" w:cs="宋体"/>
          <w:b/>
          <w:bCs/>
          <w:color w:val="auto"/>
          <w:sz w:val="21"/>
          <w:szCs w:val="21"/>
          <w:highlight w:val="none"/>
        </w:rPr>
        <w:t xml:space="preserve">采购本国产品的支持政策</w:t>
      </w:r>
      <w:r/>
    </w:p>
    <w:p>
      <w:pPr>
        <w:ind w:firstLine="422"/>
        <w:spacing w:line="4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（1）本项目政府采购活动中既有本国产品又有非本国产品参与竞争的，依法对本国产品给予价格评审优惠，对本国产品的报价给予</w:t>
      </w:r>
      <w:r>
        <w:rPr>
          <w:rFonts w:hint="eastAsia" w:ascii="宋体" w:hAnsi="宋体" w:cs="宋体"/>
          <w:b/>
          <w:bCs/>
          <w:color w:val="auto"/>
          <w:sz w:val="21"/>
          <w:szCs w:val="21"/>
          <w:highlight w:val="none"/>
        </w:rPr>
        <w:t xml:space="preserve">20%</w:t>
      </w:r>
      <w:r>
        <w:rPr>
          <w:rFonts w:hint="eastAsia" w:ascii="宋体" w:hAnsi="宋体" w:cs="宋体"/>
          <w:color w:val="auto"/>
          <w:sz w:val="21"/>
          <w:szCs w:val="21"/>
          <w:highlight w:val="none"/>
        </w:rPr>
        <w:t xml:space="preserve">的价格扣除，用扣除后的价格参与评审。</w:t>
      </w:r>
      <w:r/>
    </w:p>
    <w:p>
      <w:pPr>
        <w:ind w:firstLine="422"/>
        <w:spacing w:line="4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如投标人提供虚假材料，将按“政府采购法”相关规定处理并由政府监管部门给予严肃处理。</w:t>
      </w:r>
      <w:r/>
    </w:p>
    <w:p>
      <w:pPr>
        <w:ind w:firstLine="422"/>
        <w:spacing w:line="46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2"/>
        <w:spacing w:line="460" w:lineRule="exact"/>
        <w:rPr>
          <w:rFonts w:hint="eastAsia" w:ascii="宋体" w:hAnsi="宋体" w:cs="宋体" w:eastAsiaTheme="minorEastAsia"/>
          <w:b/>
          <w:bCs/>
          <w:color w:val="auto"/>
          <w:sz w:val="21"/>
          <w:szCs w:val="21"/>
          <w:highlight w:val="none"/>
          <w:lang w:eastAsia="zh-CN"/>
        </w:rPr>
      </w:pPr>
      <w:r>
        <w:rPr>
          <w:rFonts w:hint="eastAsia" w:ascii="宋体" w:hAnsi="宋体" w:cs="宋体"/>
          <w:b/>
          <w:bCs/>
          <w:color w:val="auto"/>
          <w:sz w:val="21"/>
          <w:szCs w:val="21"/>
          <w:highlight w:val="none"/>
        </w:rPr>
        <w:t xml:space="preserve">4.1、投标（响应）报价低于全部通过符合性审查供应商投标（响应）报价平均值50%的，即投标（响应）报价&lt;全部通过符合性审查供应商投标（响应）报价平均值×50%</w:t>
      </w:r>
      <w:r>
        <w:rPr>
          <w:rFonts w:hint="eastAsia" w:ascii="宋体" w:hAnsi="宋体" w:cs="宋体"/>
          <w:b/>
          <w:bCs/>
          <w:color w:val="auto"/>
          <w:sz w:val="21"/>
          <w:szCs w:val="21"/>
          <w:highlight w:val="none"/>
          <w:lang w:eastAsia="zh-CN"/>
        </w:rPr>
        <w:t xml:space="preserve">；</w:t>
      </w:r>
      <w:r/>
    </w:p>
    <w:p>
      <w:pPr>
        <w:ind w:firstLine="422"/>
        <w:spacing w:line="460" w:lineRule="exact"/>
        <w:rPr>
          <w:rFonts w:hint="eastAsia" w:ascii="宋体" w:hAnsi="宋体" w:cs="宋体" w:eastAsiaTheme="minorEastAsia"/>
          <w:b/>
          <w:bCs/>
          <w:color w:val="auto"/>
          <w:sz w:val="21"/>
          <w:szCs w:val="21"/>
          <w:highlight w:val="none"/>
          <w:lang w:eastAsia="zh-CN"/>
        </w:rPr>
      </w:pPr>
      <w:r>
        <w:rPr>
          <w:rFonts w:hint="eastAsia" w:ascii="宋体" w:hAnsi="宋体" w:cs="宋体"/>
          <w:b/>
          <w:bCs/>
          <w:color w:val="auto"/>
          <w:sz w:val="21"/>
          <w:szCs w:val="21"/>
          <w:highlight w:val="none"/>
        </w:rPr>
        <w:t xml:space="preserve">4.2、投标（响应）报价低于通过符合性审查的次低报价供应商投标（响应）报价50%的，即投标（响应）报价&lt;通过符合性审查的次低报价供应商投标（响应）报价×50%</w:t>
      </w:r>
      <w:r>
        <w:rPr>
          <w:rFonts w:hint="eastAsia" w:ascii="宋体" w:hAnsi="宋体" w:cs="宋体"/>
          <w:b/>
          <w:bCs/>
          <w:color w:val="auto"/>
          <w:sz w:val="21"/>
          <w:szCs w:val="21"/>
          <w:highlight w:val="none"/>
          <w:lang w:eastAsia="zh-CN"/>
        </w:rPr>
        <w:t xml:space="preserve">；</w:t>
      </w:r>
      <w:r/>
    </w:p>
    <w:p>
      <w:pPr>
        <w:ind w:firstLine="422"/>
        <w:spacing w:line="460" w:lineRule="exact"/>
        <w:rPr>
          <w:rFonts w:hint="eastAsia" w:ascii="宋体" w:hAnsi="宋体" w:cs="宋体" w:eastAsiaTheme="minorEastAsia"/>
          <w:b/>
          <w:bCs/>
          <w:color w:val="auto"/>
          <w:sz w:val="21"/>
          <w:szCs w:val="21"/>
          <w:highlight w:val="none"/>
          <w:lang w:eastAsia="zh-CN"/>
        </w:rPr>
      </w:pPr>
      <w:r>
        <w:rPr>
          <w:rFonts w:hint="eastAsia" w:ascii="宋体" w:hAnsi="宋体" w:cs="宋体"/>
          <w:b/>
          <w:bCs/>
          <w:color w:val="auto"/>
          <w:sz w:val="21"/>
          <w:szCs w:val="21"/>
          <w:highlight w:val="none"/>
        </w:rPr>
        <w:t xml:space="preserve">4.3、投标（响应）报价低于采购项目最高限价45%的，即投标（响应）报价&lt;采购项目最高限价×45%</w:t>
      </w:r>
      <w:r>
        <w:rPr>
          <w:rFonts w:hint="eastAsia" w:ascii="宋体" w:hAnsi="宋体" w:cs="宋体"/>
          <w:b/>
          <w:bCs/>
          <w:color w:val="auto"/>
          <w:sz w:val="21"/>
          <w:szCs w:val="21"/>
          <w:highlight w:val="none"/>
          <w:lang w:eastAsia="zh-CN"/>
        </w:rPr>
        <w:t xml:space="preserve">；</w:t>
      </w:r>
      <w:r/>
    </w:p>
    <w:p>
      <w:pPr>
        <w:ind w:firstLine="422"/>
        <w:spacing w:line="46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4.4、评审委员会基于专业判断，认为供应商报价过低，有可能影响产品质量或者不能诚信履约的其他情形。</w:t>
      </w:r>
      <w:r/>
    </w:p>
    <w:p>
      <w:pPr>
        <w:ind w:firstLine="422"/>
        <w:spacing w:line="46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6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（二）技术方案（23分）</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1、软件产品服务方案（12分）</w:t>
      </w:r>
      <w:r/>
    </w:p>
    <w:p>
      <w:pPr>
        <w:ind w:firstLine="422"/>
        <w:spacing w:line="4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1、系统建设方案分析（2分）</w:t>
      </w:r>
      <w:r/>
    </w:p>
    <w:p>
      <w:pPr>
        <w:ind w:firstLine="422"/>
        <w:spacing w:line="460" w:lineRule="exact"/>
        <w:rPr>
          <w:rFonts w:hint="eastAsia" w:ascii="宋体" w:hAnsi="宋体" w:cs="宋体" w:eastAsiaTheme="minorEastAsia"/>
          <w:bCs/>
          <w:color w:val="auto"/>
          <w:sz w:val="21"/>
          <w:szCs w:val="21"/>
          <w:highlight w:val="none"/>
          <w:lang w:eastAsia="zh-CN"/>
        </w:rPr>
      </w:pPr>
      <w:r>
        <w:rPr>
          <w:rFonts w:hint="eastAsia" w:ascii="宋体" w:hAnsi="宋体" w:cs="宋体"/>
          <w:bCs/>
          <w:color w:val="auto"/>
          <w:sz w:val="21"/>
          <w:szCs w:val="21"/>
          <w:highlight w:val="none"/>
        </w:rPr>
        <w:t xml:space="preserve">（1）系统建设方案中总体建设目标、规划、需求分析、目标分析、设计思路等内容</w:t>
      </w:r>
      <w:r>
        <w:rPr>
          <w:rFonts w:hint="eastAsia" w:ascii="宋体" w:hAnsi="宋体" w:cs="宋体"/>
          <w:bCs/>
          <w:color w:val="auto"/>
          <w:sz w:val="21"/>
          <w:szCs w:val="21"/>
          <w:highlight w:val="none"/>
          <w:lang w:eastAsia="zh-CN"/>
        </w:rPr>
        <w:t xml:space="preserve">；</w:t>
      </w:r>
      <w:r/>
    </w:p>
    <w:p>
      <w:pPr>
        <w:ind w:firstLine="422"/>
        <w:spacing w:line="460" w:lineRule="exact"/>
        <w:rPr>
          <w:rFonts w:hint="eastAsia" w:ascii="宋体" w:hAnsi="宋体" w:cs="宋体" w:eastAsiaTheme="minorEastAsia"/>
          <w:bCs/>
          <w:color w:val="auto"/>
          <w:sz w:val="21"/>
          <w:szCs w:val="21"/>
          <w:highlight w:val="none"/>
          <w:lang w:eastAsia="zh-CN"/>
        </w:rPr>
      </w:pPr>
      <w:r>
        <w:rPr>
          <w:rFonts w:hint="eastAsia" w:ascii="宋体" w:hAnsi="宋体" w:cs="宋体"/>
          <w:bCs/>
          <w:color w:val="auto"/>
          <w:sz w:val="21"/>
          <w:szCs w:val="21"/>
          <w:highlight w:val="none"/>
        </w:rPr>
        <w:t xml:space="preserve">（2）系统建设方案中总体框架设计、业务逻辑设计、数据架构设计等内容</w:t>
      </w:r>
      <w:r>
        <w:rPr>
          <w:rFonts w:hint="eastAsia" w:ascii="宋体" w:hAnsi="宋体" w:cs="宋体"/>
          <w:bCs/>
          <w:color w:val="auto"/>
          <w:sz w:val="21"/>
          <w:szCs w:val="21"/>
          <w:highlight w:val="none"/>
          <w:lang w:eastAsia="zh-CN"/>
        </w:rPr>
        <w:t xml:space="preserve">；</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上述每项应逐条叙述，内容完整、条理清晰的，每项得1分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内容有一定合理性及可行性的，得0.5分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叙述内容与采购需求偏差较大或未作完整叙述的，不得分。本项最高得2分。</w:t>
      </w:r>
      <w:r/>
    </w:p>
    <w:p>
      <w:pPr>
        <w:ind w:firstLine="422"/>
        <w:spacing w:line="4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2、实施方案分析（4分）</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评委根据投标单位提供的实施方案包含：</w:t>
      </w:r>
      <w:r/>
    </w:p>
    <w:p>
      <w:pPr>
        <w:ind w:firstLine="422"/>
        <w:spacing w:line="460" w:lineRule="exact"/>
        <w:rPr>
          <w:rFonts w:hint="eastAsia" w:ascii="宋体" w:hAnsi="宋体" w:cs="宋体" w:eastAsiaTheme="minorEastAsia"/>
          <w:bCs/>
          <w:color w:val="auto"/>
          <w:sz w:val="21"/>
          <w:szCs w:val="21"/>
          <w:highlight w:val="none"/>
          <w:lang w:eastAsia="zh-CN"/>
        </w:rPr>
      </w:pPr>
      <w:r>
        <w:rPr>
          <w:rFonts w:hint="eastAsia" w:ascii="宋体" w:hAnsi="宋体" w:cs="宋体"/>
          <w:bCs/>
          <w:color w:val="auto"/>
          <w:sz w:val="21"/>
          <w:szCs w:val="21"/>
          <w:highlight w:val="none"/>
        </w:rPr>
        <w:t xml:space="preserve">（1）项目管理方案、项目进度管理方案、项目质量管理方案等内容</w:t>
      </w:r>
      <w:r>
        <w:rPr>
          <w:rFonts w:hint="eastAsia" w:ascii="宋体" w:hAnsi="宋体" w:cs="宋体"/>
          <w:bCs/>
          <w:color w:val="auto"/>
          <w:sz w:val="21"/>
          <w:szCs w:val="21"/>
          <w:highlight w:val="none"/>
          <w:lang w:eastAsia="zh-CN"/>
        </w:rPr>
        <w:t xml:space="preserve">；</w:t>
      </w:r>
      <w:r/>
    </w:p>
    <w:p>
      <w:pPr>
        <w:ind w:firstLine="422"/>
        <w:spacing w:line="460" w:lineRule="exact"/>
        <w:rPr>
          <w:rFonts w:hint="eastAsia" w:ascii="宋体" w:hAnsi="宋体" w:cs="宋体" w:eastAsiaTheme="minorEastAsia"/>
          <w:bCs/>
          <w:color w:val="auto"/>
          <w:sz w:val="21"/>
          <w:szCs w:val="21"/>
          <w:highlight w:val="none"/>
          <w:lang w:eastAsia="zh-CN"/>
        </w:rPr>
      </w:pPr>
      <w:r>
        <w:rPr>
          <w:rFonts w:hint="eastAsia" w:ascii="宋体" w:hAnsi="宋体" w:cs="宋体"/>
          <w:bCs/>
          <w:color w:val="auto"/>
          <w:sz w:val="21"/>
          <w:szCs w:val="21"/>
          <w:highlight w:val="none"/>
        </w:rPr>
        <w:t xml:space="preserve">（2）项目难点分析方案、项目风险管理方案、安装调试方案等内容</w:t>
      </w:r>
      <w:r>
        <w:rPr>
          <w:rFonts w:hint="eastAsia" w:ascii="宋体" w:hAnsi="宋体" w:cs="宋体"/>
          <w:bCs/>
          <w:color w:val="auto"/>
          <w:sz w:val="21"/>
          <w:szCs w:val="21"/>
          <w:highlight w:val="none"/>
          <w:lang w:eastAsia="zh-CN"/>
        </w:rPr>
        <w:t xml:space="preserve">；</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上述每项应逐条叙述，内容完整、条理清晰的，每项得2分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内容有一定合理性及可行性的，得1分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叙述内容与采购需求偏差较大或未作完整叙述的，不得分。本项最高得4分。</w:t>
      </w:r>
      <w:r/>
    </w:p>
    <w:p>
      <w:pPr>
        <w:ind w:firstLine="422"/>
        <w:spacing w:line="4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3、售后服务方案分析（3分）</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评委根据投标单位提供的售后服务方案（如服务体系、服务内容、故障解决方案、专业技术人员保障及服务电话等）综合评分：</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（1）投标单位服务体系及服务内容方案：</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（2）投标单位故障解决方案：</w:t>
      </w:r>
      <w:r/>
    </w:p>
    <w:p>
      <w:pPr>
        <w:ind w:firstLine="422"/>
        <w:spacing w:line="460" w:lineRule="exact"/>
        <w:rPr>
          <w:rFonts w:hint="eastAsia" w:ascii="宋体" w:hAnsi="宋体" w:cs="宋体" w:eastAsiaTheme="minorEastAsia"/>
          <w:bCs/>
          <w:color w:val="auto"/>
          <w:sz w:val="21"/>
          <w:szCs w:val="21"/>
          <w:highlight w:val="none"/>
          <w:lang w:eastAsia="zh-CN"/>
        </w:rPr>
      </w:pPr>
      <w:r>
        <w:rPr>
          <w:rFonts w:hint="eastAsia" w:ascii="宋体" w:hAnsi="宋体" w:cs="宋体"/>
          <w:bCs/>
          <w:color w:val="auto"/>
          <w:sz w:val="21"/>
          <w:szCs w:val="21"/>
          <w:highlight w:val="none"/>
        </w:rPr>
        <w:t xml:space="preserve">（3）投标单位专业技术人员保障及服务电话等方案</w:t>
      </w:r>
      <w:r>
        <w:rPr>
          <w:rFonts w:hint="eastAsia" w:ascii="宋体" w:hAnsi="宋体" w:cs="宋体"/>
          <w:bCs/>
          <w:color w:val="auto"/>
          <w:sz w:val="21"/>
          <w:szCs w:val="21"/>
          <w:highlight w:val="none"/>
          <w:lang w:eastAsia="zh-CN"/>
        </w:rPr>
        <w:t xml:space="preserve">；</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上述每项应逐条叙述，内容完整、条理清晰的，每项得1分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内容有一定合理性及可行性的，得0.5分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叙述内容与采购需求偏差较大或未作完整叙述的，不得分。本项最高得3分。</w:t>
      </w:r>
      <w:r/>
    </w:p>
    <w:p>
      <w:pPr>
        <w:ind w:firstLine="422"/>
        <w:spacing w:line="4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4、培训方案分析（3分）</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评委依据投标单位提供的培训服务方案（包含IT能力提升培训、培训目标、培训对象、培训师资力量、培训方式、培训内容、培训费用、完整培训大纲、培训计划、培训教材</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需包含开发架构、业务范围、数据库维护））综合评分：</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上述内容完整、条理清晰的，得3分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内容有一定合理性及可行性的，得1.5分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叙述内容与采购需求偏差较大或未作完整叙述的，不得分。本项最高得3分。</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2、硬件产品服务方案（11分）</w:t>
      </w:r>
      <w:r/>
    </w:p>
    <w:p>
      <w:pPr>
        <w:ind w:firstLine="422"/>
        <w:spacing w:line="4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1、整体技术方案（4分）</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根据投标单位对本项目的理解，提供项目总体设计方案。包括但不限于：</w:t>
      </w:r>
      <w:r/>
    </w:p>
    <w:p>
      <w:pPr>
        <w:ind w:firstLine="422"/>
        <w:spacing w:line="460" w:lineRule="exact"/>
        <w:rPr>
          <w:rFonts w:hint="eastAsia" w:ascii="宋体" w:hAnsi="宋体" w:cs="宋体" w:eastAsiaTheme="minorEastAsia"/>
          <w:bCs/>
          <w:color w:val="auto"/>
          <w:sz w:val="21"/>
          <w:szCs w:val="21"/>
          <w:highlight w:val="none"/>
          <w:lang w:eastAsia="zh-CN"/>
        </w:rPr>
      </w:pPr>
      <w:r>
        <w:rPr>
          <w:rFonts w:hint="eastAsia" w:ascii="宋体" w:hAnsi="宋体" w:cs="宋体"/>
          <w:bCs/>
          <w:color w:val="auto"/>
          <w:sz w:val="21"/>
          <w:szCs w:val="21"/>
          <w:highlight w:val="none"/>
        </w:rPr>
        <w:t xml:space="preserve">（1）整体架构方案</w:t>
      </w:r>
      <w:r>
        <w:rPr>
          <w:rFonts w:hint="eastAsia" w:ascii="宋体" w:hAnsi="宋体" w:cs="宋体"/>
          <w:bCs/>
          <w:color w:val="auto"/>
          <w:sz w:val="21"/>
          <w:szCs w:val="21"/>
          <w:highlight w:val="none"/>
          <w:lang w:eastAsia="zh-CN"/>
        </w:rPr>
        <w:t xml:space="preserve">；</w:t>
      </w:r>
      <w:r/>
    </w:p>
    <w:p>
      <w:pPr>
        <w:ind w:firstLine="422"/>
        <w:spacing w:line="460" w:lineRule="exact"/>
        <w:rPr>
          <w:rFonts w:hint="eastAsia" w:ascii="宋体" w:hAnsi="宋体" w:cs="宋体" w:eastAsiaTheme="minorEastAsia"/>
          <w:bCs/>
          <w:color w:val="auto"/>
          <w:sz w:val="21"/>
          <w:szCs w:val="21"/>
          <w:highlight w:val="none"/>
          <w:lang w:eastAsia="zh-CN"/>
        </w:rPr>
      </w:pPr>
      <w:r>
        <w:rPr>
          <w:rFonts w:hint="eastAsia" w:ascii="宋体" w:hAnsi="宋体" w:cs="宋体"/>
          <w:bCs/>
          <w:color w:val="auto"/>
          <w:sz w:val="21"/>
          <w:szCs w:val="21"/>
          <w:highlight w:val="none"/>
        </w:rPr>
        <w:t xml:space="preserve">（2）安全与可靠性规划</w:t>
      </w:r>
      <w:r>
        <w:rPr>
          <w:rFonts w:hint="eastAsia" w:ascii="宋体" w:hAnsi="宋体" w:cs="宋体"/>
          <w:bCs/>
          <w:color w:val="auto"/>
          <w:sz w:val="21"/>
          <w:szCs w:val="21"/>
          <w:highlight w:val="none"/>
          <w:lang w:eastAsia="zh-CN"/>
        </w:rPr>
        <w:t xml:space="preserve">；</w:t>
      </w:r>
      <w:r/>
    </w:p>
    <w:p>
      <w:pPr>
        <w:ind w:firstLine="422"/>
        <w:spacing w:line="460" w:lineRule="exact"/>
        <w:rPr>
          <w:rFonts w:hint="eastAsia" w:ascii="宋体" w:hAnsi="宋体" w:cs="宋体" w:eastAsiaTheme="minorEastAsia"/>
          <w:bCs/>
          <w:color w:val="auto"/>
          <w:sz w:val="21"/>
          <w:szCs w:val="21"/>
          <w:highlight w:val="none"/>
          <w:lang w:eastAsia="zh-CN"/>
        </w:rPr>
      </w:pPr>
      <w:r>
        <w:rPr>
          <w:rFonts w:hint="eastAsia" w:ascii="宋体" w:hAnsi="宋体" w:cs="宋体"/>
          <w:bCs/>
          <w:color w:val="auto"/>
          <w:sz w:val="21"/>
          <w:szCs w:val="21"/>
          <w:highlight w:val="none"/>
        </w:rPr>
        <w:t xml:space="preserve">（3）集成部署、备份与可用性规划</w:t>
      </w:r>
      <w:r>
        <w:rPr>
          <w:rFonts w:hint="eastAsia" w:ascii="宋体" w:hAnsi="宋体" w:cs="宋体"/>
          <w:bCs/>
          <w:color w:val="auto"/>
          <w:sz w:val="21"/>
          <w:szCs w:val="21"/>
          <w:highlight w:val="none"/>
          <w:lang w:eastAsia="zh-CN"/>
        </w:rPr>
        <w:t xml:space="preserve">；</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（4）运维管理方案。</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上述每项应逐条叙述，内容完整，条理清晰的得1分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内容有一定合理性、基本可行的得0.5分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叙述内容与采购需求偏差较大或未做完整叙述的不得分。本项最高得4分。</w:t>
      </w:r>
      <w:r/>
    </w:p>
    <w:p>
      <w:pPr>
        <w:ind w:firstLine="422"/>
        <w:spacing w:line="4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2、组织实施方案（3分）</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根据投标单位对本项目的理解，提供项目组织实施方案。包括但不限于：</w:t>
      </w:r>
      <w:r/>
    </w:p>
    <w:p>
      <w:pPr>
        <w:ind w:firstLine="422"/>
        <w:spacing w:line="460" w:lineRule="exact"/>
        <w:rPr>
          <w:rFonts w:hint="eastAsia" w:ascii="宋体" w:hAnsi="宋体" w:cs="宋体" w:eastAsiaTheme="minorEastAsia"/>
          <w:bCs/>
          <w:color w:val="auto"/>
          <w:sz w:val="21"/>
          <w:szCs w:val="21"/>
          <w:highlight w:val="none"/>
          <w:lang w:eastAsia="zh-CN"/>
        </w:rPr>
      </w:pPr>
      <w:r>
        <w:rPr>
          <w:rFonts w:hint="eastAsia" w:ascii="宋体" w:hAnsi="宋体" w:cs="宋体"/>
          <w:bCs/>
          <w:color w:val="auto"/>
          <w:sz w:val="21"/>
          <w:szCs w:val="21"/>
          <w:highlight w:val="none"/>
        </w:rPr>
        <w:t xml:space="preserve">（1）设备供货、进度控制</w:t>
      </w:r>
      <w:r>
        <w:rPr>
          <w:rFonts w:hint="eastAsia" w:ascii="宋体" w:hAnsi="宋体" w:cs="宋体"/>
          <w:bCs/>
          <w:color w:val="auto"/>
          <w:sz w:val="21"/>
          <w:szCs w:val="21"/>
          <w:highlight w:val="none"/>
          <w:lang w:eastAsia="zh-CN"/>
        </w:rPr>
        <w:t xml:space="preserve">；</w:t>
      </w:r>
      <w:r/>
    </w:p>
    <w:p>
      <w:pPr>
        <w:ind w:firstLine="422"/>
        <w:spacing w:line="460" w:lineRule="exact"/>
        <w:rPr>
          <w:rFonts w:hint="eastAsia" w:ascii="宋体" w:hAnsi="宋体" w:cs="宋体" w:eastAsiaTheme="minorEastAsia"/>
          <w:bCs/>
          <w:color w:val="auto"/>
          <w:sz w:val="21"/>
          <w:szCs w:val="21"/>
          <w:highlight w:val="none"/>
          <w:lang w:eastAsia="zh-CN"/>
        </w:rPr>
      </w:pPr>
      <w:r>
        <w:rPr>
          <w:rFonts w:hint="eastAsia" w:ascii="宋体" w:hAnsi="宋体" w:cs="宋体"/>
          <w:bCs/>
          <w:color w:val="auto"/>
          <w:sz w:val="21"/>
          <w:szCs w:val="21"/>
          <w:highlight w:val="none"/>
        </w:rPr>
        <w:t xml:space="preserve">（2）系统定制</w:t>
      </w:r>
      <w:r>
        <w:rPr>
          <w:rFonts w:hint="eastAsia" w:ascii="宋体" w:hAnsi="宋体" w:cs="宋体"/>
          <w:bCs/>
          <w:color w:val="auto"/>
          <w:sz w:val="21"/>
          <w:szCs w:val="21"/>
          <w:highlight w:val="none"/>
          <w:lang w:eastAsia="zh-CN"/>
        </w:rPr>
        <w:t xml:space="preserve">；</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（3）安装调试。</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上述每项应逐条叙述，内容完整，条理清晰的得1分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内容有一定合理性、基本可行的得0.5分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叙述内容与采购需求偏差较大或未做完整叙述的不得分。本项最高得3分。</w:t>
      </w:r>
      <w:r/>
    </w:p>
    <w:p>
      <w:pPr>
        <w:ind w:firstLine="422"/>
        <w:spacing w:line="4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3、服务保障方案（4分）</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根据投标单位对本项目的理解，提供服务保障方案。包括但不限于：</w:t>
      </w:r>
      <w:r/>
    </w:p>
    <w:p>
      <w:pPr>
        <w:ind w:firstLine="422"/>
        <w:spacing w:line="460" w:lineRule="exact"/>
        <w:rPr>
          <w:rFonts w:hint="eastAsia" w:ascii="宋体" w:hAnsi="宋体" w:cs="宋体" w:eastAsiaTheme="minorEastAsia"/>
          <w:bCs/>
          <w:color w:val="auto"/>
          <w:sz w:val="21"/>
          <w:szCs w:val="21"/>
          <w:highlight w:val="none"/>
          <w:lang w:eastAsia="zh-CN"/>
        </w:rPr>
      </w:pPr>
      <w:r>
        <w:rPr>
          <w:rFonts w:hint="eastAsia" w:ascii="宋体" w:hAnsi="宋体" w:cs="宋体"/>
          <w:bCs/>
          <w:color w:val="auto"/>
          <w:sz w:val="21"/>
          <w:szCs w:val="21"/>
          <w:highlight w:val="none"/>
        </w:rPr>
        <w:t xml:space="preserve">（1）售后服务</w:t>
      </w:r>
      <w:r>
        <w:rPr>
          <w:rFonts w:hint="eastAsia" w:ascii="宋体" w:hAnsi="宋体" w:cs="宋体"/>
          <w:bCs/>
          <w:color w:val="auto"/>
          <w:sz w:val="21"/>
          <w:szCs w:val="21"/>
          <w:highlight w:val="none"/>
          <w:lang w:eastAsia="zh-CN"/>
        </w:rPr>
        <w:t xml:space="preserve">；</w:t>
      </w:r>
      <w:r/>
    </w:p>
    <w:p>
      <w:pPr>
        <w:ind w:firstLine="422"/>
        <w:spacing w:line="460" w:lineRule="exact"/>
        <w:rPr>
          <w:rFonts w:hint="eastAsia" w:ascii="宋体" w:hAnsi="宋体" w:cs="宋体" w:eastAsiaTheme="minorEastAsia"/>
          <w:bCs/>
          <w:color w:val="auto"/>
          <w:sz w:val="21"/>
          <w:szCs w:val="21"/>
          <w:highlight w:val="none"/>
          <w:lang w:eastAsia="zh-CN"/>
        </w:rPr>
      </w:pPr>
      <w:r>
        <w:rPr>
          <w:rFonts w:hint="eastAsia" w:ascii="宋体" w:hAnsi="宋体" w:cs="宋体"/>
          <w:bCs/>
          <w:color w:val="auto"/>
          <w:sz w:val="21"/>
          <w:szCs w:val="21"/>
          <w:highlight w:val="none"/>
        </w:rPr>
        <w:t xml:space="preserve">（2）培训服务</w:t>
      </w:r>
      <w:r>
        <w:rPr>
          <w:rFonts w:hint="eastAsia" w:ascii="宋体" w:hAnsi="宋体" w:cs="宋体"/>
          <w:bCs/>
          <w:color w:val="auto"/>
          <w:sz w:val="21"/>
          <w:szCs w:val="21"/>
          <w:highlight w:val="none"/>
          <w:lang w:eastAsia="zh-CN"/>
        </w:rPr>
        <w:t xml:space="preserve">；</w:t>
      </w:r>
      <w:r/>
    </w:p>
    <w:p>
      <w:pPr>
        <w:ind w:firstLine="422"/>
        <w:spacing w:line="460" w:lineRule="exact"/>
        <w:rPr>
          <w:rFonts w:hint="eastAsia" w:ascii="宋体" w:hAnsi="宋体" w:cs="宋体" w:eastAsiaTheme="minorEastAsia"/>
          <w:bCs/>
          <w:color w:val="auto"/>
          <w:sz w:val="21"/>
          <w:szCs w:val="21"/>
          <w:highlight w:val="none"/>
          <w:lang w:eastAsia="zh-CN"/>
        </w:rPr>
      </w:pPr>
      <w:r>
        <w:rPr>
          <w:rFonts w:hint="eastAsia" w:ascii="宋体" w:hAnsi="宋体" w:cs="宋体"/>
          <w:bCs/>
          <w:color w:val="auto"/>
          <w:sz w:val="21"/>
          <w:szCs w:val="21"/>
          <w:highlight w:val="none"/>
        </w:rPr>
        <w:t xml:space="preserve">（3）质量管理</w:t>
      </w:r>
      <w:r>
        <w:rPr>
          <w:rFonts w:hint="eastAsia" w:ascii="宋体" w:hAnsi="宋体" w:cs="宋体"/>
          <w:bCs/>
          <w:color w:val="auto"/>
          <w:sz w:val="21"/>
          <w:szCs w:val="21"/>
          <w:highlight w:val="none"/>
          <w:lang w:eastAsia="zh-CN"/>
        </w:rPr>
        <w:t xml:space="preserve">；</w:t>
      </w:r>
      <w:r/>
    </w:p>
    <w:p>
      <w:pPr>
        <w:ind w:firstLine="422"/>
        <w:spacing w:line="460" w:lineRule="exact"/>
        <w:rPr>
          <w:rFonts w:hint="eastAsia" w:ascii="宋体" w:hAnsi="宋体" w:cs="宋体" w:eastAsiaTheme="minorEastAsia"/>
          <w:bCs/>
          <w:color w:val="auto"/>
          <w:sz w:val="21"/>
          <w:szCs w:val="21"/>
          <w:highlight w:val="none"/>
          <w:lang w:eastAsia="zh-CN"/>
        </w:rPr>
      </w:pPr>
      <w:r>
        <w:rPr>
          <w:rFonts w:hint="eastAsia" w:ascii="宋体" w:hAnsi="宋体" w:cs="宋体"/>
          <w:bCs/>
          <w:color w:val="auto"/>
          <w:sz w:val="21"/>
          <w:szCs w:val="21"/>
          <w:highlight w:val="none"/>
        </w:rPr>
        <w:t xml:space="preserve">（4）风险应急管理</w:t>
      </w:r>
      <w:r>
        <w:rPr>
          <w:rFonts w:hint="eastAsia" w:ascii="宋体" w:hAnsi="宋体" w:cs="宋体"/>
          <w:bCs/>
          <w:color w:val="auto"/>
          <w:sz w:val="21"/>
          <w:szCs w:val="21"/>
          <w:highlight w:val="none"/>
          <w:lang w:eastAsia="zh-CN"/>
        </w:rPr>
        <w:t xml:space="preserve">；</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上述每项应逐条叙述，内容完整，条理清晰的得1分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内容有一定合理性、基本可行的得0.5分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叙述内容与采购需求偏差较大或未做完整叙述的不得分。本项最高得4分。</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（三）系统功能、性能、配置（28分）</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的技术指标为重要参数，每提供1项得2分，本项最高28分。（注：“▲”的技术参数需提供以下任意一种证明材料并加盖投标单位公章：1.具有国家认可的第三方机构出具的检测报告复印件2.官网截图证明3.技术参数彩页4.功能截图。未按要求提供的不得分。）</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（四）系统演示（</w:t>
      </w:r>
      <w:r>
        <w:rPr>
          <w:rFonts w:hint="default" w:ascii="宋体" w:hAnsi="宋体" w:cs="宋体"/>
          <w:b/>
          <w:bCs/>
          <w:color w:val="auto"/>
          <w:sz w:val="21"/>
          <w:szCs w:val="21"/>
          <w:highlight w:val="none"/>
          <w:lang w:val="en-US"/>
        </w:rPr>
        <w:t xml:space="preserve">10</w:t>
      </w:r>
      <w:r>
        <w:rPr>
          <w:rFonts w:hint="eastAsia" w:ascii="宋体" w:hAnsi="宋体" w:cs="宋体"/>
          <w:b/>
          <w:bCs/>
          <w:color w:val="auto"/>
          <w:sz w:val="21"/>
          <w:szCs w:val="21"/>
          <w:highlight w:val="none"/>
        </w:rPr>
        <w:t xml:space="preserve">分）</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1、演示门诊转诊号源推荐场景，双向转诊中心可根据患者疾病诊断信息自动推荐转诊号源资源（如医院、医生等）供参考。</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演示远程会诊协同场景：上级医院可通过远程视频方式接诊基层医疗卫生机构患者，接诊时可调阅居民健康档案查阅患者历史诊疗信息，处置时可调阅基层医疗卫生机构的药品目录，开药时查看药房库存进行开方，诊毕时诊疗信息（如处方、电子病历等）可回落患者所在的基层医疗卫生机构的全科医生工作站中。</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3、可信数据空间：演示身份注册和认证流程，含生态成员由门户页发起身份注册和身份认证申请，可信数据空间运营方进行认证审核，审核通过后用户根据认证角色获得可信数据空间服务系统的相应权限等内容</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演示逻辑可信数据空间创建及管理功能，含用户创建、加入逻辑可信数据空间，逻辑可信数据空间创建方对逻辑可信数据空间的配置信息进行修改，逻辑可信数据空间创建方邀请可信数据空间内已认证用户为逻辑可信数据空间成员等内容</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演示存证追溯功能，提供包括数据编目、申请、数据产品开发、数据产品发布、数据产品交易等环节在内的数据流正向追踪和逆向溯源双视角的图形化的存证追溯展示页面，演示存证信息详情及上链信息验证等内容。</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4、影像AI</w:t>
      </w:r>
      <w:r>
        <w:rPr>
          <w:rFonts w:hint="eastAsia" w:ascii="宋体" w:hAnsi="宋体" w:cs="宋体"/>
          <w:bCs/>
          <w:color w:val="auto"/>
          <w:sz w:val="21"/>
          <w:szCs w:val="21"/>
          <w:highlight w:val="none"/>
          <w:lang w:val="en-US" w:eastAsia="zh-CN"/>
        </w:rPr>
        <w:t xml:space="preserve">模块</w:t>
      </w:r>
      <w:r>
        <w:rPr>
          <w:rFonts w:hint="eastAsia" w:ascii="宋体" w:hAnsi="宋体" w:cs="宋体"/>
          <w:bCs/>
          <w:color w:val="auto"/>
          <w:sz w:val="21"/>
          <w:szCs w:val="21"/>
          <w:highlight w:val="none"/>
        </w:rPr>
        <w:t xml:space="preserve">需具备以下功能点的演示，包含多项智能影像筛查与辅助诊断能力：胸部疾病筛查可按厘米、毫米、毫米保留一位小数点三种方式展示结节尺寸，并支持自定义软组织肿大临界值</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心血管疾病智能筛查可分别生成男性、女性钙化积分百分位图，实现不同性别患者的个体化风险评估</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头颈 CTA 智能辅助诊断系统支持头颈动静脉血管 VR 实时渲染，可在原图右键添加动脉瘤，自动完成动脉瘤分割，量化其最大径、长短径、体积、瘤径并定位动脉瘤分段位置</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冠脉 CTA 智能辅助诊断系统能够对图像进行质量评分，输出 1～5 分的评分结果。</w:t>
      </w:r>
      <w:r/>
    </w:p>
    <w:p>
      <w:pPr>
        <w:ind w:firstLine="422"/>
        <w:spacing w:line="460" w:lineRule="exact"/>
        <w:rPr>
          <w:rFonts w:hint="default" w:ascii="宋体" w:hAnsi="宋体" w:cs="宋体" w:eastAsiaTheme="minorEastAsia"/>
          <w:bCs/>
          <w:color w:val="auto"/>
          <w:sz w:val="21"/>
          <w:szCs w:val="21"/>
          <w:highlight w:val="none"/>
          <w:lang w:val="en-US" w:eastAsia="zh-CN"/>
        </w:rPr>
      </w:pPr>
      <w:r>
        <w:rPr>
          <w:rFonts w:hint="default"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lang w:val="en-US" w:eastAsia="zh-CN"/>
        </w:rPr>
        <w:t xml:space="preserve">、提供卒中中心支持通过图例的方式进行脑部血管的可视化展示，便于医护人员快速地对病变血管部位进行分段标记，自动对应责任部位与非责任部位，并以两种特殊颜色区分显示。同时可视化图例支持放大和缩小操作。具体的血管部位标记包含：左侧大脑前动脉A1、右侧大脑前动脉A1、左侧大脑前动脉A2等57个部位标记。</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每满足上述其中一项功能得2分，最高得</w:t>
      </w:r>
      <w:r>
        <w:rPr>
          <w:rFonts w:hint="eastAsia" w:ascii="宋体" w:hAnsi="宋体" w:cs="宋体"/>
          <w:b/>
          <w:bCs/>
          <w:color w:val="auto"/>
          <w:sz w:val="21"/>
          <w:szCs w:val="21"/>
          <w:highlight w:val="none"/>
          <w:lang w:val="en-US" w:eastAsia="zh-CN"/>
        </w:rPr>
        <w:t xml:space="preserve">10</w:t>
      </w:r>
      <w:r>
        <w:rPr>
          <w:rFonts w:hint="eastAsia" w:ascii="宋体" w:hAnsi="宋体" w:cs="宋体"/>
          <w:b/>
          <w:bCs/>
          <w:color w:val="auto"/>
          <w:sz w:val="21"/>
          <w:szCs w:val="21"/>
          <w:highlight w:val="none"/>
        </w:rPr>
        <w:t xml:space="preserve">分。（注：1.供应商根据采购文件要求进行演示，演示时间不超过15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供应商上传文件本身损坏等自身原因导致演示资料无法正常读取的视为无效演示，本项不得分，由供应商自行承担责任。）</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（五）人员配置（5分）</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1、本项目团队中的项目负责人具有高级信息系统项目管理师证书，满足要求得2分，其他不得分。</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2、投标人投入本项目的项目组人员（项目负责人除外）具有中级及以上相关专业技术工程师证书、注册信息安全工程师证书、软件设计师证书</w:t>
      </w:r>
      <w:r>
        <w:rPr>
          <w:rFonts w:hint="eastAsia" w:ascii="宋体" w:hAnsi="宋体" w:cs="宋体"/>
          <w:bCs/>
          <w:color w:val="auto"/>
          <w:sz w:val="21"/>
          <w:szCs w:val="21"/>
          <w:highlight w:val="none"/>
          <w:lang w:val="en-US" w:eastAsia="zh-CN"/>
        </w:rPr>
        <w:t xml:space="preserve">的</w:t>
      </w:r>
      <w:r>
        <w:rPr>
          <w:rFonts w:hint="eastAsia" w:ascii="宋体" w:hAnsi="宋体" w:cs="宋体"/>
          <w:bCs/>
          <w:color w:val="auto"/>
          <w:sz w:val="21"/>
          <w:szCs w:val="21"/>
          <w:highlight w:val="none"/>
        </w:rPr>
        <w:t xml:space="preserve">每提供一类得1分，同一人员多本证书只计一次，同一证书多人持有只计一次，最高得3分。</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注：响应文件中需提供上述1-</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项人员相关证书证明资料及响应单位为其缴纳的近6个月社保证明，需加盖响应单位公章。不提供不得分。</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（六）投标单位履约能力比较（</w:t>
      </w:r>
      <w:r>
        <w:rPr>
          <w:rFonts w:hint="default" w:ascii="宋体" w:hAnsi="宋体" w:cs="宋体"/>
          <w:b/>
          <w:bCs/>
          <w:color w:val="auto"/>
          <w:sz w:val="21"/>
          <w:szCs w:val="21"/>
          <w:highlight w:val="none"/>
          <w:lang w:val="en-US"/>
        </w:rPr>
        <w:t xml:space="preserve">4</w:t>
      </w:r>
      <w:r>
        <w:rPr>
          <w:rFonts w:hint="eastAsia" w:ascii="宋体" w:hAnsi="宋体" w:cs="宋体"/>
          <w:b/>
          <w:bCs/>
          <w:color w:val="auto"/>
          <w:sz w:val="21"/>
          <w:szCs w:val="21"/>
          <w:highlight w:val="none"/>
        </w:rPr>
        <w:t xml:space="preserve">分） </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1、投标单位具有有效期内的质量管理体系认证证书、信息技术服务管理体系认证证书、信息安全管理体系认证证书</w:t>
      </w:r>
      <w:r>
        <w:rPr>
          <w:rFonts w:hint="eastAsia" w:ascii="宋体" w:hAnsi="宋体" w:cs="宋体"/>
          <w:bCs/>
          <w:color w:val="auto"/>
          <w:sz w:val="21"/>
          <w:szCs w:val="21"/>
          <w:highlight w:val="none"/>
          <w:lang w:eastAsia="zh-CN"/>
        </w:rPr>
        <w:t xml:space="preserve">、职业健康安全管理体系认证证书</w:t>
      </w:r>
      <w:r>
        <w:rPr>
          <w:rFonts w:hint="eastAsia" w:ascii="宋体" w:hAnsi="宋体" w:cs="宋体"/>
          <w:bCs/>
          <w:color w:val="auto"/>
          <w:sz w:val="21"/>
          <w:szCs w:val="21"/>
          <w:highlight w:val="none"/>
        </w:rPr>
        <w:t xml:space="preserve">每具有1个得</w:t>
      </w:r>
      <w:r>
        <w:rPr>
          <w:rFonts w:hint="default" w:ascii="宋体" w:hAnsi="宋体" w:cs="宋体"/>
          <w:bCs/>
          <w:color w:val="auto"/>
          <w:sz w:val="21"/>
          <w:szCs w:val="21"/>
          <w:highlight w:val="none"/>
          <w:lang w:val="en-US"/>
        </w:rPr>
        <w:t xml:space="preserve">0.5</w:t>
      </w:r>
      <w:r>
        <w:rPr>
          <w:rFonts w:hint="eastAsia" w:ascii="宋体" w:hAnsi="宋体" w:cs="宋体"/>
          <w:bCs/>
          <w:color w:val="auto"/>
          <w:sz w:val="21"/>
          <w:szCs w:val="21"/>
          <w:highlight w:val="none"/>
        </w:rPr>
        <w:t xml:space="preserve">分，最高</w:t>
      </w:r>
      <w:r>
        <w:rPr>
          <w:rFonts w:hint="default"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分。</w:t>
      </w:r>
      <w:r/>
    </w:p>
    <w:p>
      <w:pPr>
        <w:ind w:firstLine="422"/>
        <w:spacing w:line="4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2、投标单位具有有效期内的三级及以上ITSS信息技术服务标准符合性证书得1分，最高1分。</w:t>
      </w:r>
      <w:r/>
    </w:p>
    <w:p>
      <w:pPr>
        <w:ind w:firstLine="422"/>
        <w:spacing w:line="460" w:lineRule="exact"/>
        <w:rPr>
          <w:rFonts w:hint="eastAsia" w:ascii="宋体" w:hAnsi="宋体" w:cs="宋体" w:eastAsiaTheme="minorEastAsia"/>
          <w:bCs/>
          <w:color w:val="auto"/>
          <w:sz w:val="21"/>
          <w:szCs w:val="21"/>
          <w:highlight w:val="none"/>
          <w:lang w:val="en-US" w:eastAsia="zh-CN"/>
        </w:rPr>
      </w:pPr>
      <w:r>
        <w:rPr>
          <w:rFonts w:hint="eastAsia" w:ascii="宋体" w:hAnsi="宋体" w:cs="宋体"/>
          <w:bCs/>
          <w:color w:val="auto"/>
          <w:sz w:val="21"/>
          <w:szCs w:val="21"/>
          <w:highlight w:val="none"/>
        </w:rPr>
        <w:t xml:space="preserve">3、投标单位具有有效期内的三级及以上DCMM（数据管理能力成熟度）证书得1分，最高1分。</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（注：投标文件中需提供以上证书的复印件以及官网查询认证截图并加盖投标单位公章，未按要求提供相关证明不得分。）</w:t>
      </w:r>
      <w:r/>
    </w:p>
    <w:p>
      <w:pPr>
        <w:rPr>
          <w:color w:val="auto"/>
          <w:highlight w:val="none"/>
        </w:rPr>
      </w:pPr>
      <w:r>
        <w:rPr>
          <w:color w:val="auto"/>
          <w:highlight w:val="none"/>
        </w:rPr>
      </w:r>
      <w:r/>
    </w:p>
    <w:p>
      <w:pPr>
        <w:ind w:right="420" w:firstLine="422"/>
        <w:jc w:val="right"/>
        <w:spacing w:line="360" w:lineRule="auto"/>
        <w:tabs>
          <w:tab w:val="left" w:pos="36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（全文完）</w:t>
      </w:r>
      <w:r/>
    </w:p>
    <w:sectPr>
      <w:footerReference w:type="default" r:id="rId13"/>
      <w:footnotePr/>
      <w:endnotePr/>
      <w:type w:val="nextPage"/>
      <w:pgSz w:w="11906" w:h="16838" w:orient="portrait"/>
      <w:pgMar w:top="1418" w:right="1758" w:bottom="1418" w:left="1758" w:header="851" w:footer="992" w:gutter="0"/>
      <w:pgBorders w:display="allPages" w:offsetFrom="text" w:zOrder="front">
        <w:top w:color="auto" w:space="1" w:sz="4" w:val="single"/>
      </w:pgBorders>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Cambria">
    <w:panose1 w:val="02040503050406030204"/>
  </w:font>
  <w:font w:name="华文细黑">
    <w:panose1 w:val="02010600040101010101"/>
  </w:font>
  <w:font w:name="Tahoma">
    <w:panose1 w:val="020B0604030504040204"/>
  </w:font>
  <w:font w:name="Time New Romes">
    <w:panose1 w:val="020B0503020202020204"/>
  </w:font>
  <w:font w:name="Symbol">
    <w:panose1 w:val="05050102010706020507"/>
  </w:font>
  <w:font w:name="新宋体">
    <w:panose1 w:val="02010609030101010101"/>
  </w:font>
  <w:font w:name="仿宋">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宋体">
    <w:panose1 w:val="02010600030101010101"/>
  </w:font>
  <w:font w:name="Microsoft YaHei UI">
    <w:panose1 w:val="020B0503020204020204"/>
  </w:font>
  <w:font w:name="Arial">
    <w:panose1 w:val="020B0604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639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pPr>
                          <w:r>
                            <w:fldChar w:fldCharType="begin"/>
                          </w:r>
                          <w:r>
                            <w:instrText xml:space="preserve"> PAGE  \* MERGEFORMAT </w:instrText>
                          </w:r>
                          <w:r>
                            <w:fldChar w:fldCharType="separate"/>
                          </w:r>
                          <w:r>
                            <w:t xml:space="preserve">10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pPr>
                          <w:r>
                            <w:fldChar w:fldCharType="begin"/>
                          </w:r>
                          <w:r>
                            <w:instrText xml:space="preserve"> PAGE  \* MERGEFORMAT </w:instrText>
                          </w:r>
                          <w:r>
                            <w:fldChar w:fldCharType="separate"/>
                          </w:r>
                          <w:r>
                            <w:t xml:space="preserve">356</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fldChar w:fldCharType="begin"/>
                    </w:r>
                    <w:r>
                      <w:instrText xml:space="preserve"> PAGE  \* MERGEFORMAT </w:instrText>
                    </w:r>
                    <w:r>
                      <w:fldChar w:fldCharType="separate"/>
                    </w:r>
                    <w:r>
                      <w:t xml:space="preserve">356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Fonts w:ascii="宋体" w:hAnsi="宋体" w:eastAsia="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-192405</wp:posOffset>
              </wp:positionH>
              <wp:positionV relativeFrom="paragraph">
                <wp:posOffset>-76835</wp:posOffset>
              </wp:positionV>
              <wp:extent cx="570865" cy="210820"/>
              <wp:effectExtent l="0" t="0" r="635" b="1778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70865" cy="210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text;margin-left:-15.1pt;mso-position-horizontal:absolute;mso-position-vertical-relative:text;margin-top:-6.0pt;mso-position-vertical:absolute;width:44.9pt;height:16.6pt;mso-wrap-distance-left:9.0pt;mso-wrap-distance-top:0.0pt;mso-wrap-distance-right:9.0pt;mso-wrap-distance-bottom:0.0pt;" stroked="f">
              <v:path textboxrect="0,0,0,0"/>
              <w10:wrap type="square"/>
              <v:imagedata r:id="rId1" o:title=""/>
            </v:shape>
          </w:pict>
        </mc:Fallback>
      </mc:AlternateContent>
    </w:r>
    <w:r>
      <w:rPr>
        <w:rFonts w:hint="eastAsia"/>
      </w:rPr>
      <w:t xml:space="preserve">                     </w:t>
    </w:r>
    <w:r>
      <w:rPr>
        <w:rFonts w:hint="eastAsia" w:ascii="宋体" w:hAnsi="宋体" w:eastAsia="宋体" w:cs="宋体"/>
      </w:rPr>
      <w:t xml:space="preserve">苏州卫康招标文件   编号：</w:t>
    </w:r>
    <w:r>
      <w:rPr>
        <w:rFonts w:hint="eastAsia" w:ascii="宋体" w:hAnsi="宋体" w:eastAsia="宋体" w:cs="宋体"/>
        <w:lang w:eastAsia="zh-CN"/>
      </w:rPr>
      <w:t xml:space="preserve">JSZC-320507-SZWK-G2026-0320</w:t>
    </w:r>
    <w:r>
      <w:rPr>
        <w:rFonts w:hint="eastAsia" w:ascii="宋体" w:hAnsi="宋体" w:eastAsia="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1156"/>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1">
    <w:multiLevelType w:val="hybridMultilevel"/>
    <w:lvl w:ilvl="0">
      <w:start w:val="1"/>
      <w:numFmt w:val="decimal"/>
      <w:isLgl w:val="false"/>
      <w:suff w:val="nothing"/>
      <w:lvlText w:val="%1  "/>
      <w:lvlJc w:val="left"/>
      <w:pPr>
        <w:ind w:left="0" w:firstLine="0"/>
      </w:pPr>
      <w:rPr>
        <w:rFonts w:hint="default" w:ascii="Arial" w:hAnsi="Arial" w:eastAsia="黑体"/>
        <w:b w:val="0"/>
        <w:i w:val="0"/>
        <w:sz w:val="36"/>
        <w:szCs w:val="36"/>
      </w:rPr>
    </w:lvl>
    <w:lvl w:ilvl="1">
      <w:start w:val="1"/>
      <w:numFmt w:val="decimal"/>
      <w:isLgl w:val="false"/>
      <w:suff w:val="nothing"/>
      <w:lvlText w:val="%1.%2  "/>
      <w:lvlJc w:val="left"/>
      <w:pPr>
        <w:ind w:left="0" w:firstLine="0"/>
      </w:pPr>
      <w:rPr>
        <w:rFonts w:hint="default" w:ascii="Arial" w:hAnsi="Arial"/>
        <w:b w:val="0"/>
        <w:i w:val="0"/>
        <w:sz w:val="30"/>
        <w:szCs w:val="30"/>
      </w:rPr>
    </w:lvl>
    <w:lvl w:ilvl="2">
      <w:start w:val="1"/>
      <w:numFmt w:val="decimal"/>
      <w:isLgl w:val="false"/>
      <w:suff w:val="nothing"/>
      <w:lvlText w:val="%1.%2.%3  "/>
      <w:lvlJc w:val="left"/>
      <w:pPr>
        <w:ind w:left="0" w:firstLine="0"/>
      </w:pPr>
      <w:rPr>
        <w:rFonts w:hint="default" w:ascii="Arial" w:hAnsi="Arial"/>
        <w:b w:val="0"/>
        <w:i w:val="0"/>
        <w:sz w:val="24"/>
        <w:szCs w:val="24"/>
      </w:rPr>
    </w:lvl>
    <w:lvl w:ilvl="3">
      <w:start w:val="1"/>
      <w:numFmt w:val="decimal"/>
      <w:isLgl w:val="false"/>
      <w:suff w:val="nothing"/>
      <w:lvlText w:val="%1.%2.%3.%4  "/>
      <w:lvlJc w:val="left"/>
      <w:pPr>
        <w:ind w:left="0" w:firstLine="0"/>
      </w:pPr>
      <w:rPr>
        <w:rFonts w:hint="default"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b w:val="0"/>
        <w:i w:val="0"/>
        <w:sz w:val="21"/>
        <w:szCs w:val="21"/>
      </w:rPr>
    </w:lvl>
    <w:lvl w:ilvl="7">
      <w:start w:val="1"/>
      <w:numFmt w:val="decimal"/>
      <w:lvlRestart w:val="0"/>
      <w:pStyle w:val="1077"/>
      <w:isLgl w:val="false"/>
      <w:suff w:val="space"/>
      <w:lvlText w:val="图%8"/>
      <w:lvlJc w:val="center"/>
      <w:pPr>
        <w:ind w:left="0" w:firstLine="0"/>
      </w:pPr>
      <w:rPr>
        <w:rFonts w:hint="default" w:ascii="Arial" w:hAnsi="Arial" w:eastAsia="黑体"/>
        <w:b w:val="0"/>
        <w:i w:val="0"/>
        <w:sz w:val="18"/>
        <w:szCs w:val="18"/>
      </w:rPr>
    </w:lvl>
    <w:lvl w:ilvl="8">
      <w:start w:val="1"/>
      <w:numFmt w:val="decimal"/>
      <w:lvlRestart w:val="0"/>
      <w:pStyle w:val="1147"/>
      <w:isLgl w:val="false"/>
      <w:suff w:val="space"/>
      <w:lvlText w:val="表%9"/>
      <w:lvlJc w:val="center"/>
      <w:pPr>
        <w:ind w:left="0" w:firstLine="0"/>
      </w:pPr>
      <w:rPr>
        <w:rFonts w:hint="default" w:ascii="Arial" w:hAnsi="Arial" w:eastAsia="黑体"/>
        <w:b w:val="0"/>
        <w:i w:val="0"/>
        <w:sz w:val="18"/>
        <w:szCs w:val="18"/>
      </w:rPr>
    </w:lvl>
  </w:abstractNum>
  <w:abstractNum w:abstractNumId="2">
    <w:multiLevelType w:val="hybridMultilevel"/>
    <w:lvl w:ilvl="0">
      <w:start w:val="1"/>
      <w:numFmt w:val="decimal"/>
      <w:isLgl w:val="false"/>
      <w:suff w:val="nothing"/>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5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0"/>
  </w:num>
  <w:num w:numId="4">
    <w:abstractNumId w:val="3"/>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9">
    <w:name w:val="Title Char"/>
    <w:basedOn w:val="840"/>
    <w:link w:val="887"/>
    <w:uiPriority w:val="10"/>
    <w:rPr>
      <w:sz w:val="48"/>
      <w:szCs w:val="48"/>
    </w:rPr>
  </w:style>
  <w:style w:type="table" w:styleId="810">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9">
    <w:name w:val="TOC Heading"/>
    <w:uiPriority w:val="39"/>
    <w:unhideWhenUsed/>
  </w:style>
  <w:style w:type="paragraph" w:styleId="830" w:default="1">
    <w:name w:val="Normal"/>
    <w:uiPriority w:val="0"/>
    <w:qFormat/>
    <w:rPr>
      <w:rFonts w:ascii="Times New Roman" w:hAnsi="Times New Roman" w:cs="Times New Roman" w:eastAsiaTheme="minorEastAsia"/>
      <w:sz w:val="24"/>
      <w:lang w:val="en-US" w:eastAsia="zh-CN" w:bidi="ar-SA"/>
    </w:rPr>
  </w:style>
  <w:style w:type="paragraph" w:styleId="831">
    <w:name w:val="Heading 1"/>
    <w:basedOn w:val="830"/>
    <w:next w:val="830"/>
    <w:uiPriority w:val="0"/>
    <w:qFormat/>
    <w:pPr>
      <w:jc w:val="center"/>
      <w:outlineLvl w:val="0"/>
    </w:pPr>
    <w:rPr>
      <w:rFonts w:ascii="宋体" w:hAnsi="宋体" w:cs="宋体"/>
      <w:b/>
      <w:sz w:val="32"/>
      <w:szCs w:val="32"/>
    </w:rPr>
  </w:style>
  <w:style w:type="paragraph" w:styleId="832">
    <w:name w:val="Heading 2"/>
    <w:basedOn w:val="830"/>
    <w:next w:val="830"/>
    <w:uiPriority w:val="0"/>
    <w:qFormat/>
    <w:pPr>
      <w:ind w:firstLine="422"/>
      <w:spacing w:line="440" w:lineRule="exact"/>
      <w:outlineLvl w:val="1"/>
    </w:pPr>
    <w:rPr>
      <w:rFonts w:hAnsi="宋体" w:cs="宋体"/>
      <w:b/>
      <w:bCs/>
      <w:sz w:val="21"/>
      <w:szCs w:val="21"/>
    </w:rPr>
  </w:style>
  <w:style w:type="paragraph" w:styleId="833">
    <w:name w:val="Heading 3"/>
    <w:basedOn w:val="830"/>
    <w:next w:val="830"/>
    <w:uiPriority w:val="0"/>
    <w:qFormat/>
    <w:pPr>
      <w:outlineLvl w:val="2"/>
    </w:pPr>
  </w:style>
  <w:style w:type="paragraph" w:styleId="834">
    <w:name w:val="Heading 4"/>
    <w:basedOn w:val="830"/>
    <w:next w:val="830"/>
    <w:uiPriority w:val="0"/>
    <w:qFormat/>
    <w:pPr>
      <w:outlineLvl w:val="3"/>
    </w:pPr>
  </w:style>
  <w:style w:type="paragraph" w:styleId="835">
    <w:name w:val="Heading 5"/>
    <w:basedOn w:val="830"/>
    <w:next w:val="830"/>
    <w:uiPriority w:val="0"/>
    <w:qFormat/>
    <w:pPr>
      <w:ind w:firstLine="422"/>
      <w:spacing w:line="440" w:lineRule="exact"/>
      <w:outlineLvl w:val="4"/>
    </w:pPr>
    <w:rPr>
      <w:rFonts w:ascii="宋体" w:hAnsi="宋体" w:cs="宋体"/>
      <w:b/>
      <w:bCs/>
      <w:sz w:val="21"/>
      <w:szCs w:val="21"/>
    </w:rPr>
  </w:style>
  <w:style w:type="paragraph" w:styleId="836">
    <w:name w:val="Heading 6"/>
    <w:basedOn w:val="830"/>
    <w:next w:val="830"/>
    <w:uiPriority w:val="0"/>
    <w:qFormat/>
    <w:pPr>
      <w:jc w:val="both"/>
      <w:keepNext/>
      <w:widowControl w:val="off"/>
      <w:outlineLvl w:val="5"/>
    </w:pPr>
    <w:rPr>
      <w:rFonts w:hint="eastAsia" w:ascii="宋体" w:hAnsi="宋体"/>
      <w:sz w:val="28"/>
    </w:rPr>
  </w:style>
  <w:style w:type="paragraph" w:styleId="837">
    <w:name w:val="Heading 7"/>
    <w:basedOn w:val="830"/>
    <w:next w:val="830"/>
    <w:link w:val="899"/>
    <w:uiPriority w:val="0"/>
    <w:unhideWhenUsed/>
    <w:qFormat/>
    <w:pPr>
      <w:keepLines/>
      <w:keepNext/>
      <w:spacing w:before="320" w:after="200"/>
      <w:outlineLvl w:val="6"/>
    </w:pPr>
    <w:rPr>
      <w:rFonts w:ascii="Arial" w:hAnsi="Arial" w:eastAsia="Arial" w:cs="Arial"/>
      <w:b/>
      <w:bCs/>
      <w:i/>
      <w:iCs/>
      <w:sz w:val="22"/>
      <w:szCs w:val="22"/>
    </w:rPr>
  </w:style>
  <w:style w:type="paragraph" w:styleId="838">
    <w:name w:val="Heading 8"/>
    <w:basedOn w:val="830"/>
    <w:next w:val="830"/>
    <w:link w:val="900"/>
    <w:uiPriority w:val="0"/>
    <w:unhideWhenUsed/>
    <w:qFormat/>
    <w:pPr>
      <w:keepLines/>
      <w:keepNext/>
      <w:spacing w:before="320" w:after="200"/>
      <w:outlineLvl w:val="7"/>
    </w:pPr>
    <w:rPr>
      <w:rFonts w:ascii="Arial" w:hAnsi="Arial" w:eastAsia="Arial" w:cs="Arial"/>
      <w:i/>
      <w:iCs/>
      <w:sz w:val="22"/>
      <w:szCs w:val="22"/>
    </w:rPr>
  </w:style>
  <w:style w:type="paragraph" w:styleId="839">
    <w:name w:val="Heading 9"/>
    <w:basedOn w:val="830"/>
    <w:next w:val="830"/>
    <w:link w:val="901"/>
    <w:uiPriority w:val="0"/>
    <w:unhideWhenUsed/>
    <w:qFormat/>
    <w:pPr>
      <w:keepLines/>
      <w:keepNext/>
      <w:spacing w:before="320" w:after="200"/>
      <w:outlineLvl w:val="8"/>
    </w:pPr>
    <w:rPr>
      <w:rFonts w:ascii="Arial" w:hAnsi="Arial" w:eastAsia="Arial" w:cs="Arial"/>
      <w:i/>
      <w:iCs/>
      <w:sz w:val="21"/>
      <w:szCs w:val="21"/>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toc 7"/>
    <w:basedOn w:val="830"/>
    <w:next w:val="830"/>
    <w:uiPriority w:val="0"/>
    <w:unhideWhenUsed/>
    <w:qFormat/>
    <w:pPr>
      <w:ind w:left="1701"/>
      <w:spacing w:after="57"/>
    </w:pPr>
  </w:style>
  <w:style w:type="paragraph" w:styleId="843">
    <w:name w:val="List Bullet 4"/>
    <w:basedOn w:val="831"/>
    <w:next w:val="844"/>
    <w:uiPriority w:val="0"/>
    <w:qFormat/>
    <w:pPr>
      <w:ind w:left="1620" w:firstLine="2652"/>
      <w:jc w:val="both"/>
      <w:spacing w:line="360" w:lineRule="auto"/>
    </w:pPr>
    <w:rPr>
      <w:rFonts w:ascii="Times New Roman" w:hAnsi="Times New Roman" w:cs="Times New Roman"/>
      <w:b w:val="0"/>
      <w:sz w:val="20"/>
      <w:szCs w:val="20"/>
    </w:rPr>
  </w:style>
  <w:style w:type="paragraph" w:styleId="844">
    <w:name w:val="List Bullet 2"/>
    <w:basedOn w:val="831"/>
    <w:next w:val="830"/>
    <w:uiPriority w:val="0"/>
    <w:qFormat/>
    <w:pPr>
      <w:ind w:left="900" w:firstLine="2652"/>
      <w:jc w:val="both"/>
      <w:spacing w:line="360" w:lineRule="auto"/>
    </w:pPr>
    <w:rPr>
      <w:rFonts w:ascii="Times New Roman" w:hAnsi="Times New Roman" w:cs="Times New Roman"/>
      <w:b w:val="0"/>
      <w:sz w:val="20"/>
      <w:szCs w:val="20"/>
    </w:rPr>
  </w:style>
  <w:style w:type="paragraph" w:styleId="845">
    <w:name w:val="List Number"/>
    <w:basedOn w:val="831"/>
    <w:next w:val="830"/>
    <w:uiPriority w:val="0"/>
    <w:qFormat/>
    <w:pPr>
      <w:ind w:left="454" w:firstLine="2788"/>
      <w:jc w:val="both"/>
    </w:pPr>
    <w:rPr>
      <w:rFonts w:ascii="Times New Roman" w:hAnsi="Times New Roman" w:cs="Times New Roman"/>
      <w:b w:val="0"/>
      <w:sz w:val="20"/>
      <w:szCs w:val="20"/>
    </w:rPr>
  </w:style>
  <w:style w:type="paragraph" w:styleId="846">
    <w:name w:val="Normal Indent"/>
    <w:basedOn w:val="830"/>
    <w:link w:val="902"/>
    <w:uiPriority w:val="0"/>
    <w:qFormat/>
    <w:pPr>
      <w:ind w:firstLine="420"/>
    </w:pPr>
    <w:rPr>
      <w:rFonts w:eastAsia="楷体_GB2312"/>
    </w:rPr>
  </w:style>
  <w:style w:type="paragraph" w:styleId="847">
    <w:name w:val="Caption"/>
    <w:basedOn w:val="830"/>
    <w:next w:val="830"/>
    <w:uiPriority w:val="0"/>
    <w:unhideWhenUsed/>
    <w:qFormat/>
    <w:pPr>
      <w:spacing w:line="276" w:lineRule="auto"/>
    </w:pPr>
    <w:rPr>
      <w:b/>
      <w:bCs/>
      <w:color w:val="4f81bd" w:themeColor="accent1"/>
      <w:sz w:val="18"/>
      <w:szCs w:val="18"/>
      <w14:textFill>
        <w14:solidFill>
          <w14:schemeClr w14:val="accent1"/>
        </w14:solidFill>
      </w14:textFill>
    </w:rPr>
  </w:style>
  <w:style w:type="paragraph" w:styleId="848">
    <w:name w:val="List Bullet"/>
    <w:basedOn w:val="831"/>
    <w:next w:val="830"/>
    <w:uiPriority w:val="0"/>
    <w:qFormat/>
    <w:pPr>
      <w:ind w:left="900" w:firstLine="2652"/>
      <w:jc w:val="both"/>
      <w:spacing w:line="360" w:lineRule="auto"/>
    </w:pPr>
    <w:rPr>
      <w:rFonts w:ascii="Times New Roman" w:hAnsi="Times New Roman" w:cs="Times New Roman"/>
      <w:b w:val="0"/>
      <w:sz w:val="20"/>
      <w:szCs w:val="20"/>
    </w:rPr>
  </w:style>
  <w:style w:type="paragraph" w:styleId="849">
    <w:name w:val="Document Map"/>
    <w:basedOn w:val="830"/>
    <w:uiPriority w:val="0"/>
    <w:qFormat/>
    <w:pPr>
      <w:shd w:val="clear" w:color="auto" w:fill="000080"/>
    </w:pPr>
  </w:style>
  <w:style w:type="paragraph" w:styleId="850">
    <w:name w:val="annotation text"/>
    <w:basedOn w:val="830"/>
    <w:link w:val="903"/>
    <w:uiPriority w:val="0"/>
    <w:qFormat/>
  </w:style>
  <w:style w:type="paragraph" w:styleId="851">
    <w:name w:val="Body Text 3"/>
    <w:basedOn w:val="831"/>
    <w:next w:val="830"/>
    <w:link w:val="1183"/>
    <w:uiPriority w:val="0"/>
    <w:qFormat/>
    <w:pPr>
      <w:ind w:firstLine="2048"/>
      <w:jc w:val="both"/>
      <w:spacing w:line="500" w:lineRule="exact"/>
    </w:pPr>
    <w:rPr>
      <w:rFonts w:ascii="Times New Roman" w:hAnsi="Times New Roman" w:cs="Times New Roman"/>
      <w:b w:val="0"/>
      <w:sz w:val="20"/>
      <w:szCs w:val="20"/>
    </w:rPr>
  </w:style>
  <w:style w:type="paragraph" w:styleId="852">
    <w:name w:val="List Bullet 3"/>
    <w:basedOn w:val="831"/>
    <w:next w:val="830"/>
    <w:uiPriority w:val="0"/>
    <w:qFormat/>
    <w:pPr>
      <w:ind w:left="900" w:firstLine="2652"/>
      <w:jc w:val="both"/>
      <w:spacing w:line="360" w:lineRule="auto"/>
    </w:pPr>
    <w:rPr>
      <w:rFonts w:ascii="Times New Roman" w:hAnsi="Times New Roman" w:cs="Times New Roman"/>
      <w:b w:val="0"/>
      <w:sz w:val="20"/>
      <w:szCs w:val="20"/>
    </w:rPr>
  </w:style>
  <w:style w:type="paragraph" w:styleId="853">
    <w:name w:val="Body Text"/>
    <w:basedOn w:val="830"/>
    <w:next w:val="830"/>
    <w:uiPriority w:val="0"/>
    <w:qFormat/>
  </w:style>
  <w:style w:type="paragraph" w:styleId="854">
    <w:name w:val="Body Text Indent"/>
    <w:basedOn w:val="830"/>
    <w:uiPriority w:val="0"/>
    <w:qFormat/>
    <w:pPr>
      <w:ind w:firstLine="425"/>
      <w:spacing w:line="360" w:lineRule="auto"/>
    </w:pPr>
  </w:style>
  <w:style w:type="paragraph" w:styleId="855">
    <w:name w:val="List Number 3"/>
    <w:basedOn w:val="831"/>
    <w:next w:val="830"/>
    <w:uiPriority w:val="0"/>
    <w:qFormat/>
    <w:pPr>
      <w:ind w:left="420" w:firstLine="3584"/>
      <w:jc w:val="both"/>
    </w:pPr>
    <w:rPr>
      <w:rFonts w:ascii="Times New Roman" w:hAnsi="Times New Roman" w:cs="Times New Roman"/>
      <w:b w:val="0"/>
      <w:sz w:val="20"/>
      <w:szCs w:val="20"/>
    </w:rPr>
  </w:style>
  <w:style w:type="paragraph" w:styleId="856">
    <w:name w:val="List 2"/>
    <w:basedOn w:val="831"/>
    <w:next w:val="842"/>
    <w:uiPriority w:val="0"/>
    <w:qFormat/>
    <w:pPr>
      <w:ind w:left="100" w:firstLine="3640"/>
      <w:jc w:val="both"/>
    </w:pPr>
    <w:rPr>
      <w:rFonts w:ascii="Times New Roman" w:hAnsi="Times New Roman" w:cs="Times New Roman"/>
      <w:b w:val="0"/>
      <w:sz w:val="20"/>
      <w:szCs w:val="20"/>
    </w:rPr>
  </w:style>
  <w:style w:type="paragraph" w:styleId="857">
    <w:name w:val="Block Text"/>
    <w:basedOn w:val="830"/>
    <w:uiPriority w:val="0"/>
    <w:qFormat/>
    <w:pPr>
      <w:ind w:left="630" w:right="-609" w:firstLine="420"/>
      <w:spacing w:line="360" w:lineRule="auto"/>
    </w:pPr>
    <w:rPr>
      <w:rFonts w:hint="eastAsia" w:ascii="仿宋_GB2312" w:eastAsia="仿宋_GB2312"/>
    </w:rPr>
  </w:style>
  <w:style w:type="paragraph" w:styleId="858">
    <w:name w:val="toc 5"/>
    <w:basedOn w:val="830"/>
    <w:next w:val="830"/>
    <w:uiPriority w:val="0"/>
    <w:unhideWhenUsed/>
    <w:qFormat/>
    <w:pPr>
      <w:ind w:left="1134"/>
      <w:spacing w:after="57"/>
    </w:pPr>
  </w:style>
  <w:style w:type="paragraph" w:styleId="859">
    <w:name w:val="toc 3"/>
    <w:basedOn w:val="830"/>
    <w:next w:val="830"/>
    <w:uiPriority w:val="0"/>
    <w:unhideWhenUsed/>
    <w:qFormat/>
    <w:pPr>
      <w:ind w:left="567"/>
      <w:spacing w:after="57"/>
    </w:pPr>
  </w:style>
  <w:style w:type="paragraph" w:styleId="860">
    <w:name w:val="Plain Text"/>
    <w:basedOn w:val="830"/>
    <w:link w:val="904"/>
    <w:uiPriority w:val="0"/>
    <w:qFormat/>
    <w:rPr>
      <w:rFonts w:ascii="宋体" w:hAnsi="Courier New" w:eastAsia="楷体_GB2312"/>
      <w:sz w:val="26"/>
    </w:rPr>
  </w:style>
  <w:style w:type="paragraph" w:styleId="861">
    <w:name w:val="List Bullet 5"/>
    <w:basedOn w:val="831"/>
    <w:next w:val="862"/>
    <w:uiPriority w:val="0"/>
    <w:qFormat/>
    <w:pPr>
      <w:ind w:left="2040" w:firstLine="2560"/>
      <w:jc w:val="both"/>
      <w:spacing w:line="360" w:lineRule="auto"/>
    </w:pPr>
    <w:rPr>
      <w:rFonts w:ascii="Times New Roman" w:hAnsi="Times New Roman" w:cs="Times New Roman"/>
      <w:b w:val="0"/>
      <w:sz w:val="20"/>
      <w:szCs w:val="20"/>
    </w:rPr>
  </w:style>
  <w:style w:type="paragraph" w:styleId="862" w:customStyle="1">
    <w:name w:val="正文首行缩进1"/>
    <w:next w:val="855"/>
    <w:uiPriority w:val="0"/>
    <w:qFormat/>
    <w:pPr>
      <w:ind w:left="420" w:firstLine="2724"/>
      <w:spacing w:after="120" w:line="360" w:lineRule="auto"/>
    </w:pPr>
    <w:rPr>
      <w:rFonts w:ascii="Calibri" w:hAnsi="Calibri" w:cs="宋体" w:eastAsiaTheme="minorEastAsia"/>
      <w:lang w:val="en-US" w:eastAsia="zh-CN" w:bidi="ar-SA"/>
    </w:rPr>
  </w:style>
  <w:style w:type="paragraph" w:styleId="863">
    <w:name w:val="toc 8"/>
    <w:basedOn w:val="830"/>
    <w:next w:val="830"/>
    <w:uiPriority w:val="0"/>
    <w:unhideWhenUsed/>
    <w:qFormat/>
    <w:pPr>
      <w:ind w:left="1984"/>
      <w:spacing w:after="57"/>
    </w:pPr>
  </w:style>
  <w:style w:type="paragraph" w:styleId="864">
    <w:name w:val="Date"/>
    <w:basedOn w:val="830"/>
    <w:next w:val="830"/>
    <w:uiPriority w:val="0"/>
    <w:qFormat/>
    <w:rPr>
      <w:rFonts w:ascii="宋体" w:hAnsi="宋体" w:eastAsia="楷体_GB2312"/>
    </w:rPr>
  </w:style>
  <w:style w:type="paragraph" w:styleId="865">
    <w:name w:val="Body Text Indent 2"/>
    <w:basedOn w:val="830"/>
    <w:uiPriority w:val="0"/>
    <w:qFormat/>
    <w:pPr>
      <w:ind w:left="420"/>
      <w:spacing w:after="120" w:line="480" w:lineRule="auto"/>
    </w:pPr>
  </w:style>
  <w:style w:type="paragraph" w:styleId="866">
    <w:name w:val="endnote text"/>
    <w:basedOn w:val="830"/>
    <w:link w:val="905"/>
    <w:uiPriority w:val="0"/>
    <w:unhideWhenUsed/>
    <w:qFormat/>
    <w:rPr>
      <w:sz w:val="20"/>
    </w:rPr>
  </w:style>
  <w:style w:type="paragraph" w:styleId="867">
    <w:name w:val="Balloon Text"/>
    <w:basedOn w:val="830"/>
    <w:link w:val="906"/>
    <w:uiPriority w:val="0"/>
    <w:qFormat/>
    <w:rPr>
      <w:sz w:val="18"/>
    </w:rPr>
  </w:style>
  <w:style w:type="paragraph" w:styleId="868">
    <w:name w:val="Footer"/>
    <w:basedOn w:val="830"/>
    <w:link w:val="907"/>
    <w:uiPriority w:val="0"/>
    <w:qFormat/>
    <w:pPr>
      <w:tabs>
        <w:tab w:val="center" w:pos="4153" w:leader="none"/>
        <w:tab w:val="right" w:pos="8306" w:leader="none"/>
      </w:tabs>
    </w:pPr>
    <w:rPr>
      <w:rFonts w:eastAsia="楷体_GB2312"/>
      <w:sz w:val="18"/>
    </w:rPr>
  </w:style>
  <w:style w:type="paragraph" w:styleId="869">
    <w:name w:val="Header"/>
    <w:basedOn w:val="830"/>
    <w:link w:val="908"/>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870">
    <w:name w:val="toc 1"/>
    <w:basedOn w:val="830"/>
    <w:next w:val="830"/>
    <w:uiPriority w:val="39"/>
    <w:qFormat/>
    <w:rPr>
      <w:rFonts w:eastAsia="楷体_GB2312"/>
    </w:rPr>
  </w:style>
  <w:style w:type="paragraph" w:styleId="871">
    <w:name w:val="toc 4"/>
    <w:basedOn w:val="830"/>
    <w:next w:val="830"/>
    <w:uiPriority w:val="0"/>
    <w:unhideWhenUsed/>
    <w:qFormat/>
    <w:pPr>
      <w:ind w:left="850"/>
      <w:spacing w:after="57"/>
    </w:pPr>
  </w:style>
  <w:style w:type="paragraph" w:styleId="872">
    <w:name w:val="Subtitle"/>
    <w:basedOn w:val="830"/>
    <w:next w:val="830"/>
    <w:link w:val="909"/>
    <w:uiPriority w:val="0"/>
    <w:qFormat/>
    <w:pPr>
      <w:spacing w:before="200" w:after="200"/>
    </w:pPr>
    <w:rPr>
      <w:szCs w:val="24"/>
    </w:rPr>
  </w:style>
  <w:style w:type="paragraph" w:styleId="873">
    <w:name w:val="List"/>
    <w:basedOn w:val="831"/>
    <w:next w:val="874"/>
    <w:uiPriority w:val="0"/>
    <w:qFormat/>
    <w:pPr>
      <w:ind w:left="200" w:firstLine="3640"/>
      <w:jc w:val="both"/>
    </w:pPr>
    <w:rPr>
      <w:rFonts w:ascii="Times New Roman" w:hAnsi="Times New Roman" w:cs="Times New Roman"/>
      <w:b w:val="0"/>
      <w:sz w:val="20"/>
      <w:szCs w:val="20"/>
    </w:rPr>
  </w:style>
  <w:style w:type="paragraph" w:styleId="874">
    <w:name w:val="Body Text First Indent"/>
    <w:uiPriority w:val="0"/>
    <w:unhideWhenUsed/>
    <w:qFormat/>
    <w:pPr>
      <w:ind w:firstLine="420"/>
      <w:jc w:val="center"/>
      <w:spacing w:after="120" w:line="360" w:lineRule="auto"/>
      <w:widowControl w:val="off"/>
      <w:outlineLvl w:val="0"/>
    </w:pPr>
    <w:rPr>
      <w:rFonts w:ascii="Times New Roman" w:hAnsi="Times New Roman" w:cs="Times New Roman" w:eastAsiaTheme="minorEastAsia"/>
      <w:b/>
      <w:bCs/>
      <w:sz w:val="44"/>
      <w:szCs w:val="24"/>
      <w:lang w:val="en-US" w:eastAsia="zh-CN" w:bidi="ar-SA"/>
    </w:rPr>
  </w:style>
  <w:style w:type="paragraph" w:styleId="875">
    <w:name w:val="footnote text"/>
    <w:basedOn w:val="830"/>
    <w:link w:val="910"/>
    <w:uiPriority w:val="0"/>
    <w:unhideWhenUsed/>
    <w:qFormat/>
    <w:pPr>
      <w:spacing w:after="40"/>
    </w:pPr>
    <w:rPr>
      <w:sz w:val="18"/>
    </w:rPr>
  </w:style>
  <w:style w:type="paragraph" w:styleId="876">
    <w:name w:val="toc 6"/>
    <w:basedOn w:val="830"/>
    <w:next w:val="830"/>
    <w:uiPriority w:val="0"/>
    <w:unhideWhenUsed/>
    <w:qFormat/>
    <w:pPr>
      <w:ind w:left="1417"/>
      <w:spacing w:after="57"/>
    </w:pPr>
  </w:style>
  <w:style w:type="paragraph" w:styleId="877">
    <w:name w:val="List 5"/>
    <w:basedOn w:val="831"/>
    <w:next w:val="853"/>
    <w:uiPriority w:val="0"/>
    <w:qFormat/>
    <w:pPr>
      <w:ind w:left="2100" w:firstLine="3676"/>
      <w:jc w:val="both"/>
    </w:pPr>
    <w:rPr>
      <w:rFonts w:ascii="Times New Roman" w:hAnsi="Times New Roman" w:cs="Times New Roman"/>
      <w:b w:val="0"/>
      <w:sz w:val="20"/>
      <w:szCs w:val="20"/>
    </w:rPr>
  </w:style>
  <w:style w:type="paragraph" w:styleId="878">
    <w:name w:val="Body Text Indent 3"/>
    <w:basedOn w:val="830"/>
    <w:uiPriority w:val="0"/>
    <w:qFormat/>
    <w:pPr>
      <w:ind w:left="420"/>
      <w:spacing w:after="120"/>
    </w:pPr>
    <w:rPr>
      <w:sz w:val="16"/>
    </w:rPr>
  </w:style>
  <w:style w:type="paragraph" w:styleId="879">
    <w:name w:val="table of figures"/>
    <w:basedOn w:val="830"/>
    <w:next w:val="830"/>
    <w:uiPriority w:val="99"/>
    <w:qFormat/>
    <w:pPr>
      <w:ind w:left="840" w:hanging="420"/>
    </w:pPr>
    <w:rPr>
      <w:szCs w:val="24"/>
    </w:rPr>
  </w:style>
  <w:style w:type="paragraph" w:styleId="880">
    <w:name w:val="toc 2"/>
    <w:basedOn w:val="830"/>
    <w:next w:val="830"/>
    <w:uiPriority w:val="0"/>
    <w:unhideWhenUsed/>
    <w:qFormat/>
    <w:pPr>
      <w:ind w:left="283"/>
      <w:spacing w:after="57"/>
    </w:pPr>
  </w:style>
  <w:style w:type="paragraph" w:styleId="881">
    <w:name w:val="toc 9"/>
    <w:basedOn w:val="830"/>
    <w:next w:val="830"/>
    <w:uiPriority w:val="0"/>
    <w:unhideWhenUsed/>
    <w:qFormat/>
    <w:pPr>
      <w:ind w:left="2268"/>
      <w:spacing w:after="57"/>
    </w:pPr>
  </w:style>
  <w:style w:type="paragraph" w:styleId="882">
    <w:name w:val="Body Text 2"/>
    <w:basedOn w:val="830"/>
    <w:uiPriority w:val="0"/>
    <w:qFormat/>
    <w:pPr>
      <w:spacing w:after="120" w:line="480" w:lineRule="auto"/>
    </w:pPr>
  </w:style>
  <w:style w:type="paragraph" w:styleId="883">
    <w:name w:val="HTML Preformatted"/>
    <w:basedOn w:val="831"/>
    <w:next w:val="847"/>
    <w:link w:val="1185"/>
    <w:uiPriority w:val="0"/>
    <w:qFormat/>
    <w:pPr>
      <w:ind w:firstLine="2048"/>
      <w:jc w:val="both"/>
      <w:spacing w:line="253" w:lineRule="atLeast"/>
    </w:pPr>
    <w:rPr>
      <w:rFonts w:ascii="Times New Roman" w:hAnsi="Times New Roman" w:cs="Times New Roman"/>
      <w:b w:val="0"/>
      <w:sz w:val="20"/>
      <w:szCs w:val="20"/>
    </w:rPr>
  </w:style>
  <w:style w:type="paragraph" w:styleId="884">
    <w:name w:val="Normal (Web)"/>
    <w:basedOn w:val="830"/>
    <w:uiPriority w:val="0"/>
    <w:qFormat/>
    <w:pPr>
      <w:spacing w:before="100" w:beforeAutospacing="1" w:after="100" w:afterAutospacing="1"/>
    </w:pPr>
    <w:rPr>
      <w:rFonts w:ascii="宋体" w:hAnsi="宋体"/>
    </w:rPr>
  </w:style>
  <w:style w:type="paragraph" w:styleId="885">
    <w:name w:val="index 1"/>
    <w:basedOn w:val="830"/>
    <w:next w:val="830"/>
    <w:uiPriority w:val="0"/>
    <w:qFormat/>
    <w:pPr>
      <w:jc w:val="both"/>
      <w:widowControl w:val="off"/>
    </w:pPr>
    <w:rPr>
      <w:rFonts w:eastAsia="楷体_GB2312"/>
      <w:sz w:val="28"/>
    </w:rPr>
  </w:style>
  <w:style w:type="paragraph" w:styleId="886">
    <w:name w:val="index 2"/>
    <w:basedOn w:val="830"/>
    <w:next w:val="830"/>
    <w:uiPriority w:val="0"/>
    <w:qFormat/>
    <w:pPr>
      <w:ind w:left="420"/>
      <w:jc w:val="both"/>
      <w:widowControl w:val="off"/>
    </w:pPr>
    <w:rPr>
      <w:rFonts w:eastAsia="楷体_GB2312"/>
      <w:sz w:val="28"/>
    </w:rPr>
  </w:style>
  <w:style w:type="paragraph" w:styleId="887">
    <w:name w:val="Title"/>
    <w:basedOn w:val="830"/>
    <w:next w:val="830"/>
    <w:link w:val="911"/>
    <w:uiPriority w:val="10"/>
    <w:qFormat/>
    <w:pPr>
      <w:contextualSpacing/>
      <w:spacing w:before="300" w:after="200"/>
    </w:pPr>
    <w:rPr>
      <w:sz w:val="48"/>
      <w:szCs w:val="48"/>
    </w:rPr>
  </w:style>
  <w:style w:type="paragraph" w:styleId="888">
    <w:name w:val="annotation subject"/>
    <w:basedOn w:val="850"/>
    <w:next w:val="850"/>
    <w:link w:val="912"/>
    <w:uiPriority w:val="0"/>
    <w:qFormat/>
    <w:rPr>
      <w:b/>
      <w:bCs/>
    </w:rPr>
  </w:style>
  <w:style w:type="paragraph" w:styleId="889">
    <w:name w:val="Body Text First Indent 2"/>
    <w:basedOn w:val="854"/>
    <w:link w:val="913"/>
    <w:uiPriority w:val="0"/>
    <w:qFormat/>
    <w:pPr>
      <w:ind w:left="420" w:firstLine="210"/>
      <w:jc w:val="both"/>
      <w:spacing w:after="120" w:line="240" w:lineRule="auto"/>
      <w:widowControl w:val="off"/>
    </w:pPr>
    <w:rPr>
      <w:rFonts w:eastAsia="仿宋_GB2312"/>
      <w:sz w:val="30"/>
    </w:rPr>
  </w:style>
  <w:style w:type="table" w:styleId="89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1">
    <w:name w:val="Strong"/>
    <w:uiPriority w:val="0"/>
    <w:qFormat/>
    <w:rPr>
      <w:rFonts w:ascii="Times New Roman" w:hAnsi="Times New Roman" w:eastAsia="宋体" w:cs="Times New Roman"/>
      <w:b/>
      <w:sz w:val="20"/>
    </w:rPr>
  </w:style>
  <w:style w:type="character" w:styleId="892">
    <w:name w:val="endnote reference"/>
    <w:basedOn w:val="840"/>
    <w:uiPriority w:val="99"/>
    <w:semiHidden/>
    <w:unhideWhenUsed/>
    <w:qFormat/>
    <w:rPr>
      <w:vertAlign w:val="superscript"/>
    </w:rPr>
  </w:style>
  <w:style w:type="character" w:styleId="893">
    <w:name w:val="page number"/>
    <w:uiPriority w:val="0"/>
    <w:qFormat/>
  </w:style>
  <w:style w:type="character" w:styleId="894">
    <w:name w:val="FollowedHyperlink"/>
    <w:uiPriority w:val="0"/>
    <w:qFormat/>
    <w:rPr>
      <w:color w:val="800080"/>
      <w:u w:val="single"/>
    </w:rPr>
  </w:style>
  <w:style w:type="character" w:styleId="895">
    <w:name w:val="Emphasis"/>
    <w:basedOn w:val="840"/>
    <w:uiPriority w:val="0"/>
    <w:qFormat/>
    <w:rPr>
      <w:rFonts w:ascii="Times New Roman" w:hAnsi="Times New Roman" w:eastAsia="宋体" w:cs="Times New Roman"/>
      <w:i/>
      <w:sz w:val="21"/>
    </w:rPr>
  </w:style>
  <w:style w:type="character" w:styleId="896">
    <w:name w:val="Hyperlink"/>
    <w:uiPriority w:val="99"/>
    <w:qFormat/>
    <w:rPr>
      <w:color w:val="0000ff"/>
      <w:u w:val="single"/>
    </w:rPr>
  </w:style>
  <w:style w:type="character" w:styleId="897">
    <w:name w:val="annotation reference"/>
    <w:basedOn w:val="840"/>
    <w:uiPriority w:val="0"/>
    <w:qFormat/>
    <w:rPr>
      <w:sz w:val="21"/>
      <w:szCs w:val="21"/>
    </w:rPr>
  </w:style>
  <w:style w:type="character" w:styleId="898">
    <w:name w:val="footnote reference"/>
    <w:basedOn w:val="840"/>
    <w:uiPriority w:val="0"/>
    <w:unhideWhenUsed/>
    <w:qFormat/>
    <w:rPr>
      <w:vertAlign w:val="superscript"/>
    </w:rPr>
  </w:style>
  <w:style w:type="character" w:styleId="899" w:customStyle="1">
    <w:name w:val="标题 7 字符"/>
    <w:basedOn w:val="840"/>
    <w:link w:val="837"/>
    <w:uiPriority w:val="9"/>
    <w:qFormat/>
    <w:rPr>
      <w:rFonts w:ascii="Arial" w:hAnsi="Arial" w:eastAsia="Arial" w:cs="Arial"/>
      <w:b/>
      <w:bCs/>
      <w:i/>
      <w:iCs/>
      <w:sz w:val="22"/>
      <w:szCs w:val="22"/>
    </w:rPr>
  </w:style>
  <w:style w:type="character" w:styleId="900" w:customStyle="1">
    <w:name w:val="标题 8 字符"/>
    <w:basedOn w:val="840"/>
    <w:link w:val="838"/>
    <w:uiPriority w:val="9"/>
    <w:qFormat/>
    <w:rPr>
      <w:rFonts w:ascii="Arial" w:hAnsi="Arial" w:eastAsia="Arial" w:cs="Arial"/>
      <w:i/>
      <w:iCs/>
      <w:sz w:val="22"/>
      <w:szCs w:val="22"/>
    </w:rPr>
  </w:style>
  <w:style w:type="character" w:styleId="901" w:customStyle="1">
    <w:name w:val="标题 9 字符"/>
    <w:basedOn w:val="840"/>
    <w:link w:val="839"/>
    <w:uiPriority w:val="9"/>
    <w:qFormat/>
    <w:rPr>
      <w:rFonts w:ascii="Arial" w:hAnsi="Arial" w:eastAsia="Arial" w:cs="Arial"/>
      <w:i/>
      <w:iCs/>
      <w:sz w:val="21"/>
      <w:szCs w:val="21"/>
    </w:rPr>
  </w:style>
  <w:style w:type="character" w:styleId="902" w:customStyle="1">
    <w:name w:val="正文缩进 字符"/>
    <w:link w:val="846"/>
    <w:uiPriority w:val="0"/>
    <w:qFormat/>
    <w:rPr>
      <w:rFonts w:eastAsia="楷体_GB2312"/>
      <w:sz w:val="24"/>
    </w:rPr>
  </w:style>
  <w:style w:type="character" w:styleId="903" w:customStyle="1">
    <w:name w:val="批注文字 字符"/>
    <w:link w:val="850"/>
    <w:uiPriority w:val="0"/>
    <w:qFormat/>
    <w:rPr>
      <w:sz w:val="24"/>
    </w:rPr>
  </w:style>
  <w:style w:type="character" w:styleId="904" w:customStyle="1">
    <w:name w:val="纯文本 字符"/>
    <w:link w:val="860"/>
    <w:uiPriority w:val="0"/>
    <w:qFormat/>
    <w:rPr>
      <w:rFonts w:ascii="宋体" w:hAnsi="Courier New" w:eastAsia="楷体_GB2312"/>
      <w:sz w:val="26"/>
    </w:rPr>
  </w:style>
  <w:style w:type="character" w:styleId="905" w:customStyle="1">
    <w:name w:val="尾注文本 字符"/>
    <w:link w:val="866"/>
    <w:uiPriority w:val="99"/>
    <w:qFormat/>
    <w:rPr>
      <w:sz w:val="20"/>
    </w:rPr>
  </w:style>
  <w:style w:type="character" w:styleId="906" w:customStyle="1">
    <w:name w:val="批注框文本 字符"/>
    <w:link w:val="867"/>
    <w:uiPriority w:val="0"/>
    <w:qFormat/>
    <w:rPr>
      <w:sz w:val="18"/>
    </w:rPr>
  </w:style>
  <w:style w:type="character" w:styleId="907" w:customStyle="1">
    <w:name w:val="页脚 字符"/>
    <w:link w:val="868"/>
    <w:uiPriority w:val="0"/>
    <w:qFormat/>
    <w:rPr>
      <w:rFonts w:eastAsia="楷体_GB2312"/>
      <w:sz w:val="18"/>
    </w:rPr>
  </w:style>
  <w:style w:type="character" w:styleId="908" w:customStyle="1">
    <w:name w:val="页眉 字符"/>
    <w:link w:val="869"/>
    <w:uiPriority w:val="0"/>
    <w:qFormat/>
    <w:rPr>
      <w:rFonts w:eastAsia="楷体_GB2312"/>
      <w:sz w:val="18"/>
    </w:rPr>
  </w:style>
  <w:style w:type="character" w:styleId="909" w:customStyle="1">
    <w:name w:val="副标题 字符"/>
    <w:basedOn w:val="840"/>
    <w:link w:val="872"/>
    <w:uiPriority w:val="11"/>
    <w:qFormat/>
    <w:rPr>
      <w:sz w:val="24"/>
      <w:szCs w:val="24"/>
    </w:rPr>
  </w:style>
  <w:style w:type="character" w:styleId="910" w:customStyle="1">
    <w:name w:val="脚注文本 字符"/>
    <w:link w:val="875"/>
    <w:uiPriority w:val="99"/>
    <w:qFormat/>
    <w:rPr>
      <w:sz w:val="18"/>
    </w:rPr>
  </w:style>
  <w:style w:type="character" w:styleId="911" w:customStyle="1">
    <w:name w:val="标题 字符"/>
    <w:basedOn w:val="840"/>
    <w:link w:val="887"/>
    <w:uiPriority w:val="10"/>
    <w:qFormat/>
    <w:rPr>
      <w:sz w:val="48"/>
      <w:szCs w:val="48"/>
    </w:rPr>
  </w:style>
  <w:style w:type="character" w:styleId="912" w:customStyle="1">
    <w:name w:val="批注主题 字符"/>
    <w:link w:val="888"/>
    <w:uiPriority w:val="0"/>
    <w:qFormat/>
    <w:rPr>
      <w:b/>
      <w:bCs/>
      <w:sz w:val="24"/>
    </w:rPr>
  </w:style>
  <w:style w:type="character" w:styleId="913" w:customStyle="1">
    <w:name w:val="正文首行缩进 2 字符"/>
    <w:basedOn w:val="840"/>
    <w:link w:val="889"/>
    <w:uiPriority w:val="0"/>
    <w:qFormat/>
    <w:rPr>
      <w:rFonts w:eastAsia="仿宋_GB2312"/>
      <w:sz w:val="30"/>
    </w:rPr>
  </w:style>
  <w:style w:type="paragraph" w:styleId="914" w:customStyle="1">
    <w:name w:val="纯文本11"/>
    <w:basedOn w:val="830"/>
    <w:uiPriority w:val="0"/>
    <w:qFormat/>
    <w:rPr>
      <w:rFonts w:ascii="宋体" w:hAnsi="Courier New" w:eastAsia="楷体_GB2312"/>
      <w:sz w:val="26"/>
    </w:rPr>
  </w:style>
  <w:style w:type="character" w:styleId="915" w:customStyle="1">
    <w:name w:val="Heading 1 Char"/>
    <w:basedOn w:val="840"/>
    <w:uiPriority w:val="9"/>
    <w:qFormat/>
    <w:rPr>
      <w:rFonts w:ascii="Arial" w:hAnsi="Arial" w:eastAsia="Arial" w:cs="Arial"/>
      <w:sz w:val="40"/>
      <w:szCs w:val="40"/>
    </w:rPr>
  </w:style>
  <w:style w:type="character" w:styleId="916" w:customStyle="1">
    <w:name w:val="Heading 2 Char"/>
    <w:basedOn w:val="840"/>
    <w:uiPriority w:val="9"/>
    <w:qFormat/>
    <w:rPr>
      <w:rFonts w:ascii="Arial" w:hAnsi="Arial" w:eastAsia="Arial" w:cs="Arial"/>
      <w:sz w:val="34"/>
    </w:rPr>
  </w:style>
  <w:style w:type="character" w:styleId="917" w:customStyle="1">
    <w:name w:val="Heading 3 Char"/>
    <w:basedOn w:val="840"/>
    <w:uiPriority w:val="9"/>
    <w:qFormat/>
    <w:rPr>
      <w:rFonts w:ascii="Arial" w:hAnsi="Arial" w:eastAsia="Arial" w:cs="Arial"/>
      <w:sz w:val="30"/>
      <w:szCs w:val="30"/>
    </w:rPr>
  </w:style>
  <w:style w:type="character" w:styleId="918" w:customStyle="1">
    <w:name w:val="Heading 4 Char"/>
    <w:basedOn w:val="840"/>
    <w:uiPriority w:val="9"/>
    <w:qFormat/>
    <w:rPr>
      <w:rFonts w:ascii="Arial" w:hAnsi="Arial" w:eastAsia="Arial" w:cs="Arial"/>
      <w:b/>
      <w:bCs/>
      <w:sz w:val="26"/>
      <w:szCs w:val="26"/>
    </w:rPr>
  </w:style>
  <w:style w:type="character" w:styleId="919" w:customStyle="1">
    <w:name w:val="Heading 5 Char"/>
    <w:basedOn w:val="840"/>
    <w:uiPriority w:val="9"/>
    <w:qFormat/>
    <w:rPr>
      <w:rFonts w:ascii="Arial" w:hAnsi="Arial" w:eastAsia="Arial" w:cs="Arial"/>
      <w:b/>
      <w:bCs/>
      <w:sz w:val="24"/>
      <w:szCs w:val="24"/>
    </w:rPr>
  </w:style>
  <w:style w:type="character" w:styleId="920" w:customStyle="1">
    <w:name w:val="Heading 6 Char"/>
    <w:basedOn w:val="840"/>
    <w:uiPriority w:val="9"/>
    <w:qFormat/>
    <w:rPr>
      <w:rFonts w:ascii="Arial" w:hAnsi="Arial" w:eastAsia="Arial" w:cs="Arial"/>
      <w:b/>
      <w:bCs/>
      <w:sz w:val="22"/>
      <w:szCs w:val="22"/>
    </w:rPr>
  </w:style>
  <w:style w:type="paragraph" w:styleId="921">
    <w:name w:val="Quote"/>
    <w:basedOn w:val="830"/>
    <w:next w:val="830"/>
    <w:link w:val="922"/>
    <w:uiPriority w:val="0"/>
    <w:qFormat/>
    <w:pPr>
      <w:ind w:left="720" w:right="720"/>
    </w:pPr>
    <w:rPr>
      <w:i/>
    </w:rPr>
  </w:style>
  <w:style w:type="character" w:styleId="922" w:customStyle="1">
    <w:name w:val="引用 字符"/>
    <w:link w:val="921"/>
    <w:uiPriority w:val="29"/>
    <w:qFormat/>
    <w:rPr>
      <w:i/>
    </w:rPr>
  </w:style>
  <w:style w:type="paragraph" w:styleId="923">
    <w:name w:val="Intense Quote"/>
    <w:basedOn w:val="830"/>
    <w:next w:val="830"/>
    <w:link w:val="92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字符"/>
    <w:link w:val="923"/>
    <w:uiPriority w:val="30"/>
    <w:qFormat/>
    <w:rPr>
      <w:i/>
    </w:rPr>
  </w:style>
  <w:style w:type="character" w:styleId="925" w:customStyle="1">
    <w:name w:val="Header Char"/>
    <w:basedOn w:val="840"/>
    <w:uiPriority w:val="99"/>
    <w:qFormat/>
  </w:style>
  <w:style w:type="character" w:styleId="926" w:customStyle="1">
    <w:name w:val="Footer Char"/>
    <w:basedOn w:val="840"/>
    <w:uiPriority w:val="99"/>
    <w:qFormat/>
  </w:style>
  <w:style w:type="character" w:styleId="927" w:customStyle="1">
    <w:name w:val="Caption Char"/>
    <w:uiPriority w:val="99"/>
    <w:qFormat/>
  </w:style>
  <w:style w:type="table" w:styleId="928" w:customStyle="1">
    <w:name w:val="Table Grid Light"/>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9" w:customStyle="1">
    <w:name w:val="无格式表格 11"/>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21"/>
    <w:basedOn w:val="8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3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无格式表格 4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无格式表格 5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网格表 1 浅色1"/>
    <w:basedOn w:val="8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1"/>
    <w:basedOn w:val="8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2"/>
    <w:basedOn w:val="8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3"/>
    <w:basedOn w:val="8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4"/>
    <w:basedOn w:val="8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5"/>
    <w:basedOn w:val="8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6"/>
    <w:basedOn w:val="8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1" w:customStyle="1">
    <w:name w:val="网格表 21"/>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Grid Table 2 - Accent 1"/>
    <w:basedOn w:val="8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basedOn w:val="8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basedOn w:val="8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basedOn w:val="8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basedOn w:val="8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Grid Table 2 - Accent 6"/>
    <w:basedOn w:val="84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网格表 31"/>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1"/>
    <w:basedOn w:val="8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2"/>
    <w:basedOn w:val="8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3"/>
    <w:basedOn w:val="8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4"/>
    <w:basedOn w:val="8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5"/>
    <w:basedOn w:val="8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6"/>
    <w:basedOn w:val="84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网格表 41"/>
    <w:basedOn w:val="8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Grid Table 4 - Accent 1"/>
    <w:basedOn w:val="84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7" w:customStyle="1">
    <w:name w:val="Grid Table 4 - Accent 2"/>
    <w:basedOn w:val="84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8" w:customStyle="1">
    <w:name w:val="Grid Table 4 - Accent 3"/>
    <w:basedOn w:val="84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9" w:customStyle="1">
    <w:name w:val="Grid Table 4 - Accent 4"/>
    <w:basedOn w:val="8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0" w:customStyle="1">
    <w:name w:val="Grid Table 4 - Accent 5"/>
    <w:basedOn w:val="84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1" w:customStyle="1">
    <w:name w:val="Grid Table 4 - Accent 6"/>
    <w:basedOn w:val="84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2" w:customStyle="1">
    <w:name w:val="网格表 5 深色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3" w:customStyle="1">
    <w:name w:val="Grid Table 5 Dark- Accent 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4" w:customStyle="1">
    <w:name w:val="Grid Table 5 Dark - Accent 2"/>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5" w:customStyle="1">
    <w:name w:val="Grid Table 5 Dark - Accent 3"/>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6" w:customStyle="1">
    <w:name w:val="Grid Table 5 Dark- Accent 4"/>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7" w:customStyle="1">
    <w:name w:val="Grid Table 5 Dark - Accent 5"/>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8" w:customStyle="1">
    <w:name w:val="Grid Table 5 Dark - Accent 6"/>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9" w:customStyle="1">
    <w:name w:val="网格表 6 彩色1"/>
    <w:basedOn w:val="8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6 Colorful - Accent 1"/>
    <w:basedOn w:val="84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1" w:customStyle="1">
    <w:name w:val="Grid Table 6 Colorful - Accent 2"/>
    <w:basedOn w:val="8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2" w:customStyle="1">
    <w:name w:val="Grid Table 6 Colorful - Accent 3"/>
    <w:basedOn w:val="84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3" w:customStyle="1">
    <w:name w:val="Grid Table 6 Colorful - Accent 4"/>
    <w:basedOn w:val="8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4" w:customStyle="1">
    <w:name w:val="Grid Table 6 Colorful - Accent 5"/>
    <w:basedOn w:val="84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5" w:customStyle="1">
    <w:name w:val="Grid Table 6 Colorful - Accent 6"/>
    <w:basedOn w:val="84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6" w:customStyle="1">
    <w:name w:val="网格表 7 彩色1"/>
    <w:basedOn w:val="8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Grid Table 7 Colorful - Accent 1"/>
    <w:basedOn w:val="84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8" w:customStyle="1">
    <w:name w:val="Grid Table 7 Colorful - Accent 2"/>
    <w:basedOn w:val="84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Grid Table 7 Colorful - Accent 3"/>
    <w:basedOn w:val="84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0" w:customStyle="1">
    <w:name w:val="Grid Table 7 Colorful - Accent 4"/>
    <w:basedOn w:val="8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7 Colorful - Accent 5"/>
    <w:basedOn w:val="84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2" w:customStyle="1">
    <w:name w:val="Grid Table 7 Colorful - Accent 6"/>
    <w:basedOn w:val="84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3" w:customStyle="1">
    <w:name w:val="清单表 1 浅色1"/>
    <w:basedOn w:val="8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List Table 1 Light - Accent 1"/>
    <w:basedOn w:val="84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1 Light - Accent 2"/>
    <w:basedOn w:val="84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6" w:customStyle="1">
    <w:name w:val="List Table 1 Light - Accent 3"/>
    <w:basedOn w:val="84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7" w:customStyle="1">
    <w:name w:val="List Table 1 Light - Accent 4"/>
    <w:basedOn w:val="84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8" w:customStyle="1">
    <w:name w:val="List Table 1 Light - Accent 5"/>
    <w:basedOn w:val="84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List Table 1 Light - Accent 6"/>
    <w:basedOn w:val="84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清单表 21"/>
    <w:basedOn w:val="8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1" w:customStyle="1">
    <w:name w:val="List Table 2 - Accent 1"/>
    <w:basedOn w:val="84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2" w:customStyle="1">
    <w:name w:val="List Table 2 - Accent 2"/>
    <w:basedOn w:val="84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3" w:customStyle="1">
    <w:name w:val="List Table 2 - Accent 3"/>
    <w:basedOn w:val="84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4" w:customStyle="1">
    <w:name w:val="List Table 2 - Accent 4"/>
    <w:basedOn w:val="8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5" w:customStyle="1">
    <w:name w:val="List Table 2 - Accent 5"/>
    <w:basedOn w:val="84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6" w:customStyle="1">
    <w:name w:val="List Table 2 - Accent 6"/>
    <w:basedOn w:val="84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7" w:customStyle="1">
    <w:name w:val="清单表 3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3 - Accent 1"/>
    <w:basedOn w:val="84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3 - Accent 2"/>
    <w:basedOn w:val="8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0" w:customStyle="1">
    <w:name w:val="List Table 3 - Accent 3"/>
    <w:basedOn w:val="84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1" w:customStyle="1">
    <w:name w:val="List Table 3 - Accent 4"/>
    <w:basedOn w:val="8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2" w:customStyle="1">
    <w:name w:val="List Table 3 - Accent 5"/>
    <w:basedOn w:val="84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3" w:customStyle="1">
    <w:name w:val="List Table 3 - Accent 6"/>
    <w:basedOn w:val="84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4" w:customStyle="1">
    <w:name w:val="清单表 4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4 - Accent 1"/>
    <w:basedOn w:val="84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4 - Accent 2"/>
    <w:basedOn w:val="84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7" w:customStyle="1">
    <w:name w:val="List Table 4 - Accent 3"/>
    <w:basedOn w:val="84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8" w:customStyle="1">
    <w:name w:val="List Table 4 - Accent 4"/>
    <w:basedOn w:val="8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9" w:customStyle="1">
    <w:name w:val="List Table 4 - Accent 5"/>
    <w:basedOn w:val="84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0" w:customStyle="1">
    <w:name w:val="List Table 4 - Accent 6"/>
    <w:basedOn w:val="84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1" w:customStyle="1">
    <w:name w:val="清单表 5 深色1"/>
    <w:basedOn w:val="8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1"/>
    <w:basedOn w:val="84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2"/>
    <w:basedOn w:val="84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3"/>
    <w:basedOn w:val="84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4"/>
    <w:basedOn w:val="8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5"/>
    <w:basedOn w:val="84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6"/>
    <w:basedOn w:val="84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清单表 6 彩色1"/>
    <w:basedOn w:val="8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9" w:customStyle="1">
    <w:name w:val="List Table 6 Colorful - Accent 1"/>
    <w:basedOn w:val="84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0" w:customStyle="1">
    <w:name w:val="List Table 6 Colorful - Accent 2"/>
    <w:basedOn w:val="84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1" w:customStyle="1">
    <w:name w:val="List Table 6 Colorful - Accent 3"/>
    <w:basedOn w:val="84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2" w:customStyle="1">
    <w:name w:val="List Table 6 Colorful - Accent 4"/>
    <w:basedOn w:val="84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3" w:customStyle="1">
    <w:name w:val="List Table 6 Colorful - Accent 5"/>
    <w:basedOn w:val="84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4" w:customStyle="1">
    <w:name w:val="List Table 6 Colorful - Accent 6"/>
    <w:basedOn w:val="84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5" w:customStyle="1">
    <w:name w:val="清单表 7 彩色1"/>
    <w:basedOn w:val="8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List Table 7 Colorful - Accent 1"/>
    <w:basedOn w:val="84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7" w:customStyle="1">
    <w:name w:val="List Table 7 Colorful - Accent 2"/>
    <w:basedOn w:val="84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8" w:customStyle="1">
    <w:name w:val="List Table 7 Colorful - Accent 3"/>
    <w:basedOn w:val="84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9" w:customStyle="1">
    <w:name w:val="List Table 7 Colorful - Accent 4"/>
    <w:basedOn w:val="84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0" w:customStyle="1">
    <w:name w:val="List Table 7 Colorful - Accent 5"/>
    <w:basedOn w:val="84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1" w:customStyle="1">
    <w:name w:val="List Table 7 Colorful - Accent 6"/>
    <w:basedOn w:val="84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2" w:customStyle="1">
    <w:name w:val="Lined - Accent"/>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Lined - Accent 1"/>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Lined - Accent 2"/>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Lined - Accent 3"/>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Lined - Accent 4"/>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Lined - Accent 5"/>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Lined - Accent 6"/>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amp; Lined - Accent"/>
    <w:basedOn w:val="8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Bordered &amp; Lined - Accent 1"/>
    <w:basedOn w:val="84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Bordered &amp; Lined - Accent 2"/>
    <w:basedOn w:val="84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Bordered &amp; Lined - Accent 3"/>
    <w:basedOn w:val="84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Bordered &amp; Lined - Accent 4"/>
    <w:basedOn w:val="84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Bordered &amp; Lined - Accent 5"/>
    <w:basedOn w:val="84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Bordered &amp; Lined - Accent 6"/>
    <w:basedOn w:val="84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w:basedOn w:val="8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7" w:customStyle="1">
    <w:name w:val="Bordered - Accent 1"/>
    <w:basedOn w:val="8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8" w:customStyle="1">
    <w:name w:val="Bordered - Accent 2"/>
    <w:basedOn w:val="8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9" w:customStyle="1">
    <w:name w:val="Bordered - Accent 3"/>
    <w:basedOn w:val="8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0" w:customStyle="1">
    <w:name w:val="Bordered - Accent 4"/>
    <w:basedOn w:val="8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1" w:customStyle="1">
    <w:name w:val="Bordered - Accent 5"/>
    <w:basedOn w:val="8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2" w:customStyle="1">
    <w:name w:val="Bordered - Accent 6"/>
    <w:basedOn w:val="8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53" w:customStyle="1">
    <w:name w:val="TOC 标题1"/>
    <w:uiPriority w:val="0"/>
    <w:unhideWhenUsed/>
    <w:qFormat/>
    <w:rPr>
      <w:rFonts w:ascii="Times New Roman" w:hAnsi="Times New Roman" w:cs="Times New Roman" w:eastAsiaTheme="minorEastAsia"/>
      <w:lang w:val="en-US" w:eastAsia="zh-CN" w:bidi="ar-SA"/>
    </w:rPr>
  </w:style>
  <w:style w:type="character" w:styleId="1054" w:customStyle="1">
    <w:name w:val="fontstyle01"/>
    <w:uiPriority w:val="0"/>
    <w:qFormat/>
    <w:rPr>
      <w:rFonts w:ascii="仿宋" w:hAnsi="仿宋" w:eastAsia="仿宋" w:cs="仿宋"/>
      <w:color w:val="000000"/>
      <w:sz w:val="32"/>
      <w:szCs w:val="32"/>
    </w:rPr>
  </w:style>
  <w:style w:type="character" w:styleId="1055" w:customStyle="1">
    <w:name w:val="font71"/>
    <w:uiPriority w:val="0"/>
    <w:qFormat/>
    <w:rPr>
      <w:rFonts w:hint="eastAsia" w:ascii="宋体" w:hAnsi="宋体" w:eastAsia="宋体" w:cs="宋体"/>
      <w:color w:val="000000"/>
      <w:sz w:val="28"/>
      <w:szCs w:val="28"/>
      <w:u w:val="none"/>
    </w:rPr>
  </w:style>
  <w:style w:type="character" w:styleId="1056" w:customStyle="1">
    <w:name w:val="aa1 l01 style8"/>
    <w:uiPriority w:val="0"/>
    <w:qFormat/>
  </w:style>
  <w:style w:type="character" w:styleId="1057" w:customStyle="1">
    <w:name w:val="font51"/>
    <w:uiPriority w:val="0"/>
    <w:qFormat/>
    <w:rPr>
      <w:rFonts w:hint="eastAsia" w:ascii="宋体" w:hAnsi="宋体" w:eastAsia="宋体" w:cs="宋体"/>
      <w:color w:val="000000"/>
      <w:sz w:val="22"/>
      <w:szCs w:val="22"/>
      <w:u w:val="none"/>
    </w:rPr>
  </w:style>
  <w:style w:type="character" w:styleId="1058" w:customStyle="1">
    <w:name w:val="font11"/>
    <w:uiPriority w:val="0"/>
    <w:qFormat/>
    <w:rPr>
      <w:rFonts w:ascii="宋体" w:hAnsi="宋体" w:eastAsia="宋体" w:cs="宋体"/>
      <w:color w:val="000000"/>
      <w:sz w:val="28"/>
      <w:szCs w:val="28"/>
      <w:u w:val="none"/>
    </w:rPr>
  </w:style>
  <w:style w:type="character" w:styleId="1059" w:customStyle="1">
    <w:name w:val="font31"/>
    <w:uiPriority w:val="0"/>
    <w:qFormat/>
    <w:rPr>
      <w:rFonts w:ascii="微软雅黑" w:hAnsi="微软雅黑" w:eastAsia="微软雅黑" w:cs="微软雅黑"/>
      <w:color w:val="000000"/>
      <w:sz w:val="20"/>
      <w:szCs w:val="20"/>
      <w:u w:val="none"/>
    </w:rPr>
  </w:style>
  <w:style w:type="character" w:styleId="1060" w:customStyle="1">
    <w:name w:val="font91"/>
    <w:uiPriority w:val="0"/>
    <w:qFormat/>
    <w:rPr>
      <w:rFonts w:hint="eastAsia" w:ascii="宋体" w:hAnsi="宋体" w:eastAsia="宋体" w:cs="宋体"/>
      <w:color w:val="ff0000"/>
      <w:sz w:val="22"/>
      <w:szCs w:val="22"/>
      <w:u w:val="none"/>
    </w:rPr>
  </w:style>
  <w:style w:type="character" w:styleId="1061" w:customStyle="1">
    <w:name w:val="样式一"/>
    <w:uiPriority w:val="0"/>
    <w:qFormat/>
    <w:rPr>
      <w:rFonts w:ascii="宋体" w:hAnsi="宋体"/>
      <w:b/>
      <w:bCs/>
      <w:color w:val="000000"/>
      <w:sz w:val="36"/>
    </w:rPr>
  </w:style>
  <w:style w:type="character" w:styleId="1062" w:customStyle="1">
    <w:name w:val="样式二"/>
    <w:uiPriority w:val="0"/>
    <w:qFormat/>
  </w:style>
  <w:style w:type="character" w:styleId="1063" w:customStyle="1">
    <w:name w:val="合同正文 字符"/>
    <w:link w:val="1064"/>
    <w:uiPriority w:val="0"/>
    <w:qFormat/>
    <w:rPr>
      <w:rFonts w:ascii="宋体" w:hAnsi="宋体"/>
      <w:color w:val="000000"/>
      <w:sz w:val="21"/>
      <w:szCs w:val="21"/>
    </w:rPr>
  </w:style>
  <w:style w:type="paragraph" w:styleId="1064" w:customStyle="1">
    <w:name w:val="合同正文"/>
    <w:basedOn w:val="830"/>
    <w:link w:val="1063"/>
    <w:uiPriority w:val="0"/>
    <w:qFormat/>
    <w:pPr>
      <w:ind w:firstLine="420"/>
      <w:jc w:val="both"/>
      <w:spacing w:line="360" w:lineRule="auto"/>
      <w:widowControl w:val="off"/>
    </w:pPr>
    <w:rPr>
      <w:rFonts w:ascii="宋体" w:hAnsi="宋体"/>
      <w:color w:val="000000"/>
      <w:sz w:val="21"/>
      <w:szCs w:val="21"/>
    </w:rPr>
  </w:style>
  <w:style w:type="character" w:styleId="1065" w:customStyle="1">
    <w:name w:val="font21"/>
    <w:uiPriority w:val="0"/>
    <w:qFormat/>
    <w:rPr>
      <w:rFonts w:hint="default" w:ascii="Times New Roman" w:hAnsi="Times New Roman" w:cs="Times New Roman"/>
      <w:color w:val="000000"/>
      <w:sz w:val="20"/>
      <w:szCs w:val="20"/>
      <w:u w:val="none"/>
    </w:rPr>
  </w:style>
  <w:style w:type="character" w:styleId="1066" w:customStyle="1">
    <w:name w:val="styl81"/>
    <w:uiPriority w:val="0"/>
    <w:qFormat/>
    <w:rPr>
      <w:sz w:val="21"/>
      <w:szCs w:val="21"/>
    </w:rPr>
  </w:style>
  <w:style w:type="character" w:styleId="1067" w:customStyle="1">
    <w:name w:val="无间隔 字符"/>
    <w:link w:val="1068"/>
    <w:uiPriority w:val="1"/>
    <w:qFormat/>
    <w:rPr>
      <w:sz w:val="22"/>
      <w:szCs w:val="22"/>
      <w:lang w:val="en-US" w:eastAsia="zh-CN" w:bidi="ar-SA"/>
    </w:rPr>
  </w:style>
  <w:style w:type="paragraph" w:styleId="1068">
    <w:name w:val="No Spacing"/>
    <w:link w:val="1067"/>
    <w:uiPriority w:val="1"/>
    <w:qFormat/>
    <w:rPr>
      <w:rFonts w:ascii="Times New Roman" w:hAnsi="Times New Roman" w:cs="Times New Roman" w:eastAsiaTheme="minorEastAsia"/>
      <w:sz w:val="22"/>
      <w:szCs w:val="22"/>
      <w:lang w:val="en-US" w:eastAsia="zh-CN" w:bidi="ar-SA"/>
    </w:rPr>
  </w:style>
  <w:style w:type="character" w:styleId="1069" w:customStyle="1">
    <w:name w:val="font41"/>
    <w:uiPriority w:val="0"/>
    <w:qFormat/>
    <w:rPr>
      <w:rFonts w:hint="eastAsia" w:ascii="微软雅黑" w:hAnsi="微软雅黑" w:eastAsia="微软雅黑" w:cs="微软雅黑"/>
      <w:color w:val="000000"/>
      <w:sz w:val="16"/>
      <w:szCs w:val="16"/>
      <w:u w:val="none"/>
    </w:rPr>
  </w:style>
  <w:style w:type="character" w:styleId="1070" w:customStyle="1">
    <w:name w:val="p141"/>
    <w:uiPriority w:val="0"/>
    <w:qFormat/>
    <w:rPr>
      <w:sz w:val="21"/>
      <w:szCs w:val="21"/>
    </w:rPr>
  </w:style>
  <w:style w:type="paragraph" w:styleId="1071" w:customStyle="1">
    <w:name w:val="段"/>
    <w:next w:val="830"/>
    <w:uiPriority w:val="0"/>
    <w:qFormat/>
    <w:pPr>
      <w:ind w:firstLine="200"/>
      <w:jc w:val="both"/>
    </w:pPr>
    <w:rPr>
      <w:rFonts w:ascii="宋体" w:hAnsi="Times New Roman" w:cs="Times New Roman" w:eastAsiaTheme="minorEastAsia"/>
      <w:sz w:val="21"/>
      <w:lang w:val="en-US" w:eastAsia="zh-CN" w:bidi="ar-SA"/>
    </w:rPr>
  </w:style>
  <w:style w:type="paragraph" w:styleId="1072" w:customStyle="1">
    <w:name w:val="xl71"/>
    <w:basedOn w:val="830"/>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073" w:customStyle="1">
    <w:name w:val="正文文本 Char Char"/>
    <w:basedOn w:val="830"/>
    <w:uiPriority w:val="0"/>
    <w:qFormat/>
    <w:pPr>
      <w:jc w:val="center"/>
    </w:pPr>
  </w:style>
  <w:style w:type="paragraph" w:styleId="1074" w:customStyle="1">
    <w:name w:val="xl26"/>
    <w:basedOn w:val="830"/>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sz w:val="20"/>
    </w:rPr>
  </w:style>
  <w:style w:type="paragraph" w:styleId="1075" w:customStyle="1">
    <w:name w:val="正文1"/>
    <w:basedOn w:val="830"/>
    <w:next w:val="830"/>
    <w:uiPriority w:val="0"/>
    <w:qFormat/>
    <w:pPr>
      <w:ind w:left="420" w:firstLine="527"/>
      <w:jc w:val="both"/>
      <w:spacing w:before="120" w:line="360" w:lineRule="auto"/>
      <w:widowControl w:val="off"/>
    </w:pPr>
    <w:rPr>
      <w:rFonts w:ascii="宋体" w:hAnsi="宋体"/>
    </w:rPr>
  </w:style>
  <w:style w:type="paragraph" w:styleId="1076" w:customStyle="1">
    <w:name w:val="_Style 91"/>
    <w:uiPriority w:val="99"/>
    <w:qFormat/>
    <w:pPr>
      <w:ind w:firstLine="420"/>
      <w:jc w:val="both"/>
      <w:widowControl w:val="off"/>
    </w:pPr>
    <w:rPr>
      <w:rFonts w:ascii="Times New Roman" w:hAnsi="Times New Roman" w:cs="Times New Roman" w:eastAsiaTheme="minorEastAsia"/>
      <w:sz w:val="21"/>
      <w:szCs w:val="22"/>
      <w:lang w:val="en-US" w:eastAsia="zh-CN" w:bidi="ar-SA"/>
    </w:rPr>
  </w:style>
  <w:style w:type="paragraph" w:styleId="1077" w:customStyle="1">
    <w:name w:val="插图题注"/>
    <w:next w:val="830"/>
    <w:uiPriority w:val="0"/>
    <w:qFormat/>
    <w:pPr>
      <w:numPr>
        <w:ilvl w:val="7"/>
        <w:numId w:val="1"/>
      </w:numPr>
      <w:ind w:left="1089" w:hanging="369"/>
      <w:jc w:val="center"/>
    </w:pPr>
    <w:rPr>
      <w:rFonts w:ascii="Arial" w:hAnsi="Arial" w:cs="Times New Roman" w:eastAsiaTheme="minorEastAsia"/>
      <w:sz w:val="18"/>
      <w:szCs w:val="18"/>
      <w:lang w:val="en-US" w:eastAsia="zh-CN" w:bidi="ar-SA"/>
    </w:rPr>
  </w:style>
  <w:style w:type="paragraph" w:styleId="1078" w:customStyle="1">
    <w:name w:val="默认段落字体 Para Char Char Char Char Char Char Char Char Char1 Char Char Char Char"/>
    <w:basedOn w:val="830"/>
    <w:uiPriority w:val="0"/>
    <w:qFormat/>
    <w:pPr>
      <w:jc w:val="both"/>
      <w:widowControl w:val="off"/>
    </w:pPr>
    <w:rPr>
      <w:rFonts w:ascii="Tahoma" w:hAnsi="Tahoma"/>
    </w:rPr>
  </w:style>
  <w:style w:type="paragraph" w:styleId="1079" w:customStyle="1">
    <w:name w:val="NRSection"/>
    <w:basedOn w:val="830"/>
    <w:uiPriority w:val="0"/>
    <w:qFormat/>
    <w:pPr>
      <w:outlineLvl w:val="4"/>
    </w:pPr>
    <w:rPr>
      <w:b/>
    </w:rPr>
  </w:style>
  <w:style w:type="paragraph" w:styleId="1080" w:customStyle="1">
    <w:name w:val="xl27"/>
    <w:basedOn w:val="830"/>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sz w:val="20"/>
    </w:rPr>
  </w:style>
  <w:style w:type="paragraph" w:styleId="1081" w:customStyle="1">
    <w:name w:val="font10"/>
    <w:basedOn w:val="830"/>
    <w:uiPriority w:val="0"/>
    <w:qFormat/>
    <w:pPr>
      <w:spacing w:before="100" w:beforeAutospacing="1" w:after="100" w:afterAutospacing="1"/>
    </w:pPr>
    <w:rPr>
      <w:b/>
      <w:bCs/>
      <w:sz w:val="20"/>
    </w:rPr>
  </w:style>
  <w:style w:type="paragraph" w:styleId="1082" w:customStyle="1">
    <w:name w:val="p0"/>
    <w:uiPriority w:val="0"/>
    <w:qFormat/>
    <w:pPr>
      <w:jc w:val="both"/>
    </w:pPr>
    <w:rPr>
      <w:rFonts w:ascii="Times New Roman" w:hAnsi="Times New Roman" w:cs="宋体" w:eastAsiaTheme="minorEastAsia"/>
      <w:sz w:val="21"/>
      <w:szCs w:val="21"/>
      <w:lang w:val="en-US" w:eastAsia="zh-CN" w:bidi="ar-SA"/>
    </w:rPr>
  </w:style>
  <w:style w:type="paragraph" w:styleId="1083" w:customStyle="1">
    <w:name w:val="xl28"/>
    <w:basedOn w:val="830"/>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4" w:customStyle="1">
    <w:name w:val="msonormal"/>
    <w:basedOn w:val="830"/>
    <w:uiPriority w:val="0"/>
    <w:qFormat/>
    <w:pPr>
      <w:spacing w:before="100" w:beforeAutospacing="1" w:after="100" w:afterAutospacing="1"/>
    </w:pPr>
    <w:rPr>
      <w:rFonts w:ascii="宋体" w:hAnsi="宋体" w:cs="宋体"/>
      <w:szCs w:val="24"/>
    </w:rPr>
  </w:style>
  <w:style w:type="paragraph" w:styleId="1085" w:customStyle="1">
    <w:name w:val="文章总标题"/>
    <w:basedOn w:val="830"/>
    <w:next w:val="830"/>
    <w:uiPriority w:val="0"/>
    <w:qFormat/>
    <w:pPr>
      <w:jc w:val="center"/>
      <w:spacing w:before="566" w:after="544" w:line="566" w:lineRule="atLeast"/>
    </w:pPr>
    <w:rPr>
      <w:rFonts w:ascii="Arial" w:eastAsia="黑体"/>
      <w:color w:val="000000"/>
      <w:sz w:val="54"/>
    </w:rPr>
  </w:style>
  <w:style w:type="paragraph" w:styleId="1086" w:customStyle="1">
    <w:name w:val="_Style 74"/>
    <w:uiPriority w:val="99"/>
    <w:unhideWhenUsed/>
    <w:qFormat/>
    <w:rPr>
      <w:rFonts w:ascii="Times New Roman" w:hAnsi="Times New Roman" w:cs="Times New Roman" w:eastAsiaTheme="minorEastAsia"/>
      <w:sz w:val="24"/>
      <w:lang w:val="en-US" w:eastAsia="zh-CN" w:bidi="ar-SA"/>
    </w:rPr>
  </w:style>
  <w:style w:type="paragraph" w:styleId="1087" w:customStyle="1">
    <w:name w:val="xl66"/>
    <w:basedOn w:val="830"/>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新宋体" w:hAnsi="新宋体" w:eastAsia="新宋体" w:cs="宋体"/>
      <w:b/>
      <w:bCs/>
      <w:sz w:val="18"/>
      <w:szCs w:val="18"/>
    </w:rPr>
  </w:style>
  <w:style w:type="paragraph" w:styleId="1088" w:customStyle="1">
    <w:name w:val="注示头"/>
    <w:basedOn w:val="830"/>
    <w:uiPriority w:val="0"/>
    <w:qFormat/>
    <w:pPr>
      <w:jc w:val="both"/>
      <w:spacing w:line="360" w:lineRule="auto"/>
      <w:widowControl w:val="off"/>
      <w:pBdr>
        <w:top w:val="single" w:color="000000" w:sz="4" w:space="1"/>
      </w:pBdr>
    </w:pPr>
    <w:rPr>
      <w:rFonts w:ascii="Arial" w:hAnsi="Arial" w:eastAsia="黑体"/>
      <w:sz w:val="18"/>
      <w:szCs w:val="21"/>
    </w:rPr>
  </w:style>
  <w:style w:type="paragraph" w:styleId="1089" w:customStyle="1">
    <w:name w:val="Char"/>
    <w:basedOn w:val="830"/>
    <w:uiPriority w:val="0"/>
    <w:qFormat/>
    <w:pPr>
      <w:ind w:firstLine="200"/>
      <w:jc w:val="both"/>
      <w:spacing w:line="360" w:lineRule="auto"/>
      <w:widowControl w:val="off"/>
    </w:pPr>
    <w:rPr>
      <w:rFonts w:ascii="Tahoma" w:hAnsi="Tahoma"/>
    </w:rPr>
  </w:style>
  <w:style w:type="paragraph" w:styleId="1090" w:customStyle="1">
    <w:name w:val="xl77"/>
    <w:basedOn w:val="830"/>
    <w:uiPriority w:val="0"/>
    <w:qFormat/>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091" w:customStyle="1">
    <w:name w:val="xl25"/>
    <w:basedOn w:val="830"/>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sz w:val="20"/>
    </w:rPr>
  </w:style>
  <w:style w:type="paragraph" w:styleId="1092" w:customStyle="1">
    <w:name w:val="font6"/>
    <w:basedOn w:val="830"/>
    <w:uiPriority w:val="0"/>
    <w:qFormat/>
    <w:pPr>
      <w:spacing w:before="100" w:beforeAutospacing="1" w:after="100" w:afterAutospacing="1"/>
    </w:pPr>
    <w:rPr>
      <w:rFonts w:hint="eastAsia" w:ascii="宋体" w:hAnsi="宋体"/>
      <w:sz w:val="20"/>
    </w:rPr>
  </w:style>
  <w:style w:type="paragraph" w:styleId="1093" w:customStyle="1">
    <w:name w:val="_正文段落"/>
    <w:uiPriority w:val="0"/>
    <w:qFormat/>
    <w:pPr>
      <w:ind w:firstLine="200"/>
      <w:spacing w:line="360" w:lineRule="auto"/>
      <w:widowControl w:val="off"/>
    </w:pPr>
    <w:rPr>
      <w:rFonts w:ascii="宋体" w:hAnsi="宋体" w:cs="Times New Roman" w:eastAsiaTheme="minorEastAsia"/>
      <w:sz w:val="24"/>
      <w:szCs w:val="24"/>
      <w:lang w:val="en-US" w:eastAsia="zh-CN" w:bidi="ar-SA"/>
    </w:rPr>
  </w:style>
  <w:style w:type="paragraph" w:styleId="1094" w:customStyle="1">
    <w:name w:val="表头文本"/>
    <w:uiPriority w:val="0"/>
    <w:qFormat/>
    <w:pPr>
      <w:jc w:val="center"/>
    </w:pPr>
    <w:rPr>
      <w:rFonts w:ascii="Arial" w:hAnsi="Arial" w:cs="Times New Roman" w:eastAsiaTheme="minorEastAsia"/>
      <w:b/>
      <w:sz w:val="21"/>
      <w:szCs w:val="21"/>
      <w:lang w:val="en-US" w:eastAsia="zh-CN" w:bidi="ar-SA"/>
    </w:rPr>
  </w:style>
  <w:style w:type="paragraph" w:styleId="1095" w:customStyle="1">
    <w:name w:val="纯文本1"/>
    <w:basedOn w:val="830"/>
    <w:uiPriority w:val="0"/>
    <w:qFormat/>
    <w:rPr>
      <w:rFonts w:ascii="宋体" w:hAnsi="Courier New" w:eastAsia="楷体_GB2312"/>
      <w:sz w:val="26"/>
    </w:rPr>
  </w:style>
  <w:style w:type="paragraph" w:styleId="1096" w:customStyle="1">
    <w:name w:val="xl80"/>
    <w:basedOn w:val="830"/>
    <w:uiPriority w:val="0"/>
    <w:qFormat/>
    <w:pPr>
      <w:spacing w:before="100" w:beforeAutospacing="1" w:after="100" w:afterAutospacing="1"/>
      <w:shd w:val="clear" w:color="000000" w:fill="bdd7ee"/>
      <w:pBdr>
        <w:top w:val="single" w:color="auto" w:sz="4" w:space="0"/>
        <w:left w:val="single" w:color="auto" w:sz="4" w:space="0"/>
        <w:right w:val="single" w:color="auto" w:sz="4" w:space="0"/>
      </w:pBdr>
    </w:pPr>
    <w:rPr>
      <w:rFonts w:ascii="新宋体" w:hAnsi="新宋体" w:eastAsia="新宋体" w:cs="宋体"/>
      <w:sz w:val="20"/>
    </w:rPr>
  </w:style>
  <w:style w:type="paragraph" w:styleId="1097" w:customStyle="1">
    <w:name w:val="xl35"/>
    <w:basedOn w:val="830"/>
    <w:uiPriority w:val="0"/>
    <w:qFormat/>
    <w:pPr>
      <w:jc w:val="right"/>
      <w:spacing w:before="100" w:beforeAutospacing="1" w:after="100" w:afterAutospacing="1"/>
    </w:pPr>
    <w:rPr>
      <w:rFonts w:ascii="宋体" w:hAnsi="宋体"/>
      <w:sz w:val="18"/>
    </w:rPr>
  </w:style>
  <w:style w:type="paragraph" w:styleId="1098" w:customStyle="1">
    <w:name w:val="xl73"/>
    <w:basedOn w:val="830"/>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新宋体" w:hAnsi="新宋体" w:eastAsia="新宋体" w:cs="宋体"/>
      <w:sz w:val="18"/>
      <w:szCs w:val="18"/>
    </w:rPr>
  </w:style>
  <w:style w:type="paragraph" w:styleId="1099" w:customStyle="1">
    <w:name w:val="Char Char Char Char Char Char"/>
    <w:basedOn w:val="849"/>
    <w:uiPriority w:val="0"/>
    <w:qFormat/>
    <w:pPr>
      <w:jc w:val="both"/>
      <w:spacing w:line="360" w:lineRule="auto"/>
      <w:widowControl w:val="off"/>
    </w:pPr>
    <w:rPr>
      <w:rFonts w:ascii="Tahoma" w:hAnsi="Tahoma"/>
    </w:rPr>
  </w:style>
  <w:style w:type="paragraph" w:styleId="1100" w:customStyle="1">
    <w:name w:val="表格文本"/>
    <w:uiPriority w:val="0"/>
    <w:qFormat/>
    <w:pPr>
      <w:tabs>
        <w:tab w:val="decimal" w:pos="0" w:leader="none"/>
      </w:tabs>
    </w:pPr>
    <w:rPr>
      <w:rFonts w:ascii="Arial" w:hAnsi="Arial" w:cs="Times New Roman" w:eastAsiaTheme="minorEastAsia"/>
      <w:sz w:val="21"/>
      <w:szCs w:val="21"/>
      <w:lang w:val="en-US" w:eastAsia="zh-CN" w:bidi="ar-SA"/>
    </w:rPr>
  </w:style>
  <w:style w:type="paragraph" w:styleId="1101" w:customStyle="1">
    <w:name w:val="xl31"/>
    <w:basedOn w:val="830"/>
    <w:uiPriority w:val="0"/>
    <w:qFormat/>
    <w:pPr>
      <w:jc w:val="center"/>
      <w:spacing w:before="100" w:beforeAutospacing="1" w:after="100" w:afterAutospacing="1"/>
      <w:pBdr>
        <w:bottom w:val="single" w:color="auto" w:sz="4" w:space="0"/>
        <w:right w:val="single" w:color="auto" w:sz="4" w:space="0"/>
      </w:pBdr>
    </w:pPr>
    <w:rPr>
      <w:rFonts w:ascii="宋体" w:hAnsi="宋体"/>
      <w:sz w:val="21"/>
    </w:rPr>
  </w:style>
  <w:style w:type="paragraph" w:styleId="1102" w:customStyle="1">
    <w:name w:val="Table Paragraph"/>
    <w:uiPriority w:val="1"/>
    <w:qFormat/>
    <w:pPr>
      <w:jc w:val="both"/>
      <w:widowControl w:val="off"/>
    </w:pPr>
    <w:rPr>
      <w:rFonts w:ascii="Times New Roman" w:hAnsi="Times New Roman" w:cs="Times New Roman" w:eastAsiaTheme="minorEastAsia"/>
      <w:sz w:val="24"/>
      <w:lang w:val="en-US" w:eastAsia="zh-CN" w:bidi="ar-SA"/>
    </w:rPr>
  </w:style>
  <w:style w:type="paragraph" w:styleId="1103" w:customStyle="1">
    <w:name w:val="xl33"/>
    <w:basedOn w:val="830"/>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sz w:val="20"/>
    </w:rPr>
  </w:style>
  <w:style w:type="paragraph" w:styleId="1104" w:customStyle="1">
    <w:name w:val="xl76"/>
    <w:basedOn w:val="830"/>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5" w:customStyle="1">
    <w:name w:val="xl81"/>
    <w:basedOn w:val="830"/>
    <w:uiPriority w:val="0"/>
    <w:qFormat/>
    <w:pPr>
      <w:spacing w:before="100" w:beforeAutospacing="1" w:after="100" w:afterAutospacing="1"/>
      <w:pBdr>
        <w:top w:val="single" w:color="auto" w:sz="4" w:space="0"/>
        <w:left w:val="single" w:color="auto" w:sz="4" w:space="0"/>
        <w:right w:val="single" w:color="auto" w:sz="4" w:space="0"/>
      </w:pBdr>
    </w:pPr>
    <w:rPr>
      <w:rFonts w:ascii="新宋体" w:hAnsi="新宋体" w:eastAsia="新宋体" w:cs="宋体"/>
      <w:sz w:val="20"/>
    </w:rPr>
  </w:style>
  <w:style w:type="paragraph" w:styleId="1106" w:customStyle="1">
    <w:name w:val="xl32"/>
    <w:basedOn w:val="830"/>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sz w:val="20"/>
    </w:rPr>
  </w:style>
  <w:style w:type="paragraph" w:styleId="1107" w:customStyle="1">
    <w:name w:val="纯文本3"/>
    <w:basedOn w:val="830"/>
    <w:uiPriority w:val="0"/>
    <w:qFormat/>
    <w:rPr>
      <w:rFonts w:ascii="宋体" w:hAnsi="Courier New" w:eastAsia="楷体_GB2312"/>
      <w:sz w:val="26"/>
    </w:rPr>
  </w:style>
  <w:style w:type="paragraph" w:styleId="1108" w:customStyle="1">
    <w:name w:val="Default Paragraph Font Para Char"/>
    <w:basedOn w:val="830"/>
    <w:uiPriority w:val="0"/>
    <w:qFormat/>
    <w:pPr>
      <w:spacing w:after="160" w:line="240" w:lineRule="exact"/>
    </w:pPr>
    <w:rPr>
      <w:rFonts w:ascii="Verdana" w:hAnsi="Verdana"/>
      <w:sz w:val="20"/>
      <w:lang w:eastAsia="en-US"/>
    </w:rPr>
  </w:style>
  <w:style w:type="paragraph" w:styleId="1109" w:customStyle="1">
    <w:name w:val="Char Char Char Char Char Char Char Char Char1 Char"/>
    <w:basedOn w:val="849"/>
    <w:uiPriority w:val="0"/>
    <w:qFormat/>
    <w:pPr>
      <w:jc w:val="both"/>
      <w:spacing w:line="360" w:lineRule="auto"/>
      <w:widowControl w:val="off"/>
    </w:pPr>
    <w:rPr>
      <w:rFonts w:ascii="Tahoma" w:hAnsi="Tahoma"/>
      <w:szCs w:val="24"/>
    </w:rPr>
  </w:style>
  <w:style w:type="paragraph" w:styleId="1110" w:customStyle="1">
    <w:name w:val="xl30"/>
    <w:basedOn w:val="830"/>
    <w:uiPriority w:val="0"/>
    <w:qFormat/>
    <w:pPr>
      <w:jc w:val="center"/>
      <w:spacing w:before="100" w:beforeAutospacing="1" w:after="100" w:afterAutospacing="1"/>
    </w:pPr>
    <w:rPr>
      <w:rFonts w:ascii="宋体" w:hAnsi="宋体"/>
      <w:b/>
      <w:bCs/>
      <w:sz w:val="28"/>
      <w:szCs w:val="28"/>
    </w:rPr>
  </w:style>
  <w:style w:type="paragraph" w:styleId="1111" w:customStyle="1">
    <w:name w:val="纯文本21"/>
    <w:basedOn w:val="830"/>
    <w:uiPriority w:val="0"/>
    <w:qFormat/>
    <w:rPr>
      <w:rFonts w:ascii="宋体" w:hAnsi="Courier New"/>
      <w:sz w:val="26"/>
    </w:rPr>
  </w:style>
  <w:style w:type="paragraph" w:styleId="1112" w:customStyle="1">
    <w:name w:val="Plain Text1"/>
    <w:basedOn w:val="830"/>
    <w:uiPriority w:val="0"/>
    <w:qFormat/>
    <w:rPr>
      <w:rFonts w:ascii="宋体" w:hAnsi="Courier New" w:eastAsia="楷体_GB2312"/>
      <w:sz w:val="26"/>
    </w:rPr>
  </w:style>
  <w:style w:type="paragraph" w:styleId="1113" w:customStyle="1">
    <w:name w:val="编写建议"/>
    <w:basedOn w:val="830"/>
    <w:uiPriority w:val="0"/>
    <w:qFormat/>
    <w:pPr>
      <w:ind w:firstLine="420"/>
      <w:spacing w:line="360" w:lineRule="auto"/>
      <w:widowControl w:val="off"/>
    </w:pPr>
    <w:rPr>
      <w:rFonts w:ascii="Arial" w:hAnsi="Arial" w:cs="Arial"/>
      <w:i/>
      <w:color w:val="0000ff"/>
      <w:sz w:val="21"/>
      <w:szCs w:val="21"/>
    </w:rPr>
  </w:style>
  <w:style w:type="paragraph" w:styleId="1114" w:customStyle="1">
    <w:name w:val="xl70"/>
    <w:basedOn w:val="830"/>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15" w:customStyle="1">
    <w:name w:val="font7"/>
    <w:basedOn w:val="830"/>
    <w:uiPriority w:val="0"/>
    <w:qFormat/>
    <w:pPr>
      <w:spacing w:before="100" w:beforeAutospacing="1" w:after="100" w:afterAutospacing="1"/>
    </w:pPr>
    <w:rPr>
      <w:sz w:val="20"/>
    </w:rPr>
  </w:style>
  <w:style w:type="paragraph" w:styleId="1116" w:customStyle="1">
    <w:name w:val="xl68"/>
    <w:basedOn w:val="830"/>
    <w:uiPriority w:val="0"/>
    <w:qFormat/>
    <w:pPr>
      <w:spacing w:before="100" w:beforeAutospacing="1" w:after="100" w:afterAutospacing="1"/>
      <w:shd w:val="clear" w:color="000000" w:fill="bdd7ee"/>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17" w:customStyle="1">
    <w:name w:val="Char1 Char Char Char"/>
    <w:basedOn w:val="830"/>
    <w:uiPriority w:val="0"/>
    <w:qFormat/>
    <w:pPr>
      <w:jc w:val="both"/>
      <w:widowControl w:val="off"/>
    </w:pPr>
    <w:rPr>
      <w:rFonts w:ascii="Tahoma" w:hAnsi="Tahoma"/>
    </w:rPr>
  </w:style>
  <w:style w:type="paragraph" w:styleId="1118" w:customStyle="1">
    <w:name w:val="xl65"/>
    <w:basedOn w:val="830"/>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新宋体" w:hAnsi="新宋体" w:eastAsia="新宋体" w:cs="宋体"/>
      <w:b/>
      <w:bCs/>
      <w:sz w:val="20"/>
    </w:rPr>
  </w:style>
  <w:style w:type="paragraph" w:styleId="1119" w:customStyle="1">
    <w:name w:val="纯文本2"/>
    <w:basedOn w:val="830"/>
    <w:uiPriority w:val="0"/>
    <w:qFormat/>
    <w:rPr>
      <w:rFonts w:ascii="宋体" w:hAnsi="Courier New" w:eastAsia="楷体_GB2312"/>
      <w:sz w:val="26"/>
    </w:rPr>
  </w:style>
  <w:style w:type="paragraph" w:styleId="1120" w:customStyle="1">
    <w:name w:val="xl69"/>
    <w:basedOn w:val="830"/>
    <w:uiPriority w:val="0"/>
    <w:qFormat/>
    <w:pP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21" w:customStyle="1">
    <w:name w:val="注示文本"/>
    <w:basedOn w:val="830"/>
    <w:uiPriority w:val="0"/>
    <w:qFormat/>
    <w:pPr>
      <w:ind w:firstLine="360"/>
      <w:jc w:val="both"/>
      <w:spacing w:line="360" w:lineRule="auto"/>
      <w:widowControl w:val="off"/>
      <w:pBdr>
        <w:bottom w:val="single" w:color="000000" w:sz="4" w:space="1"/>
      </w:pBdr>
    </w:pPr>
    <w:rPr>
      <w:rFonts w:ascii="Arial" w:hAnsi="Arial" w:eastAsia="楷体_GB2312"/>
      <w:sz w:val="18"/>
      <w:szCs w:val="18"/>
    </w:rPr>
  </w:style>
  <w:style w:type="paragraph" w:styleId="1122" w:customStyle="1">
    <w:name w:val="xl78"/>
    <w:basedOn w:val="830"/>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3" w:customStyle="1">
    <w:name w:val="xl36"/>
    <w:basedOn w:val="830"/>
    <w:uiPriority w:val="0"/>
    <w:qFormat/>
    <w:pPr>
      <w:jc w:val="center"/>
      <w:spacing w:before="100" w:beforeAutospacing="1" w:after="100" w:afterAutospacing="1"/>
      <w:pBdr>
        <w:left w:val="single" w:color="auto" w:sz="4" w:space="0"/>
        <w:right w:val="single" w:color="auto" w:sz="4" w:space="0"/>
      </w:pBdr>
    </w:pPr>
    <w:rPr>
      <w:rFonts w:ascii="宋体" w:hAnsi="宋体"/>
      <w:sz w:val="20"/>
    </w:rPr>
  </w:style>
  <w:style w:type="paragraph" w:styleId="1124" w:customStyle="1">
    <w:name w:val="xl74"/>
    <w:basedOn w:val="830"/>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5" w:customStyle="1">
    <w:name w:val="font8"/>
    <w:basedOn w:val="830"/>
    <w:uiPriority w:val="0"/>
    <w:qFormat/>
    <w:pPr>
      <w:spacing w:before="100" w:beforeAutospacing="1" w:after="100" w:afterAutospacing="1"/>
    </w:pPr>
    <w:rPr>
      <w:rFonts w:hint="eastAsia" w:ascii="宋体" w:hAnsi="宋体"/>
      <w:b/>
      <w:bCs/>
      <w:sz w:val="20"/>
    </w:rPr>
  </w:style>
  <w:style w:type="paragraph" w:styleId="1126" w:customStyle="1">
    <w:name w:val="_Style 5"/>
    <w:basedOn w:val="849"/>
    <w:uiPriority w:val="0"/>
    <w:qFormat/>
    <w:pPr>
      <w:spacing w:line="360" w:lineRule="auto"/>
    </w:pPr>
    <w:rPr>
      <w:szCs w:val="24"/>
    </w:rPr>
  </w:style>
  <w:style w:type="paragraph" w:styleId="1127" w:customStyle="1">
    <w:name w:val="font9"/>
    <w:basedOn w:val="830"/>
    <w:uiPriority w:val="0"/>
    <w:qFormat/>
    <w:pPr>
      <w:spacing w:before="100" w:beforeAutospacing="1" w:after="100" w:afterAutospacing="1"/>
    </w:pPr>
    <w:rPr>
      <w:sz w:val="20"/>
    </w:rPr>
  </w:style>
  <w:style w:type="paragraph" w:styleId="1128" w:customStyle="1">
    <w:name w:val="正文（首行不缩进）"/>
    <w:basedOn w:val="830"/>
    <w:uiPriority w:val="0"/>
    <w:qFormat/>
    <w:pPr>
      <w:spacing w:line="360" w:lineRule="auto"/>
      <w:widowControl w:val="off"/>
    </w:pPr>
    <w:rPr>
      <w:sz w:val="21"/>
      <w:szCs w:val="21"/>
    </w:rPr>
  </w:style>
  <w:style w:type="paragraph" w:styleId="1129" w:customStyle="1">
    <w:name w:val="Char11"/>
    <w:basedOn w:val="830"/>
    <w:uiPriority w:val="0"/>
    <w:qFormat/>
    <w:pPr>
      <w:ind w:left="360" w:hanging="360"/>
      <w:jc w:val="both"/>
      <w:widowControl w:val="off"/>
      <w:tabs>
        <w:tab w:val="left" w:pos="360" w:leader="none"/>
      </w:tabs>
    </w:pPr>
    <w:rPr>
      <w:szCs w:val="24"/>
    </w:rPr>
  </w:style>
  <w:style w:type="paragraph" w:styleId="1130" w:customStyle="1">
    <w:name w:val="List Paragraph1"/>
    <w:basedOn w:val="830"/>
    <w:uiPriority w:val="0"/>
    <w:qFormat/>
    <w:pPr>
      <w:ind w:firstLine="420"/>
      <w:jc w:val="both"/>
      <w:widowControl w:val="off"/>
    </w:pPr>
    <w:rPr>
      <w:rFonts w:ascii="Calibri" w:hAnsi="Calibri"/>
      <w:sz w:val="21"/>
      <w:szCs w:val="22"/>
    </w:rPr>
  </w:style>
  <w:style w:type="paragraph" w:styleId="1131" w:customStyle="1">
    <w:name w:val="Char1"/>
    <w:basedOn w:val="830"/>
    <w:uiPriority w:val="0"/>
    <w:qFormat/>
    <w:pPr>
      <w:ind w:left="360" w:hanging="360"/>
      <w:jc w:val="both"/>
      <w:widowControl w:val="off"/>
      <w:tabs>
        <w:tab w:val="left" w:pos="360" w:leader="none"/>
      </w:tabs>
    </w:pPr>
  </w:style>
  <w:style w:type="paragraph" w:styleId="1132" w:customStyle="1">
    <w:name w:val="xl63"/>
    <w:basedOn w:val="830"/>
    <w:uiPriority w:val="0"/>
    <w:qFormat/>
    <w:pPr>
      <w:jc w:val="center"/>
      <w:spacing w:before="100" w:beforeAutospacing="1" w:after="100" w:afterAutospacing="1"/>
    </w:pPr>
    <w:rPr>
      <w:rFonts w:ascii="宋体" w:hAnsi="宋体" w:cs="宋体"/>
      <w:szCs w:val="24"/>
    </w:rPr>
  </w:style>
  <w:style w:type="paragraph" w:styleId="1133" w:customStyle="1">
    <w:name w:val="Char Char Char1 Char Char Char Char"/>
    <w:basedOn w:val="830"/>
    <w:uiPriority w:val="0"/>
    <w:qFormat/>
    <w:pPr>
      <w:spacing w:after="160" w:line="240" w:lineRule="exact"/>
    </w:pPr>
  </w:style>
  <w:style w:type="paragraph" w:styleId="1134" w:customStyle="1">
    <w:name w:val="xl34"/>
    <w:basedOn w:val="830"/>
    <w:uiPriority w:val="0"/>
    <w:qFormat/>
    <w:pPr>
      <w:jc w:val="center"/>
      <w:spacing w:before="100" w:beforeAutospacing="1" w:after="100" w:afterAutospacing="1"/>
      <w:pBdr>
        <w:left w:val="single" w:color="auto" w:sz="4" w:space="0"/>
        <w:right w:val="single" w:color="auto" w:sz="4" w:space="0"/>
      </w:pBdr>
    </w:pPr>
    <w:rPr>
      <w:rFonts w:ascii="宋体" w:hAnsi="宋体"/>
      <w:sz w:val="20"/>
    </w:rPr>
  </w:style>
  <w:style w:type="paragraph" w:styleId="1135" w:customStyle="1">
    <w:name w:val="图"/>
    <w:basedOn w:val="830"/>
    <w:uiPriority w:val="0"/>
    <w:qFormat/>
    <w:pPr>
      <w:jc w:val="center"/>
      <w:keepNext/>
      <w:spacing w:before="60" w:after="60" w:line="300" w:lineRule="auto"/>
      <w:widowControl w:val="off"/>
    </w:pPr>
    <w:rPr>
      <w:spacing w:val="20"/>
    </w:rPr>
  </w:style>
  <w:style w:type="paragraph" w:styleId="1136" w:customStyle="1">
    <w:name w:val="样式 正文首行缩进 2 + 左侧:  1.5 字符 首行缩进:  2 字符2"/>
    <w:next w:val="830"/>
    <w:uiPriority w:val="0"/>
    <w:qFormat/>
    <w:pPr>
      <w:ind w:firstLine="480"/>
      <w:jc w:val="both"/>
      <w:spacing w:line="360" w:lineRule="auto"/>
      <w:widowControl w:val="off"/>
    </w:pPr>
    <w:rPr>
      <w:rFonts w:ascii="宋体" w:hAnsi="宋体" w:cs="Times New Roman" w:eastAsiaTheme="minorEastAsia"/>
      <w:sz w:val="24"/>
      <w:szCs w:val="21"/>
      <w:lang w:val="en-US" w:eastAsia="zh-CN" w:bidi="ar-SA"/>
    </w:rPr>
  </w:style>
  <w:style w:type="paragraph" w:styleId="1137" w:customStyle="1">
    <w:name w:val="xl75"/>
    <w:basedOn w:val="830"/>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8" w:customStyle="1">
    <w:name w:val="图样式"/>
    <w:basedOn w:val="830"/>
    <w:uiPriority w:val="0"/>
    <w:qFormat/>
    <w:pPr>
      <w:jc w:val="center"/>
      <w:keepNext/>
      <w:spacing w:before="80" w:after="80" w:line="360" w:lineRule="auto"/>
    </w:pPr>
    <w:rPr>
      <w:sz w:val="21"/>
      <w:szCs w:val="21"/>
    </w:rPr>
  </w:style>
  <w:style w:type="paragraph" w:styleId="1139" w:customStyle="1">
    <w:name w:val="font5"/>
    <w:basedOn w:val="830"/>
    <w:uiPriority w:val="0"/>
    <w:qFormat/>
    <w:pPr>
      <w:spacing w:before="100" w:beforeAutospacing="1" w:after="100" w:afterAutospacing="1"/>
    </w:pPr>
    <w:rPr>
      <w:rFonts w:hint="eastAsia" w:ascii="宋体" w:hAnsi="宋体"/>
      <w:sz w:val="18"/>
    </w:rPr>
  </w:style>
  <w:style w:type="paragraph" w:styleId="1140">
    <w:name w:val="List Paragraph"/>
    <w:basedOn w:val="830"/>
    <w:link w:val="1141"/>
    <w:uiPriority w:val="0"/>
    <w:qFormat/>
    <w:pPr>
      <w:ind w:firstLine="420"/>
      <w:jc w:val="both"/>
      <w:widowControl w:val="off"/>
    </w:pPr>
    <w:rPr>
      <w:rFonts w:ascii="Calibri" w:hAnsi="Calibri"/>
      <w:sz w:val="21"/>
      <w:szCs w:val="22"/>
    </w:rPr>
  </w:style>
  <w:style w:type="character" w:styleId="1141" w:customStyle="1">
    <w:name w:val="列出段落 字符"/>
    <w:basedOn w:val="840"/>
    <w:link w:val="1140"/>
    <w:uiPriority w:val="34"/>
    <w:qFormat/>
    <w:rPr>
      <w:rFonts w:ascii="Calibri" w:hAnsi="Calibri" w:eastAsia="宋体" w:cs="Times New Roman"/>
      <w:sz w:val="21"/>
      <w:szCs w:val="22"/>
    </w:rPr>
  </w:style>
  <w:style w:type="paragraph" w:styleId="1142" w:customStyle="1">
    <w:name w:val="_Style 12"/>
    <w:basedOn w:val="849"/>
    <w:uiPriority w:val="0"/>
    <w:qFormat/>
    <w:pPr>
      <w:jc w:val="both"/>
      <w:spacing w:line="360" w:lineRule="auto"/>
      <w:widowControl w:val="off"/>
    </w:pPr>
    <w:rPr>
      <w:sz w:val="21"/>
    </w:rPr>
  </w:style>
  <w:style w:type="paragraph" w:styleId="1143" w:customStyle="1">
    <w:name w:val="xl79"/>
    <w:basedOn w:val="830"/>
    <w:uiPriority w:val="0"/>
    <w:qFormat/>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44" w:customStyle="1">
    <w:name w:val="xl24"/>
    <w:basedOn w:val="830"/>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sz w:val="20"/>
    </w:rPr>
  </w:style>
  <w:style w:type="paragraph" w:styleId="1145" w:customStyle="1">
    <w:name w:val="首行缩进"/>
    <w:basedOn w:val="830"/>
    <w:uiPriority w:val="0"/>
    <w:qFormat/>
    <w:pPr>
      <w:ind w:firstLine="480"/>
    </w:pPr>
    <w:rPr>
      <w:lang w:val="zh-CN"/>
    </w:rPr>
  </w:style>
  <w:style w:type="paragraph" w:styleId="1146" w:customStyle="1">
    <w:name w:val="xl67"/>
    <w:basedOn w:val="830"/>
    <w:uiPriority w:val="0"/>
    <w:qFormat/>
    <w:pP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47" w:customStyle="1">
    <w:name w:val="表格题注"/>
    <w:next w:val="830"/>
    <w:uiPriority w:val="0"/>
    <w:qFormat/>
    <w:pPr>
      <w:numPr>
        <w:ilvl w:val="8"/>
        <w:numId w:val="1"/>
      </w:numPr>
      <w:ind w:left="1089" w:hanging="369"/>
      <w:jc w:val="center"/>
      <w:keepLines/>
    </w:pPr>
    <w:rPr>
      <w:rFonts w:ascii="Arial" w:hAnsi="Arial" w:cs="Times New Roman" w:eastAsiaTheme="minorEastAsia"/>
      <w:sz w:val="18"/>
      <w:szCs w:val="18"/>
      <w:lang w:val="en-US" w:eastAsia="zh-CN" w:bidi="ar-SA"/>
    </w:rPr>
  </w:style>
  <w:style w:type="paragraph" w:styleId="1148" w:customStyle="1">
    <w:name w:val="xl22"/>
    <w:basedOn w:val="830"/>
    <w:uiPriority w:val="0"/>
    <w:qFormat/>
    <w:pPr>
      <w:jc w:val="center"/>
      <w:spacing w:before="100" w:beforeAutospacing="1" w:after="100" w:afterAutospacing="1"/>
    </w:pPr>
    <w:rPr>
      <w:rFonts w:ascii="宋体" w:hAnsi="宋体"/>
      <w:sz w:val="20"/>
    </w:rPr>
  </w:style>
  <w:style w:type="paragraph" w:styleId="1149" w:customStyle="1">
    <w:name w:val="xl64"/>
    <w:basedOn w:val="830"/>
    <w:uiPriority w:val="0"/>
    <w:qFormat/>
    <w:pPr>
      <w:spacing w:before="100" w:beforeAutospacing="1" w:after="100" w:afterAutospacing="1"/>
    </w:pPr>
    <w:rPr>
      <w:rFonts w:ascii="宋体" w:hAnsi="宋体" w:cs="宋体"/>
      <w:sz w:val="18"/>
      <w:szCs w:val="18"/>
    </w:rPr>
  </w:style>
  <w:style w:type="paragraph" w:styleId="1150" w:customStyle="1">
    <w:name w:val="Z文"/>
    <w:uiPriority w:val="0"/>
    <w:qFormat/>
    <w:pPr>
      <w:ind w:firstLine="200"/>
      <w:jc w:val="both"/>
      <w:spacing w:line="360" w:lineRule="auto"/>
      <w:widowControl w:val="off"/>
    </w:pPr>
    <w:rPr>
      <w:rFonts w:ascii="Time New Romes" w:hAnsi="Time New Romes" w:eastAsia="仿宋" w:cs="Times New Roman"/>
      <w:sz w:val="24"/>
      <w:szCs w:val="22"/>
      <w:lang w:val="en-US" w:eastAsia="zh-CN" w:bidi="ar-SA"/>
    </w:rPr>
  </w:style>
  <w:style w:type="paragraph" w:styleId="1151" w:customStyle="1">
    <w:name w:val="Char Char Char"/>
    <w:basedOn w:val="830"/>
    <w:uiPriority w:val="0"/>
    <w:qFormat/>
    <w:pPr>
      <w:numPr>
        <w:ilvl w:val="0"/>
        <w:numId w:val="2"/>
      </w:numPr>
      <w:jc w:val="both"/>
      <w:widowControl w:val="off"/>
      <w:tabs>
        <w:tab w:val="left" w:pos="840" w:leader="none"/>
      </w:tabs>
    </w:pPr>
  </w:style>
  <w:style w:type="paragraph" w:styleId="1152" w:customStyle="1">
    <w:name w:val="H-TextFormat"/>
    <w:uiPriority w:val="0"/>
    <w:qFormat/>
    <w:rPr>
      <w:rFonts w:ascii="Arial" w:hAnsi="Arial" w:cs="Times New Roman" w:eastAsiaTheme="minorEastAsia"/>
      <w:sz w:val="22"/>
      <w:lang w:val="en-GB" w:eastAsia="en-US" w:bidi="ar-SA"/>
    </w:rPr>
  </w:style>
  <w:style w:type="paragraph" w:styleId="1153" w:customStyle="1">
    <w:name w:val="文档标题"/>
    <w:basedOn w:val="830"/>
    <w:uiPriority w:val="0"/>
    <w:qFormat/>
    <w:pPr>
      <w:jc w:val="center"/>
      <w:spacing w:before="300" w:after="300" w:line="360" w:lineRule="auto"/>
      <w:widowControl w:val="off"/>
      <w:tabs>
        <w:tab w:val="left" w:pos="0" w:leader="none"/>
      </w:tabs>
    </w:pPr>
    <w:rPr>
      <w:rFonts w:ascii="Arial" w:hAnsi="Arial" w:eastAsia="黑体"/>
      <w:sz w:val="36"/>
      <w:szCs w:val="36"/>
    </w:rPr>
  </w:style>
  <w:style w:type="paragraph" w:styleId="1154" w:customStyle="1">
    <w:name w:val="xl29"/>
    <w:basedOn w:val="830"/>
    <w:uiPriority w:val="0"/>
    <w:qFormat/>
    <w:pPr>
      <w:spacing w:before="100" w:beforeAutospacing="1" w:after="100" w:afterAutospacing="1"/>
      <w:pBdr>
        <w:top w:val="single" w:color="auto" w:sz="4" w:space="0"/>
      </w:pBdr>
    </w:pPr>
    <w:rPr>
      <w:rFonts w:ascii="宋体" w:hAnsi="宋体"/>
      <w:sz w:val="20"/>
    </w:rPr>
  </w:style>
  <w:style w:type="paragraph" w:styleId="1155" w:customStyle="1">
    <w:name w:val="xl72"/>
    <w:basedOn w:val="830"/>
    <w:uiPriority w:val="0"/>
    <w:qFormat/>
    <w:pPr>
      <w:spacing w:before="100" w:beforeAutospacing="1" w:after="100" w:afterAutospacing="1"/>
      <w:shd w:val="clear" w:color="000000" w:fill="bdd7ee"/>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56" w:customStyle="1">
    <w:name w:val="Char Char Char1"/>
    <w:basedOn w:val="830"/>
    <w:uiPriority w:val="0"/>
    <w:qFormat/>
    <w:pPr>
      <w:numPr>
        <w:ilvl w:val="0"/>
        <w:numId w:val="3"/>
      </w:numPr>
      <w:jc w:val="both"/>
      <w:widowControl w:val="off"/>
      <w:tabs>
        <w:tab w:val="clear" w:pos="360" w:leader="none"/>
        <w:tab w:val="left" w:pos="840" w:leader="none"/>
      </w:tabs>
    </w:pPr>
  </w:style>
  <w:style w:type="paragraph" w:styleId="1157" w:customStyle="1">
    <w:name w:val="xl23"/>
    <w:basedOn w:val="830"/>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sz w:val="20"/>
    </w:rPr>
  </w:style>
  <w:style w:type="table" w:styleId="1158" w:customStyle="1">
    <w:name w:val="表样式"/>
    <w:basedOn w:val="841"/>
    <w:uiPriority w:val="0"/>
    <w:qFormat/>
    <w:pPr>
      <w:jc w:val="both"/>
    </w:pPr>
    <w:rPr>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shd w:val="clear" w:color="auto" w:fill="auto"/>
      <w:vAlign w:val="center"/>
    </w:tcPr>
  </w:style>
  <w:style w:type="character" w:styleId="1159" w:customStyle="1">
    <w:name w:val="font12"/>
    <w:basedOn w:val="840"/>
    <w:uiPriority w:val="0"/>
    <w:qFormat/>
    <w:rPr>
      <w:rFonts w:hint="eastAsia" w:ascii="宋体" w:hAnsi="宋体" w:eastAsia="宋体" w:cs="宋体"/>
      <w:color w:val="000000"/>
      <w:sz w:val="20"/>
      <w:szCs w:val="20"/>
      <w:u w:val="none"/>
    </w:rPr>
  </w:style>
  <w:style w:type="character" w:styleId="1160" w:customStyle="1">
    <w:name w:val="font151"/>
    <w:basedOn w:val="840"/>
    <w:uiPriority w:val="0"/>
    <w:qFormat/>
    <w:rPr>
      <w:rFonts w:hint="eastAsia" w:ascii="宋体" w:hAnsi="宋体" w:eastAsia="宋体" w:cs="宋体"/>
      <w:strike/>
      <w:color w:val="000000"/>
      <w:sz w:val="20"/>
      <w:szCs w:val="20"/>
    </w:rPr>
  </w:style>
  <w:style w:type="character" w:styleId="1161" w:customStyle="1">
    <w:name w:val="font111"/>
    <w:basedOn w:val="840"/>
    <w:uiPriority w:val="0"/>
    <w:qFormat/>
    <w:rPr>
      <w:rFonts w:hint="eastAsia" w:ascii="宋体" w:hAnsi="宋体" w:eastAsia="宋体" w:cs="宋体"/>
      <w:color w:val="ff0000"/>
      <w:sz w:val="20"/>
      <w:szCs w:val="20"/>
      <w:u w:val="none"/>
    </w:rPr>
  </w:style>
  <w:style w:type="character" w:styleId="1162" w:customStyle="1">
    <w:name w:val="font61"/>
    <w:basedOn w:val="840"/>
    <w:uiPriority w:val="0"/>
    <w:qFormat/>
    <w:rPr>
      <w:rFonts w:hint="eastAsia" w:ascii="宋体" w:hAnsi="宋体" w:eastAsia="宋体" w:cs="宋体"/>
      <w:color w:val="000000"/>
      <w:sz w:val="20"/>
      <w:szCs w:val="20"/>
      <w:u w:val="none"/>
    </w:rPr>
  </w:style>
  <w:style w:type="character" w:styleId="1163" w:customStyle="1">
    <w:name w:val="font112"/>
    <w:basedOn w:val="840"/>
    <w:uiPriority w:val="0"/>
    <w:qFormat/>
    <w:rPr>
      <w:rFonts w:hint="eastAsia" w:ascii="宋体" w:hAnsi="宋体" w:eastAsia="宋体" w:cs="宋体"/>
      <w:color w:val="ff0000"/>
      <w:sz w:val="20"/>
      <w:szCs w:val="20"/>
      <w:u w:val="none"/>
    </w:rPr>
  </w:style>
  <w:style w:type="character" w:styleId="1164" w:customStyle="1">
    <w:name w:val="font81"/>
    <w:basedOn w:val="840"/>
    <w:uiPriority w:val="0"/>
    <w:qFormat/>
    <w:rPr>
      <w:rFonts w:hint="eastAsia" w:ascii="宋体" w:hAnsi="宋体" w:eastAsia="宋体" w:cs="宋体"/>
      <w:strike/>
      <w:color w:val="ff0000"/>
      <w:sz w:val="20"/>
      <w:szCs w:val="20"/>
    </w:rPr>
  </w:style>
  <w:style w:type="character" w:styleId="1165" w:customStyle="1">
    <w:name w:val="font101"/>
    <w:basedOn w:val="840"/>
    <w:uiPriority w:val="0"/>
    <w:qFormat/>
    <w:rPr>
      <w:rFonts w:hint="eastAsia" w:ascii="宋体" w:hAnsi="宋体" w:eastAsia="宋体" w:cs="宋体"/>
      <w:color w:val="ff0000"/>
      <w:sz w:val="20"/>
      <w:szCs w:val="20"/>
      <w:u w:val="none"/>
    </w:rPr>
  </w:style>
  <w:style w:type="character" w:styleId="1166" w:customStyle="1">
    <w:name w:val="font141"/>
    <w:basedOn w:val="840"/>
    <w:uiPriority w:val="0"/>
    <w:qFormat/>
    <w:rPr>
      <w:rFonts w:hint="eastAsia" w:ascii="宋体" w:hAnsi="宋体" w:eastAsia="宋体" w:cs="宋体"/>
      <w:color w:val="ff0000"/>
      <w:sz w:val="20"/>
      <w:szCs w:val="20"/>
      <w:u w:val="none"/>
    </w:rPr>
  </w:style>
  <w:style w:type="character" w:styleId="1167" w:customStyle="1">
    <w:name w:val="font121"/>
    <w:basedOn w:val="840"/>
    <w:uiPriority w:val="0"/>
    <w:qFormat/>
    <w:rPr>
      <w:rFonts w:hint="eastAsia" w:ascii="宋体" w:hAnsi="宋体" w:eastAsia="宋体" w:cs="宋体"/>
      <w:color w:val="ff0000"/>
      <w:sz w:val="20"/>
      <w:szCs w:val="20"/>
      <w:u w:val="none"/>
    </w:rPr>
  </w:style>
  <w:style w:type="character" w:styleId="1168" w:customStyle="1">
    <w:name w:val="font131"/>
    <w:basedOn w:val="840"/>
    <w:uiPriority w:val="0"/>
    <w:qFormat/>
    <w:rPr>
      <w:rFonts w:hint="eastAsia" w:ascii="宋体" w:hAnsi="宋体" w:eastAsia="宋体" w:cs="宋体"/>
      <w:strike/>
      <w:color w:val="ff0000"/>
      <w:sz w:val="20"/>
      <w:szCs w:val="20"/>
    </w:rPr>
  </w:style>
  <w:style w:type="paragraph" w:styleId="1169" w:customStyle="1">
    <w:name w:val="需求正文"/>
    <w:basedOn w:val="1140"/>
    <w:link w:val="1170"/>
    <w:uiPriority w:val="0"/>
    <w:qFormat/>
    <w:pPr>
      <w:ind w:firstLine="0"/>
    </w:pPr>
    <w:rPr>
      <w:rFonts w:hAnsi="宋体"/>
    </w:rPr>
  </w:style>
  <w:style w:type="character" w:styleId="1170" w:customStyle="1">
    <w:name w:val="需求正文 字符"/>
    <w:basedOn w:val="1141"/>
    <w:link w:val="1169"/>
    <w:uiPriority w:val="0"/>
    <w:qFormat/>
    <w:rPr>
      <w:rFonts w:ascii="Calibri" w:hAnsi="宋体" w:eastAsia="宋体" w:cs="Times New Roman"/>
      <w:sz w:val="21"/>
      <w:szCs w:val="22"/>
    </w:rPr>
  </w:style>
  <w:style w:type="paragraph" w:styleId="1171" w:customStyle="1">
    <w:name w:val="修订1"/>
    <w:hidden/>
    <w:uiPriority w:val="0"/>
    <w:unhideWhenUsed/>
    <w:qFormat/>
    <w:rPr>
      <w:rFonts w:ascii="Times New Roman" w:hAnsi="Times New Roman" w:cs="Times New Roman" w:eastAsiaTheme="minorEastAsia"/>
      <w:sz w:val="24"/>
      <w:lang w:val="en-US" w:eastAsia="zh-CN" w:bidi="ar-SA"/>
    </w:rPr>
  </w:style>
  <w:style w:type="paragraph" w:styleId="1172" w:customStyle="1">
    <w:name w:val="正文-hy"/>
    <w:basedOn w:val="830"/>
    <w:uiPriority w:val="0"/>
    <w:qFormat/>
    <w:pPr>
      <w:ind w:firstLine="480"/>
    </w:pPr>
    <w:rPr>
      <w:rFonts w:ascii="宋体" w:hAnsi="宋体" w:cstheme="minorBidi"/>
    </w:rPr>
  </w:style>
  <w:style w:type="paragraph" w:styleId="1173" w:customStyle="1">
    <w:name w:val="表正文"/>
    <w:basedOn w:val="830"/>
    <w:uiPriority w:val="0"/>
    <w:qFormat/>
    <w:rPr>
      <w:rFonts w:ascii="Arial" w:hAnsi="Arial"/>
    </w:rPr>
  </w:style>
  <w:style w:type="paragraph" w:styleId="1174" w:customStyle="1">
    <w:name w:val="正文文本缩进1"/>
    <w:basedOn w:val="830"/>
    <w:next w:val="830"/>
    <w:uiPriority w:val="0"/>
    <w:unhideWhenUsed/>
    <w:qFormat/>
    <w:pPr>
      <w:ind w:firstLine="425"/>
      <w:spacing w:line="360" w:lineRule="auto"/>
    </w:pPr>
    <w:rPr>
      <w:sz w:val="20"/>
      <w:szCs w:val="24"/>
    </w:rPr>
  </w:style>
  <w:style w:type="paragraph" w:styleId="1175" w:customStyle="1">
    <w:name w:val="方案正文"/>
    <w:basedOn w:val="830"/>
    <w:uiPriority w:val="0"/>
    <w:qFormat/>
    <w:pPr>
      <w:ind w:firstLine="425"/>
      <w:spacing w:before="120" w:line="360" w:lineRule="auto"/>
    </w:pPr>
    <w:rPr>
      <w:rFonts w:ascii="华文细黑" w:hAnsi="华文细黑" w:eastAsia="华文细黑"/>
      <w:szCs w:val="24"/>
    </w:rPr>
  </w:style>
  <w:style w:type="character" w:styleId="1176" w:customStyle="1">
    <w:name w:val="NormalCharacter"/>
    <w:link w:val="1177"/>
    <w:uiPriority w:val="0"/>
    <w:qFormat/>
  </w:style>
  <w:style w:type="paragraph" w:styleId="1177" w:customStyle="1">
    <w:name w:val="UserStyle_3"/>
    <w:basedOn w:val="830"/>
    <w:link w:val="1176"/>
    <w:uiPriority w:val="0"/>
    <w:qFormat/>
    <w:pPr>
      <w:spacing w:after="160" w:line="240" w:lineRule="exact"/>
    </w:pPr>
  </w:style>
  <w:style w:type="paragraph" w:styleId="1178" w:customStyle="1">
    <w:name w:val="修订2"/>
    <w:hidden/>
    <w:uiPriority w:val="0"/>
    <w:unhideWhenUsed/>
    <w:qFormat/>
    <w:rPr>
      <w:rFonts w:ascii="Times New Roman" w:hAnsi="Times New Roman" w:cs="Times New Roman" w:eastAsiaTheme="minorEastAsia"/>
      <w:sz w:val="24"/>
      <w:lang w:val="en-US" w:eastAsia="zh-CN" w:bidi="ar-SA"/>
    </w:rPr>
  </w:style>
  <w:style w:type="character" w:styleId="1179" w:customStyle="1">
    <w:name w:val="未处理的提及1"/>
    <w:basedOn w:val="840"/>
    <w:uiPriority w:val="99"/>
    <w:semiHidden/>
    <w:unhideWhenUsed/>
    <w:qFormat/>
    <w:rPr>
      <w:color w:val="605e5c"/>
      <w:shd w:val="clear" w:color="auto" w:fill="e1dfdd"/>
    </w:rPr>
  </w:style>
  <w:style w:type="paragraph" w:styleId="1180" w:customStyle="1">
    <w:name w:val="修订3"/>
    <w:hidden/>
    <w:uiPriority w:val="99"/>
    <w:unhideWhenUsed/>
    <w:qFormat/>
    <w:rPr>
      <w:rFonts w:ascii="Times New Roman" w:hAnsi="Times New Roman" w:cs="Times New Roman" w:eastAsiaTheme="minorEastAsia"/>
      <w:sz w:val="24"/>
      <w:lang w:val="en-US" w:eastAsia="zh-CN" w:bidi="ar-SA"/>
    </w:rPr>
  </w:style>
  <w:style w:type="paragraph" w:styleId="1181" w:customStyle="1">
    <w:name w:val="修订4"/>
    <w:hidden/>
    <w:uiPriority w:val="99"/>
    <w:unhideWhenUsed/>
    <w:qFormat/>
    <w:rPr>
      <w:rFonts w:ascii="Times New Roman" w:hAnsi="Times New Roman" w:cs="Times New Roman" w:eastAsiaTheme="minorEastAsia"/>
      <w:sz w:val="24"/>
      <w:lang w:val="en-US" w:eastAsia="zh-CN" w:bidi="ar-SA"/>
    </w:rPr>
  </w:style>
  <w:style w:type="paragraph" w:styleId="1182" w:customStyle="1">
    <w:name w:val="正文2"/>
    <w:basedOn w:val="830"/>
    <w:next w:val="830"/>
    <w:uiPriority w:val="0"/>
    <w:qFormat/>
    <w:pPr>
      <w:ind w:hanging="2155"/>
      <w:jc w:val="both"/>
      <w:spacing w:line="360" w:lineRule="auto"/>
      <w:shd w:val="clear" w:color="auto" w:fill="ffffff"/>
    </w:pPr>
    <w:rPr>
      <w:rFonts w:ascii="宋体" w:hAnsi="宋体" w:cs="宋体"/>
      <w:sz w:val="20"/>
    </w:rPr>
  </w:style>
  <w:style w:type="character" w:styleId="1183" w:customStyle="1">
    <w:name w:val="正文文本 3 字符"/>
    <w:basedOn w:val="840"/>
    <w:link w:val="851"/>
    <w:uiPriority w:val="0"/>
    <w:qFormat/>
  </w:style>
  <w:style w:type="paragraph" w:styleId="1184" w:customStyle="1">
    <w:name w:val="Char Char Char Char Char Char Char Char Char Char Char Char Char"/>
    <w:basedOn w:val="831"/>
    <w:next w:val="830"/>
    <w:uiPriority w:val="0"/>
    <w:qFormat/>
    <w:pPr>
      <w:ind w:firstLine="3584"/>
      <w:jc w:val="both"/>
      <w:spacing w:after="160" w:line="240" w:lineRule="exact"/>
    </w:pPr>
    <w:rPr>
      <w:rFonts w:ascii="Times New Roman" w:hAnsi="Times New Roman" w:cs="Times New Roman"/>
      <w:b w:val="0"/>
      <w:sz w:val="20"/>
      <w:szCs w:val="20"/>
    </w:rPr>
  </w:style>
  <w:style w:type="character" w:styleId="1185" w:customStyle="1">
    <w:name w:val="HTML 预设格式 字符"/>
    <w:basedOn w:val="840"/>
    <w:link w:val="883"/>
    <w:uiPriority w:val="0"/>
  </w:style>
  <w:style w:type="character" w:styleId="1186" w:customStyle="1">
    <w:name w:val="Heading 7 Char"/>
    <w:basedOn w:val="840"/>
    <w:uiPriority w:val="9"/>
    <w:qFormat/>
    <w:rPr>
      <w:rFonts w:ascii="Arial" w:hAnsi="Arial" w:eastAsia="Arial" w:cs="Arial"/>
      <w:b/>
      <w:bCs/>
      <w:i/>
      <w:iCs/>
      <w:sz w:val="22"/>
      <w:szCs w:val="22"/>
    </w:rPr>
  </w:style>
  <w:style w:type="character" w:styleId="1187" w:customStyle="1">
    <w:name w:val="Heading 8 Char"/>
    <w:basedOn w:val="840"/>
    <w:uiPriority w:val="9"/>
    <w:qFormat/>
    <w:rPr>
      <w:rFonts w:ascii="Arial" w:hAnsi="Arial" w:eastAsia="Arial" w:cs="Arial"/>
      <w:i/>
      <w:iCs/>
      <w:sz w:val="22"/>
      <w:szCs w:val="22"/>
    </w:rPr>
  </w:style>
  <w:style w:type="character" w:styleId="1188" w:customStyle="1">
    <w:name w:val="Heading 9 Char"/>
    <w:basedOn w:val="840"/>
    <w:uiPriority w:val="9"/>
    <w:qFormat/>
    <w:rPr>
      <w:rFonts w:ascii="Arial" w:hAnsi="Arial" w:eastAsia="Arial" w:cs="Arial"/>
      <w:i/>
      <w:iCs/>
      <w:sz w:val="21"/>
      <w:szCs w:val="21"/>
    </w:rPr>
  </w:style>
  <w:style w:type="character" w:styleId="1189" w:customStyle="1">
    <w:name w:val="Subtitle Char"/>
    <w:basedOn w:val="840"/>
    <w:uiPriority w:val="11"/>
    <w:qFormat/>
    <w:rPr>
      <w:sz w:val="24"/>
      <w:szCs w:val="24"/>
    </w:rPr>
  </w:style>
  <w:style w:type="character" w:styleId="1190" w:customStyle="1">
    <w:name w:val="Quote Char"/>
    <w:uiPriority w:val="29"/>
    <w:qFormat/>
    <w:rPr>
      <w:i/>
    </w:rPr>
  </w:style>
  <w:style w:type="character" w:styleId="1191" w:customStyle="1">
    <w:name w:val="Intense Quote Char"/>
    <w:uiPriority w:val="30"/>
    <w:qFormat/>
    <w:rPr>
      <w:i/>
    </w:rPr>
  </w:style>
  <w:style w:type="character" w:styleId="1192" w:customStyle="1">
    <w:name w:val="Footnote Text Char"/>
    <w:uiPriority w:val="99"/>
    <w:qFormat/>
    <w:rPr>
      <w:sz w:val="18"/>
    </w:rPr>
  </w:style>
  <w:style w:type="character" w:styleId="1193" w:customStyle="1">
    <w:name w:val="Endnote Text Char"/>
    <w:uiPriority w:val="99"/>
    <w:qFormat/>
    <w:rPr>
      <w:sz w:val="20"/>
    </w:rPr>
  </w:style>
  <w:style w:type="character" w:styleId="1194" w:customStyle="1">
    <w:name w:val="日期 Char"/>
    <w:uiPriority w:val="0"/>
    <w:qFormat/>
    <w:rPr>
      <w:rFonts w:ascii="Times New Roman" w:hAnsi="Times New Roman" w:eastAsia="宋体" w:cs="Times New Roman"/>
      <w:sz w:val="20"/>
    </w:rPr>
  </w:style>
  <w:style w:type="character" w:styleId="1195" w:customStyle="1">
    <w:name w:val="批注引用1"/>
    <w:uiPriority w:val="0"/>
    <w:qFormat/>
    <w:rPr>
      <w:rFonts w:ascii="Times New Roman" w:hAnsi="Times New Roman" w:eastAsia="宋体" w:cs="Times New Roman"/>
      <w:sz w:val="20"/>
    </w:rPr>
  </w:style>
  <w:style w:type="character" w:styleId="1196" w:customStyle="1">
    <w:name w:val="应答文本 Char Char"/>
    <w:uiPriority w:val="0"/>
    <w:qFormat/>
    <w:rPr>
      <w:rFonts w:ascii="Times New Roman" w:hAnsi="Times New Roman" w:eastAsia="宋体" w:cs="Times New Roman"/>
      <w:sz w:val="20"/>
    </w:rPr>
  </w:style>
  <w:style w:type="character" w:styleId="1197" w:customStyle="1">
    <w:name w:val="图片0 Char Char"/>
    <w:uiPriority w:val="0"/>
    <w:qFormat/>
    <w:rPr>
      <w:rFonts w:ascii="Times New Roman" w:hAnsi="Times New Roman" w:eastAsia="宋体" w:cs="Times New Roman"/>
      <w:sz w:val="20"/>
    </w:rPr>
  </w:style>
  <w:style w:type="character" w:styleId="1198" w:customStyle="1">
    <w:name w:val="尾注文本 Char"/>
    <w:uiPriority w:val="0"/>
    <w:qFormat/>
    <w:rPr>
      <w:rFonts w:ascii="Times New Roman" w:hAnsi="Times New Roman" w:eastAsia="宋体" w:cs="Times New Roman"/>
      <w:sz w:val="20"/>
    </w:rPr>
  </w:style>
  <w:style w:type="character" w:styleId="1199" w:customStyle="1">
    <w:name w:val="文档结构图 字符"/>
    <w:uiPriority w:val="0"/>
    <w:qFormat/>
    <w:rPr>
      <w:rFonts w:ascii="Microsoft YaHei UI" w:hAnsi="Times New Roman" w:eastAsia="Microsoft YaHei UI" w:cs="Times New Roman"/>
      <w:sz w:val="18"/>
      <w:szCs w:val="18"/>
    </w:rPr>
  </w:style>
  <w:style w:type="character" w:styleId="1200" w:customStyle="1">
    <w:name w:val="_Style 337"/>
    <w:uiPriority w:val="0"/>
    <w:qFormat/>
    <w:rPr>
      <w:rFonts w:ascii="Times New Roman" w:hAnsi="Times New Roman" w:eastAsia="宋体" w:cs="Times New Roman"/>
      <w:color w:val="auto"/>
      <w:sz w:val="21"/>
    </w:rPr>
  </w:style>
  <w:style w:type="character" w:styleId="1201" w:customStyle="1">
    <w:name w:val="正文文本 字符"/>
    <w:uiPriority w:val="0"/>
    <w:qFormat/>
    <w:rPr>
      <w:rFonts w:ascii="Times New Roman" w:hAnsi="Times New Roman" w:eastAsia="宋体" w:cs="Times New Roman"/>
      <w:sz w:val="21"/>
    </w:rPr>
  </w:style>
  <w:style w:type="character" w:styleId="1202" w:customStyle="1">
    <w:name w:val="批注文字 Char1"/>
    <w:uiPriority w:val="0"/>
    <w:qFormat/>
    <w:rPr>
      <w:rFonts w:ascii="Times New Roman" w:hAnsi="Times New Roman" w:eastAsia="宋体" w:cs="Times New Roman"/>
      <w:sz w:val="20"/>
    </w:rPr>
  </w:style>
  <w:style w:type="character" w:styleId="1203" w:customStyle="1">
    <w:name w:val="txt"/>
    <w:uiPriority w:val="0"/>
    <w:qFormat/>
    <w:rPr>
      <w:rFonts w:ascii="Times New Roman" w:hAnsi="Times New Roman" w:eastAsia="宋体" w:cs="Times New Roman"/>
      <w:sz w:val="20"/>
    </w:rPr>
  </w:style>
  <w:style w:type="character" w:styleId="1204" w:customStyle="1">
    <w:name w:val="标书正文 Char"/>
    <w:uiPriority w:val="0"/>
    <w:qFormat/>
    <w:rPr>
      <w:rFonts w:ascii="Times New Roman" w:hAnsi="Times New Roman" w:eastAsia="宋体" w:cs="Times New Roman"/>
      <w:sz w:val="20"/>
    </w:rPr>
  </w:style>
  <w:style w:type="character" w:styleId="1205" w:customStyle="1">
    <w:name w:val="apple-converted-space"/>
    <w:uiPriority w:val="0"/>
    <w:qFormat/>
    <w:rPr>
      <w:rFonts w:ascii="Times New Roman" w:hAnsi="Times New Roman" w:eastAsia="宋体" w:cs="Times New Roman"/>
      <w:sz w:val="20"/>
    </w:rPr>
  </w:style>
  <w:style w:type="character" w:styleId="1206" w:customStyle="1">
    <w:name w:val="纯文本 Char1"/>
    <w:uiPriority w:val="0"/>
    <w:qFormat/>
    <w:rPr>
      <w:rFonts w:ascii="Times New Roman" w:hAnsi="Times New Roman" w:eastAsia="宋体" w:cs="Times New Roman"/>
      <w:sz w:val="20"/>
    </w:rPr>
  </w:style>
  <w:style w:type="character" w:styleId="1207" w:customStyle="1">
    <w:name w:val="para1"/>
    <w:uiPriority w:val="0"/>
    <w:qFormat/>
    <w:rPr>
      <w:rFonts w:ascii="Times New Roman" w:hAnsi="Times New Roman" w:eastAsia="宋体" w:cs="Times New Roman"/>
      <w:sz w:val="20"/>
    </w:rPr>
  </w:style>
  <w:style w:type="character" w:styleId="1208" w:customStyle="1">
    <w:name w:val="HTML 预设格式 Char1"/>
    <w:uiPriority w:val="0"/>
    <w:qFormat/>
    <w:rPr>
      <w:rFonts w:ascii="Times New Roman" w:hAnsi="Times New Roman" w:eastAsia="宋体" w:cs="Times New Roman"/>
      <w:sz w:val="20"/>
    </w:rPr>
  </w:style>
  <w:style w:type="character" w:styleId="1209" w:customStyle="1">
    <w:name w:val="批注文字 Char"/>
    <w:uiPriority w:val="0"/>
    <w:qFormat/>
    <w:rPr>
      <w:rFonts w:ascii="Times New Roman" w:hAnsi="Times New Roman" w:eastAsia="宋体" w:cs="Times New Roman"/>
      <w:sz w:val="20"/>
    </w:rPr>
  </w:style>
  <w:style w:type="character" w:styleId="1210" w:customStyle="1">
    <w:name w:val="文档结构图 Char"/>
    <w:uiPriority w:val="0"/>
    <w:qFormat/>
    <w:rPr>
      <w:rFonts w:ascii="Times New Roman" w:hAnsi="Times New Roman" w:eastAsia="宋体" w:cs="Times New Roman"/>
      <w:sz w:val="20"/>
    </w:rPr>
  </w:style>
  <w:style w:type="character" w:styleId="1211" w:customStyle="1">
    <w:name w:val="超级链接"/>
    <w:uiPriority w:val="0"/>
    <w:qFormat/>
    <w:rPr>
      <w:rFonts w:ascii="Times New Roman" w:hAnsi="Times New Roman" w:eastAsia="宋体" w:cs="Times New Roman"/>
      <w:color w:val="0000ff"/>
      <w:sz w:val="20"/>
      <w:u w:val="single"/>
    </w:rPr>
  </w:style>
  <w:style w:type="character" w:styleId="1212" w:customStyle="1">
    <w:name w:val="宏文本 Char"/>
    <w:uiPriority w:val="0"/>
    <w:qFormat/>
    <w:rPr>
      <w:rFonts w:ascii="Times New Roman" w:hAnsi="Times New Roman" w:eastAsia="宋体" w:cs="Times New Roman"/>
      <w:sz w:val="20"/>
    </w:rPr>
  </w:style>
  <w:style w:type="character" w:styleId="1213" w:customStyle="1">
    <w:name w:val="_Style 313"/>
    <w:uiPriority w:val="0"/>
    <w:qFormat/>
    <w:rPr>
      <w:rFonts w:ascii="Times New Roman" w:hAnsi="Times New Roman" w:eastAsia="宋体" w:cs="Times New Roman"/>
      <w:b/>
      <w:i/>
      <w:sz w:val="21"/>
    </w:rPr>
  </w:style>
  <w:style w:type="character" w:styleId="1214" w:customStyle="1">
    <w:name w:val="页脚 Char1"/>
    <w:uiPriority w:val="0"/>
    <w:qFormat/>
    <w:rPr>
      <w:rFonts w:ascii="Times New Roman" w:hAnsi="Times New Roman" w:eastAsia="宋体" w:cs="Times New Roman"/>
      <w:sz w:val="20"/>
    </w:rPr>
  </w:style>
  <w:style w:type="character" w:styleId="1215" w:customStyle="1">
    <w:name w:val="页眉 Char"/>
    <w:uiPriority w:val="0"/>
    <w:qFormat/>
    <w:rPr>
      <w:rFonts w:ascii="Times New Roman" w:hAnsi="Times New Roman" w:eastAsia="宋体" w:cs="Times New Roman"/>
      <w:sz w:val="20"/>
    </w:rPr>
  </w:style>
  <w:style w:type="character" w:styleId="1216" w:customStyle="1">
    <w:name w:val="标题 7 Char"/>
    <w:uiPriority w:val="0"/>
    <w:qFormat/>
    <w:rPr>
      <w:rFonts w:ascii="Times New Roman" w:hAnsi="Times New Roman" w:eastAsia="宋体" w:cs="Times New Roman"/>
      <w:b/>
      <w:sz w:val="20"/>
    </w:rPr>
  </w:style>
  <w:style w:type="character" w:styleId="1217" w:customStyle="1">
    <w:name w:val="Char Char12"/>
    <w:uiPriority w:val="0"/>
    <w:qFormat/>
    <w:rPr>
      <w:rFonts w:ascii="Times New Roman" w:hAnsi="Times New Roman" w:eastAsia="宋体" w:cs="Times New Roman"/>
      <w:sz w:val="20"/>
    </w:rPr>
  </w:style>
  <w:style w:type="character" w:styleId="1218" w:customStyle="1">
    <w:name w:val="标题 3 Char"/>
    <w:uiPriority w:val="0"/>
    <w:qFormat/>
    <w:rPr>
      <w:rFonts w:ascii="Times New Roman" w:hAnsi="Times New Roman" w:eastAsia="宋体" w:cs="Times New Roman"/>
      <w:b/>
      <w:sz w:val="20"/>
    </w:rPr>
  </w:style>
  <w:style w:type="character" w:styleId="1219" w:customStyle="1">
    <w:name w:val="正文（首行缩进 2 字符） Char Char"/>
    <w:uiPriority w:val="0"/>
    <w:qFormat/>
    <w:rPr>
      <w:rFonts w:ascii="Times New Roman" w:hAnsi="Times New Roman" w:eastAsia="宋体" w:cs="Times New Roman"/>
      <w:sz w:val="20"/>
    </w:rPr>
  </w:style>
  <w:style w:type="character" w:styleId="1220" w:customStyle="1">
    <w:name w:val="表格用 Char Char"/>
    <w:uiPriority w:val="0"/>
    <w:qFormat/>
    <w:rPr>
      <w:rFonts w:ascii="Times New Roman" w:hAnsi="Times New Roman" w:eastAsia="宋体" w:cs="Times New Roman"/>
      <w:sz w:val="20"/>
    </w:rPr>
  </w:style>
  <w:style w:type="character" w:styleId="1221" w:customStyle="1">
    <w:name w:val="正文文本缩进 3 Char1"/>
    <w:uiPriority w:val="0"/>
    <w:qFormat/>
    <w:rPr>
      <w:rFonts w:ascii="Times New Roman" w:hAnsi="Times New Roman" w:eastAsia="宋体" w:cs="Times New Roman"/>
      <w:sz w:val="20"/>
    </w:rPr>
  </w:style>
  <w:style w:type="character" w:styleId="1222" w:customStyle="1">
    <w:name w:val="正文缩进 Char"/>
    <w:uiPriority w:val="0"/>
    <w:qFormat/>
    <w:rPr>
      <w:rFonts w:ascii="Times New Roman" w:hAnsi="Times New Roman" w:eastAsia="宋体" w:cs="Times New Roman"/>
      <w:sz w:val="20"/>
    </w:rPr>
  </w:style>
  <w:style w:type="character" w:styleId="1223" w:customStyle="1">
    <w:name w:val="批注框文本 Char1"/>
    <w:uiPriority w:val="0"/>
    <w:qFormat/>
    <w:rPr>
      <w:rFonts w:ascii="Times New Roman" w:hAnsi="Times New Roman" w:eastAsia="宋体" w:cs="Times New Roman"/>
      <w:sz w:val="20"/>
    </w:rPr>
  </w:style>
  <w:style w:type="character" w:styleId="1224" w:customStyle="1">
    <w:name w:val="Char Char13"/>
    <w:uiPriority w:val="0"/>
    <w:qFormat/>
    <w:rPr>
      <w:rFonts w:ascii="Times New Roman" w:hAnsi="Times New Roman" w:eastAsia="宋体" w:cs="Times New Roman"/>
      <w:sz w:val="20"/>
    </w:rPr>
  </w:style>
  <w:style w:type="character" w:styleId="1225" w:customStyle="1">
    <w:name w:val="样式2 Char"/>
    <w:uiPriority w:val="0"/>
    <w:qFormat/>
    <w:rPr>
      <w:rFonts w:ascii="Times New Roman" w:hAnsi="Times New Roman" w:eastAsia="宋体" w:cs="Times New Roman"/>
      <w:b/>
      <w:sz w:val="20"/>
    </w:rPr>
  </w:style>
  <w:style w:type="character" w:styleId="1226" w:customStyle="1">
    <w:name w:val="页脚 Char"/>
    <w:uiPriority w:val="0"/>
    <w:qFormat/>
    <w:rPr>
      <w:rFonts w:ascii="Times New Roman" w:hAnsi="Times New Roman" w:eastAsia="宋体" w:cs="Times New Roman"/>
      <w:sz w:val="20"/>
    </w:rPr>
  </w:style>
  <w:style w:type="character" w:styleId="1227" w:customStyle="1">
    <w:name w:val="标准文本 Char"/>
    <w:uiPriority w:val="0"/>
    <w:qFormat/>
    <w:rPr>
      <w:rFonts w:ascii="Times New Roman" w:hAnsi="Times New Roman" w:eastAsia="宋体" w:cs="Times New Roman"/>
      <w:sz w:val="20"/>
    </w:rPr>
  </w:style>
  <w:style w:type="character" w:styleId="1228" w:customStyle="1">
    <w:name w:val="font01"/>
    <w:uiPriority w:val="0"/>
    <w:qFormat/>
    <w:rPr>
      <w:rFonts w:hint="eastAsia" w:ascii="宋体" w:hAnsi="宋体" w:eastAsia="宋体" w:cs="宋体"/>
      <w:color w:val="000000"/>
      <w:sz w:val="24"/>
      <w:szCs w:val="24"/>
      <w:u w:val="none"/>
    </w:rPr>
  </w:style>
  <w:style w:type="character" w:styleId="1229" w:customStyle="1">
    <w:name w:val="标题 3 Char1"/>
    <w:uiPriority w:val="0"/>
    <w:qFormat/>
    <w:rPr>
      <w:rFonts w:ascii="Times New Roman" w:hAnsi="Times New Roman" w:eastAsia="宋体" w:cs="Times New Roman"/>
      <w:b/>
      <w:sz w:val="20"/>
      <w:u w:val="single"/>
    </w:rPr>
  </w:style>
  <w:style w:type="character" w:styleId="1230" w:customStyle="1">
    <w:name w:val="表格 Char Char"/>
    <w:uiPriority w:val="0"/>
    <w:qFormat/>
    <w:rPr>
      <w:rFonts w:ascii="Times New Roman" w:hAnsi="Times New Roman" w:eastAsia="宋体" w:cs="Times New Roman"/>
      <w:sz w:val="20"/>
    </w:rPr>
  </w:style>
  <w:style w:type="character" w:styleId="1231" w:customStyle="1">
    <w:name w:val="正文首行缩进 Char"/>
    <w:uiPriority w:val="0"/>
    <w:qFormat/>
    <w:rPr>
      <w:rFonts w:ascii="Times New Roman" w:hAnsi="Times New Roman" w:eastAsia="宋体" w:cs="Times New Roman"/>
      <w:sz w:val="20"/>
    </w:rPr>
  </w:style>
  <w:style w:type="character" w:styleId="1232" w:customStyle="1">
    <w:name w:val="标题 9 Char"/>
    <w:uiPriority w:val="0"/>
    <w:qFormat/>
    <w:rPr>
      <w:rFonts w:ascii="Times New Roman" w:hAnsi="Times New Roman" w:eastAsia="宋体" w:cs="Times New Roman"/>
      <w:sz w:val="20"/>
    </w:rPr>
  </w:style>
  <w:style w:type="character" w:styleId="1233" w:customStyle="1">
    <w:name w:val="lh151"/>
    <w:uiPriority w:val="0"/>
    <w:qFormat/>
    <w:rPr>
      <w:rFonts w:ascii="Times New Roman" w:hAnsi="Times New Roman" w:eastAsia="宋体" w:cs="Times New Roman"/>
      <w:color w:val="666666"/>
      <w:sz w:val="20"/>
    </w:rPr>
  </w:style>
  <w:style w:type="character" w:styleId="1234" w:customStyle="1">
    <w:name w:val="日期 Char1"/>
    <w:uiPriority w:val="0"/>
    <w:qFormat/>
    <w:rPr>
      <w:rFonts w:ascii="Times New Roman" w:hAnsi="Times New Roman" w:eastAsia="宋体" w:cs="Times New Roman"/>
      <w:sz w:val="20"/>
    </w:rPr>
  </w:style>
  <w:style w:type="character" w:styleId="1235" w:customStyle="1">
    <w:name w:val="图片 Char Char"/>
    <w:uiPriority w:val="0"/>
    <w:qFormat/>
    <w:rPr>
      <w:rFonts w:ascii="Times New Roman" w:hAnsi="Times New Roman" w:eastAsia="宋体" w:cs="Times New Roman"/>
      <w:sz w:val="20"/>
    </w:rPr>
  </w:style>
  <w:style w:type="character" w:styleId="1236" w:customStyle="1">
    <w:name w:val="HTML 预设格式 Char"/>
    <w:uiPriority w:val="0"/>
    <w:qFormat/>
    <w:rPr>
      <w:rFonts w:ascii="Times New Roman" w:hAnsi="Times New Roman" w:eastAsia="宋体" w:cs="Times New Roman"/>
      <w:sz w:val="20"/>
    </w:rPr>
  </w:style>
  <w:style w:type="character" w:styleId="1237" w:customStyle="1">
    <w:name w:val="列出段落 Char"/>
    <w:uiPriority w:val="0"/>
    <w:qFormat/>
    <w:rPr>
      <w:rFonts w:ascii="Times New Roman" w:hAnsi="Times New Roman" w:eastAsia="宋体" w:cs="Times New Roman"/>
      <w:sz w:val="20"/>
    </w:rPr>
  </w:style>
  <w:style w:type="character" w:styleId="1238" w:customStyle="1">
    <w:name w:val="标题 5 Char"/>
    <w:uiPriority w:val="0"/>
    <w:qFormat/>
    <w:rPr>
      <w:rFonts w:ascii="Times New Roman" w:hAnsi="Times New Roman" w:eastAsia="宋体" w:cs="Times New Roman"/>
      <w:b/>
      <w:sz w:val="20"/>
    </w:rPr>
  </w:style>
  <w:style w:type="character" w:styleId="1239" w:customStyle="1">
    <w:name w:val="链接"/>
    <w:uiPriority w:val="0"/>
    <w:qFormat/>
    <w:rPr>
      <w:rFonts w:ascii="Times New Roman" w:hAnsi="Times New Roman" w:eastAsia="宋体" w:cs="Times New Roman"/>
      <w:color w:val="0000ff"/>
      <w:sz w:val="20"/>
      <w:u w:val="single"/>
    </w:rPr>
  </w:style>
  <w:style w:type="character" w:styleId="1240" w:customStyle="1">
    <w:name w:val="18h1"/>
    <w:uiPriority w:val="0"/>
    <w:qFormat/>
    <w:rPr>
      <w:rFonts w:ascii="Times New Roman" w:hAnsi="Times New Roman" w:eastAsia="宋体" w:cs="Times New Roman"/>
      <w:color w:val="3b3b3b"/>
      <w:sz w:val="20"/>
    </w:rPr>
  </w:style>
  <w:style w:type="character" w:styleId="1241" w:customStyle="1">
    <w:name w:val="表格文字（两侧对齐） Char Char"/>
    <w:uiPriority w:val="0"/>
    <w:qFormat/>
    <w:rPr>
      <w:rFonts w:ascii="Times New Roman" w:hAnsi="Times New Roman" w:eastAsia="宋体" w:cs="Times New Roman"/>
      <w:sz w:val="20"/>
    </w:rPr>
  </w:style>
  <w:style w:type="character" w:styleId="1242" w:customStyle="1">
    <w:name w:val="正文文本缩进 2 Char"/>
    <w:uiPriority w:val="0"/>
    <w:qFormat/>
    <w:rPr>
      <w:rFonts w:ascii="Times New Roman" w:hAnsi="Times New Roman" w:eastAsia="宋体" w:cs="Times New Roman"/>
      <w:sz w:val="20"/>
    </w:rPr>
  </w:style>
  <w:style w:type="character" w:styleId="1243" w:customStyle="1">
    <w:name w:val="Char Char14"/>
    <w:uiPriority w:val="0"/>
    <w:qFormat/>
    <w:rPr>
      <w:rFonts w:ascii="Times New Roman" w:hAnsi="Times New Roman" w:eastAsia="宋体" w:cs="Times New Roman"/>
      <w:sz w:val="20"/>
    </w:rPr>
  </w:style>
  <w:style w:type="character" w:styleId="1244" w:customStyle="1">
    <w:name w:val="标题 1 Char1"/>
    <w:uiPriority w:val="0"/>
    <w:qFormat/>
    <w:rPr>
      <w:rFonts w:ascii="Times New Roman" w:hAnsi="Times New Roman" w:eastAsia="宋体" w:cs="Times New Roman"/>
      <w:b/>
      <w:sz w:val="20"/>
    </w:rPr>
  </w:style>
  <w:style w:type="character" w:styleId="1245" w:customStyle="1">
    <w:name w:val="批注框文本 Char"/>
    <w:uiPriority w:val="0"/>
    <w:qFormat/>
    <w:rPr>
      <w:rFonts w:ascii="Times New Roman" w:hAnsi="Times New Roman" w:eastAsia="宋体" w:cs="Times New Roman"/>
      <w:sz w:val="20"/>
    </w:rPr>
  </w:style>
  <w:style w:type="character" w:styleId="1246" w:customStyle="1">
    <w:name w:val="apple-style-span"/>
    <w:uiPriority w:val="0"/>
    <w:qFormat/>
    <w:rPr>
      <w:rFonts w:ascii="Times New Roman" w:hAnsi="Times New Roman" w:eastAsia="宋体" w:cs="Times New Roman"/>
      <w:sz w:val="20"/>
    </w:rPr>
  </w:style>
  <w:style w:type="character" w:styleId="1247" w:customStyle="1">
    <w:name w:val="插图 Char Char"/>
    <w:uiPriority w:val="0"/>
    <w:qFormat/>
    <w:rPr>
      <w:rFonts w:ascii="Times New Roman" w:hAnsi="Times New Roman" w:eastAsia="宋体" w:cs="Times New Roman"/>
      <w:sz w:val="20"/>
    </w:rPr>
  </w:style>
  <w:style w:type="character" w:styleId="1248" w:customStyle="1">
    <w:name w:val="标题 2 Char1"/>
    <w:uiPriority w:val="0"/>
    <w:qFormat/>
    <w:rPr>
      <w:rFonts w:ascii="Times New Roman" w:hAnsi="Times New Roman" w:eastAsia="宋体" w:cs="Times New Roman"/>
      <w:b/>
      <w:sz w:val="20"/>
    </w:rPr>
  </w:style>
  <w:style w:type="character" w:styleId="1249" w:customStyle="1">
    <w:name w:val="_Style 332"/>
    <w:uiPriority w:val="0"/>
    <w:qFormat/>
    <w:rPr>
      <w:rFonts w:ascii="Times New Roman" w:hAnsi="Times New Roman" w:eastAsia="宋体" w:cs="Times New Roman"/>
      <w:i/>
      <w:color w:val="auto"/>
      <w:sz w:val="21"/>
    </w:rPr>
  </w:style>
  <w:style w:type="character" w:styleId="1250" w:customStyle="1">
    <w:name w:val="正文文本 3 Char1"/>
    <w:uiPriority w:val="0"/>
    <w:qFormat/>
    <w:rPr>
      <w:rFonts w:ascii="Times New Roman" w:hAnsi="Times New Roman" w:eastAsia="宋体" w:cs="Times New Roman"/>
      <w:sz w:val="20"/>
    </w:rPr>
  </w:style>
  <w:style w:type="character" w:styleId="1251" w:customStyle="1">
    <w:name w:val="标题 5 Char1"/>
    <w:uiPriority w:val="0"/>
    <w:qFormat/>
    <w:rPr>
      <w:rFonts w:ascii="Times New Roman" w:hAnsi="Times New Roman" w:eastAsia="宋体" w:cs="Times New Roman"/>
      <w:b/>
      <w:sz w:val="20"/>
    </w:rPr>
  </w:style>
  <w:style w:type="character" w:styleId="1252" w:customStyle="1">
    <w:name w:val="批注主题 Char"/>
    <w:uiPriority w:val="0"/>
    <w:qFormat/>
    <w:rPr>
      <w:rFonts w:ascii="Times New Roman" w:hAnsi="Times New Roman" w:eastAsia="宋体" w:cs="Times New Roman"/>
      <w:b/>
      <w:sz w:val="20"/>
    </w:rPr>
  </w:style>
  <w:style w:type="character" w:styleId="1253" w:customStyle="1">
    <w:name w:val="标题 1 Char"/>
    <w:uiPriority w:val="0"/>
    <w:qFormat/>
    <w:rPr>
      <w:rFonts w:ascii="Times New Roman" w:hAnsi="Times New Roman" w:eastAsia="宋体" w:cs="Times New Roman"/>
      <w:b/>
      <w:sz w:val="20"/>
    </w:rPr>
  </w:style>
  <w:style w:type="character" w:styleId="1254" w:customStyle="1">
    <w:name w:val="正文文本 2 Char1"/>
    <w:uiPriority w:val="0"/>
    <w:qFormat/>
    <w:rPr>
      <w:rFonts w:ascii="Times New Roman" w:hAnsi="Times New Roman" w:eastAsia="宋体" w:cs="Times New Roman"/>
      <w:sz w:val="20"/>
    </w:rPr>
  </w:style>
  <w:style w:type="character" w:styleId="1255" w:customStyle="1">
    <w:name w:val="标题 4 Char1"/>
    <w:uiPriority w:val="0"/>
    <w:qFormat/>
    <w:rPr>
      <w:rFonts w:ascii="Times New Roman" w:hAnsi="Times New Roman" w:eastAsia="宋体" w:cs="Times New Roman"/>
      <w:b/>
      <w:sz w:val="20"/>
    </w:rPr>
  </w:style>
  <w:style w:type="character" w:styleId="1256" w:customStyle="1">
    <w:name w:val="正文文本 2 Char"/>
    <w:uiPriority w:val="0"/>
    <w:qFormat/>
    <w:rPr>
      <w:rFonts w:ascii="Times New Roman" w:hAnsi="Times New Roman" w:eastAsia="宋体" w:cs="Times New Roman"/>
      <w:sz w:val="20"/>
    </w:rPr>
  </w:style>
  <w:style w:type="character" w:styleId="1257" w:customStyle="1">
    <w:name w:val="_Style 376"/>
    <w:uiPriority w:val="0"/>
    <w:qFormat/>
    <w:rPr>
      <w:rFonts w:ascii="Times New Roman" w:hAnsi="Times New Roman" w:eastAsia="宋体" w:cs="Times New Roman"/>
      <w:b/>
      <w:color w:val="auto"/>
      <w:sz w:val="21"/>
    </w:rPr>
  </w:style>
  <w:style w:type="character" w:styleId="1258" w:customStyle="1">
    <w:name w:val="062"/>
    <w:uiPriority w:val="0"/>
    <w:qFormat/>
    <w:rPr>
      <w:rFonts w:ascii="Times New Roman" w:hAnsi="Times New Roman" w:eastAsia="宋体" w:cs="Times New Roman"/>
      <w:b/>
      <w:sz w:val="20"/>
    </w:rPr>
  </w:style>
  <w:style w:type="character" w:styleId="1259" w:customStyle="1">
    <w:name w:val="正文文本 Char1"/>
    <w:uiPriority w:val="0"/>
    <w:qFormat/>
    <w:rPr>
      <w:rFonts w:ascii="Times New Roman" w:hAnsi="Times New Roman" w:eastAsia="宋体" w:cs="Times New Roman"/>
      <w:sz w:val="20"/>
    </w:rPr>
  </w:style>
  <w:style w:type="character" w:styleId="1260" w:customStyle="1">
    <w:name w:val="题注 Char"/>
    <w:uiPriority w:val="0"/>
    <w:qFormat/>
    <w:rPr>
      <w:rFonts w:ascii="Times New Roman" w:hAnsi="Times New Roman" w:eastAsia="宋体" w:cs="Times New Roman"/>
      <w:sz w:val="20"/>
    </w:rPr>
  </w:style>
  <w:style w:type="character" w:styleId="1261" w:customStyle="1">
    <w:name w:val="脚注文本 Char"/>
    <w:uiPriority w:val="0"/>
    <w:qFormat/>
    <w:rPr>
      <w:rFonts w:ascii="Times New Roman" w:hAnsi="Times New Roman" w:eastAsia="宋体" w:cs="Times New Roman"/>
      <w:sz w:val="20"/>
    </w:rPr>
  </w:style>
  <w:style w:type="character" w:styleId="1262" w:customStyle="1">
    <w:name w:val="_Style 336"/>
    <w:uiPriority w:val="0"/>
    <w:qFormat/>
    <w:rPr>
      <w:rFonts w:ascii="Times New Roman" w:hAnsi="Times New Roman" w:eastAsia="宋体" w:cs="Times New Roman"/>
      <w:i/>
      <w:color w:val="auto"/>
      <w:sz w:val="21"/>
    </w:rPr>
  </w:style>
  <w:style w:type="character" w:styleId="1263" w:customStyle="1">
    <w:name w:val="表格 Char"/>
    <w:uiPriority w:val="0"/>
    <w:qFormat/>
    <w:rPr>
      <w:rFonts w:ascii="Times New Roman" w:hAnsi="Times New Roman" w:eastAsia="宋体" w:cs="Times New Roman"/>
      <w:color w:val="000000"/>
      <w:sz w:val="20"/>
    </w:rPr>
  </w:style>
  <w:style w:type="character" w:styleId="1264" w:customStyle="1">
    <w:name w:val="图注 Char Char"/>
    <w:uiPriority w:val="0"/>
    <w:qFormat/>
    <w:rPr>
      <w:rFonts w:ascii="Times New Roman" w:hAnsi="Times New Roman" w:eastAsia="宋体" w:cs="Times New Roman"/>
      <w:sz w:val="20"/>
    </w:rPr>
  </w:style>
  <w:style w:type="character" w:styleId="1265" w:customStyle="1">
    <w:name w:val="页码1"/>
    <w:uiPriority w:val="0"/>
    <w:qFormat/>
    <w:rPr>
      <w:rFonts w:ascii="Times New Roman" w:hAnsi="Times New Roman" w:eastAsia="宋体" w:cs="Times New Roman"/>
      <w:sz w:val="20"/>
    </w:rPr>
  </w:style>
  <w:style w:type="character" w:styleId="1266" w:customStyle="1">
    <w:name w:val="列表框1 Char Char"/>
    <w:uiPriority w:val="0"/>
    <w:qFormat/>
    <w:rPr>
      <w:rFonts w:ascii="Times New Roman" w:hAnsi="Times New Roman" w:eastAsia="宋体" w:cs="Times New Roman"/>
      <w:sz w:val="20"/>
    </w:rPr>
  </w:style>
  <w:style w:type="character" w:styleId="1267" w:customStyle="1">
    <w:name w:val="1ji Char"/>
    <w:uiPriority w:val="0"/>
    <w:qFormat/>
    <w:rPr>
      <w:rFonts w:ascii="Times New Roman" w:hAnsi="Times New Roman" w:eastAsia="宋体" w:cs="Times New Roman"/>
      <w:b/>
      <w:sz w:val="20"/>
    </w:rPr>
  </w:style>
  <w:style w:type="character" w:styleId="1268" w:customStyle="1">
    <w:name w:val="正文文本缩进 Char"/>
    <w:uiPriority w:val="0"/>
    <w:qFormat/>
    <w:rPr>
      <w:rFonts w:ascii="Times New Roman" w:hAnsi="Times New Roman" w:eastAsia="宋体" w:cs="Times New Roman"/>
      <w:sz w:val="20"/>
    </w:rPr>
  </w:style>
  <w:style w:type="character" w:styleId="1269" w:customStyle="1">
    <w:name w:val="标准文本 Char Char"/>
    <w:uiPriority w:val="0"/>
    <w:qFormat/>
    <w:rPr>
      <w:rFonts w:ascii="Times New Roman" w:hAnsi="Times New Roman" w:eastAsia="宋体" w:cs="Times New Roman"/>
      <w:sz w:val="20"/>
    </w:rPr>
  </w:style>
  <w:style w:type="character" w:styleId="1270" w:customStyle="1">
    <w:name w:val="表格用 Char"/>
    <w:uiPriority w:val="0"/>
    <w:qFormat/>
    <w:rPr>
      <w:rFonts w:ascii="Times New Roman" w:hAnsi="Times New Roman" w:eastAsia="宋体" w:cs="Times New Roman"/>
      <w:color w:val="000000"/>
      <w:sz w:val="20"/>
    </w:rPr>
  </w:style>
  <w:style w:type="character" w:styleId="1271" w:customStyle="1">
    <w:name w:val="标题 7 Char1"/>
    <w:uiPriority w:val="0"/>
    <w:qFormat/>
    <w:rPr>
      <w:rFonts w:ascii="Times New Roman" w:hAnsi="Times New Roman" w:eastAsia="宋体" w:cs="Times New Roman"/>
      <w:b/>
      <w:sz w:val="20"/>
    </w:rPr>
  </w:style>
  <w:style w:type="character" w:styleId="1272" w:customStyle="1">
    <w:name w:val="H 3 Char"/>
    <w:uiPriority w:val="0"/>
    <w:qFormat/>
    <w:rPr>
      <w:rFonts w:ascii="Times New Roman" w:hAnsi="Times New Roman" w:eastAsia="宋体" w:cs="Times New Roman"/>
      <w:b/>
      <w:sz w:val="20"/>
    </w:rPr>
  </w:style>
  <w:style w:type="character" w:styleId="1273" w:customStyle="1">
    <w:name w:val="正文文本缩进 3 字符"/>
    <w:uiPriority w:val="0"/>
    <w:qFormat/>
    <w:rPr>
      <w:rFonts w:ascii="Times New Roman" w:hAnsi="Times New Roman" w:eastAsia="宋体" w:cs="Times New Roman"/>
      <w:sz w:val="16"/>
      <w:szCs w:val="16"/>
    </w:rPr>
  </w:style>
  <w:style w:type="character" w:styleId="1274" w:customStyle="1">
    <w:name w:val="标题 Char"/>
    <w:uiPriority w:val="0"/>
    <w:qFormat/>
    <w:rPr>
      <w:rFonts w:ascii="Times New Roman" w:hAnsi="Times New Roman" w:eastAsia="宋体" w:cs="Times New Roman"/>
      <w:b/>
      <w:sz w:val="20"/>
    </w:rPr>
  </w:style>
  <w:style w:type="character" w:styleId="1275" w:customStyle="1">
    <w:name w:val="H 4 Char"/>
    <w:uiPriority w:val="0"/>
    <w:qFormat/>
    <w:rPr>
      <w:rFonts w:ascii="Times New Roman" w:hAnsi="Times New Roman" w:eastAsia="宋体" w:cs="Times New Roman"/>
      <w:b/>
      <w:sz w:val="20"/>
    </w:rPr>
  </w:style>
  <w:style w:type="character" w:styleId="1276" w:customStyle="1">
    <w:name w:val="批注主题 Char1"/>
    <w:uiPriority w:val="0"/>
    <w:qFormat/>
    <w:rPr>
      <w:rFonts w:ascii="Times New Roman" w:hAnsi="Times New Roman" w:eastAsia="宋体" w:cs="Times New Roman"/>
      <w:b/>
      <w:sz w:val="20"/>
    </w:rPr>
  </w:style>
  <w:style w:type="character" w:styleId="1277" w:customStyle="1">
    <w:name w:val="正文文本缩进 Char1"/>
    <w:uiPriority w:val="0"/>
    <w:qFormat/>
    <w:rPr>
      <w:rFonts w:ascii="Times New Roman" w:hAnsi="Times New Roman" w:eastAsia="宋体" w:cs="Times New Roman"/>
      <w:sz w:val="20"/>
    </w:rPr>
  </w:style>
  <w:style w:type="character" w:styleId="1278" w:customStyle="1">
    <w:name w:val="正文文本 3 Char"/>
    <w:uiPriority w:val="0"/>
    <w:qFormat/>
    <w:rPr>
      <w:rFonts w:ascii="Times New Roman" w:hAnsi="Times New Roman" w:eastAsia="宋体" w:cs="Times New Roman"/>
      <w:sz w:val="20"/>
    </w:rPr>
  </w:style>
  <w:style w:type="character" w:styleId="1279" w:customStyle="1">
    <w:name w:val="正文首行缩进 2 Char"/>
    <w:uiPriority w:val="0"/>
    <w:qFormat/>
    <w:rPr>
      <w:rFonts w:ascii="Times New Roman" w:hAnsi="Times New Roman" w:eastAsia="宋体" w:cs="Times New Roman"/>
      <w:sz w:val="20"/>
    </w:rPr>
  </w:style>
  <w:style w:type="character" w:styleId="1280" w:customStyle="1">
    <w:name w:val="页眉 Char1"/>
    <w:uiPriority w:val="0"/>
    <w:qFormat/>
    <w:rPr>
      <w:rFonts w:ascii="Times New Roman" w:hAnsi="Times New Roman" w:eastAsia="宋体" w:cs="Times New Roman"/>
      <w:sz w:val="20"/>
    </w:rPr>
  </w:style>
  <w:style w:type="character" w:styleId="1281" w:customStyle="1">
    <w:name w:val="Char Char2"/>
    <w:uiPriority w:val="0"/>
    <w:qFormat/>
    <w:rPr>
      <w:rFonts w:ascii="Times New Roman" w:hAnsi="Times New Roman" w:eastAsia="宋体" w:cs="Times New Roman"/>
      <w:sz w:val="20"/>
    </w:rPr>
  </w:style>
  <w:style w:type="character" w:styleId="1282" w:customStyle="1">
    <w:name w:val="样式 首行缩进:  2 字符 Char1"/>
    <w:uiPriority w:val="0"/>
    <w:qFormat/>
    <w:rPr>
      <w:rFonts w:ascii="Times New Roman" w:hAnsi="Times New Roman" w:eastAsia="宋体" w:cs="Times New Roman"/>
      <w:sz w:val="20"/>
    </w:rPr>
  </w:style>
  <w:style w:type="character" w:styleId="1283" w:customStyle="1">
    <w:name w:val="标题 2 Char"/>
    <w:uiPriority w:val="0"/>
    <w:qFormat/>
    <w:rPr>
      <w:rFonts w:ascii="Times New Roman" w:hAnsi="Times New Roman" w:eastAsia="宋体" w:cs="Times New Roman"/>
      <w:b/>
      <w:sz w:val="20"/>
    </w:rPr>
  </w:style>
  <w:style w:type="character" w:styleId="1284" w:customStyle="1">
    <w:name w:val="表格文字图表文字 Char Char"/>
    <w:uiPriority w:val="0"/>
    <w:qFormat/>
    <w:rPr>
      <w:rFonts w:ascii="Times New Roman" w:hAnsi="Times New Roman" w:eastAsia="宋体" w:cs="Times New Roman"/>
      <w:sz w:val="20"/>
    </w:rPr>
  </w:style>
  <w:style w:type="character" w:styleId="1285" w:customStyle="1">
    <w:name w:val="图片 Char"/>
    <w:uiPriority w:val="0"/>
    <w:qFormat/>
    <w:rPr>
      <w:rFonts w:ascii="Times New Roman" w:hAnsi="Times New Roman" w:eastAsia="宋体" w:cs="Times New Roman"/>
      <w:sz w:val="20"/>
    </w:rPr>
  </w:style>
  <w:style w:type="character" w:styleId="1286" w:customStyle="1">
    <w:name w:val="标题 6 Char"/>
    <w:uiPriority w:val="0"/>
    <w:qFormat/>
    <w:rPr>
      <w:rFonts w:ascii="Times New Roman" w:hAnsi="Times New Roman" w:eastAsia="宋体" w:cs="Times New Roman"/>
      <w:b/>
      <w:sz w:val="20"/>
    </w:rPr>
  </w:style>
  <w:style w:type="character" w:styleId="1287" w:customStyle="1">
    <w:name w:val="标题 4 Char"/>
    <w:uiPriority w:val="0"/>
    <w:qFormat/>
    <w:rPr>
      <w:rFonts w:ascii="Times New Roman" w:hAnsi="Times New Roman" w:eastAsia="宋体" w:cs="Times New Roman"/>
      <w:b/>
      <w:sz w:val="20"/>
    </w:rPr>
  </w:style>
  <w:style w:type="character" w:styleId="1288" w:customStyle="1">
    <w:name w:val="文档结构图 Char1"/>
    <w:uiPriority w:val="0"/>
    <w:qFormat/>
    <w:rPr>
      <w:rFonts w:ascii="Times New Roman" w:hAnsi="Times New Roman" w:eastAsia="宋体" w:cs="Times New Roman"/>
      <w:sz w:val="20"/>
    </w:rPr>
  </w:style>
  <w:style w:type="character" w:styleId="1289" w:customStyle="1">
    <w:name w:val="项目符0 Char"/>
    <w:uiPriority w:val="0"/>
    <w:qFormat/>
    <w:rPr>
      <w:rFonts w:ascii="Times New Roman" w:hAnsi="Times New Roman" w:eastAsia="宋体" w:cs="Times New Roman"/>
      <w:sz w:val="20"/>
    </w:rPr>
  </w:style>
  <w:style w:type="character" w:styleId="1290" w:customStyle="1">
    <w:name w:val="正文文本缩进 3 Char"/>
    <w:uiPriority w:val="0"/>
    <w:qFormat/>
    <w:rPr>
      <w:rFonts w:ascii="Times New Roman" w:hAnsi="Times New Roman" w:eastAsia="宋体" w:cs="Times New Roman"/>
      <w:sz w:val="20"/>
    </w:rPr>
  </w:style>
  <w:style w:type="character" w:styleId="1291" w:customStyle="1">
    <w:name w:val="Char Char3"/>
    <w:uiPriority w:val="0"/>
    <w:qFormat/>
    <w:rPr>
      <w:rFonts w:ascii="Times New Roman" w:hAnsi="Times New Roman" w:eastAsia="宋体" w:cs="Times New Roman"/>
      <w:sz w:val="20"/>
    </w:rPr>
  </w:style>
  <w:style w:type="character" w:styleId="1292" w:customStyle="1">
    <w:name w:val="纯文本 Char"/>
    <w:uiPriority w:val="0"/>
    <w:qFormat/>
    <w:rPr>
      <w:rFonts w:ascii="Times New Roman" w:hAnsi="Times New Roman" w:eastAsia="宋体" w:cs="Times New Roman"/>
      <w:sz w:val="20"/>
    </w:rPr>
  </w:style>
  <w:style w:type="character" w:styleId="1293" w:customStyle="1">
    <w:name w:val="正文文本缩进 2 Char1"/>
    <w:uiPriority w:val="0"/>
    <w:qFormat/>
    <w:rPr>
      <w:rFonts w:ascii="Times New Roman" w:hAnsi="Times New Roman" w:eastAsia="宋体" w:cs="Times New Roman"/>
      <w:sz w:val="20"/>
    </w:rPr>
  </w:style>
  <w:style w:type="character" w:styleId="1294" w:customStyle="1">
    <w:name w:val="标题 8 Char"/>
    <w:uiPriority w:val="0"/>
    <w:qFormat/>
    <w:rPr>
      <w:rFonts w:ascii="Times New Roman" w:hAnsi="Times New Roman" w:eastAsia="宋体" w:cs="Times New Roman"/>
      <w:sz w:val="20"/>
    </w:rPr>
  </w:style>
  <w:style w:type="character" w:styleId="1295" w:customStyle="1">
    <w:name w:val="标题 6 Char1"/>
    <w:uiPriority w:val="0"/>
    <w:qFormat/>
    <w:rPr>
      <w:rFonts w:ascii="Times New Roman" w:hAnsi="Times New Roman" w:eastAsia="宋体" w:cs="Times New Roman"/>
      <w:b/>
      <w:sz w:val="20"/>
    </w:rPr>
  </w:style>
  <w:style w:type="character" w:styleId="1296" w:customStyle="1">
    <w:name w:val="case31"/>
    <w:uiPriority w:val="0"/>
    <w:qFormat/>
    <w:rPr>
      <w:rFonts w:ascii="Times New Roman" w:hAnsi="Times New Roman" w:eastAsia="宋体" w:cs="Times New Roman"/>
      <w:sz w:val="20"/>
    </w:rPr>
  </w:style>
  <w:style w:type="character" w:styleId="1297" w:customStyle="1">
    <w:name w:val="正文文本 Char"/>
    <w:uiPriority w:val="0"/>
    <w:qFormat/>
    <w:rPr>
      <w:rFonts w:ascii="Times New Roman" w:hAnsi="Times New Roman" w:eastAsia="宋体" w:cs="Times New Roman"/>
      <w:sz w:val="20"/>
    </w:rPr>
  </w:style>
  <w:style w:type="paragraph" w:styleId="1298" w:customStyle="1">
    <w:name w:val="节标题"/>
    <w:basedOn w:val="831"/>
    <w:next w:val="1299"/>
    <w:uiPriority w:val="0"/>
    <w:qFormat/>
    <w:pPr>
      <w:ind w:firstLine="5120"/>
      <w:spacing w:line="289" w:lineRule="atLeast"/>
    </w:pPr>
    <w:rPr>
      <w:rFonts w:ascii="Times New Roman" w:hAnsi="Times New Roman" w:cs="Times New Roman"/>
      <w:b w:val="0"/>
      <w:sz w:val="20"/>
      <w:szCs w:val="20"/>
    </w:rPr>
  </w:style>
  <w:style w:type="paragraph" w:styleId="1299" w:customStyle="1">
    <w:name w:val="文档标题6"/>
    <w:basedOn w:val="837"/>
    <w:next w:val="830"/>
    <w:uiPriority w:val="0"/>
    <w:qFormat/>
    <w:pPr>
      <w:ind w:left="1134" w:firstLine="20"/>
      <w:jc w:val="both"/>
      <w:keepLines w:val="0"/>
      <w:keepNext w:val="0"/>
      <w:spacing w:before="280" w:after="280" w:line="360" w:lineRule="auto"/>
      <w:outlineLvl w:val="5"/>
    </w:pPr>
    <w:rPr>
      <w:rFonts w:ascii="Times New Roman" w:hAnsi="Times New Roman" w:eastAsia="宋体" w:cs="Times New Roman"/>
      <w:b w:val="0"/>
      <w:bCs w:val="0"/>
      <w:i w:val="0"/>
      <w:iCs w:val="0"/>
      <w:sz w:val="20"/>
      <w:szCs w:val="20"/>
    </w:rPr>
  </w:style>
  <w:style w:type="paragraph" w:styleId="1300" w:customStyle="1">
    <w:name w:val="正文段"/>
    <w:basedOn w:val="831"/>
    <w:next w:val="1301"/>
    <w:uiPriority w:val="0"/>
    <w:qFormat/>
    <w:pPr>
      <w:ind w:left="454" w:firstLine="1222"/>
      <w:jc w:val="both"/>
      <w:spacing w:after="240" w:line="240" w:lineRule="atLeast"/>
    </w:pPr>
    <w:rPr>
      <w:rFonts w:ascii="Times New Roman" w:hAnsi="Times New Roman" w:cs="Times New Roman"/>
      <w:b w:val="0"/>
      <w:sz w:val="20"/>
      <w:szCs w:val="20"/>
    </w:rPr>
  </w:style>
  <w:style w:type="paragraph" w:styleId="1301" w:customStyle="1">
    <w:name w:val="批注主题1"/>
    <w:next w:val="830"/>
    <w:uiPriority w:val="0"/>
    <w:qFormat/>
    <w:pPr>
      <w:ind w:left="200" w:firstLine="4808"/>
      <w:spacing w:line="360" w:lineRule="auto"/>
    </w:pPr>
    <w:rPr>
      <w:rFonts w:ascii="Calibri" w:hAnsi="Calibri" w:cs="宋体" w:eastAsiaTheme="minorEastAsia"/>
      <w:lang w:val="en-US" w:eastAsia="zh-CN" w:bidi="ar-SA"/>
    </w:rPr>
  </w:style>
  <w:style w:type="paragraph" w:styleId="1302" w:customStyle="1">
    <w:name w:val="_Style 224"/>
    <w:next w:val="1303"/>
    <w:uiPriority w:val="0"/>
    <w:qFormat/>
    <w:pPr>
      <w:ind w:firstLine="3584"/>
    </w:pPr>
    <w:rPr>
      <w:rFonts w:ascii="Calibri" w:hAnsi="Calibri" w:cs="宋体" w:eastAsiaTheme="minorEastAsia"/>
      <w:lang w:val="en-US" w:eastAsia="zh-CN" w:bidi="ar-SA"/>
    </w:rPr>
  </w:style>
  <w:style w:type="paragraph" w:styleId="1303" w:customStyle="1">
    <w:name w:val="编号1"/>
    <w:basedOn w:val="831"/>
    <w:next w:val="1304"/>
    <w:uiPriority w:val="0"/>
    <w:qFormat/>
    <w:pPr>
      <w:ind w:left="360" w:right="210" w:firstLine="2200"/>
      <w:jc w:val="both"/>
    </w:pPr>
    <w:rPr>
      <w:rFonts w:ascii="Times New Roman" w:hAnsi="Times New Roman" w:cs="Times New Roman"/>
      <w:b w:val="0"/>
      <w:sz w:val="20"/>
      <w:szCs w:val="20"/>
    </w:rPr>
  </w:style>
  <w:style w:type="paragraph" w:styleId="1304" w:customStyle="1">
    <w:name w:val="图片"/>
    <w:basedOn w:val="831"/>
    <w:next w:val="1305"/>
    <w:uiPriority w:val="0"/>
    <w:qFormat/>
    <w:pPr>
      <w:ind w:left="-283" w:firstLine="2674"/>
      <w:spacing w:line="360" w:lineRule="auto"/>
    </w:pPr>
    <w:rPr>
      <w:rFonts w:ascii="Times New Roman" w:hAnsi="Times New Roman" w:cs="Times New Roman"/>
      <w:b w:val="0"/>
      <w:sz w:val="20"/>
      <w:szCs w:val="20"/>
    </w:rPr>
  </w:style>
  <w:style w:type="paragraph" w:styleId="1305" w:customStyle="1">
    <w:name w:val="样式 目录 3 + 左侧:  2 字符"/>
    <w:next w:val="878"/>
    <w:uiPriority w:val="0"/>
    <w:qFormat/>
    <w:pPr>
      <w:ind w:left="400" w:firstLine="5120"/>
      <w:spacing w:line="360" w:lineRule="auto"/>
      <w:widowControl w:val="off"/>
    </w:pPr>
    <w:rPr>
      <w:rFonts w:ascii="Calibri" w:hAnsi="Calibri" w:cs="宋体" w:eastAsiaTheme="minorEastAsia"/>
      <w:lang w:val="en-US" w:eastAsia="zh-CN" w:bidi="ar-SA"/>
    </w:rPr>
  </w:style>
  <w:style w:type="paragraph" w:styleId="1306" w:customStyle="1">
    <w:name w:val="图注"/>
    <w:next w:val="1307"/>
    <w:uiPriority w:val="0"/>
    <w:qFormat/>
    <w:pPr>
      <w:ind w:left="360" w:firstLine="2152"/>
      <w:jc w:val="center"/>
    </w:pPr>
    <w:rPr>
      <w:rFonts w:ascii="Calibri" w:hAnsi="Calibri" w:cs="宋体" w:eastAsiaTheme="minorEastAsia"/>
      <w:lang w:val="en-US" w:eastAsia="zh-CN" w:bidi="ar-SA"/>
    </w:rPr>
  </w:style>
  <w:style w:type="paragraph" w:styleId="1307" w:customStyle="1">
    <w:name w:val="列表编号 41"/>
    <w:basedOn w:val="831"/>
    <w:next w:val="1308"/>
    <w:uiPriority w:val="0"/>
    <w:qFormat/>
    <w:pPr>
      <w:ind w:left="1620" w:firstLine="2712"/>
      <w:jc w:val="both"/>
      <w:spacing w:line="360" w:lineRule="auto"/>
    </w:pPr>
    <w:rPr>
      <w:rFonts w:ascii="Times New Roman" w:hAnsi="Times New Roman" w:cs="Times New Roman"/>
      <w:b w:val="0"/>
      <w:sz w:val="20"/>
      <w:szCs w:val="20"/>
    </w:rPr>
  </w:style>
  <w:style w:type="paragraph" w:styleId="1308" w:customStyle="1">
    <w:name w:val="项目符0"/>
    <w:basedOn w:val="831"/>
    <w:next w:val="1309"/>
    <w:uiPriority w:val="0"/>
    <w:qFormat/>
    <w:pPr>
      <w:ind w:left="300" w:right="57" w:firstLine="2760"/>
      <w:jc w:val="both"/>
      <w:spacing w:line="300" w:lineRule="auto"/>
    </w:pPr>
    <w:rPr>
      <w:rFonts w:ascii="Times New Roman" w:hAnsi="Times New Roman" w:cs="Times New Roman"/>
      <w:b w:val="0"/>
      <w:sz w:val="20"/>
      <w:szCs w:val="20"/>
    </w:rPr>
  </w:style>
  <w:style w:type="paragraph" w:styleId="1309" w:customStyle="1">
    <w:name w:val="宏文本1"/>
    <w:next w:val="1310"/>
    <w:uiPriority w:val="0"/>
    <w:qFormat/>
    <w:pPr>
      <w:ind w:firstLine="5632"/>
      <w:widowControl w:val="off"/>
    </w:pPr>
    <w:rPr>
      <w:rFonts w:ascii="Calibri" w:hAnsi="Calibri" w:cs="宋体" w:eastAsiaTheme="minorEastAsia"/>
      <w:lang w:val="en-US" w:eastAsia="zh-CN" w:bidi="ar-SA"/>
    </w:rPr>
  </w:style>
  <w:style w:type="paragraph" w:styleId="1310" w:customStyle="1">
    <w:name w:val="Item Step in Table"/>
    <w:next w:val="1311"/>
    <w:uiPriority w:val="0"/>
    <w:qFormat/>
    <w:pPr>
      <w:ind w:left="397" w:firstLine="3699"/>
      <w:jc w:val="both"/>
      <w:spacing w:before="40" w:after="40"/>
    </w:pPr>
    <w:rPr>
      <w:rFonts w:ascii="Calibri" w:hAnsi="Calibri" w:cs="宋体" w:eastAsiaTheme="minorEastAsia"/>
      <w:lang w:val="en-US" w:eastAsia="zh-CN" w:bidi="ar-SA"/>
    </w:rPr>
  </w:style>
  <w:style w:type="paragraph" w:styleId="1311" w:customStyle="1">
    <w:name w:val="Char Char Char Char Char Char1 Char Char Char Char Char Char"/>
    <w:basedOn w:val="831"/>
    <w:next w:val="1312"/>
    <w:uiPriority w:val="0"/>
    <w:qFormat/>
    <w:pPr>
      <w:ind w:firstLine="2560"/>
      <w:jc w:val="both"/>
    </w:pPr>
    <w:rPr>
      <w:rFonts w:ascii="Times New Roman" w:hAnsi="Times New Roman" w:cs="Times New Roman"/>
      <w:b w:val="0"/>
      <w:sz w:val="20"/>
      <w:szCs w:val="20"/>
    </w:rPr>
  </w:style>
  <w:style w:type="paragraph" w:styleId="1312" w:customStyle="1">
    <w:name w:val="Char Char1"/>
    <w:basedOn w:val="831"/>
    <w:next w:val="1313"/>
    <w:uiPriority w:val="0"/>
    <w:qFormat/>
    <w:pPr>
      <w:ind w:firstLine="3584"/>
      <w:jc w:val="both"/>
      <w:spacing w:after="160" w:line="240" w:lineRule="exact"/>
    </w:pPr>
    <w:rPr>
      <w:rFonts w:ascii="Times New Roman" w:hAnsi="Times New Roman" w:cs="Times New Roman"/>
      <w:b w:val="0"/>
      <w:sz w:val="20"/>
      <w:szCs w:val="20"/>
    </w:rPr>
  </w:style>
  <w:style w:type="paragraph" w:styleId="1313" w:customStyle="1">
    <w:name w:val="样式 标题 3 + 行距: 1.5 倍行距"/>
    <w:basedOn w:val="834"/>
    <w:next w:val="885"/>
    <w:uiPriority w:val="0"/>
    <w:qFormat/>
    <w:pPr>
      <w:ind w:left="200" w:firstLine="18"/>
      <w:jc w:val="both"/>
      <w:spacing w:line="360" w:lineRule="auto"/>
      <w:outlineLvl w:val="2"/>
    </w:pPr>
    <w:rPr>
      <w:sz w:val="20"/>
    </w:rPr>
  </w:style>
  <w:style w:type="paragraph" w:styleId="1314" w:customStyle="1">
    <w:name w:val="Char1 Char Char"/>
    <w:basedOn w:val="831"/>
    <w:next w:val="865"/>
    <w:uiPriority w:val="0"/>
    <w:qFormat/>
    <w:pPr>
      <w:ind w:firstLine="2560"/>
      <w:jc w:val="both"/>
    </w:pPr>
    <w:rPr>
      <w:rFonts w:ascii="Times New Roman" w:hAnsi="Times New Roman" w:cs="Times New Roman"/>
      <w:b w:val="0"/>
      <w:sz w:val="20"/>
      <w:szCs w:val="20"/>
    </w:rPr>
  </w:style>
  <w:style w:type="paragraph" w:styleId="1315" w:customStyle="1">
    <w:name w:val="表格"/>
    <w:basedOn w:val="831"/>
    <w:next w:val="1074"/>
    <w:uiPriority w:val="0"/>
    <w:qFormat/>
    <w:pPr>
      <w:ind w:firstLine="2560"/>
      <w:jc w:val="both"/>
      <w:spacing w:line="360" w:lineRule="auto"/>
    </w:pPr>
    <w:rPr>
      <w:rFonts w:ascii="Times New Roman" w:hAnsi="Times New Roman" w:cs="Times New Roman"/>
      <w:b w:val="0"/>
      <w:sz w:val="20"/>
      <w:szCs w:val="20"/>
    </w:rPr>
  </w:style>
  <w:style w:type="paragraph" w:styleId="1316" w:customStyle="1">
    <w:name w:val="需求文档正文样式"/>
    <w:basedOn w:val="831"/>
    <w:next w:val="1124"/>
    <w:uiPriority w:val="0"/>
    <w:qFormat/>
    <w:pPr>
      <w:ind w:left="437" w:firstLine="2741"/>
      <w:jc w:val="both"/>
      <w:spacing w:line="360" w:lineRule="auto"/>
    </w:pPr>
    <w:rPr>
      <w:rFonts w:ascii="Times New Roman" w:hAnsi="Times New Roman" w:cs="Times New Roman"/>
      <w:b w:val="0"/>
      <w:sz w:val="20"/>
      <w:szCs w:val="20"/>
    </w:rPr>
  </w:style>
  <w:style w:type="paragraph" w:styleId="1317" w:customStyle="1">
    <w:name w:val="xl88"/>
    <w:basedOn w:val="831"/>
    <w:next w:val="1114"/>
    <w:uiPriority w:val="0"/>
    <w:qFormat/>
    <w:pPr>
      <w:ind w:firstLine="5120"/>
      <w:jc w:val="both"/>
      <w:spacing w:before="280" w:after="280"/>
    </w:pPr>
    <w:rPr>
      <w:rFonts w:ascii="Times New Roman" w:hAnsi="Times New Roman" w:cs="Times New Roman"/>
      <w:b w:val="0"/>
      <w:sz w:val="20"/>
      <w:szCs w:val="20"/>
    </w:rPr>
  </w:style>
  <w:style w:type="paragraph" w:styleId="1318" w:customStyle="1">
    <w:name w:val="文档标题5"/>
    <w:basedOn w:val="836"/>
    <w:next w:val="830"/>
    <w:uiPriority w:val="0"/>
    <w:qFormat/>
    <w:pPr>
      <w:ind w:left="992" w:firstLine="18"/>
      <w:keepNext w:val="0"/>
      <w:spacing w:before="280" w:after="280" w:line="360" w:lineRule="auto"/>
      <w:widowControl/>
      <w:outlineLvl w:val="4"/>
    </w:pPr>
    <w:rPr>
      <w:rFonts w:hint="default" w:ascii="Times New Roman" w:hAnsi="Times New Roman"/>
      <w:sz w:val="20"/>
    </w:rPr>
  </w:style>
  <w:style w:type="paragraph" w:styleId="1319" w:customStyle="1">
    <w:name w:val="样式 加粗 居中"/>
    <w:basedOn w:val="831"/>
    <w:next w:val="1142"/>
    <w:uiPriority w:val="0"/>
    <w:qFormat/>
    <w:pPr>
      <w:ind w:firstLine="2560"/>
      <w:spacing w:line="360" w:lineRule="auto"/>
    </w:pPr>
    <w:rPr>
      <w:rFonts w:ascii="Times New Roman" w:hAnsi="Times New Roman" w:cs="Times New Roman"/>
      <w:b w:val="0"/>
      <w:sz w:val="20"/>
      <w:szCs w:val="20"/>
    </w:rPr>
  </w:style>
  <w:style w:type="paragraph" w:styleId="1320" w:customStyle="1">
    <w:name w:val="列表编号 31"/>
    <w:basedOn w:val="831"/>
    <w:next w:val="883"/>
    <w:uiPriority w:val="0"/>
    <w:qFormat/>
    <w:pPr>
      <w:ind w:left="1200" w:firstLine="2712"/>
      <w:jc w:val="both"/>
      <w:spacing w:line="360" w:lineRule="auto"/>
    </w:pPr>
    <w:rPr>
      <w:rFonts w:ascii="Times New Roman" w:hAnsi="Times New Roman" w:cs="Times New Roman"/>
      <w:b w:val="0"/>
      <w:sz w:val="20"/>
      <w:szCs w:val="20"/>
    </w:rPr>
  </w:style>
  <w:style w:type="paragraph" w:styleId="1321" w:customStyle="1">
    <w:name w:val="三号 居中"/>
    <w:basedOn w:val="831"/>
    <w:next w:val="1322"/>
    <w:uiPriority w:val="0"/>
    <w:qFormat/>
    <w:pPr>
      <w:ind w:firstLine="6144"/>
      <w:spacing w:line="360" w:lineRule="auto"/>
    </w:pPr>
    <w:rPr>
      <w:rFonts w:ascii="Times New Roman" w:hAnsi="Times New Roman" w:cs="Times New Roman"/>
      <w:b w:val="0"/>
      <w:sz w:val="20"/>
      <w:szCs w:val="20"/>
    </w:rPr>
  </w:style>
  <w:style w:type="paragraph" w:styleId="1322" w:customStyle="1">
    <w:name w:val="列出段落1"/>
    <w:basedOn w:val="831"/>
    <w:next w:val="1323"/>
    <w:uiPriority w:val="0"/>
    <w:qFormat/>
    <w:pPr>
      <w:ind w:left="420" w:firstLine="3748"/>
      <w:jc w:val="both"/>
    </w:pPr>
    <w:rPr>
      <w:rFonts w:ascii="Times New Roman" w:hAnsi="Times New Roman" w:cs="Times New Roman"/>
      <w:b w:val="0"/>
      <w:sz w:val="20"/>
      <w:szCs w:val="20"/>
    </w:rPr>
  </w:style>
  <w:style w:type="paragraph" w:styleId="1323" w:customStyle="1">
    <w:name w:val="Char Char Char Char Char Char1 Char Char Char1 Char Char Char"/>
    <w:basedOn w:val="831"/>
    <w:next w:val="1324"/>
    <w:uiPriority w:val="0"/>
    <w:qFormat/>
    <w:pPr>
      <w:ind w:firstLine="2560"/>
      <w:jc w:val="both"/>
    </w:pPr>
    <w:rPr>
      <w:rFonts w:ascii="Times New Roman" w:hAnsi="Times New Roman" w:cs="Times New Roman"/>
      <w:b w:val="0"/>
      <w:sz w:val="20"/>
      <w:szCs w:val="20"/>
    </w:rPr>
  </w:style>
  <w:style w:type="paragraph" w:styleId="1324" w:customStyle="1">
    <w:name w:val="Char Char Char Char Char Char1 Char Char Char1 Char"/>
    <w:basedOn w:val="831"/>
    <w:next w:val="1325"/>
    <w:uiPriority w:val="0"/>
    <w:qFormat/>
    <w:pPr>
      <w:ind w:firstLine="2560"/>
      <w:jc w:val="both"/>
    </w:pPr>
    <w:rPr>
      <w:rFonts w:ascii="Times New Roman" w:hAnsi="Times New Roman" w:cs="Times New Roman"/>
      <w:b w:val="0"/>
      <w:sz w:val="20"/>
      <w:szCs w:val="20"/>
    </w:rPr>
  </w:style>
  <w:style w:type="paragraph" w:styleId="1325" w:customStyle="1">
    <w:name w:val="正文符号4"/>
    <w:basedOn w:val="831"/>
    <w:next w:val="1319"/>
    <w:uiPriority w:val="0"/>
    <w:qFormat/>
    <w:pPr>
      <w:ind w:firstLine="5632"/>
      <w:jc w:val="both"/>
    </w:pPr>
    <w:rPr>
      <w:rFonts w:ascii="Times New Roman" w:hAnsi="Times New Roman" w:cs="Times New Roman"/>
      <w:b w:val="0"/>
      <w:sz w:val="20"/>
      <w:szCs w:val="20"/>
    </w:rPr>
  </w:style>
  <w:style w:type="paragraph" w:styleId="1326" w:customStyle="1">
    <w:name w:val="加粗（居中）"/>
    <w:next w:val="1118"/>
    <w:uiPriority w:val="0"/>
    <w:qFormat/>
    <w:pPr>
      <w:ind w:firstLine="2560"/>
    </w:pPr>
    <w:rPr>
      <w:rFonts w:ascii="Calibri" w:hAnsi="Calibri" w:cs="宋体" w:eastAsiaTheme="minorEastAsia"/>
      <w:lang w:val="en-US" w:eastAsia="zh-CN" w:bidi="ar-SA"/>
    </w:rPr>
  </w:style>
  <w:style w:type="paragraph" w:styleId="1327" w:customStyle="1">
    <w:name w:val="WPSOffice手动目录 3"/>
    <w:uiPriority w:val="0"/>
    <w:qFormat/>
    <w:pPr>
      <w:ind w:left="400"/>
    </w:pPr>
    <w:rPr>
      <w:rFonts w:ascii="宋体" w:hAnsi="宋体" w:cs="宋体" w:eastAsiaTheme="minorEastAsia"/>
      <w:lang w:val="en-US" w:eastAsia="zh-CN" w:bidi="ar-SA"/>
    </w:rPr>
  </w:style>
  <w:style w:type="paragraph" w:styleId="1328" w:customStyle="1">
    <w:name w:val="索引 21"/>
    <w:basedOn w:val="831"/>
    <w:next w:val="830"/>
    <w:uiPriority w:val="0"/>
    <w:qFormat/>
    <w:pPr>
      <w:ind w:left="200" w:firstLine="2560"/>
      <w:spacing w:line="360" w:lineRule="auto"/>
    </w:pPr>
    <w:rPr>
      <w:rFonts w:ascii="Times New Roman" w:hAnsi="Times New Roman" w:cs="Times New Roman"/>
      <w:b w:val="0"/>
      <w:sz w:val="20"/>
      <w:szCs w:val="20"/>
    </w:rPr>
  </w:style>
  <w:style w:type="paragraph" w:styleId="1329" w:customStyle="1">
    <w:name w:val="正文（首行缩进 2 字符）"/>
    <w:next w:val="1083"/>
    <w:uiPriority w:val="0"/>
    <w:qFormat/>
    <w:pPr>
      <w:ind w:left="480" w:firstLine="2784"/>
      <w:jc w:val="center"/>
      <w:spacing w:line="300" w:lineRule="auto"/>
    </w:pPr>
    <w:rPr>
      <w:rFonts w:ascii="Calibri" w:hAnsi="Calibri" w:cs="宋体" w:eastAsiaTheme="minorEastAsia"/>
      <w:lang w:val="en-US" w:eastAsia="zh-CN" w:bidi="ar-SA"/>
    </w:rPr>
  </w:style>
  <w:style w:type="paragraph" w:styleId="1330" w:customStyle="1">
    <w:name w:val="HTML 预设格式1"/>
    <w:basedOn w:val="831"/>
    <w:next w:val="1331"/>
    <w:uiPriority w:val="0"/>
    <w:qFormat/>
    <w:pPr>
      <w:ind w:firstLine="3584"/>
      <w:jc w:val="both"/>
      <w:spacing w:line="253" w:lineRule="atLeast"/>
    </w:pPr>
    <w:rPr>
      <w:rFonts w:ascii="Times New Roman" w:hAnsi="Times New Roman" w:cs="Times New Roman"/>
      <w:b w:val="0"/>
      <w:sz w:val="20"/>
      <w:szCs w:val="20"/>
    </w:rPr>
  </w:style>
  <w:style w:type="paragraph" w:styleId="1331" w:customStyle="1">
    <w:name w:val="项目符号：一级"/>
    <w:basedOn w:val="831"/>
    <w:next w:val="830"/>
    <w:uiPriority w:val="0"/>
    <w:qFormat/>
    <w:pPr>
      <w:ind w:left="425" w:firstLine="1111"/>
      <w:jc w:val="both"/>
      <w:spacing w:line="360" w:lineRule="auto"/>
    </w:pPr>
    <w:rPr>
      <w:rFonts w:ascii="Times New Roman" w:hAnsi="Times New Roman" w:cs="Times New Roman"/>
      <w:b w:val="0"/>
      <w:sz w:val="20"/>
      <w:szCs w:val="20"/>
    </w:rPr>
  </w:style>
  <w:style w:type="paragraph" w:styleId="1332" w:customStyle="1">
    <w:name w:val="Default"/>
    <w:next w:val="861"/>
    <w:uiPriority w:val="0"/>
    <w:qFormat/>
    <w:pPr>
      <w:ind w:firstLine="5120"/>
      <w:widowControl w:val="off"/>
    </w:pPr>
    <w:rPr>
      <w:rFonts w:ascii="Calibri" w:hAnsi="Calibri" w:cs="宋体" w:eastAsiaTheme="minorEastAsia"/>
      <w:lang w:val="en-US" w:eastAsia="zh-CN" w:bidi="ar-SA"/>
    </w:rPr>
  </w:style>
  <w:style w:type="paragraph" w:styleId="1333" w:customStyle="1">
    <w:name w:val="xl84"/>
    <w:basedOn w:val="831"/>
    <w:next w:val="1334"/>
    <w:uiPriority w:val="0"/>
    <w:qFormat/>
    <w:pPr>
      <w:ind w:firstLine="2048"/>
      <w:spacing w:before="280" w:after="280"/>
    </w:pPr>
    <w:rPr>
      <w:rFonts w:ascii="Times New Roman" w:hAnsi="Times New Roman" w:cs="Times New Roman"/>
      <w:b w:val="0"/>
      <w:sz w:val="20"/>
      <w:szCs w:val="20"/>
    </w:rPr>
  </w:style>
  <w:style w:type="paragraph" w:styleId="1334" w:customStyle="1">
    <w:name w:val="2-2ji"/>
    <w:basedOn w:val="833"/>
    <w:next w:val="1335"/>
    <w:uiPriority w:val="0"/>
    <w:qFormat/>
    <w:pPr>
      <w:ind w:firstLine="24"/>
      <w:jc w:val="center"/>
      <w:spacing w:line="360" w:lineRule="auto"/>
      <w:outlineLvl w:val="1"/>
    </w:pPr>
    <w:rPr>
      <w:sz w:val="20"/>
    </w:rPr>
  </w:style>
  <w:style w:type="paragraph" w:styleId="1335" w:customStyle="1">
    <w:name w:val="应答文本"/>
    <w:basedOn w:val="831"/>
    <w:next w:val="1336"/>
    <w:uiPriority w:val="0"/>
    <w:qFormat/>
    <w:pPr>
      <w:ind w:left="1296" w:firstLine="2112"/>
      <w:jc w:val="both"/>
      <w:spacing w:line="460" w:lineRule="exact"/>
    </w:pPr>
    <w:rPr>
      <w:rFonts w:ascii="Times New Roman" w:hAnsi="Times New Roman" w:cs="Times New Roman"/>
      <w:b w:val="0"/>
      <w:sz w:val="20"/>
      <w:szCs w:val="20"/>
    </w:rPr>
  </w:style>
  <w:style w:type="paragraph" w:styleId="1336" w:customStyle="1">
    <w:name w:val="引文目录1"/>
    <w:basedOn w:val="831"/>
    <w:next w:val="830"/>
    <w:uiPriority w:val="0"/>
    <w:qFormat/>
    <w:pPr>
      <w:ind w:left="420" w:firstLine="2560"/>
      <w:spacing w:line="360" w:lineRule="auto"/>
    </w:pPr>
    <w:rPr>
      <w:rFonts w:ascii="Times New Roman" w:hAnsi="Times New Roman" w:cs="Times New Roman"/>
      <w:b w:val="0"/>
      <w:sz w:val="20"/>
      <w:szCs w:val="20"/>
    </w:rPr>
  </w:style>
  <w:style w:type="paragraph" w:styleId="1337" w:customStyle="1">
    <w:name w:val="样式 标题 3 + (中文) 黑体 小四 非加粗 段前: 7.8 磅 段后: 0 磅 行距: 固定值 20 磅"/>
    <w:basedOn w:val="834"/>
    <w:next w:val="1338"/>
    <w:uiPriority w:val="0"/>
    <w:qFormat/>
    <w:pPr>
      <w:ind w:firstLine="24"/>
      <w:jc w:val="both"/>
      <w:spacing w:line="400" w:lineRule="exact"/>
      <w:outlineLvl w:val="2"/>
    </w:pPr>
    <w:rPr>
      <w:sz w:val="20"/>
    </w:rPr>
  </w:style>
  <w:style w:type="paragraph" w:styleId="1338" w:customStyle="1">
    <w:name w:val="标书正文"/>
    <w:basedOn w:val="831"/>
    <w:next w:val="1146"/>
    <w:uiPriority w:val="0"/>
    <w:qFormat/>
    <w:pPr>
      <w:ind w:left="440" w:right="100" w:firstLine="2760"/>
      <w:jc w:val="both"/>
      <w:spacing w:line="360" w:lineRule="auto"/>
    </w:pPr>
    <w:rPr>
      <w:rFonts w:ascii="Times New Roman" w:hAnsi="Times New Roman" w:cs="Times New Roman"/>
      <w:b w:val="0"/>
      <w:sz w:val="20"/>
      <w:szCs w:val="20"/>
    </w:rPr>
  </w:style>
  <w:style w:type="paragraph" w:styleId="1339" w:customStyle="1">
    <w:name w:val="索引 61"/>
    <w:basedOn w:val="831"/>
    <w:next w:val="830"/>
    <w:uiPriority w:val="0"/>
    <w:qFormat/>
    <w:pPr>
      <w:ind w:left="1000" w:firstLine="2560"/>
      <w:spacing w:line="360" w:lineRule="auto"/>
    </w:pPr>
    <w:rPr>
      <w:rFonts w:ascii="Times New Roman" w:hAnsi="Times New Roman" w:cs="Times New Roman"/>
      <w:b w:val="0"/>
      <w:sz w:val="20"/>
      <w:szCs w:val="20"/>
    </w:rPr>
  </w:style>
  <w:style w:type="paragraph" w:styleId="1340" w:customStyle="1">
    <w:name w:val="目录3"/>
    <w:basedOn w:val="831"/>
    <w:next w:val="830"/>
    <w:uiPriority w:val="0"/>
    <w:qFormat/>
    <w:pPr>
      <w:ind w:left="419" w:firstLine="5283"/>
      <w:jc w:val="both"/>
      <w:spacing w:line="317" w:lineRule="atLeast"/>
    </w:pPr>
    <w:rPr>
      <w:rFonts w:ascii="Times New Roman" w:hAnsi="Times New Roman" w:cs="Times New Roman"/>
      <w:b w:val="0"/>
      <w:sz w:val="20"/>
      <w:szCs w:val="20"/>
    </w:rPr>
  </w:style>
  <w:style w:type="paragraph" w:styleId="1341" w:customStyle="1">
    <w:name w:val="xl90"/>
    <w:basedOn w:val="831"/>
    <w:next w:val="1342"/>
    <w:uiPriority w:val="0"/>
    <w:qFormat/>
    <w:pPr>
      <w:ind w:firstLine="3584"/>
      <w:jc w:val="both"/>
      <w:spacing w:before="280" w:after="280"/>
    </w:pPr>
    <w:rPr>
      <w:rFonts w:ascii="Times New Roman" w:hAnsi="Times New Roman" w:cs="Times New Roman"/>
      <w:b w:val="0"/>
      <w:sz w:val="20"/>
      <w:szCs w:val="20"/>
    </w:rPr>
  </w:style>
  <w:style w:type="paragraph" w:styleId="1342" w:customStyle="1">
    <w:name w:val="列表框1"/>
    <w:next w:val="1336"/>
    <w:uiPriority w:val="0"/>
    <w:qFormat/>
    <w:pPr>
      <w:ind w:firstLine="2048"/>
      <w:spacing w:line="460" w:lineRule="exact"/>
    </w:pPr>
    <w:rPr>
      <w:rFonts w:ascii="Calibri" w:hAnsi="Calibri" w:cs="宋体" w:eastAsiaTheme="minorEastAsia"/>
      <w:lang w:val="en-US" w:eastAsia="zh-CN" w:bidi="ar-SA"/>
    </w:rPr>
  </w:style>
  <w:style w:type="paragraph" w:styleId="1343" w:customStyle="1">
    <w:name w:val="1ji"/>
    <w:basedOn w:val="832"/>
    <w:next w:val="1090"/>
    <w:uiPriority w:val="0"/>
    <w:qFormat/>
    <w:pPr>
      <w:ind w:firstLine="18"/>
      <w:jc w:val="center"/>
      <w:spacing w:line="240" w:lineRule="auto"/>
      <w:outlineLvl w:val="0"/>
    </w:pPr>
    <w:rPr>
      <w:rFonts w:hAnsi="Times New Roman" w:cs="Times New Roman"/>
      <w:b w:val="0"/>
      <w:bCs w:val="0"/>
      <w:sz w:val="20"/>
      <w:szCs w:val="20"/>
    </w:rPr>
  </w:style>
  <w:style w:type="paragraph" w:styleId="1344" w:customStyle="1">
    <w:name w:val="索引 81"/>
    <w:basedOn w:val="831"/>
    <w:next w:val="830"/>
    <w:uiPriority w:val="0"/>
    <w:qFormat/>
    <w:pPr>
      <w:ind w:left="1400" w:firstLine="2560"/>
      <w:spacing w:line="360" w:lineRule="auto"/>
    </w:pPr>
    <w:rPr>
      <w:rFonts w:ascii="Times New Roman" w:hAnsi="Times New Roman" w:cs="Times New Roman"/>
      <w:b w:val="0"/>
      <w:sz w:val="20"/>
      <w:szCs w:val="20"/>
    </w:rPr>
  </w:style>
  <w:style w:type="paragraph" w:styleId="1345" w:customStyle="1">
    <w:name w:val="Char Char Char Char Char Char1 Char Char Char1 Char Char Char Char Char Char Char Char Char Char Char Char Char Char Char Char Char Char"/>
    <w:basedOn w:val="831"/>
    <w:next w:val="1346"/>
    <w:uiPriority w:val="0"/>
    <w:qFormat/>
    <w:pPr>
      <w:ind w:firstLine="2560"/>
      <w:jc w:val="both"/>
    </w:pPr>
    <w:rPr>
      <w:rFonts w:ascii="Times New Roman" w:hAnsi="Times New Roman" w:cs="Times New Roman"/>
      <w:b w:val="0"/>
      <w:sz w:val="20"/>
      <w:szCs w:val="20"/>
    </w:rPr>
  </w:style>
  <w:style w:type="paragraph" w:styleId="1346" w:customStyle="1">
    <w:name w:val="样式 加粗 居中11"/>
    <w:basedOn w:val="831"/>
    <w:next w:val="1347"/>
    <w:uiPriority w:val="0"/>
    <w:qFormat/>
    <w:pPr>
      <w:ind w:firstLine="2560"/>
      <w:spacing w:line="360" w:lineRule="auto"/>
    </w:pPr>
    <w:rPr>
      <w:rFonts w:ascii="Times New Roman" w:hAnsi="Times New Roman" w:cs="Times New Roman"/>
      <w:b w:val="0"/>
      <w:sz w:val="20"/>
      <w:szCs w:val="20"/>
    </w:rPr>
  </w:style>
  <w:style w:type="paragraph" w:styleId="1347" w:customStyle="1">
    <w:name w:val="xl89"/>
    <w:basedOn w:val="831"/>
    <w:next w:val="1348"/>
    <w:uiPriority w:val="0"/>
    <w:qFormat/>
    <w:pPr>
      <w:ind w:firstLine="3584"/>
      <w:jc w:val="both"/>
      <w:spacing w:before="280" w:after="280"/>
    </w:pPr>
    <w:rPr>
      <w:rFonts w:ascii="Times New Roman" w:hAnsi="Times New Roman" w:cs="Times New Roman"/>
      <w:b w:val="0"/>
      <w:sz w:val="20"/>
      <w:szCs w:val="20"/>
    </w:rPr>
  </w:style>
  <w:style w:type="paragraph" w:styleId="1348" w:customStyle="1">
    <w:name w:val="Char Char Char Char Char Char1 Char Char Char Char Char Char1 Char Char Char Char Char Char Char Char Char"/>
    <w:basedOn w:val="831"/>
    <w:next w:val="1349"/>
    <w:uiPriority w:val="0"/>
    <w:qFormat/>
    <w:pPr>
      <w:ind w:firstLine="2560"/>
      <w:jc w:val="both"/>
    </w:pPr>
    <w:rPr>
      <w:rFonts w:ascii="Times New Roman" w:hAnsi="Times New Roman" w:cs="Times New Roman"/>
      <w:b w:val="0"/>
      <w:sz w:val="20"/>
      <w:szCs w:val="20"/>
    </w:rPr>
  </w:style>
  <w:style w:type="paragraph" w:styleId="1349" w:customStyle="1">
    <w:name w:val="文章附标题"/>
    <w:basedOn w:val="831"/>
    <w:next w:val="831"/>
    <w:uiPriority w:val="0"/>
    <w:qFormat/>
    <w:pPr>
      <w:ind w:firstLine="5120"/>
      <w:spacing w:before="187" w:after="175" w:line="374" w:lineRule="atLeast"/>
    </w:pPr>
    <w:rPr>
      <w:rFonts w:ascii="Times New Roman" w:hAnsi="Times New Roman" w:cs="Times New Roman"/>
      <w:b w:val="0"/>
      <w:sz w:val="20"/>
      <w:szCs w:val="20"/>
    </w:rPr>
  </w:style>
  <w:style w:type="paragraph" w:styleId="1350" w:customStyle="1">
    <w:name w:val="Default Paragraph Font Para Char Char Char Char Char Char"/>
    <w:basedOn w:val="831"/>
    <w:next w:val="1157"/>
    <w:uiPriority w:val="0"/>
    <w:qFormat/>
    <w:pPr>
      <w:ind w:firstLine="3584"/>
      <w:jc w:val="both"/>
      <w:spacing w:after="160" w:line="240" w:lineRule="exact"/>
    </w:pPr>
    <w:rPr>
      <w:rFonts w:ascii="Times New Roman" w:hAnsi="Times New Roman" w:cs="Times New Roman"/>
      <w:b w:val="0"/>
      <w:sz w:val="20"/>
      <w:szCs w:val="20"/>
    </w:rPr>
  </w:style>
  <w:style w:type="paragraph" w:styleId="1351" w:customStyle="1">
    <w:name w:val="列出段落11"/>
    <w:basedOn w:val="831"/>
    <w:next w:val="1352"/>
    <w:uiPriority w:val="0"/>
    <w:qFormat/>
    <w:pPr>
      <w:ind w:left="420" w:firstLine="3748"/>
      <w:jc w:val="both"/>
    </w:pPr>
    <w:rPr>
      <w:rFonts w:ascii="Times New Roman" w:hAnsi="Times New Roman" w:cs="Times New Roman"/>
      <w:b w:val="0"/>
      <w:sz w:val="20"/>
      <w:szCs w:val="20"/>
    </w:rPr>
  </w:style>
  <w:style w:type="paragraph" w:styleId="1352" w:customStyle="1">
    <w:name w:val="样式 标题 2 + (西文) 宋体 非加粗 居中"/>
    <w:basedOn w:val="833"/>
    <w:next w:val="1353"/>
    <w:uiPriority w:val="0"/>
    <w:qFormat/>
    <w:pPr>
      <w:ind w:firstLine="24"/>
      <w:jc w:val="center"/>
      <w:spacing w:before="260" w:after="260" w:line="412" w:lineRule="auto"/>
      <w:outlineLvl w:val="1"/>
    </w:pPr>
    <w:rPr>
      <w:sz w:val="20"/>
    </w:rPr>
  </w:style>
  <w:style w:type="paragraph" w:styleId="1353" w:customStyle="1">
    <w:name w:val="页脚 Char Char"/>
    <w:basedOn w:val="831"/>
    <w:next w:val="1354"/>
    <w:uiPriority w:val="0"/>
    <w:qFormat/>
    <w:pPr>
      <w:ind w:firstLine="5120"/>
      <w:jc w:val="both"/>
    </w:pPr>
    <w:rPr>
      <w:rFonts w:ascii="Times New Roman" w:hAnsi="Times New Roman" w:cs="Times New Roman"/>
      <w:b w:val="0"/>
      <w:sz w:val="20"/>
      <w:szCs w:val="20"/>
    </w:rPr>
  </w:style>
  <w:style w:type="paragraph" w:styleId="1354" w:customStyle="1">
    <w:name w:val="样式 标题 1 + 段前: 16 磅 段后: 16 磅"/>
    <w:basedOn w:val="832"/>
    <w:next w:val="1355"/>
    <w:uiPriority w:val="0"/>
    <w:qFormat/>
    <w:pPr>
      <w:ind w:firstLine="18"/>
      <w:jc w:val="center"/>
      <w:spacing w:before="120" w:line="360" w:lineRule="auto"/>
      <w:outlineLvl w:val="0"/>
    </w:pPr>
    <w:rPr>
      <w:rFonts w:hAnsi="Times New Roman" w:cs="Times New Roman"/>
      <w:b w:val="0"/>
      <w:bCs w:val="0"/>
      <w:sz w:val="20"/>
      <w:szCs w:val="20"/>
    </w:rPr>
  </w:style>
  <w:style w:type="paragraph" w:styleId="1355" w:customStyle="1">
    <w:name w:val="Char1 Char Char Char Char Char Char"/>
    <w:basedOn w:val="831"/>
    <w:next w:val="1356"/>
    <w:uiPriority w:val="0"/>
    <w:qFormat/>
    <w:pPr>
      <w:ind w:firstLine="2560"/>
      <w:jc w:val="both"/>
    </w:pPr>
    <w:rPr>
      <w:rFonts w:ascii="Times New Roman" w:hAnsi="Times New Roman" w:cs="Times New Roman"/>
      <w:b w:val="0"/>
      <w:sz w:val="20"/>
      <w:szCs w:val="20"/>
    </w:rPr>
  </w:style>
  <w:style w:type="paragraph" w:styleId="1356" w:customStyle="1">
    <w:name w:val="文档标题4"/>
    <w:basedOn w:val="835"/>
    <w:next w:val="830"/>
    <w:uiPriority w:val="0"/>
    <w:qFormat/>
    <w:pPr>
      <w:ind w:left="851" w:firstLine="30"/>
      <w:jc w:val="both"/>
      <w:spacing w:before="280" w:after="280" w:line="360" w:lineRule="auto"/>
      <w:outlineLvl w:val="3"/>
    </w:pPr>
    <w:rPr>
      <w:rFonts w:ascii="Times New Roman" w:hAnsi="Times New Roman" w:cs="Times New Roman"/>
      <w:b w:val="0"/>
      <w:bCs w:val="0"/>
      <w:sz w:val="20"/>
      <w:szCs w:val="20"/>
    </w:rPr>
  </w:style>
  <w:style w:type="paragraph" w:styleId="1357" w:customStyle="1">
    <w:name w:val="font0"/>
    <w:basedOn w:val="831"/>
    <w:next w:val="1127"/>
    <w:uiPriority w:val="0"/>
    <w:qFormat/>
    <w:pPr>
      <w:ind w:firstLine="1024"/>
      <w:jc w:val="both"/>
      <w:spacing w:before="280" w:after="280"/>
    </w:pPr>
    <w:rPr>
      <w:rFonts w:ascii="Times New Roman" w:hAnsi="Times New Roman" w:cs="Times New Roman"/>
      <w:b w:val="0"/>
      <w:sz w:val="20"/>
      <w:szCs w:val="20"/>
    </w:rPr>
  </w:style>
  <w:style w:type="paragraph" w:styleId="1358" w:customStyle="1">
    <w:name w:val="CM5"/>
    <w:basedOn w:val="831"/>
    <w:next w:val="830"/>
    <w:uiPriority w:val="0"/>
    <w:qFormat/>
    <w:pPr>
      <w:ind w:left="200" w:firstLine="2760"/>
      <w:jc w:val="both"/>
      <w:spacing w:line="400" w:lineRule="atLeast"/>
    </w:pPr>
    <w:rPr>
      <w:rFonts w:ascii="Times New Roman" w:hAnsi="Times New Roman" w:cs="Times New Roman"/>
      <w:b w:val="0"/>
      <w:sz w:val="20"/>
      <w:szCs w:val="20"/>
    </w:rPr>
  </w:style>
  <w:style w:type="paragraph" w:styleId="1359" w:customStyle="1">
    <w:name w:val="Pa0"/>
    <w:basedOn w:val="831"/>
    <w:next w:val="830"/>
    <w:uiPriority w:val="0"/>
    <w:qFormat/>
    <w:pPr>
      <w:ind w:firstLine="4608"/>
      <w:jc w:val="both"/>
      <w:spacing w:line="241" w:lineRule="atLeast"/>
    </w:pPr>
    <w:rPr>
      <w:rFonts w:ascii="Times New Roman" w:hAnsi="Times New Roman" w:cs="Times New Roman"/>
      <w:b w:val="0"/>
      <w:sz w:val="20"/>
      <w:szCs w:val="20"/>
    </w:rPr>
  </w:style>
  <w:style w:type="paragraph" w:styleId="1360" w:customStyle="1">
    <w:name w:val="招标文件》"/>
    <w:basedOn w:val="831"/>
    <w:next w:val="1119"/>
    <w:uiPriority w:val="0"/>
    <w:qFormat/>
    <w:pPr>
      <w:ind w:left="420" w:firstLine="2140"/>
      <w:jc w:val="both"/>
      <w:spacing w:before="120" w:after="120" w:line="300" w:lineRule="auto"/>
    </w:pPr>
    <w:rPr>
      <w:rFonts w:ascii="Times New Roman" w:hAnsi="Times New Roman" w:cs="Times New Roman"/>
      <w:b w:val="0"/>
      <w:sz w:val="20"/>
      <w:szCs w:val="20"/>
    </w:rPr>
  </w:style>
  <w:style w:type="paragraph" w:styleId="1361" w:customStyle="1">
    <w:name w:val="标书_正文"/>
    <w:basedOn w:val="831"/>
    <w:next w:val="1362"/>
    <w:uiPriority w:val="0"/>
    <w:qFormat/>
    <w:pPr>
      <w:ind w:left="420" w:firstLine="1188"/>
      <w:jc w:val="both"/>
      <w:spacing w:line="360" w:lineRule="auto"/>
    </w:pPr>
    <w:rPr>
      <w:rFonts w:ascii="Times New Roman" w:hAnsi="Times New Roman" w:cs="Times New Roman"/>
      <w:b w:val="0"/>
      <w:sz w:val="20"/>
      <w:szCs w:val="20"/>
    </w:rPr>
  </w:style>
  <w:style w:type="paragraph" w:styleId="1362" w:customStyle="1">
    <w:name w:val="样式 标题 2 + Times New Roman 四号 非加粗 段前: 5 磅 段后: 0 磅 行距: 固定值 20..."/>
    <w:basedOn w:val="833"/>
    <w:next w:val="1321"/>
    <w:uiPriority w:val="0"/>
    <w:qFormat/>
    <w:pPr>
      <w:ind w:firstLine="24"/>
      <w:jc w:val="both"/>
      <w:spacing w:before="100" w:line="400" w:lineRule="exact"/>
      <w:outlineLvl w:val="1"/>
    </w:pPr>
    <w:rPr>
      <w:sz w:val="20"/>
    </w:rPr>
  </w:style>
  <w:style w:type="paragraph" w:styleId="1363" w:customStyle="1">
    <w:name w:val="图片0"/>
    <w:basedOn w:val="831"/>
    <w:next w:val="873"/>
    <w:uiPriority w:val="0"/>
    <w:qFormat/>
    <w:pPr>
      <w:ind w:left="-161" w:firstLine="1187"/>
      <w:jc w:val="both"/>
      <w:spacing w:line="276" w:lineRule="auto"/>
    </w:pPr>
    <w:rPr>
      <w:rFonts w:ascii="Times New Roman" w:hAnsi="Times New Roman" w:cs="Times New Roman"/>
      <w:b w:val="0"/>
      <w:sz w:val="20"/>
      <w:szCs w:val="20"/>
    </w:rPr>
  </w:style>
  <w:style w:type="paragraph" w:styleId="1364" w:customStyle="1">
    <w:name w:val="Char Char Char2 Char Char Char2 Char"/>
    <w:basedOn w:val="831"/>
    <w:next w:val="1340"/>
    <w:uiPriority w:val="0"/>
    <w:qFormat/>
    <w:pPr>
      <w:ind w:left="560" w:firstLine="3632"/>
      <w:jc w:val="both"/>
      <w:spacing w:after="160" w:line="240" w:lineRule="exact"/>
    </w:pPr>
    <w:rPr>
      <w:rFonts w:ascii="Times New Roman" w:hAnsi="Times New Roman" w:cs="Times New Roman"/>
      <w:b w:val="0"/>
      <w:sz w:val="20"/>
      <w:szCs w:val="20"/>
    </w:rPr>
  </w:style>
  <w:style w:type="paragraph" w:styleId="1365" w:customStyle="1">
    <w:name w:val="Char Char Char Char"/>
    <w:next w:val="1366"/>
    <w:uiPriority w:val="0"/>
    <w:qFormat/>
    <w:pPr>
      <w:ind w:firstLine="10"/>
      <w:spacing w:line="360" w:lineRule="auto"/>
      <w:shd w:val="clear" w:color="000000" w:fill="000080"/>
    </w:pPr>
    <w:rPr>
      <w:rFonts w:ascii="Calibri" w:hAnsi="Calibri" w:cs="宋体" w:eastAsiaTheme="minorEastAsia"/>
      <w:lang w:val="en-US" w:eastAsia="zh-CN" w:bidi="ar-SA"/>
    </w:rPr>
  </w:style>
  <w:style w:type="paragraph" w:styleId="1366" w:customStyle="1">
    <w:name w:val="杨昂超式样黑体主"/>
    <w:basedOn w:val="831"/>
    <w:next w:val="1367"/>
    <w:uiPriority w:val="0"/>
    <w:qFormat/>
    <w:pPr>
      <w:ind w:firstLine="4608"/>
      <w:jc w:val="both"/>
    </w:pPr>
    <w:rPr>
      <w:rFonts w:ascii="Times New Roman" w:hAnsi="Times New Roman" w:cs="Times New Roman"/>
      <w:b w:val="0"/>
      <w:sz w:val="20"/>
      <w:szCs w:val="20"/>
    </w:rPr>
  </w:style>
  <w:style w:type="paragraph" w:styleId="1367" w:customStyle="1">
    <w:name w:val="Char Char Char Char Char Char1 Char Char Char Char Char Char Char Char Char Char"/>
    <w:basedOn w:val="831"/>
    <w:next w:val="1368"/>
    <w:uiPriority w:val="0"/>
    <w:qFormat/>
    <w:pPr>
      <w:ind w:firstLine="2560"/>
      <w:jc w:val="both"/>
    </w:pPr>
    <w:rPr>
      <w:rFonts w:ascii="Times New Roman" w:hAnsi="Times New Roman" w:cs="Times New Roman"/>
      <w:b w:val="0"/>
      <w:sz w:val="20"/>
      <w:szCs w:val="20"/>
    </w:rPr>
  </w:style>
  <w:style w:type="paragraph" w:styleId="1368" w:customStyle="1">
    <w:name w:val="目录1"/>
    <w:basedOn w:val="831"/>
    <w:next w:val="830"/>
    <w:uiPriority w:val="0"/>
    <w:qFormat/>
    <w:pPr>
      <w:ind w:firstLine="7168"/>
      <w:jc w:val="both"/>
      <w:spacing w:after="136" w:line="289" w:lineRule="atLeast"/>
    </w:pPr>
    <w:rPr>
      <w:rFonts w:ascii="Times New Roman" w:hAnsi="Times New Roman" w:cs="Times New Roman"/>
      <w:b w:val="0"/>
      <w:sz w:val="20"/>
      <w:szCs w:val="20"/>
    </w:rPr>
  </w:style>
  <w:style w:type="paragraph" w:styleId="1369" w:customStyle="1">
    <w:name w:val="文档结构图1"/>
    <w:basedOn w:val="831"/>
    <w:next w:val="1370"/>
    <w:uiPriority w:val="0"/>
    <w:qFormat/>
    <w:pPr>
      <w:ind w:left="200" w:firstLine="2248"/>
      <w:jc w:val="both"/>
      <w:spacing w:line="360" w:lineRule="auto"/>
    </w:pPr>
    <w:rPr>
      <w:rFonts w:ascii="Times New Roman" w:hAnsi="Times New Roman" w:cs="Times New Roman"/>
      <w:b w:val="0"/>
      <w:sz w:val="20"/>
      <w:szCs w:val="20"/>
    </w:rPr>
  </w:style>
  <w:style w:type="paragraph" w:styleId="1370" w:customStyle="1">
    <w:name w:val="2ji"/>
    <w:basedOn w:val="833"/>
    <w:next w:val="868"/>
    <w:uiPriority w:val="0"/>
    <w:qFormat/>
    <w:pPr>
      <w:ind w:firstLine="24"/>
      <w:jc w:val="both"/>
      <w:spacing w:line="360" w:lineRule="auto"/>
      <w:outlineLvl w:val="1"/>
    </w:pPr>
    <w:rPr>
      <w:sz w:val="20"/>
    </w:rPr>
  </w:style>
  <w:style w:type="paragraph" w:styleId="1371" w:customStyle="1">
    <w:name w:val="xl91"/>
    <w:basedOn w:val="831"/>
    <w:next w:val="1104"/>
    <w:uiPriority w:val="0"/>
    <w:qFormat/>
    <w:pPr>
      <w:ind w:firstLine="3584"/>
      <w:jc w:val="both"/>
      <w:spacing w:before="280" w:after="280"/>
    </w:pPr>
    <w:rPr>
      <w:rFonts w:ascii="Times New Roman" w:hAnsi="Times New Roman" w:cs="Times New Roman"/>
      <w:b w:val="0"/>
      <w:sz w:val="20"/>
      <w:szCs w:val="20"/>
    </w:rPr>
  </w:style>
  <w:style w:type="paragraph" w:styleId="1372" w:customStyle="1">
    <w:name w:val="Text Body"/>
    <w:basedOn w:val="831"/>
    <w:next w:val="1373"/>
    <w:uiPriority w:val="0"/>
    <w:qFormat/>
    <w:pPr>
      <w:ind w:firstLine="4096"/>
      <w:jc w:val="both"/>
      <w:spacing w:after="120"/>
    </w:pPr>
    <w:rPr>
      <w:rFonts w:ascii="Times New Roman" w:hAnsi="Times New Roman" w:cs="Times New Roman"/>
      <w:b w:val="0"/>
      <w:sz w:val="20"/>
      <w:szCs w:val="20"/>
    </w:rPr>
  </w:style>
  <w:style w:type="paragraph" w:styleId="1373" w:customStyle="1">
    <w:name w:val="项目符1"/>
    <w:basedOn w:val="831"/>
    <w:next w:val="1374"/>
    <w:uiPriority w:val="0"/>
    <w:qFormat/>
    <w:pPr>
      <w:ind w:left="1365" w:right="100" w:firstLine="2728"/>
      <w:jc w:val="both"/>
      <w:spacing w:before="78" w:after="78" w:line="300" w:lineRule="auto"/>
    </w:pPr>
    <w:rPr>
      <w:rFonts w:ascii="Times New Roman" w:hAnsi="Times New Roman" w:cs="Times New Roman"/>
      <w:b w:val="0"/>
      <w:sz w:val="20"/>
      <w:szCs w:val="20"/>
    </w:rPr>
  </w:style>
  <w:style w:type="paragraph" w:styleId="1374" w:customStyle="1">
    <w:name w:val="引文目录标题1"/>
    <w:basedOn w:val="831"/>
    <w:next w:val="830"/>
    <w:uiPriority w:val="0"/>
    <w:qFormat/>
    <w:pPr>
      <w:ind w:firstLine="4608"/>
      <w:spacing w:before="120" w:line="360" w:lineRule="auto"/>
    </w:pPr>
    <w:rPr>
      <w:rFonts w:ascii="Times New Roman" w:hAnsi="Times New Roman" w:cs="Times New Roman"/>
      <w:b w:val="0"/>
      <w:sz w:val="20"/>
      <w:szCs w:val="20"/>
    </w:rPr>
  </w:style>
  <w:style w:type="paragraph" w:styleId="1375" w:customStyle="1">
    <w:name w:val="样式 标题 3 + (西文) 黑体 (中文) 黑体 (符号) 宋体 小四 段前: 5 磅 段后: 5 磅 行距: 1..."/>
    <w:basedOn w:val="834"/>
    <w:next w:val="1148"/>
    <w:uiPriority w:val="0"/>
    <w:qFormat/>
    <w:pPr>
      <w:ind w:left="1429" w:firstLine="18"/>
      <w:jc w:val="both"/>
      <w:spacing w:before="100" w:after="100" w:line="360" w:lineRule="auto"/>
      <w:outlineLvl w:val="2"/>
    </w:pPr>
    <w:rPr>
      <w:sz w:val="20"/>
    </w:rPr>
  </w:style>
  <w:style w:type="paragraph" w:styleId="1376" w:customStyle="1">
    <w:name w:val="自定义一"/>
    <w:basedOn w:val="831"/>
    <w:next w:val="830"/>
    <w:uiPriority w:val="0"/>
    <w:qFormat/>
    <w:pPr>
      <w:ind w:firstLine="18"/>
      <w:jc w:val="both"/>
      <w:spacing w:line="360" w:lineRule="auto"/>
    </w:pPr>
    <w:rPr>
      <w:rFonts w:ascii="Times New Roman" w:hAnsi="Times New Roman" w:cs="Times New Roman"/>
      <w:b w:val="0"/>
      <w:sz w:val="20"/>
      <w:szCs w:val="20"/>
    </w:rPr>
  </w:style>
  <w:style w:type="paragraph" w:styleId="1377" w:customStyle="1">
    <w:name w:val="段落正文"/>
    <w:next w:val="1329"/>
    <w:uiPriority w:val="0"/>
    <w:qFormat/>
    <w:pPr>
      <w:ind w:firstLine="4608"/>
      <w:jc w:val="center"/>
      <w:spacing w:line="360" w:lineRule="auto"/>
    </w:pPr>
    <w:rPr>
      <w:rFonts w:ascii="Calibri" w:hAnsi="Calibri" w:cs="宋体" w:eastAsiaTheme="minorEastAsia"/>
      <w:lang w:val="en-US" w:eastAsia="zh-CN" w:bidi="ar-SA"/>
    </w:rPr>
  </w:style>
  <w:style w:type="paragraph" w:styleId="1378" w:customStyle="1">
    <w:name w:val="_Style 169"/>
    <w:next w:val="830"/>
    <w:uiPriority w:val="0"/>
    <w:qFormat/>
    <w:pPr>
      <w:ind w:left="2560"/>
    </w:pPr>
    <w:rPr>
      <w:rFonts w:ascii="Calibri" w:hAnsi="Calibri" w:cs="宋体" w:eastAsiaTheme="minorEastAsia"/>
      <w:lang w:val="en-US" w:eastAsia="zh-CN" w:bidi="ar-SA"/>
    </w:rPr>
  </w:style>
  <w:style w:type="paragraph" w:styleId="1379" w:customStyle="1">
    <w:name w:val="样式 小四 行距: 1.5 倍行距 首行缩进:  2 字符"/>
    <w:basedOn w:val="831"/>
    <w:next w:val="1333"/>
    <w:uiPriority w:val="0"/>
    <w:qFormat/>
    <w:pPr>
      <w:ind w:left="480" w:firstLine="2784"/>
      <w:jc w:val="both"/>
      <w:spacing w:line="360" w:lineRule="auto"/>
    </w:pPr>
    <w:rPr>
      <w:rFonts w:ascii="Times New Roman" w:hAnsi="Times New Roman" w:cs="Times New Roman"/>
      <w:b w:val="0"/>
      <w:sz w:val="20"/>
      <w:szCs w:val="20"/>
    </w:rPr>
  </w:style>
  <w:style w:type="paragraph" w:styleId="1380" w:customStyle="1">
    <w:name w:val="小节标题"/>
    <w:basedOn w:val="831"/>
    <w:next w:val="830"/>
    <w:uiPriority w:val="0"/>
    <w:qFormat/>
    <w:pPr>
      <w:ind w:firstLine="7168"/>
      <w:jc w:val="both"/>
      <w:spacing w:before="175" w:after="102" w:line="351" w:lineRule="atLeast"/>
    </w:pPr>
    <w:rPr>
      <w:rFonts w:ascii="Times New Roman" w:hAnsi="Times New Roman" w:cs="Times New Roman"/>
      <w:b w:val="0"/>
      <w:sz w:val="20"/>
      <w:szCs w:val="20"/>
    </w:rPr>
  </w:style>
  <w:style w:type="paragraph" w:styleId="1381" w:customStyle="1">
    <w:name w:val="TOC 标题2"/>
    <w:basedOn w:val="831"/>
    <w:next w:val="830"/>
    <w:uiPriority w:val="0"/>
    <w:qFormat/>
    <w:pPr>
      <w:jc w:val="both"/>
      <w:keepLines/>
      <w:keepNext/>
      <w:spacing w:before="240" w:line="259" w:lineRule="auto"/>
      <w:outlineLvl w:val="9"/>
    </w:pPr>
    <w:rPr>
      <w:rFonts w:ascii="Cambria" w:hAnsi="Cambria" w:cs="Times New Roman"/>
      <w:b w:val="0"/>
      <w:color w:val="365f91"/>
    </w:rPr>
  </w:style>
  <w:style w:type="paragraph" w:styleId="1382" w:customStyle="1">
    <w:name w:val="表格文字（两侧对齐）"/>
    <w:basedOn w:val="831"/>
    <w:next w:val="1089"/>
    <w:uiPriority w:val="0"/>
    <w:qFormat/>
    <w:pPr>
      <w:ind w:firstLine="3584"/>
      <w:jc w:val="both"/>
    </w:pPr>
    <w:rPr>
      <w:rFonts w:ascii="Times New Roman" w:hAnsi="Times New Roman" w:cs="Times New Roman"/>
      <w:b w:val="0"/>
      <w:sz w:val="20"/>
      <w:szCs w:val="20"/>
    </w:rPr>
  </w:style>
  <w:style w:type="paragraph" w:styleId="1383" w:customStyle="1">
    <w:name w:val="xl86"/>
    <w:basedOn w:val="831"/>
    <w:next w:val="1384"/>
    <w:uiPriority w:val="0"/>
    <w:qFormat/>
    <w:pPr>
      <w:ind w:firstLine="5120"/>
      <w:jc w:val="both"/>
      <w:spacing w:before="280" w:after="280"/>
    </w:pPr>
    <w:rPr>
      <w:rFonts w:ascii="Times New Roman" w:hAnsi="Times New Roman" w:cs="Times New Roman"/>
      <w:b w:val="0"/>
      <w:sz w:val="20"/>
      <w:szCs w:val="20"/>
    </w:rPr>
  </w:style>
  <w:style w:type="paragraph" w:styleId="1384" w:customStyle="1">
    <w:name w:val="索引 71"/>
    <w:basedOn w:val="831"/>
    <w:next w:val="830"/>
    <w:uiPriority w:val="0"/>
    <w:qFormat/>
    <w:pPr>
      <w:ind w:left="1200" w:firstLine="2560"/>
      <w:spacing w:line="360" w:lineRule="auto"/>
    </w:pPr>
    <w:rPr>
      <w:rFonts w:ascii="Times New Roman" w:hAnsi="Times New Roman" w:cs="Times New Roman"/>
      <w:b w:val="0"/>
      <w:sz w:val="20"/>
      <w:szCs w:val="20"/>
    </w:rPr>
  </w:style>
  <w:style w:type="paragraph" w:styleId="1385" w:customStyle="1">
    <w:name w:val="111"/>
    <w:next w:val="1386"/>
    <w:uiPriority w:val="0"/>
    <w:qFormat/>
    <w:pPr>
      <w:ind w:left="480" w:firstLine="4320"/>
      <w:spacing w:line="440" w:lineRule="exact"/>
    </w:pPr>
    <w:rPr>
      <w:rFonts w:ascii="Calibri" w:hAnsi="Calibri" w:cs="宋体" w:eastAsiaTheme="minorEastAsia"/>
      <w:lang w:val="en-US" w:eastAsia="zh-CN" w:bidi="ar-SA"/>
    </w:rPr>
  </w:style>
  <w:style w:type="paragraph" w:styleId="1386" w:customStyle="1">
    <w:name w:val="4"/>
    <w:basedOn w:val="831"/>
    <w:next w:val="854"/>
    <w:uiPriority w:val="0"/>
    <w:qFormat/>
    <w:pPr>
      <w:ind w:left="409" w:firstLine="3737"/>
      <w:jc w:val="both"/>
      <w:spacing w:line="420" w:lineRule="exact"/>
    </w:pPr>
    <w:rPr>
      <w:rFonts w:ascii="Times New Roman" w:hAnsi="Times New Roman" w:cs="Times New Roman"/>
      <w:b w:val="0"/>
      <w:sz w:val="20"/>
      <w:szCs w:val="20"/>
    </w:rPr>
  </w:style>
  <w:style w:type="paragraph" w:styleId="1387" w:customStyle="1">
    <w:name w:val="Char Char Char Char Char Char1 Char Char Char1 Char Char Char Char Char Char"/>
    <w:basedOn w:val="831"/>
    <w:next w:val="1375"/>
    <w:uiPriority w:val="0"/>
    <w:qFormat/>
    <w:pPr>
      <w:ind w:firstLine="2560"/>
      <w:jc w:val="both"/>
    </w:pPr>
    <w:rPr>
      <w:rFonts w:ascii="Times New Roman" w:hAnsi="Times New Roman" w:cs="Times New Roman"/>
      <w:b w:val="0"/>
      <w:sz w:val="20"/>
      <w:szCs w:val="20"/>
    </w:rPr>
  </w:style>
  <w:style w:type="paragraph" w:styleId="1388" w:customStyle="1">
    <w:name w:val="Char Char Char Char Char Char1 Char Char Char Char Char Char1 Char Char Char"/>
    <w:basedOn w:val="831"/>
    <w:next w:val="1389"/>
    <w:uiPriority w:val="0"/>
    <w:qFormat/>
    <w:pPr>
      <w:ind w:firstLine="2560"/>
      <w:jc w:val="both"/>
    </w:pPr>
    <w:rPr>
      <w:rFonts w:ascii="Times New Roman" w:hAnsi="Times New Roman" w:cs="Times New Roman"/>
      <w:b w:val="0"/>
      <w:sz w:val="20"/>
      <w:szCs w:val="20"/>
    </w:rPr>
  </w:style>
  <w:style w:type="paragraph" w:styleId="1389" w:customStyle="1">
    <w:name w:val="正文符号1"/>
    <w:basedOn w:val="831"/>
    <w:next w:val="1390"/>
    <w:uiPriority w:val="0"/>
    <w:qFormat/>
    <w:pPr>
      <w:ind w:left="987" w:firstLine="5724"/>
      <w:jc w:val="both"/>
    </w:pPr>
    <w:rPr>
      <w:rFonts w:ascii="Times New Roman" w:hAnsi="Times New Roman" w:cs="Times New Roman"/>
      <w:b w:val="0"/>
      <w:sz w:val="20"/>
      <w:szCs w:val="20"/>
    </w:rPr>
  </w:style>
  <w:style w:type="paragraph" w:styleId="1390" w:customStyle="1">
    <w:name w:val="索引 31"/>
    <w:basedOn w:val="831"/>
    <w:next w:val="830"/>
    <w:uiPriority w:val="0"/>
    <w:qFormat/>
    <w:pPr>
      <w:ind w:left="400" w:firstLine="2560"/>
      <w:spacing w:line="360" w:lineRule="auto"/>
    </w:pPr>
    <w:rPr>
      <w:rFonts w:ascii="Times New Roman" w:hAnsi="Times New Roman" w:cs="Times New Roman"/>
      <w:b w:val="0"/>
      <w:sz w:val="20"/>
      <w:szCs w:val="20"/>
    </w:rPr>
  </w:style>
  <w:style w:type="paragraph" w:styleId="1391" w:customStyle="1">
    <w:name w:val="目录4"/>
    <w:basedOn w:val="831"/>
    <w:next w:val="830"/>
    <w:uiPriority w:val="0"/>
    <w:qFormat/>
    <w:pPr>
      <w:ind w:left="629" w:firstLine="5237"/>
      <w:jc w:val="both"/>
      <w:spacing w:line="317" w:lineRule="atLeast"/>
    </w:pPr>
    <w:rPr>
      <w:rFonts w:ascii="Times New Roman" w:hAnsi="Times New Roman" w:cs="Times New Roman"/>
      <w:b w:val="0"/>
      <w:sz w:val="20"/>
      <w:szCs w:val="20"/>
    </w:rPr>
  </w:style>
  <w:style w:type="paragraph" w:styleId="1392" w:customStyle="1">
    <w:name w:val="p15"/>
    <w:basedOn w:val="830"/>
    <w:uiPriority w:val="0"/>
    <w:qFormat/>
    <w:pPr>
      <w:jc w:val="both"/>
    </w:pPr>
    <w:rPr>
      <w:rFonts w:ascii="宋体" w:hAnsi="宋体" w:cs="宋体"/>
      <w:sz w:val="28"/>
      <w:szCs w:val="28"/>
    </w:rPr>
  </w:style>
  <w:style w:type="paragraph" w:styleId="1393" w:customStyle="1">
    <w:name w:val="四号 居中"/>
    <w:basedOn w:val="831"/>
    <w:next w:val="1387"/>
    <w:uiPriority w:val="0"/>
    <w:qFormat/>
    <w:pPr>
      <w:ind w:firstLine="6144"/>
      <w:spacing w:line="360" w:lineRule="auto"/>
    </w:pPr>
    <w:rPr>
      <w:rFonts w:ascii="Times New Roman" w:hAnsi="Times New Roman" w:cs="Times New Roman"/>
      <w:b w:val="0"/>
      <w:sz w:val="20"/>
      <w:szCs w:val="20"/>
    </w:rPr>
  </w:style>
  <w:style w:type="paragraph" w:styleId="1394" w:customStyle="1">
    <w:name w:val="列表编号 21"/>
    <w:basedOn w:val="831"/>
    <w:next w:val="1395"/>
    <w:uiPriority w:val="0"/>
    <w:qFormat/>
    <w:pPr>
      <w:ind w:firstLine="2560"/>
      <w:jc w:val="both"/>
      <w:spacing w:line="360" w:lineRule="auto"/>
    </w:pPr>
    <w:rPr>
      <w:rFonts w:ascii="Times New Roman" w:hAnsi="Times New Roman" w:cs="Times New Roman"/>
      <w:b w:val="0"/>
      <w:sz w:val="20"/>
      <w:szCs w:val="20"/>
    </w:rPr>
  </w:style>
  <w:style w:type="paragraph" w:styleId="1395" w:customStyle="1">
    <w:name w:val="正文文本 21"/>
    <w:basedOn w:val="831"/>
    <w:next w:val="1302"/>
    <w:uiPriority w:val="0"/>
    <w:qFormat/>
    <w:pPr>
      <w:ind w:firstLine="2560"/>
      <w:spacing w:after="120" w:line="480" w:lineRule="auto"/>
    </w:pPr>
    <w:rPr>
      <w:rFonts w:ascii="Times New Roman" w:hAnsi="Times New Roman" w:cs="Times New Roman"/>
      <w:b w:val="0"/>
      <w:sz w:val="20"/>
      <w:szCs w:val="20"/>
    </w:rPr>
  </w:style>
  <w:style w:type="paragraph" w:styleId="1396" w:customStyle="1">
    <w:name w:val="a2"/>
    <w:basedOn w:val="831"/>
    <w:next w:val="866"/>
    <w:uiPriority w:val="0"/>
    <w:qFormat/>
    <w:pPr>
      <w:ind w:firstLine="1024"/>
      <w:jc w:val="both"/>
      <w:spacing w:before="280" w:after="280"/>
    </w:pPr>
    <w:rPr>
      <w:rFonts w:ascii="Times New Roman" w:hAnsi="Times New Roman" w:cs="Times New Roman"/>
      <w:b w:val="0"/>
      <w:sz w:val="20"/>
      <w:szCs w:val="20"/>
    </w:rPr>
  </w:style>
  <w:style w:type="paragraph" w:styleId="1397" w:customStyle="1">
    <w:name w:val="Char Char Char Char Char Char1 Char Char Char Char Char Char1 Char Char Char Char Char Char Char"/>
    <w:basedOn w:val="831"/>
    <w:next w:val="1398"/>
    <w:uiPriority w:val="0"/>
    <w:qFormat/>
    <w:pPr>
      <w:ind w:firstLine="2560"/>
      <w:jc w:val="both"/>
    </w:pPr>
    <w:rPr>
      <w:rFonts w:ascii="Times New Roman" w:hAnsi="Times New Roman" w:cs="Times New Roman"/>
      <w:b w:val="0"/>
      <w:sz w:val="20"/>
      <w:szCs w:val="20"/>
    </w:rPr>
  </w:style>
  <w:style w:type="paragraph" w:styleId="1398" w:customStyle="1">
    <w:name w:val="xl87"/>
    <w:basedOn w:val="831"/>
    <w:next w:val="1360"/>
    <w:uiPriority w:val="0"/>
    <w:qFormat/>
    <w:pPr>
      <w:ind w:firstLine="5120"/>
      <w:jc w:val="both"/>
      <w:spacing w:before="280" w:after="280"/>
    </w:pPr>
    <w:rPr>
      <w:rFonts w:ascii="Times New Roman" w:hAnsi="Times New Roman" w:cs="Times New Roman"/>
      <w:b w:val="0"/>
      <w:sz w:val="20"/>
      <w:szCs w:val="20"/>
    </w:rPr>
  </w:style>
  <w:style w:type="paragraph" w:styleId="1399" w:customStyle="1">
    <w:name w:val="444"/>
    <w:basedOn w:val="831"/>
    <w:next w:val="849"/>
    <w:uiPriority w:val="0"/>
    <w:qFormat/>
    <w:pPr>
      <w:ind w:firstLine="4608"/>
      <w:spacing w:line="312" w:lineRule="atLeast"/>
    </w:pPr>
    <w:rPr>
      <w:rFonts w:ascii="Times New Roman" w:hAnsi="Times New Roman" w:cs="Times New Roman"/>
      <w:b w:val="0"/>
      <w:sz w:val="20"/>
      <w:szCs w:val="20"/>
    </w:rPr>
  </w:style>
  <w:style w:type="paragraph" w:styleId="1400" w:customStyle="1">
    <w:name w:val="表格文字图表文字"/>
    <w:basedOn w:val="831"/>
    <w:next w:val="1401"/>
    <w:uiPriority w:val="0"/>
    <w:qFormat/>
    <w:pPr>
      <w:ind w:firstLine="3584"/>
    </w:pPr>
    <w:rPr>
      <w:rFonts w:ascii="Times New Roman" w:hAnsi="Times New Roman" w:cs="Times New Roman"/>
      <w:b w:val="0"/>
      <w:sz w:val="20"/>
      <w:szCs w:val="20"/>
    </w:rPr>
  </w:style>
  <w:style w:type="paragraph" w:styleId="1401" w:customStyle="1">
    <w:name w:val="样式 目录 3 + 左侧:  2 字符1"/>
    <w:next w:val="1402"/>
    <w:uiPriority w:val="0"/>
    <w:qFormat/>
    <w:pPr>
      <w:ind w:left="960" w:firstLine="5120"/>
      <w:spacing w:line="360" w:lineRule="auto"/>
      <w:widowControl w:val="off"/>
    </w:pPr>
    <w:rPr>
      <w:rFonts w:ascii="Calibri" w:hAnsi="Calibri" w:cs="宋体" w:eastAsiaTheme="minorEastAsia"/>
      <w:lang w:val="en-US" w:eastAsia="zh-CN" w:bidi="ar-SA"/>
    </w:rPr>
  </w:style>
  <w:style w:type="paragraph" w:styleId="1402" w:customStyle="1">
    <w:name w:val="文档正文"/>
    <w:basedOn w:val="831"/>
    <w:next w:val="1403"/>
    <w:uiPriority w:val="0"/>
    <w:qFormat/>
    <w:pPr>
      <w:ind w:left="567" w:firstLine="3639"/>
      <w:jc w:val="both"/>
      <w:spacing w:line="480" w:lineRule="atLeast"/>
    </w:pPr>
    <w:rPr>
      <w:rFonts w:ascii="Times New Roman" w:hAnsi="Times New Roman" w:cs="Times New Roman"/>
      <w:b w:val="0"/>
      <w:sz w:val="20"/>
      <w:szCs w:val="20"/>
    </w:rPr>
  </w:style>
  <w:style w:type="paragraph" w:styleId="1403" w:customStyle="1">
    <w:name w:val="列表框2"/>
    <w:next w:val="1081"/>
    <w:uiPriority w:val="0"/>
    <w:qFormat/>
    <w:pPr>
      <w:ind w:firstLine="2048"/>
      <w:spacing w:line="460" w:lineRule="exact"/>
    </w:pPr>
    <w:rPr>
      <w:rFonts w:ascii="Calibri" w:hAnsi="Calibri" w:cs="宋体" w:eastAsiaTheme="minorEastAsia"/>
      <w:lang w:val="en-US" w:eastAsia="zh-CN" w:bidi="ar-SA"/>
    </w:rPr>
  </w:style>
  <w:style w:type="paragraph" w:styleId="1404" w:customStyle="1">
    <w:name w:val="索引 91"/>
    <w:basedOn w:val="831"/>
    <w:next w:val="830"/>
    <w:uiPriority w:val="0"/>
    <w:qFormat/>
    <w:pPr>
      <w:ind w:left="1600" w:firstLine="2560"/>
      <w:spacing w:line="360" w:lineRule="auto"/>
    </w:pPr>
    <w:rPr>
      <w:rFonts w:ascii="Times New Roman" w:hAnsi="Times New Roman" w:cs="Times New Roman"/>
      <w:b w:val="0"/>
      <w:sz w:val="20"/>
      <w:szCs w:val="20"/>
    </w:rPr>
  </w:style>
  <w:style w:type="paragraph" w:styleId="1405" w:customStyle="1">
    <w:name w:val="表格文字（4号居中）"/>
    <w:next w:val="1406"/>
    <w:uiPriority w:val="0"/>
    <w:qFormat/>
    <w:pPr>
      <w:ind w:firstLine="2560"/>
      <w:jc w:val="center"/>
    </w:pPr>
    <w:rPr>
      <w:rFonts w:ascii="Calibri" w:hAnsi="Calibri" w:cs="宋体" w:eastAsiaTheme="minorEastAsia"/>
      <w:lang w:val="en-US" w:eastAsia="zh-CN" w:bidi="ar-SA"/>
    </w:rPr>
  </w:style>
  <w:style w:type="paragraph" w:styleId="1406" w:customStyle="1">
    <w:name w:val="!方块加粗"/>
    <w:basedOn w:val="831"/>
    <w:next w:val="1379"/>
    <w:uiPriority w:val="0"/>
    <w:qFormat/>
    <w:pPr>
      <w:ind w:left="600" w:firstLine="5212"/>
      <w:jc w:val="both"/>
      <w:spacing w:line="360" w:lineRule="auto"/>
    </w:pPr>
    <w:rPr>
      <w:rFonts w:ascii="Times New Roman" w:hAnsi="Times New Roman" w:cs="Times New Roman"/>
      <w:b w:val="0"/>
      <w:sz w:val="20"/>
      <w:szCs w:val="20"/>
    </w:rPr>
  </w:style>
  <w:style w:type="paragraph" w:styleId="1407" w:customStyle="1">
    <w:name w:val="普通(网站)1"/>
    <w:basedOn w:val="831"/>
    <w:next w:val="1080"/>
    <w:uiPriority w:val="0"/>
    <w:qFormat/>
    <w:pPr>
      <w:ind w:left="200" w:firstLine="1224"/>
      <w:jc w:val="both"/>
      <w:spacing w:before="280" w:after="280"/>
    </w:pPr>
    <w:rPr>
      <w:rFonts w:ascii="Times New Roman" w:hAnsi="Times New Roman" w:cs="Times New Roman"/>
      <w:b w:val="0"/>
      <w:sz w:val="20"/>
      <w:szCs w:val="20"/>
    </w:rPr>
  </w:style>
  <w:style w:type="paragraph" w:styleId="1408" w:customStyle="1">
    <w:name w:val="H 4"/>
    <w:basedOn w:val="835"/>
    <w:next w:val="1409"/>
    <w:uiPriority w:val="0"/>
    <w:qFormat/>
    <w:pPr>
      <w:ind w:left="426" w:firstLine="24"/>
      <w:jc w:val="both"/>
      <w:spacing w:line="360" w:lineRule="auto"/>
      <w:outlineLvl w:val="3"/>
    </w:pPr>
    <w:rPr>
      <w:rFonts w:ascii="Times New Roman" w:hAnsi="Times New Roman" w:cs="Times New Roman"/>
      <w:b w:val="0"/>
      <w:bCs w:val="0"/>
      <w:sz w:val="20"/>
      <w:szCs w:val="20"/>
    </w:rPr>
  </w:style>
  <w:style w:type="paragraph" w:styleId="1409" w:customStyle="1">
    <w:name w:val="xl82"/>
    <w:basedOn w:val="831"/>
    <w:next w:val="1105"/>
    <w:uiPriority w:val="0"/>
    <w:qFormat/>
    <w:pPr>
      <w:ind w:firstLine="5120"/>
      <w:jc w:val="both"/>
      <w:spacing w:before="280" w:after="280"/>
    </w:pPr>
    <w:rPr>
      <w:rFonts w:ascii="Times New Roman" w:hAnsi="Times New Roman" w:cs="Times New Roman"/>
      <w:b w:val="0"/>
      <w:sz w:val="20"/>
      <w:szCs w:val="20"/>
    </w:rPr>
  </w:style>
  <w:style w:type="paragraph" w:styleId="1410" w:customStyle="1">
    <w:name w:val="Char Char Char Char Char Char Char Char"/>
    <w:next w:val="1411"/>
    <w:uiPriority w:val="0"/>
    <w:qFormat/>
    <w:pPr>
      <w:ind w:firstLine="14"/>
      <w:jc w:val="both"/>
      <w:shd w:val="clear" w:color="000000" w:fill="000080"/>
      <w:widowControl w:val="off"/>
    </w:pPr>
    <w:rPr>
      <w:rFonts w:ascii="Calibri" w:hAnsi="Calibri" w:cs="宋体" w:eastAsiaTheme="minorEastAsia"/>
      <w:lang w:val="en-US" w:eastAsia="zh-CN" w:bidi="ar-SA"/>
    </w:rPr>
  </w:style>
  <w:style w:type="paragraph" w:styleId="1411" w:customStyle="1">
    <w:name w:val="Char Char Char Char Char Char1 Char Char Char1 Char Char Char Char Char Char Char Char Char Char Char Char Char Char Char"/>
    <w:basedOn w:val="831"/>
    <w:next w:val="1412"/>
    <w:uiPriority w:val="0"/>
    <w:qFormat/>
    <w:pPr>
      <w:ind w:firstLine="2560"/>
      <w:jc w:val="both"/>
    </w:pPr>
    <w:rPr>
      <w:rFonts w:ascii="Times New Roman" w:hAnsi="Times New Roman" w:cs="Times New Roman"/>
      <w:b w:val="0"/>
      <w:sz w:val="20"/>
      <w:szCs w:val="20"/>
    </w:rPr>
  </w:style>
  <w:style w:type="paragraph" w:styleId="1412" w:customStyle="1">
    <w:name w:val="样式1"/>
    <w:basedOn w:val="831"/>
    <w:next w:val="1413"/>
    <w:uiPriority w:val="0"/>
    <w:qFormat/>
    <w:pPr>
      <w:ind w:firstLine="1536"/>
      <w:jc w:val="both"/>
      <w:spacing w:before="120" w:after="120" w:line="300" w:lineRule="auto"/>
    </w:pPr>
    <w:rPr>
      <w:rFonts w:ascii="Times New Roman" w:hAnsi="Times New Roman" w:cs="Times New Roman"/>
      <w:b w:val="0"/>
      <w:sz w:val="20"/>
      <w:szCs w:val="20"/>
    </w:rPr>
  </w:style>
  <w:style w:type="paragraph" w:styleId="1413" w:customStyle="1">
    <w:name w:val="索引 41"/>
    <w:basedOn w:val="831"/>
    <w:next w:val="830"/>
    <w:uiPriority w:val="0"/>
    <w:qFormat/>
    <w:pPr>
      <w:ind w:left="600" w:firstLine="2560"/>
      <w:spacing w:line="360" w:lineRule="auto"/>
    </w:pPr>
    <w:rPr>
      <w:rFonts w:ascii="Times New Roman" w:hAnsi="Times New Roman" w:cs="Times New Roman"/>
      <w:b w:val="0"/>
      <w:sz w:val="20"/>
      <w:szCs w:val="20"/>
    </w:rPr>
  </w:style>
  <w:style w:type="paragraph" w:styleId="1414" w:customStyle="1">
    <w:name w:val="自定义二"/>
    <w:basedOn w:val="831"/>
    <w:next w:val="830"/>
    <w:uiPriority w:val="0"/>
    <w:qFormat/>
    <w:pPr>
      <w:ind w:firstLine="14"/>
      <w:jc w:val="both"/>
      <w:spacing w:line="360" w:lineRule="auto"/>
      <w:outlineLvl w:val="1"/>
    </w:pPr>
    <w:rPr>
      <w:rFonts w:ascii="Times New Roman" w:hAnsi="Times New Roman" w:cs="Times New Roman"/>
      <w:b w:val="0"/>
      <w:sz w:val="20"/>
      <w:szCs w:val="20"/>
    </w:rPr>
  </w:style>
  <w:style w:type="paragraph" w:styleId="1415" w:customStyle="1">
    <w:name w:val="Bullet"/>
    <w:next w:val="1365"/>
    <w:uiPriority w:val="0"/>
    <w:qFormat/>
    <w:pPr>
      <w:ind w:left="567" w:right="2835" w:firstLine="3584"/>
      <w:spacing w:after="60"/>
    </w:pPr>
    <w:rPr>
      <w:rFonts w:ascii="Calibri" w:hAnsi="Calibri" w:cs="宋体" w:eastAsiaTheme="minorEastAsia"/>
      <w:lang w:val="en-US" w:eastAsia="zh-CN" w:bidi="ar-SA"/>
    </w:rPr>
  </w:style>
  <w:style w:type="paragraph" w:styleId="1416" w:customStyle="1">
    <w:name w:val="Char Char Char Char Char Char1"/>
    <w:basedOn w:val="831"/>
    <w:next w:val="1417"/>
    <w:uiPriority w:val="0"/>
    <w:qFormat/>
    <w:pPr>
      <w:ind w:firstLine="2560"/>
      <w:jc w:val="both"/>
    </w:pPr>
    <w:rPr>
      <w:rFonts w:ascii="Times New Roman" w:hAnsi="Times New Roman" w:cs="Times New Roman"/>
      <w:b w:val="0"/>
      <w:sz w:val="20"/>
      <w:szCs w:val="20"/>
    </w:rPr>
  </w:style>
  <w:style w:type="paragraph" w:styleId="1417" w:customStyle="1">
    <w:name w:val="正文缩进2"/>
    <w:basedOn w:val="831"/>
    <w:next w:val="1418"/>
    <w:uiPriority w:val="0"/>
    <w:qFormat/>
    <w:pPr>
      <w:ind w:left="420" w:firstLine="1188"/>
      <w:jc w:val="both"/>
    </w:pPr>
    <w:rPr>
      <w:rFonts w:ascii="Times New Roman" w:hAnsi="Times New Roman" w:cs="Times New Roman"/>
      <w:b w:val="0"/>
      <w:sz w:val="20"/>
      <w:szCs w:val="20"/>
    </w:rPr>
  </w:style>
  <w:style w:type="paragraph" w:styleId="1418" w:customStyle="1">
    <w:name w:val="列出段落2"/>
    <w:basedOn w:val="831"/>
    <w:next w:val="1419"/>
    <w:uiPriority w:val="0"/>
    <w:qFormat/>
    <w:pPr>
      <w:ind w:left="420" w:firstLine="3748"/>
      <w:jc w:val="both"/>
    </w:pPr>
    <w:rPr>
      <w:rFonts w:ascii="Times New Roman" w:hAnsi="Times New Roman" w:cs="Times New Roman"/>
      <w:b w:val="0"/>
      <w:sz w:val="20"/>
      <w:szCs w:val="20"/>
    </w:rPr>
  </w:style>
  <w:style w:type="paragraph" w:styleId="1419" w:customStyle="1">
    <w:name w:val="正文文本缩进 31"/>
    <w:basedOn w:val="831"/>
    <w:next w:val="1420"/>
    <w:uiPriority w:val="0"/>
    <w:qFormat/>
    <w:pPr>
      <w:ind w:left="1200" w:firstLine="1248"/>
      <w:jc w:val="both"/>
      <w:spacing w:before="120" w:line="22" w:lineRule="atLeast"/>
    </w:pPr>
    <w:rPr>
      <w:rFonts w:ascii="Times New Roman" w:hAnsi="Times New Roman" w:cs="Times New Roman"/>
      <w:b w:val="0"/>
      <w:sz w:val="20"/>
      <w:szCs w:val="20"/>
    </w:rPr>
  </w:style>
  <w:style w:type="paragraph" w:styleId="1420" w:customStyle="1">
    <w:name w:val="样式 正文首行缩进 + 首行缩进:  2 字符5"/>
    <w:next w:val="1421"/>
    <w:uiPriority w:val="0"/>
    <w:qFormat/>
    <w:pPr>
      <w:ind w:left="200" w:firstLine="3784"/>
      <w:spacing w:line="300" w:lineRule="auto"/>
    </w:pPr>
    <w:rPr>
      <w:rFonts w:ascii="Calibri" w:hAnsi="Calibri" w:cs="宋体" w:eastAsiaTheme="minorEastAsia"/>
      <w:lang w:val="en-US" w:eastAsia="zh-CN" w:bidi="ar-SA"/>
    </w:rPr>
  </w:style>
  <w:style w:type="paragraph" w:styleId="1421" w:customStyle="1">
    <w:name w:val="Char2"/>
    <w:basedOn w:val="831"/>
    <w:next w:val="1415"/>
    <w:uiPriority w:val="0"/>
    <w:qFormat/>
    <w:pPr>
      <w:ind w:firstLine="3584"/>
      <w:jc w:val="both"/>
      <w:spacing w:after="160" w:line="240" w:lineRule="exact"/>
    </w:pPr>
    <w:rPr>
      <w:rFonts w:ascii="Times New Roman" w:hAnsi="Times New Roman" w:cs="Times New Roman"/>
      <w:b w:val="0"/>
      <w:sz w:val="20"/>
      <w:szCs w:val="20"/>
    </w:rPr>
  </w:style>
  <w:style w:type="paragraph" w:styleId="1422" w:customStyle="1">
    <w:name w:val="WPSOffice手动目录 1"/>
    <w:uiPriority w:val="0"/>
    <w:qFormat/>
    <w:rPr>
      <w:rFonts w:ascii="宋体" w:hAnsi="宋体" w:cs="宋体" w:eastAsiaTheme="minorEastAsia"/>
      <w:lang w:val="en-US" w:eastAsia="zh-CN" w:bidi="ar-SA"/>
    </w:rPr>
  </w:style>
  <w:style w:type="paragraph" w:styleId="1423" w:customStyle="1">
    <w:name w:val="纯文本4"/>
    <w:basedOn w:val="830"/>
    <w:uiPriority w:val="0"/>
    <w:qFormat/>
    <w:pPr>
      <w:jc w:val="both"/>
      <w:widowControl w:val="off"/>
    </w:pPr>
    <w:rPr>
      <w:rFonts w:ascii="宋体" w:hAnsi="Courier New" w:eastAsia="楷体_GB2312"/>
      <w:sz w:val="26"/>
    </w:rPr>
  </w:style>
  <w:style w:type="paragraph" w:styleId="1424" w:customStyle="1">
    <w:name w:val="Char Char Char Char Char Char Char Char Char Char Char Char Char Char Char Char"/>
    <w:basedOn w:val="831"/>
    <w:next w:val="1425"/>
    <w:uiPriority w:val="0"/>
    <w:qFormat/>
    <w:pPr>
      <w:ind w:left="682" w:firstLine="1224"/>
      <w:jc w:val="both"/>
      <w:spacing w:line="360" w:lineRule="auto"/>
    </w:pPr>
    <w:rPr>
      <w:rFonts w:ascii="Times New Roman" w:hAnsi="Times New Roman" w:cs="Times New Roman"/>
      <w:b w:val="0"/>
      <w:sz w:val="20"/>
      <w:szCs w:val="20"/>
    </w:rPr>
  </w:style>
  <w:style w:type="paragraph" w:styleId="1425" w:customStyle="1">
    <w:name w:val="列表编号 51"/>
    <w:basedOn w:val="831"/>
    <w:next w:val="1426"/>
    <w:uiPriority w:val="0"/>
    <w:qFormat/>
    <w:pPr>
      <w:ind w:left="900" w:firstLine="2652"/>
      <w:jc w:val="both"/>
      <w:spacing w:line="360" w:lineRule="auto"/>
    </w:pPr>
    <w:rPr>
      <w:rFonts w:ascii="Times New Roman" w:hAnsi="Times New Roman" w:cs="Times New Roman"/>
      <w:b w:val="0"/>
      <w:sz w:val="20"/>
      <w:szCs w:val="20"/>
    </w:rPr>
  </w:style>
  <w:style w:type="paragraph" w:styleId="1426" w:customStyle="1">
    <w:name w:val="样式 标题 1 + 黑体 (符号) 宋体 三号 段前: 7.8 磅 段后: 7.8 磅 行距: 1.5 倍行距"/>
    <w:basedOn w:val="832"/>
    <w:next w:val="1427"/>
    <w:uiPriority w:val="0"/>
    <w:qFormat/>
    <w:pPr>
      <w:ind w:left="432" w:firstLine="18"/>
      <w:jc w:val="both"/>
      <w:spacing w:before="40" w:after="40" w:line="360" w:lineRule="auto"/>
      <w:outlineLvl w:val="0"/>
    </w:pPr>
    <w:rPr>
      <w:rFonts w:hAnsi="Times New Roman" w:cs="Times New Roman"/>
      <w:b w:val="0"/>
      <w:bCs w:val="0"/>
      <w:sz w:val="20"/>
      <w:szCs w:val="20"/>
    </w:rPr>
  </w:style>
  <w:style w:type="paragraph" w:styleId="1427" w:customStyle="1">
    <w:name w:val="表格用"/>
    <w:basedOn w:val="831"/>
    <w:next w:val="1393"/>
    <w:uiPriority w:val="0"/>
    <w:qFormat/>
    <w:pPr>
      <w:ind w:firstLine="1024"/>
      <w:jc w:val="both"/>
      <w:spacing w:line="360" w:lineRule="auto"/>
    </w:pPr>
    <w:rPr>
      <w:rFonts w:ascii="Times New Roman" w:hAnsi="Times New Roman" w:cs="Times New Roman"/>
      <w:b w:val="0"/>
      <w:sz w:val="20"/>
      <w:szCs w:val="20"/>
    </w:rPr>
  </w:style>
  <w:style w:type="paragraph" w:styleId="1428" w:customStyle="1">
    <w:name w:val="正文文本 31"/>
    <w:basedOn w:val="831"/>
    <w:next w:val="1429"/>
    <w:uiPriority w:val="0"/>
    <w:qFormat/>
    <w:pPr>
      <w:ind w:firstLine="3584"/>
      <w:spacing w:after="120" w:line="360" w:lineRule="auto"/>
    </w:pPr>
    <w:rPr>
      <w:rFonts w:ascii="Times New Roman" w:hAnsi="Times New Roman" w:cs="Times New Roman"/>
      <w:b w:val="0"/>
      <w:sz w:val="20"/>
      <w:szCs w:val="20"/>
    </w:rPr>
  </w:style>
  <w:style w:type="paragraph" w:styleId="1429" w:customStyle="1">
    <w:name w:val="列出段落111"/>
    <w:basedOn w:val="831"/>
    <w:next w:val="1122"/>
    <w:uiPriority w:val="0"/>
    <w:qFormat/>
    <w:pPr>
      <w:ind w:left="420" w:firstLine="3748"/>
      <w:jc w:val="both"/>
    </w:pPr>
    <w:rPr>
      <w:rFonts w:ascii="Times New Roman" w:hAnsi="Times New Roman" w:cs="Times New Roman"/>
      <w:b w:val="0"/>
      <w:sz w:val="20"/>
      <w:szCs w:val="20"/>
    </w:rPr>
  </w:style>
  <w:style w:type="paragraph" w:styleId="1430" w:customStyle="1">
    <w:name w:val="正文文本缩进 21"/>
    <w:basedOn w:val="831"/>
    <w:next w:val="1382"/>
    <w:uiPriority w:val="0"/>
    <w:qFormat/>
    <w:pPr>
      <w:ind w:left="480" w:firstLine="4832"/>
      <w:jc w:val="both"/>
    </w:pPr>
    <w:rPr>
      <w:rFonts w:ascii="Times New Roman" w:hAnsi="Times New Roman" w:cs="Times New Roman"/>
      <w:b w:val="0"/>
      <w:sz w:val="20"/>
      <w:szCs w:val="20"/>
    </w:rPr>
  </w:style>
  <w:style w:type="paragraph" w:styleId="1431" w:customStyle="1">
    <w:name w:val="Char Char4 Char Char"/>
    <w:basedOn w:val="831"/>
    <w:next w:val="1391"/>
    <w:uiPriority w:val="0"/>
    <w:qFormat/>
    <w:pPr>
      <w:ind w:firstLine="2560"/>
      <w:jc w:val="both"/>
    </w:pPr>
    <w:rPr>
      <w:rFonts w:ascii="Times New Roman" w:hAnsi="Times New Roman" w:cs="Times New Roman"/>
      <w:b w:val="0"/>
      <w:sz w:val="20"/>
      <w:szCs w:val="20"/>
    </w:rPr>
  </w:style>
  <w:style w:type="paragraph" w:styleId="1432" w:customStyle="1">
    <w:name w:val="样式"/>
    <w:next w:val="830"/>
    <w:uiPriority w:val="0"/>
    <w:qFormat/>
    <w:pPr>
      <w:ind w:firstLine="3584"/>
      <w:widowControl w:val="off"/>
    </w:pPr>
    <w:rPr>
      <w:rFonts w:ascii="Calibri" w:hAnsi="Calibri" w:cs="宋体" w:eastAsiaTheme="minorEastAsia"/>
      <w:lang w:val="en-US" w:eastAsia="zh-CN" w:bidi="ar-SA"/>
    </w:rPr>
  </w:style>
  <w:style w:type="paragraph" w:styleId="1433" w:customStyle="1">
    <w:name w:val="afont"/>
    <w:basedOn w:val="831"/>
    <w:next w:val="852"/>
    <w:uiPriority w:val="0"/>
    <w:qFormat/>
    <w:pPr>
      <w:ind w:firstLine="2048"/>
      <w:jc w:val="both"/>
      <w:spacing w:before="100" w:after="100" w:line="285" w:lineRule="atLeast"/>
    </w:pPr>
    <w:rPr>
      <w:rFonts w:ascii="Times New Roman" w:hAnsi="Times New Roman" w:cs="Times New Roman"/>
      <w:b w:val="0"/>
      <w:sz w:val="20"/>
      <w:szCs w:val="20"/>
    </w:rPr>
  </w:style>
  <w:style w:type="paragraph" w:styleId="1434" w:customStyle="1">
    <w:name w:val="xl85"/>
    <w:basedOn w:val="831"/>
    <w:next w:val="1085"/>
    <w:uiPriority w:val="0"/>
    <w:qFormat/>
    <w:pPr>
      <w:ind w:firstLine="2048"/>
      <w:spacing w:before="280" w:after="280"/>
    </w:pPr>
    <w:rPr>
      <w:rFonts w:ascii="Times New Roman" w:hAnsi="Times New Roman" w:cs="Times New Roman"/>
      <w:b w:val="0"/>
      <w:sz w:val="20"/>
      <w:szCs w:val="20"/>
    </w:rPr>
  </w:style>
  <w:style w:type="paragraph" w:styleId="1435" w:customStyle="1">
    <w:name w:val="样式 首行缩进:  2 字符"/>
    <w:basedOn w:val="831"/>
    <w:next w:val="1137"/>
    <w:uiPriority w:val="0"/>
    <w:qFormat/>
    <w:pPr>
      <w:ind w:left="200" w:firstLine="1224"/>
      <w:jc w:val="both"/>
      <w:spacing w:line="400" w:lineRule="exact"/>
    </w:pPr>
    <w:rPr>
      <w:rFonts w:ascii="Times New Roman" w:hAnsi="Times New Roman" w:cs="Times New Roman"/>
      <w:b w:val="0"/>
      <w:sz w:val="20"/>
      <w:szCs w:val="20"/>
    </w:rPr>
  </w:style>
  <w:style w:type="paragraph" w:styleId="1436" w:customStyle="1">
    <w:name w:val="二级条标题"/>
    <w:basedOn w:val="831"/>
    <w:next w:val="830"/>
    <w:uiPriority w:val="0"/>
    <w:qFormat/>
    <w:pPr>
      <w:ind w:firstLine="8"/>
      <w:jc w:val="both"/>
      <w:outlineLvl w:val="3"/>
    </w:pPr>
    <w:rPr>
      <w:rFonts w:ascii="Times New Roman" w:hAnsi="Times New Roman" w:cs="Times New Roman"/>
      <w:b w:val="0"/>
      <w:sz w:val="20"/>
      <w:szCs w:val="20"/>
    </w:rPr>
  </w:style>
  <w:style w:type="paragraph" w:styleId="1437" w:customStyle="1">
    <w:name w:val="Plain Text*"/>
    <w:basedOn w:val="830"/>
    <w:uiPriority w:val="0"/>
    <w:qFormat/>
    <w:rPr>
      <w:rFonts w:ascii="宋体" w:hAnsi="宋体" w:eastAsia="楷体_GB2312" w:cs="Courier New"/>
      <w:sz w:val="26"/>
      <w:lang w:val="zh-CN"/>
    </w:rPr>
  </w:style>
  <w:style w:type="paragraph" w:styleId="1438" w:customStyle="1">
    <w:name w:val="样式 加粗 居中2"/>
    <w:basedOn w:val="831"/>
    <w:next w:val="1142"/>
    <w:uiPriority w:val="0"/>
    <w:qFormat/>
    <w:pPr>
      <w:ind w:firstLine="2560"/>
      <w:spacing w:line="360" w:lineRule="auto"/>
    </w:pPr>
    <w:rPr>
      <w:rFonts w:ascii="Times New Roman" w:hAnsi="Times New Roman" w:cs="Times New Roman"/>
      <w:b w:val="0"/>
      <w:sz w:val="20"/>
      <w:szCs w:val="20"/>
    </w:rPr>
  </w:style>
  <w:style w:type="paragraph" w:styleId="1439" w:customStyle="1">
    <w:name w:val="标准文本"/>
    <w:basedOn w:val="831"/>
    <w:next w:val="1095"/>
    <w:uiPriority w:val="0"/>
    <w:qFormat/>
    <w:pPr>
      <w:ind w:left="480" w:firstLine="2784"/>
      <w:jc w:val="both"/>
      <w:spacing w:line="360" w:lineRule="auto"/>
    </w:pPr>
    <w:rPr>
      <w:rFonts w:ascii="Times New Roman" w:hAnsi="Times New Roman" w:cs="Times New Roman"/>
      <w:b w:val="0"/>
      <w:sz w:val="20"/>
      <w:szCs w:val="20"/>
    </w:rPr>
  </w:style>
  <w:style w:type="paragraph" w:styleId="1440" w:customStyle="1">
    <w:name w:val="索引标题1"/>
    <w:basedOn w:val="831"/>
    <w:next w:val="1341"/>
    <w:uiPriority w:val="0"/>
    <w:qFormat/>
    <w:pPr>
      <w:ind w:firstLine="4608"/>
      <w:spacing w:line="360" w:lineRule="auto"/>
    </w:pPr>
    <w:rPr>
      <w:rFonts w:ascii="Times New Roman" w:hAnsi="Times New Roman" w:cs="Times New Roman"/>
      <w:b w:val="0"/>
      <w:sz w:val="20"/>
      <w:szCs w:val="20"/>
    </w:rPr>
  </w:style>
  <w:style w:type="paragraph" w:styleId="1441" w:customStyle="1">
    <w:name w:val="Char Char Char Char Char Char1 Char Char Char1 Char Char Char Char Char Char Char Char Char Char Char Char Char Char Char Char"/>
    <w:basedOn w:val="831"/>
    <w:next w:val="1442"/>
    <w:uiPriority w:val="0"/>
    <w:qFormat/>
    <w:pPr>
      <w:ind w:firstLine="2560"/>
      <w:jc w:val="both"/>
    </w:pPr>
    <w:rPr>
      <w:rFonts w:ascii="Times New Roman" w:hAnsi="Times New Roman" w:cs="Times New Roman"/>
      <w:b w:val="0"/>
      <w:sz w:val="20"/>
      <w:szCs w:val="20"/>
    </w:rPr>
  </w:style>
  <w:style w:type="paragraph" w:styleId="1442" w:customStyle="1">
    <w:name w:val="1正文"/>
    <w:basedOn w:val="831"/>
    <w:next w:val="1443"/>
    <w:uiPriority w:val="0"/>
    <w:qFormat/>
    <w:pPr>
      <w:ind w:left="480" w:firstLine="2784"/>
      <w:jc w:val="both"/>
      <w:spacing w:line="300" w:lineRule="auto"/>
    </w:pPr>
    <w:rPr>
      <w:rFonts w:ascii="Times New Roman" w:hAnsi="Times New Roman" w:cs="Times New Roman"/>
      <w:b w:val="0"/>
      <w:sz w:val="20"/>
      <w:szCs w:val="20"/>
    </w:rPr>
  </w:style>
  <w:style w:type="paragraph" w:styleId="1443" w:customStyle="1">
    <w:name w:val="目录2"/>
    <w:basedOn w:val="831"/>
    <w:next w:val="830"/>
    <w:uiPriority w:val="0"/>
    <w:qFormat/>
    <w:pPr>
      <w:ind w:left="209" w:firstLine="5329"/>
      <w:jc w:val="both"/>
      <w:spacing w:line="317" w:lineRule="atLeast"/>
    </w:pPr>
    <w:rPr>
      <w:rFonts w:ascii="Times New Roman" w:hAnsi="Times New Roman" w:cs="Times New Roman"/>
      <w:b w:val="0"/>
      <w:sz w:val="20"/>
      <w:szCs w:val="20"/>
    </w:rPr>
  </w:style>
  <w:style w:type="paragraph" w:styleId="1444" w:customStyle="1">
    <w:name w:val="图表目录1"/>
    <w:basedOn w:val="831"/>
    <w:next w:val="830"/>
    <w:uiPriority w:val="0"/>
    <w:qFormat/>
    <w:pPr>
      <w:ind w:left="200" w:firstLine="2616"/>
      <w:spacing w:line="360" w:lineRule="auto"/>
    </w:pPr>
    <w:rPr>
      <w:rFonts w:ascii="Times New Roman" w:hAnsi="Times New Roman" w:cs="Times New Roman"/>
      <w:b w:val="0"/>
      <w:sz w:val="20"/>
      <w:szCs w:val="20"/>
    </w:rPr>
  </w:style>
  <w:style w:type="paragraph" w:styleId="1445" w:customStyle="1">
    <w:name w:val="样式2"/>
    <w:basedOn w:val="836"/>
    <w:next w:val="1446"/>
    <w:uiPriority w:val="0"/>
    <w:qFormat/>
    <w:pPr>
      <w:ind w:left="1134" w:firstLine="18"/>
      <w:keepNext w:val="0"/>
      <w:spacing w:line="360" w:lineRule="auto"/>
      <w:widowControl/>
      <w:outlineLvl w:val="4"/>
    </w:pPr>
    <w:rPr>
      <w:rFonts w:hint="default" w:ascii="Times New Roman" w:hAnsi="Times New Roman"/>
      <w:sz w:val="20"/>
    </w:rPr>
  </w:style>
  <w:style w:type="paragraph" w:styleId="1446" w:customStyle="1">
    <w:name w:val="日期1"/>
    <w:basedOn w:val="831"/>
    <w:next w:val="830"/>
    <w:uiPriority w:val="0"/>
    <w:qFormat/>
    <w:pPr>
      <w:ind w:left="100" w:firstLine="6144"/>
      <w:jc w:val="both"/>
    </w:pPr>
    <w:rPr>
      <w:rFonts w:ascii="Times New Roman" w:hAnsi="Times New Roman" w:cs="Times New Roman"/>
      <w:b w:val="0"/>
      <w:sz w:val="20"/>
      <w:szCs w:val="20"/>
    </w:rPr>
  </w:style>
  <w:style w:type="paragraph" w:styleId="1447" w:customStyle="1">
    <w:name w:val="图1"/>
    <w:basedOn w:val="831"/>
    <w:next w:val="830"/>
    <w:uiPriority w:val="0"/>
    <w:qFormat/>
    <w:pPr>
      <w:ind w:left="1105" w:firstLine="2580"/>
      <w:spacing w:line="360" w:lineRule="auto"/>
    </w:pPr>
    <w:rPr>
      <w:rFonts w:ascii="Times New Roman" w:hAnsi="Times New Roman" w:cs="Times New Roman"/>
      <w:b w:val="0"/>
      <w:sz w:val="20"/>
      <w:szCs w:val="20"/>
    </w:rPr>
  </w:style>
  <w:style w:type="paragraph" w:styleId="1448" w:customStyle="1">
    <w:name w:val="Char Char Char Char Char Char1 Char Char Char1 Char Char Char Char Char Char Char Char Char Char Char Char"/>
    <w:basedOn w:val="831"/>
    <w:next w:val="1434"/>
    <w:uiPriority w:val="0"/>
    <w:qFormat/>
    <w:pPr>
      <w:ind w:firstLine="2560"/>
      <w:jc w:val="both"/>
    </w:pPr>
    <w:rPr>
      <w:rFonts w:ascii="Times New Roman" w:hAnsi="Times New Roman" w:cs="Times New Roman"/>
      <w:b w:val="0"/>
      <w:sz w:val="20"/>
      <w:szCs w:val="20"/>
    </w:rPr>
  </w:style>
  <w:style w:type="paragraph" w:styleId="1449" w:customStyle="1">
    <w:name w:val="Char Char Char Char Char Char Char"/>
    <w:basedOn w:val="831"/>
    <w:next w:val="1357"/>
    <w:uiPriority w:val="0"/>
    <w:qFormat/>
    <w:pPr>
      <w:ind w:left="200" w:firstLine="4808"/>
      <w:jc w:val="both"/>
      <w:spacing w:line="360" w:lineRule="auto"/>
    </w:pPr>
    <w:rPr>
      <w:rFonts w:ascii="Times New Roman" w:hAnsi="Times New Roman" w:cs="Times New Roman"/>
      <w:b w:val="0"/>
      <w:sz w:val="20"/>
      <w:szCs w:val="20"/>
    </w:rPr>
  </w:style>
  <w:style w:type="paragraph" w:styleId="1450" w:customStyle="1">
    <w:name w:val="Char Char Char Char Char Char Char Char Char Char Char Char Char Char Char"/>
    <w:basedOn w:val="831"/>
    <w:next w:val="1053"/>
    <w:uiPriority w:val="0"/>
    <w:qFormat/>
    <w:pPr>
      <w:ind w:firstLine="3584"/>
      <w:spacing w:line="400" w:lineRule="exact"/>
    </w:pPr>
    <w:rPr>
      <w:rFonts w:ascii="Times New Roman" w:hAnsi="Times New Roman" w:cs="Times New Roman"/>
      <w:b w:val="0"/>
      <w:sz w:val="20"/>
      <w:szCs w:val="20"/>
    </w:rPr>
  </w:style>
  <w:style w:type="paragraph" w:styleId="1451" w:customStyle="1">
    <w:name w:val="索引 51"/>
    <w:basedOn w:val="831"/>
    <w:next w:val="830"/>
    <w:uiPriority w:val="0"/>
    <w:qFormat/>
    <w:pPr>
      <w:ind w:left="800" w:firstLine="2560"/>
      <w:spacing w:line="360" w:lineRule="auto"/>
    </w:pPr>
    <w:rPr>
      <w:rFonts w:ascii="Times New Roman" w:hAnsi="Times New Roman" w:cs="Times New Roman"/>
      <w:b w:val="0"/>
      <w:sz w:val="20"/>
      <w:szCs w:val="20"/>
    </w:rPr>
  </w:style>
  <w:style w:type="paragraph" w:styleId="1452" w:customStyle="1">
    <w:name w:val="图表"/>
    <w:basedOn w:val="831"/>
    <w:next w:val="1453"/>
    <w:uiPriority w:val="0"/>
    <w:qFormat/>
    <w:pPr>
      <w:ind w:firstLine="2048"/>
    </w:pPr>
    <w:rPr>
      <w:rFonts w:ascii="Times New Roman" w:hAnsi="Times New Roman" w:cs="Times New Roman"/>
      <w:b w:val="0"/>
      <w:sz w:val="20"/>
      <w:szCs w:val="20"/>
    </w:rPr>
  </w:style>
  <w:style w:type="paragraph" w:styleId="1453" w:customStyle="1">
    <w:name w:val="reader-word-layer"/>
    <w:basedOn w:val="831"/>
    <w:next w:val="1454"/>
    <w:uiPriority w:val="0"/>
    <w:qFormat/>
    <w:pPr>
      <w:ind w:firstLine="1024"/>
      <w:jc w:val="both"/>
      <w:spacing w:before="280" w:after="280"/>
    </w:pPr>
    <w:rPr>
      <w:rFonts w:ascii="Times New Roman" w:hAnsi="Times New Roman" w:cs="Times New Roman"/>
      <w:b w:val="0"/>
      <w:sz w:val="20"/>
      <w:szCs w:val="20"/>
    </w:rPr>
  </w:style>
  <w:style w:type="paragraph" w:styleId="1454" w:customStyle="1">
    <w:name w:val="样式 加粗 居中1"/>
    <w:next w:val="1118"/>
    <w:uiPriority w:val="0"/>
    <w:qFormat/>
    <w:pPr>
      <w:ind w:firstLine="2560"/>
      <w:jc w:val="center"/>
    </w:pPr>
    <w:rPr>
      <w:rFonts w:ascii="Calibri" w:hAnsi="Calibri" w:cs="宋体" w:eastAsiaTheme="minorEastAsia"/>
      <w:lang w:val="en-US" w:eastAsia="zh-CN" w:bidi="ar-SA"/>
    </w:rPr>
  </w:style>
  <w:style w:type="paragraph" w:styleId="1455" w:customStyle="1">
    <w:name w:val="Body"/>
    <w:next w:val="1404"/>
    <w:uiPriority w:val="0"/>
    <w:qFormat/>
    <w:pPr>
      <w:ind w:left="567" w:right="2835" w:firstLine="3584"/>
      <w:spacing w:after="60"/>
    </w:pPr>
    <w:rPr>
      <w:rFonts w:ascii="Calibri" w:hAnsi="Calibri" w:cs="宋体" w:eastAsiaTheme="minorEastAsia"/>
      <w:lang w:val="en-US" w:eastAsia="zh-CN" w:bidi="ar-SA"/>
    </w:rPr>
  </w:style>
  <w:style w:type="paragraph" w:styleId="1456" w:customStyle="1">
    <w:name w:val="正文首行缩进 21"/>
    <w:basedOn w:val="854"/>
    <w:next w:val="1455"/>
    <w:uiPriority w:val="0"/>
    <w:qFormat/>
    <w:pPr>
      <w:ind w:left="200" w:firstLine="3784"/>
      <w:jc w:val="center"/>
      <w:spacing w:after="120"/>
    </w:pPr>
    <w:rPr>
      <w:rFonts w:ascii="Calibri" w:hAnsi="Calibri"/>
      <w:sz w:val="20"/>
    </w:rPr>
  </w:style>
  <w:style w:type="paragraph" w:styleId="1457" w:customStyle="1">
    <w:name w:val="Char Char"/>
    <w:next w:val="1452"/>
    <w:uiPriority w:val="0"/>
    <w:qFormat/>
    <w:pPr>
      <w:ind w:firstLine="14"/>
      <w:spacing w:line="360" w:lineRule="auto"/>
      <w:shd w:val="clear" w:color="000000" w:fill="000080"/>
    </w:pPr>
    <w:rPr>
      <w:rFonts w:ascii="Calibri" w:hAnsi="Calibri" w:cs="宋体" w:eastAsiaTheme="minorEastAsia"/>
      <w:lang w:val="en-US" w:eastAsia="zh-CN" w:bidi="ar-SA"/>
    </w:rPr>
  </w:style>
  <w:style w:type="paragraph" w:styleId="1458" w:customStyle="1">
    <w:name w:val="正文_0_0"/>
    <w:next w:val="1326"/>
    <w:uiPriority w:val="0"/>
    <w:qFormat/>
    <w:pPr>
      <w:ind w:firstLine="3584"/>
      <w:jc w:val="both"/>
      <w:widowControl w:val="off"/>
    </w:pPr>
    <w:rPr>
      <w:rFonts w:ascii="Calibri" w:hAnsi="Calibri" w:cs="宋体" w:eastAsiaTheme="minorEastAsia"/>
      <w:lang w:val="en-US" w:eastAsia="zh-CN" w:bidi="ar-SA"/>
    </w:rPr>
  </w:style>
  <w:style w:type="paragraph" w:styleId="1459" w:customStyle="1">
    <w:name w:val="Char Char Char Char Char Char1 Char Char Char Char Char Char1 Char Char Char1"/>
    <w:basedOn w:val="831"/>
    <w:next w:val="1149"/>
    <w:uiPriority w:val="0"/>
    <w:qFormat/>
    <w:pPr>
      <w:ind w:firstLine="2560"/>
      <w:jc w:val="both"/>
    </w:pPr>
    <w:rPr>
      <w:rFonts w:ascii="Times New Roman" w:hAnsi="Times New Roman" w:cs="Times New Roman"/>
      <w:b w:val="0"/>
      <w:sz w:val="20"/>
      <w:szCs w:val="20"/>
    </w:rPr>
  </w:style>
  <w:style w:type="paragraph" w:styleId="1460" w:customStyle="1">
    <w:name w:val="style16"/>
    <w:basedOn w:val="831"/>
    <w:next w:val="1092"/>
    <w:uiPriority w:val="0"/>
    <w:qFormat/>
    <w:pPr>
      <w:ind w:firstLine="2048"/>
      <w:jc w:val="both"/>
      <w:spacing w:before="280" w:after="280"/>
    </w:pPr>
    <w:rPr>
      <w:rFonts w:ascii="Times New Roman" w:hAnsi="Times New Roman" w:cs="Times New Roman"/>
      <w:b w:val="0"/>
      <w:sz w:val="20"/>
      <w:szCs w:val="20"/>
    </w:rPr>
  </w:style>
  <w:style w:type="paragraph" w:styleId="1461" w:customStyle="1">
    <w:name w:val="索引 11"/>
    <w:basedOn w:val="831"/>
    <w:next w:val="830"/>
    <w:uiPriority w:val="0"/>
    <w:qFormat/>
    <w:pPr>
      <w:ind w:firstLine="3584"/>
      <w:jc w:val="both"/>
    </w:pPr>
    <w:rPr>
      <w:rFonts w:ascii="Times New Roman" w:hAnsi="Times New Roman" w:cs="Times New Roman"/>
      <w:b w:val="0"/>
      <w:sz w:val="20"/>
      <w:szCs w:val="20"/>
    </w:rPr>
  </w:style>
  <w:style w:type="paragraph" w:styleId="1462" w:customStyle="1">
    <w:name w:val="H 3"/>
    <w:basedOn w:val="834"/>
    <w:next w:val="1463"/>
    <w:uiPriority w:val="0"/>
    <w:qFormat/>
    <w:pPr>
      <w:ind w:left="1429" w:firstLine="18"/>
      <w:jc w:val="both"/>
      <w:spacing w:line="360" w:lineRule="auto"/>
      <w:outlineLvl w:val="2"/>
    </w:pPr>
    <w:rPr>
      <w:sz w:val="20"/>
    </w:rPr>
  </w:style>
  <w:style w:type="paragraph" w:styleId="1463" w:customStyle="1">
    <w:name w:val="xl83"/>
    <w:basedOn w:val="831"/>
    <w:next w:val="1449"/>
    <w:uiPriority w:val="0"/>
    <w:qFormat/>
    <w:pPr>
      <w:ind w:firstLine="5120"/>
      <w:jc w:val="both"/>
      <w:spacing w:before="280" w:after="280"/>
    </w:pPr>
    <w:rPr>
      <w:rFonts w:ascii="Times New Roman" w:hAnsi="Times New Roman" w:cs="Times New Roman"/>
      <w:b w:val="0"/>
      <w:sz w:val="20"/>
      <w:szCs w:val="20"/>
    </w:rPr>
  </w:style>
  <w:style w:type="paragraph" w:styleId="1464" w:customStyle="1">
    <w:name w:val="表格文字（居中）"/>
    <w:basedOn w:val="831"/>
    <w:next w:val="1460"/>
    <w:uiPriority w:val="0"/>
    <w:qFormat/>
    <w:pPr>
      <w:ind w:firstLine="2560"/>
      <w:spacing w:line="360" w:lineRule="auto"/>
    </w:pPr>
    <w:rPr>
      <w:rFonts w:ascii="Times New Roman" w:hAnsi="Times New Roman" w:cs="Times New Roman"/>
      <w:b w:val="0"/>
      <w:sz w:val="20"/>
      <w:szCs w:val="20"/>
    </w:rPr>
  </w:style>
  <w:style w:type="paragraph" w:styleId="1465" w:customStyle="1">
    <w:name w:val="正文首行缩进两字符"/>
    <w:basedOn w:val="831"/>
    <w:next w:val="1451"/>
    <w:uiPriority w:val="0"/>
    <w:qFormat/>
    <w:pPr>
      <w:ind w:left="200" w:firstLine="3784"/>
      <w:jc w:val="both"/>
      <w:spacing w:line="360" w:lineRule="auto"/>
    </w:pPr>
    <w:rPr>
      <w:rFonts w:ascii="Times New Roman" w:hAnsi="Times New Roman" w:cs="Times New Roman"/>
      <w:b w:val="0"/>
      <w:sz w:val="20"/>
      <w:szCs w:val="20"/>
    </w:rPr>
  </w:style>
  <w:style w:type="paragraph" w:styleId="1466" w:customStyle="1">
    <w:name w:val="1"/>
    <w:basedOn w:val="831"/>
    <w:next w:val="870"/>
    <w:uiPriority w:val="0"/>
    <w:qFormat/>
    <w:pPr>
      <w:ind w:firstLine="2048"/>
      <w:jc w:val="both"/>
    </w:pPr>
    <w:rPr>
      <w:rFonts w:ascii="Times New Roman" w:hAnsi="Times New Roman" w:cs="Times New Roman"/>
      <w:b w:val="0"/>
      <w:sz w:val="20"/>
      <w:szCs w:val="20"/>
    </w:rPr>
  </w:style>
  <w:style w:type="paragraph" w:styleId="1467" w:customStyle="1">
    <w:name w:val="_Style 398"/>
    <w:basedOn w:val="831"/>
    <w:next w:val="830"/>
    <w:uiPriority w:val="0"/>
    <w:qFormat/>
    <w:pPr>
      <w:jc w:val="both"/>
      <w:keepLines/>
      <w:keepNext/>
      <w:spacing w:before="240" w:line="259" w:lineRule="auto"/>
      <w:outlineLvl w:val="9"/>
    </w:pPr>
    <w:rPr>
      <w:rFonts w:ascii="Cambria" w:hAnsi="Cambria" w:cs="Times New Roman"/>
      <w:b w:val="0"/>
      <w:color w:val="365f91"/>
    </w:rPr>
  </w:style>
  <w:style w:type="paragraph" w:styleId="1468" w:customStyle="1">
    <w:name w:val="_Style 400"/>
    <w:uiPriority w:val="0"/>
    <w:qFormat/>
    <w:rPr>
      <w:rFonts w:ascii="Calibri" w:hAnsi="Calibri" w:cs="宋体" w:eastAsiaTheme="minorEastAsia"/>
      <w:lang w:val="en-US" w:eastAsia="zh-CN" w:bidi="ar-SA"/>
    </w:rPr>
  </w:style>
  <w:style w:type="paragraph" w:styleId="1469" w:customStyle="1">
    <w:name w:val="Style1"/>
    <w:basedOn w:val="830"/>
    <w:uiPriority w:val="0"/>
    <w:qFormat/>
    <w:pPr>
      <w:jc w:val="both"/>
      <w:tabs>
        <w:tab w:val="left" w:pos="-720" w:leader="none"/>
      </w:tabs>
    </w:pPr>
    <w:rPr>
      <w:spacing w:val="-3"/>
      <w:szCs w:val="24"/>
      <w:lang w:val="en-AU" w:eastAsia="en-US"/>
    </w:rPr>
  </w:style>
  <w:style w:type="paragraph" w:styleId="1470" w:customStyle="1">
    <w:name w:val="msolistparagraph"/>
    <w:basedOn w:val="831"/>
    <w:next w:val="1363"/>
    <w:uiPriority w:val="0"/>
    <w:qFormat/>
    <w:pPr>
      <w:ind w:left="420" w:firstLine="3748"/>
      <w:jc w:val="both"/>
    </w:pPr>
    <w:rPr>
      <w:rFonts w:ascii="Times New Roman" w:hAnsi="Times New Roman" w:cs="Times New Roman"/>
      <w:b w:val="0"/>
      <w:sz w:val="20"/>
      <w:szCs w:val="20"/>
    </w:rPr>
  </w:style>
  <w:style w:type="paragraph" w:styleId="1471" w:customStyle="1">
    <w:name w:val="表格文字"/>
    <w:next w:val="1441"/>
    <w:uiPriority w:val="0"/>
    <w:qFormat/>
    <w:pPr>
      <w:ind w:firstLine="3584"/>
    </w:pPr>
    <w:rPr>
      <w:rFonts w:ascii="Calibri" w:hAnsi="Calibri" w:cs="宋体" w:eastAsiaTheme="minorEastAsia"/>
      <w:lang w:val="en-US" w:eastAsia="zh-CN" w:bidi="ar-SA"/>
    </w:rPr>
  </w:style>
  <w:style w:type="paragraph" w:styleId="1472" w:customStyle="1">
    <w:name w:val="插图"/>
    <w:next w:val="830"/>
    <w:uiPriority w:val="0"/>
    <w:qFormat/>
    <w:pPr>
      <w:ind w:firstLine="4608"/>
      <w:jc w:val="center"/>
    </w:pPr>
    <w:rPr>
      <w:rFonts w:ascii="Calibri" w:hAnsi="Calibri" w:cs="宋体" w:eastAsiaTheme="minorEastAsia"/>
      <w:lang w:val="en-US" w:eastAsia="zh-CN" w:bidi="ar-SA"/>
    </w:rPr>
  </w:style>
  <w:style w:type="paragraph" w:styleId="1473" w:customStyle="1">
    <w:name w:val="列出段落3"/>
    <w:basedOn w:val="831"/>
    <w:next w:val="1394"/>
    <w:uiPriority w:val="0"/>
    <w:qFormat/>
    <w:pPr>
      <w:ind w:left="420" w:firstLine="3748"/>
      <w:jc w:val="both"/>
    </w:pPr>
    <w:rPr>
      <w:rFonts w:ascii="Times New Roman" w:hAnsi="Times New Roman" w:cs="Times New Roman"/>
      <w:b w:val="0"/>
      <w:sz w:val="20"/>
      <w:szCs w:val="20"/>
    </w:rPr>
  </w:style>
  <w:style w:type="paragraph" w:styleId="1474" w:customStyle="1">
    <w:name w:val="目录标题"/>
    <w:basedOn w:val="831"/>
    <w:next w:val="830"/>
    <w:uiPriority w:val="0"/>
    <w:qFormat/>
    <w:pPr>
      <w:ind w:left="419" w:firstLine="7331"/>
      <w:spacing w:before="566" w:after="544" w:line="566" w:lineRule="atLeast"/>
    </w:pPr>
    <w:rPr>
      <w:rFonts w:ascii="Times New Roman" w:hAnsi="Times New Roman" w:cs="Times New Roman"/>
      <w:b w:val="0"/>
      <w:sz w:val="20"/>
      <w:szCs w:val="20"/>
    </w:rPr>
  </w:style>
  <w:style w:type="paragraph" w:styleId="1475" w:customStyle="1">
    <w:name w:val="WPSOffice手动目录 2"/>
    <w:uiPriority w:val="0"/>
    <w:qFormat/>
    <w:pPr>
      <w:ind w:left="200"/>
    </w:pPr>
    <w:rPr>
      <w:rFonts w:ascii="宋体" w:hAnsi="宋体" w:cs="宋体" w:eastAsiaTheme="minorEastAsia"/>
      <w:lang w:val="en-US" w:eastAsia="zh-CN" w:bidi="ar-SA"/>
    </w:rPr>
  </w:style>
  <w:style w:type="paragraph" w:styleId="1476" w:customStyle="1">
    <w:name w:val="表内文字"/>
    <w:basedOn w:val="831"/>
    <w:next w:val="867"/>
    <w:uiPriority w:val="0"/>
    <w:qFormat/>
    <w:pPr>
      <w:ind w:firstLine="7680"/>
      <w:spacing w:before="50" w:after="50"/>
    </w:pPr>
    <w:rPr>
      <w:rFonts w:ascii="Times New Roman" w:hAnsi="Times New Roman" w:cs="Times New Roman"/>
      <w:b w:val="0"/>
      <w:sz w:val="20"/>
      <w:szCs w:val="20"/>
    </w:rPr>
  </w:style>
  <w:style w:type="paragraph" w:styleId="1477" w:customStyle="1">
    <w:name w:val="*正文"/>
    <w:basedOn w:val="830"/>
    <w:uiPriority w:val="0"/>
    <w:qFormat/>
    <w:pPr>
      <w:ind w:firstLine="200"/>
      <w:jc w:val="both"/>
      <w:spacing w:line="360" w:lineRule="auto"/>
    </w:pPr>
    <w:rPr>
      <w:rFonts w:ascii="仿宋_GB2312" w:eastAsia="仿宋_GB2312"/>
      <w:szCs w:val="28"/>
    </w:rPr>
  </w:style>
  <w:style w:type="paragraph" w:styleId="1478" w:customStyle="1">
    <w:name w:val="0"/>
    <w:basedOn w:val="831"/>
    <w:next w:val="1399"/>
    <w:uiPriority w:val="0"/>
    <w:qFormat/>
    <w:pPr>
      <w:ind w:firstLine="2815"/>
      <w:jc w:val="both"/>
      <w:spacing w:line="360" w:lineRule="auto"/>
    </w:pPr>
    <w:rPr>
      <w:rFonts w:ascii="Times New Roman" w:hAnsi="Times New Roman" w:cs="Times New Roman"/>
      <w:b w:val="0"/>
      <w:sz w:val="20"/>
      <w:szCs w:val="20"/>
    </w:rPr>
  </w:style>
  <w:style w:type="numbering" w:styleId="1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faf16062-14c7-4a4b-9c25-8919d9c431f5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49EBB37C</paraID>
      <start>0</start>
      <end>2</end>
      <status>unmodified</status>
      <modifiedWord/>
      <trackRevisions>false</trackRevisions>
    </reviewItem>
    <reviewItem>
      <errorID>07c62877-1a66-4351-90f7-fb411e2a12c5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471D6083</paraID>
      <start>0</start>
      <end>2</end>
      <status>unmodified</status>
      <modifiedWord/>
      <trackRevisions>false</trackRevisions>
    </reviewItem>
    <reviewItem>
      <errorID>ae84e8c6-d242-4967-88b4-5c2dc1b39610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5C90B876</paraID>
      <start>0</start>
      <end>2</end>
      <status>unmodified</status>
      <modifiedWord/>
      <trackRevisions>false</trackRevisions>
    </reviewItem>
    <reviewItem>
      <errorID>333235eb-d0dd-454e-bff4-8d09d3bb97de</errorID>
      <errorWord>.</errorWord>
      <group>L1_Punc</group>
      <groupName>标点问题</groupName>
      <ability>L2_Punc_CN</ability>
      <abilityName>标点符号问题</abilityName>
      <candidateList/>
      <explain/>
      <paraID>4CB04099</paraID>
      <start>1</start>
      <end>2</end>
      <status>unmodified</status>
      <modifiedWord/>
      <trackRevisions>false</trackRevisions>
    </reviewItem>
    <reviewItem>
      <errorID>6049396d-43d5-4fa3-99b1-7dbfb7a85fa8</errorID>
      <errorWord>万</errorWord>
      <group>L1_Word</group>
      <groupName>字词问题</groupName>
      <ability>L2_Typo</ability>
      <abilityName>字词错误</abilityName>
      <candidateList>
        <item>万元</item>
      </candidateList>
      <explain/>
      <paraID>473502FE</paraID>
      <start>13</start>
      <end>14</end>
      <status>unmodified</status>
      <modifiedWord/>
      <trackRevisions>false</trackRevisions>
    </reviewItem>
    <reviewItem>
      <errorID>04a7f7d7-db4e-4a0a-ab28-8fd599ecf93d</errorID>
      <errorWord>500万（含）</errorWord>
      <group>L1_Word</group>
      <groupName>字词问题</groupName>
      <ability>L2_Typo</ability>
      <abilityName>字词错误</abilityName>
      <candidateList>
        <item>500万元（含）</item>
      </candidateList>
      <explain/>
      <paraID>64387ED1</paraID>
      <start>12</start>
      <end>19</end>
      <status>unmodified</status>
      <modifiedWord/>
      <trackRevisions>false</trackRevisions>
    </reviewItem>
    <reviewItem>
      <errorID>12881651-d296-461e-a04f-99d9f0b60062</errorID>
      <errorWord>万</errorWord>
      <group>L1_Word</group>
      <groupName>字词问题</groupName>
      <ability>L2_Typo</ability>
      <abilityName>字词错误</abilityName>
      <candidateList>
        <item>万元</item>
      </candidateList>
      <explain/>
      <paraID>50B51688</paraID>
      <start>8</start>
      <end>9</end>
      <status>unmodified</status>
      <modifiedWord/>
      <trackRevisions>false</trackRevisions>
    </reviewItem>
    <reviewItem>
      <errorID>009f534c-ffa3-408a-9eef-e0a31a4d31b0</errorID>
      <errorWord>：</errorWord>
      <group>L1_Punc</group>
      <groupName>标点问题</groupName>
      <ability>L2_Punc_CN</ability>
      <abilityName>标点符号问题</abilityName>
      <candidateList/>
      <explain/>
      <paraID>79B5D25E</paraID>
      <start>30</start>
      <end>31</end>
      <status>unmodified</status>
      <modifiedWord/>
      <trackRevisions>false</trackRevisions>
    </reviewItem>
    <reviewItem>
      <errorID>3daa36a7-824a-46ca-8356-f71b15bfe991</errorID>
      <errorWord>医院之</errorWord>
      <group>L1_Word</group>
      <groupName>字词问题</groupName>
      <ability>L2_Typo</ability>
      <abilityName>字词错误</abilityName>
      <candidateList>
        <item>医院</item>
      </candidateList>
      <explain/>
      <paraID>4C02893A</paraID>
      <start>8</start>
      <end>11</end>
      <status>unmodified</status>
      <modifiedWord/>
      <trackRevisions>false</trackRevisions>
    </reviewItem>
    <reviewItem>
      <errorID>539a58c0-d5d0-4b1f-8c71-5a9d8d88f8be</errorID>
      <errorWord>1、</errorWord>
      <group>L1_Format</group>
      <groupName>格式问题</groupName>
      <ability>L2_Ordinal</ability>
      <abilityName>序号格式</abilityName>
      <candidateList>
        <item>1.</item>
      </candidateList>
      <explain>当前序号格式不规范，建议修改为规范格式[1.]。</explain>
      <paraID>55E9C619</paraID>
      <start>0</start>
      <end>2</end>
      <status>unmodified</status>
      <modifiedWord/>
      <trackRevisions>false</trackRevisions>
    </reviewItem>
    <reviewItem>
      <errorID>e6d25361-96cd-4ee0-94a2-8efcd1368405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5DEA7C60</paraID>
      <start>0</start>
      <end>2</end>
      <status>unmodified</status>
      <modifiedWord/>
      <trackRevisions>false</trackRevisions>
    </reviewItem>
    <reviewItem>
      <errorID>b1de8feb-6890-4274-b912-d7bf1432180f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257C1395</paraID>
      <start>0</start>
      <end>2</end>
      <status>unmodified</status>
      <modifiedWord/>
      <trackRevisions>false</trackRevisions>
    </reviewItem>
    <reviewItem>
      <errorID>e297914b-b708-427d-9d2f-210472bf7e6e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3FBCE019</paraID>
      <start>0</start>
      <end>2</end>
      <status>unmodified</status>
      <modifiedWord/>
      <trackRevisions>false</trackRevisions>
    </reviewItem>
    <reviewItem>
      <errorID>9377a2c2-959a-417c-994d-eae4944280ab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65CE025D</paraID>
      <start>0</start>
      <end>2</end>
      <status>unmodified</status>
      <modifiedWord/>
      <trackRevisions>false</trackRevisions>
    </reviewItem>
    <reviewItem>
      <errorID>979506f8-03b2-4a94-8295-7df0454041dd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3B7587F3</paraID>
      <start>0</start>
      <end>2</end>
      <status>unmodified</status>
      <modifiedWord/>
      <trackRevisions>false</trackRevisions>
    </reviewItem>
    <reviewItem>
      <errorID>a354e695-d694-4730-acbb-497e505f831f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6BF4667C</paraID>
      <start>0</start>
      <end>2</end>
      <status>unmodified</status>
      <modifiedWord/>
      <trackRevisions>false</trackRevisions>
    </reviewItem>
    <reviewItem>
      <errorID>e2a62da4-b582-4b77-bc61-65fd0cc5a7ac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3232933D</paraID>
      <start>0</start>
      <end>2</end>
      <status>unmodified</status>
      <modifiedWord/>
      <trackRevisions>false</trackRevisions>
    </reviewItem>
    <reviewItem>
      <errorID>dd54d494-effa-45c4-84df-54c5f6cd224a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77B928C7</paraID>
      <start>0</start>
      <end>2</end>
      <status>unmodified</status>
      <modifiedWord/>
      <trackRevisions>false</trackRevisions>
    </reviewItem>
    <reviewItem>
      <errorID>342d034b-abed-4a84-a9d7-e2595b710962</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 1FDAEDA</paraID>
      <start>47</start>
      <end>52</end>
      <status>unmodified</status>
      <modifiedWord/>
      <trackRevisions>false</trackRevisions>
    </reviewItem>
    <reviewItem>
      <errorID>df6fa250-7d7d-4c17-9d8f-f00db04e77fe</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5B2F6DD5</paraID>
      <start>110</start>
      <end>114</end>
      <status>unmodified</status>
      <modifiedWord/>
      <trackRevisions>false</trackRevisions>
    </reviewItem>
    <reviewItem>
      <errorID>c0d5bb3e-2ceb-4686-aca2-1c20b0f6b7f2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2DA60332</paraID>
      <start>0</start>
      <end>2</end>
      <status>unmodified</status>
      <modifiedWord/>
      <trackRevisions>false</trackRevisions>
    </reviewItem>
    <reviewItem>
      <errorID>1c22731f-ec0c-492d-b96e-a3ac7768b4ab</errorID>
      <errorWord>、</errorWord>
      <group>L1_Punc</group>
      <groupName>标点问题</groupName>
      <ability>L2_Punc_CN</ability>
      <abilityName>标点符号问题</abilityName>
      <candidateList>
        <item>.</item>
      </candidateList>
      <explain/>
      <paraID>7D24D5FE</paraID>
      <start>1</start>
      <end>2</end>
      <status>unmodified</status>
      <modifiedWord/>
      <trackRevisions>false</trackRevisions>
    </reviewItem>
    <reviewItem>
      <errorID>81c2b55f-c632-4c18-b402-14cf870c4982</errorID>
      <errorWord>、</errorWord>
      <group>L1_Punc</group>
      <groupName>标点问题</groupName>
      <ability>L2_Punc_CN</ability>
      <abilityName>标点符号问题</abilityName>
      <candidateList>
        <item>.</item>
      </candidateList>
      <explain/>
      <paraID> 2F454ED</paraID>
      <start>1</start>
      <end>2</end>
      <status>unmodified</status>
      <modifiedWord/>
      <trackRevisions>false</trackRevisions>
    </reviewItem>
    <reviewItem>
      <errorID>298fc0d3-9a09-461e-9efa-5d684f4f93b3</errorID>
      <errorWord>、</errorWord>
      <group>L1_Punc</group>
      <groupName>标点问题</groupName>
      <ability>L2_Punc_CN</ability>
      <abilityName>标点符号问题</abilityName>
      <candidateList>
        <item>.</item>
      </candidateList>
      <explain/>
      <paraID>61E7CCCD</paraID>
      <start>1</start>
      <end>2</end>
      <status>unmodified</status>
      <modifiedWord/>
      <trackRevisions>false</trackRevisions>
    </reviewItem>
    <reviewItem>
      <errorID>08d0aaa1-b46a-4802-b1a7-390fdfeeeb9a</errorID>
      <errorWord>、</errorWord>
      <group>L1_Punc</group>
      <groupName>标点问题</groupName>
      <ability>L2_Punc_CN</ability>
      <abilityName>标点符号问题</abilityName>
      <candidateList>
        <item>.</item>
      </candidateList>
      <explain/>
      <paraID>465BD877</paraID>
      <start>1</start>
      <end>2</end>
      <status>unmodified</status>
      <modifiedWord/>
      <trackRevisions>false</trackRevisions>
    </reviewItem>
    <reviewItem>
      <errorID>10599ce2-0480-45a6-80c9-f52529edd7cd</errorID>
      <errorWord>、</errorWord>
      <group>L1_Punc</group>
      <groupName>标点问题</groupName>
      <ability>L2_Punc_CN</ability>
      <abilityName>标点符号问题</abilityName>
      <candidateList>
        <item>.</item>
      </candidateList>
      <explain/>
      <paraID>5377866B</paraID>
      <start>1</start>
      <end>2</end>
      <status>unmodified</status>
      <modifiedWord/>
      <trackRevisions>false</trackRevisions>
    </reviewItem>
    <reviewItem>
      <errorID>7a4575ac-139f-40a9-b053-a64d783c07b6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134FAAF5</paraID>
      <start>0</start>
      <end>2</end>
      <status>unmodified</status>
      <modifiedWord/>
      <trackRevisions>false</trackRevisions>
    </reviewItem>
    <reviewItem>
      <errorID>1ab424f8-db9c-4f2b-84f6-88c880a0b941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552E0B4D</paraID>
      <start>0</start>
      <end>2</end>
      <status>unmodified</status>
      <modifiedWord/>
      <trackRevisions>false</trackRevisions>
    </reviewItem>
    <reviewItem>
      <errorID>863cba81-7f18-4977-976d-7b6cadd58312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2F723ADF</paraID>
      <start>0</start>
      <end>2</end>
      <status>unmodified</status>
      <modifiedWord/>
      <trackRevisions>false</trackRevisions>
    </reviewItem>
    <reviewItem>
      <errorID>a13f0eba-6904-4376-b1c0-6ef472d41142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176BFE65</paraID>
      <start>0</start>
      <end>2</end>
      <status>unmodified</status>
      <modifiedWord/>
      <trackRevisions>false</trackRevisions>
    </reviewItem>
    <reviewItem>
      <errorID>9c029126-ff8e-427a-8ee9-31fe888ba106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487F4ADB</paraID>
      <start>0</start>
      <end>2</end>
      <status>unmodified</status>
      <modifiedWord/>
      <trackRevisions>false</trackRevisions>
    </reviewItem>
    <reviewItem>
      <errorID>b9169ed2-caf0-4ffb-8788-2d5e03f8826c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3D8E37CB</paraID>
      <start>0</start>
      <end>2</end>
      <status>unmodified</status>
      <modifiedWord/>
      <trackRevisions>false</trackRevisions>
    </reviewItem>
    <reviewItem>
      <errorID>3e1d0f36-c542-4e71-b8e4-95d044006a40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46A6CA17</paraID>
      <start>0</start>
      <end>3</end>
      <status>unmodified</status>
      <modifiedWord/>
      <trackRevisions>false</trackRevisions>
    </reviewItem>
    <reviewItem>
      <errorID>cff23d7e-fc74-44c4-a116-a09303cd1836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4CB8A6B9</paraID>
      <start>0</start>
      <end>3</end>
      <status>unmodified</status>
      <modifiedWord/>
      <trackRevisions>false</trackRevisions>
    </reviewItem>
    <reviewItem>
      <errorID>c1d9ebc8-4e39-4f5f-9a48-c40c70650b35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54B95F0B</paraID>
      <start>0</start>
      <end>3</end>
      <status>unmodified</status>
      <modifiedWord/>
      <trackRevisions>false</trackRevisions>
    </reviewItem>
    <reviewItem>
      <errorID>55faa5be-27e3-483e-839d-e6d8af938fa7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3AB78E78</paraID>
      <start>0</start>
      <end>3</end>
      <status>unmodified</status>
      <modifiedWord/>
      <trackRevisions>false</trackRevisions>
    </reviewItem>
    <reviewItem>
      <errorID>e3f42384-d960-4c84-be91-e53b7b2005aa</errorID>
      <errorWord>、</errorWord>
      <group>L1_Punc</group>
      <groupName>标点问题</groupName>
      <ability>L2_Punc_CN</ability>
      <abilityName>标点符号问题</abilityName>
      <candidateList>
        <item>.</item>
      </candidateList>
      <explain/>
      <paraID>7DC42B62</paraID>
      <start>1</start>
      <end>2</end>
      <status>unmodified</status>
      <modifiedWord/>
      <trackRevisions>false</trackRevisions>
    </reviewItem>
    <reviewItem>
      <errorID>bc08bbf4-3ddf-4de0-8016-1fb69e179a62</errorID>
      <errorWord>、</errorWord>
      <group>L1_Punc</group>
      <groupName>标点问题</groupName>
      <ability>L2_Punc_CN</ability>
      <abilityName>标点符号问题</abilityName>
      <candidateList>
        <item>.</item>
      </candidateList>
      <explain/>
      <paraID>45E010CD</paraID>
      <start>1</start>
      <end>2</end>
      <status>unmodified</status>
      <modifiedWord/>
      <trackRevisions>false</trackRevisions>
    </reviewItem>
    <reviewItem>
      <errorID>def95006-2f07-476f-9293-ae3c22c95907</errorID>
      <errorWord>、</errorWord>
      <group>L1_Punc</group>
      <groupName>标点问题</groupName>
      <ability>L2_Punc_CN</ability>
      <abilityName>标点符号问题</abilityName>
      <candidateList>
        <item>.</item>
      </candidateList>
      <explain/>
      <paraID>28614E7C</paraID>
      <start>1</start>
      <end>2</end>
      <status>unmodified</status>
      <modifiedWord/>
      <trackRevisions>false</trackRevisions>
    </reviewItem>
    <reviewItem>
      <errorID>255ba669-8033-4727-9f9e-17d911db3062</errorID>
      <errorWord>、</errorWord>
      <group>L1_Punc</group>
      <groupName>标点问题</groupName>
      <ability>L2_Punc_CN</ability>
      <abilityName>标点符号问题</abilityName>
      <candidateList>
        <item>.</item>
      </candidateList>
      <explain/>
      <paraID>753E5770</paraID>
      <start>1</start>
      <end>2</end>
      <status>unmodified</status>
      <modifiedWord/>
      <trackRevisions>false</trackRevisions>
    </reviewItem>
    <reviewItem>
      <errorID>1d77a276-7664-4d39-a4cb-10d24d7b46af</errorID>
      <errorWord>、</errorWord>
      <group>L1_Punc</group>
      <groupName>标点问题</groupName>
      <ability>L2_Punc_CN</ability>
      <abilityName>标点符号问题</abilityName>
      <candidateList>
        <item>.</item>
      </candidateList>
      <explain/>
      <paraID>4754731A</paraID>
      <start>1</start>
      <end>2</end>
      <status>unmodified</status>
      <modifiedWord/>
      <trackRevisions>false</trackRevisions>
    </reviewItem>
    <reviewItem>
      <errorID>2935c718-cb23-4ed6-8af0-d6c43802b5c4</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39F9CB21</paraID>
      <start>22</start>
      <end>26</end>
      <status>unmodified</status>
      <modifiedWord/>
      <trackRevisions>false</trackRevisions>
    </reviewItem>
    <reviewItem>
      <errorID>df91381f-abcd-4c87-bb2e-4726355a6db1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79AD7E48</paraID>
      <start>0</start>
      <end>3</end>
      <status>unmodified</status>
      <modifiedWord/>
      <trackRevisions>false</trackRevisions>
    </reviewItem>
    <reviewItem>
      <errorID>e3a94344-f95d-477e-8400-fef38bed4479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C55C9B7</paraID>
      <start>0</start>
      <end>3</end>
      <status>unmodified</status>
      <modifiedWord/>
      <trackRevisions>false</trackRevisions>
    </reviewItem>
    <reviewItem>
      <errorID>0f186cde-5a9b-4c5a-a964-b16d6fd11884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3C8E89A3</paraID>
      <start>0</start>
      <end>3</end>
      <status>unmodified</status>
      <modifiedWord/>
      <trackRevisions>false</trackRevisions>
    </reviewItem>
    <reviewItem>
      <errorID>f6ab2490-b6c9-4827-8a06-f90926dce1ce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5E711002</paraID>
      <start>0</start>
      <end>3</end>
      <status>unmodified</status>
      <modifiedWord/>
      <trackRevisions>false</trackRevisions>
    </reviewItem>
    <reviewItem>
      <errorID>46d5efd6-7d60-4ddd-9181-831e8bba7d55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65D7CCA9</paraID>
      <start>0</start>
      <end>3</end>
      <status>unmodified</status>
      <modifiedWord/>
      <trackRevisions>false</trackRevisions>
    </reviewItem>
    <reviewItem>
      <errorID>5241d700-9175-4eda-9ef8-39d19d9742bb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1106CCAE</paraID>
      <start>0</start>
      <end>3</end>
      <status>unmodified</status>
      <modifiedWord/>
      <trackRevisions>false</trackRevisions>
    </reviewItem>
    <reviewItem>
      <errorID>064fb5e3-babe-47e3-9a53-7790ea0b90f0</errorID>
      <errorWord>导致的</errorWord>
      <group>L1_Word</group>
      <groupName>字词问题</groupName>
      <ability>L2_Typo</ability>
      <abilityName>字词错误</abilityName>
      <candidateList>
        <item>导致</item>
      </candidateList>
      <explain/>
      <paraID>1CEC0387</paraID>
      <start>105</start>
      <end>108</end>
      <status>unmodified</status>
      <modifiedWord/>
      <trackRevisions>false</trackRevisions>
    </reviewItem>
    <reviewItem>
      <errorID>dfc594be-ec7a-4a67-b435-23a6fc115cc2</errorID>
      <errorWord>接</errorWord>
      <group>L1_Word</group>
      <groupName>字词问题</groupName>
      <ability>L2_Typo</ability>
      <abilityName>字词错误</abilityName>
      <candidateList>
        <item>接在</item>
      </candidateList>
      <explain/>
      <paraID>7B59C187</paraID>
      <start>19</start>
      <end>20</end>
      <status>unmodified</status>
      <modifiedWord/>
      <trackRevisions>false</trackRevisions>
    </reviewItem>
    <reviewItem>
      <errorID>bcdca0a1-fb2b-402f-877e-ea0114592262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470E0226</paraID>
      <start>0</start>
      <end>3</end>
      <status>unmodified</status>
      <modifiedWord/>
      <trackRevisions>false</trackRevisions>
    </reviewItem>
    <reviewItem>
      <errorID>9aece285-d72a-4ce0-8657-355cc8fcaceb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44386843</paraID>
      <start>0</start>
      <end>3</end>
      <status>unmodified</status>
      <modifiedWord/>
      <trackRevisions>false</trackRevisions>
    </reviewItem>
    <reviewItem>
      <errorID>801326cf-2657-457a-994d-efcf5d9497d3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D7833F6</paraID>
      <start>0</start>
      <end>3</end>
      <status>unmodified</status>
      <modifiedWord/>
      <trackRevisions>false</trackRevisions>
    </reviewItem>
    <reviewItem>
      <errorID>6bb39582-0ef8-4187-bc9c-e93bc46045e2</errorID>
      <errorWord>）</errorWord>
      <group>L1_Word</group>
      <groupName>字词问题</groupName>
      <ability>L2_Typo</ability>
      <abilityName>字词错误</abilityName>
      <candidateList>
        <item>）和</item>
      </candidateList>
      <explain/>
      <paraID>4E252CBE</paraID>
      <start>73</start>
      <end>74</end>
      <status>unmodified</status>
      <modifiedWord/>
      <trackRevisions>false</trackRevisions>
    </reviewItem>
    <reviewItem>
      <errorID>9ea3ad5a-fed4-4176-a857-3716845adc25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58168F93</paraID>
      <start>0</start>
      <end>3</end>
      <status>unmodified</status>
      <modifiedWord/>
      <trackRevisions>false</trackRevisions>
    </reviewItem>
    <reviewItem>
      <errorID>4ba20195-f290-4644-9ab0-acf42a8ff28b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13D47273</paraID>
      <start>0</start>
      <end>3</end>
      <status>unmodified</status>
      <modifiedWord/>
      <trackRevisions>false</trackRevisions>
    </reviewItem>
    <reviewItem>
      <errorID>1d0d171d-3849-4ce7-8aa4-7c383c1e6ff0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227F856F</paraID>
      <start>0</start>
      <end>3</end>
      <status>unmodified</status>
      <modifiedWord/>
      <trackRevisions>false</trackRevisions>
    </reviewItem>
    <reviewItem>
      <errorID>0b7fe2b4-7669-435e-9a1d-49aca0093c45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58CA2CB6</paraID>
      <start>0</start>
      <end>3</end>
      <status>unmodified</status>
      <modifiedWord/>
      <trackRevisions>false</trackRevisions>
    </reviewItem>
    <reviewItem>
      <errorID>8ef50444-2303-4758-bcfb-d4be8ccb3e8e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2661271A</paraID>
      <start>0</start>
      <end>3</end>
      <status>unmodified</status>
      <modifiedWord/>
      <trackRevisions>false</trackRevisions>
    </reviewItem>
    <reviewItem>
      <errorID>2e3cfa83-644f-46bc-90ba-05153de7a6c3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1FF425A8</paraID>
      <start>0</start>
      <end>3</end>
      <status>unmodified</status>
      <modifiedWord/>
      <trackRevisions>false</trackRevisions>
    </reviewItem>
    <reviewItem>
      <errorID>428e2770-6fa4-4abb-8665-1bbb864eeb81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43A788D3</paraID>
      <start>142</start>
      <end>145</end>
      <status>unmodified</status>
      <modifiedWord/>
      <trackRevisions>false</trackRevisions>
    </reviewItem>
    <reviewItem>
      <errorID>4c5c4962-3a3f-4b0f-af5f-1f534cd0db36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468CC4F5</paraID>
      <start>0</start>
      <end>3</end>
      <status>unmodified</status>
      <modifiedWord/>
      <trackRevisions>false</trackRevisions>
    </reviewItem>
    <reviewItem>
      <errorID>ae53687d-bca1-48f3-9a53-540e15b2b86c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532A8D5</paraID>
      <start>0</start>
      <end>3</end>
      <status>unmodified</status>
      <modifiedWord/>
      <trackRevisions>false</trackRevisions>
    </reviewItem>
    <reviewItem>
      <errorID>b363a87b-8697-4d63-886c-663e907065c4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4FBBD7CE</paraID>
      <start>0</start>
      <end>3</end>
      <status>unmodified</status>
      <modifiedWord/>
      <trackRevisions>false</trackRevisions>
    </reviewItem>
    <reviewItem>
      <errorID>8ba80d27-d9d6-4f4f-b703-e5008f78ca7f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3EF9C9DC</paraID>
      <start>0</start>
      <end>3</end>
      <status>unmodified</status>
      <modifiedWord/>
      <trackRevisions>false</trackRevisions>
    </reviewItem>
    <reviewItem>
      <errorID>90d9e2bd-69e3-4a9c-a0f0-4be6d3b9e805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6FAB72E1</paraID>
      <start>0</start>
      <end>3</end>
      <status>unmodified</status>
      <modifiedWord/>
      <trackRevisions>false</trackRevisions>
    </reviewItem>
    <reviewItem>
      <errorID>c1c840b9-8e8b-4c81-93ad-8dec6893d4c9</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7BC36CF2</paraID>
      <start>0</start>
      <end>3</end>
      <status>unmodified</status>
      <modifiedWord/>
      <trackRevisions>false</trackRevisions>
    </reviewItem>
    <reviewItem>
      <errorID>947bd55f-f2dd-423f-a130-3a145976072e</errorID>
      <errorWord>：</errorWord>
      <group>L1_Punc</group>
      <groupName>标点问题</groupName>
      <ability>L2_Punc_CN</ability>
      <abilityName>标点符号问题</abilityName>
      <candidateList/>
      <explain/>
      <paraID>6FCF6274</paraID>
      <start>14</start>
      <end>15</end>
      <status>unmodified</status>
      <modifiedWord/>
      <trackRevisions>false</trackRevisions>
    </reviewItem>
    <reviewItem>
      <errorID>3d185d5a-49e8-4e3c-b02e-9c298abc840c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7F36C233</paraID>
      <start>0</start>
      <end>2</end>
      <status>unmodified</status>
      <modifiedWord/>
      <trackRevisions>false</trackRevisions>
    </reviewItem>
    <reviewItem>
      <errorID>17554da1-2933-4a08-82f4-acea136f9ea3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1D07B424</paraID>
      <start>0</start>
      <end>2</end>
      <status>unmodified</status>
      <modifiedWord/>
      <trackRevisions>false</trackRevisions>
    </reviewItem>
    <reviewItem>
      <errorID>30974274-415f-4dd6-9e10-a61d7d5a6aaf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1318AEA5</paraID>
      <start>0</start>
      <end>2</end>
      <status>unmodified</status>
      <modifiedWord/>
      <trackRevisions>false</trackRevisions>
    </reviewItem>
    <reviewItem>
      <errorID>735b4fb6-f78d-447c-a250-10a62e5b54e9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B5AB1D1</paraID>
      <start>0</start>
      <end>2</end>
      <status>unmodified</status>
      <modifiedWord/>
      <trackRevisions>false</trackRevisions>
    </reviewItem>
    <reviewItem>
      <errorID>7df4782b-973f-4a35-88c3-242cb835c444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7BC6292B</paraID>
      <start>0</start>
      <end>2</end>
      <status>unmodified</status>
      <modifiedWord/>
      <trackRevisions>false</trackRevisions>
    </reviewItem>
    <reviewItem>
      <errorID>e675ca0e-7bf3-449a-b8ca-d1a07c854ffd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5EA5D61F</paraID>
      <start>0</start>
      <end>2</end>
      <status>unmodified</status>
      <modifiedWord/>
      <trackRevisions>false</trackRevisions>
    </reviewItem>
    <reviewItem>
      <errorID>e3a83361-323a-462a-908b-b9800eed65f2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120C0E4B</paraID>
      <start>0</start>
      <end>2</end>
      <status>unmodified</status>
      <modifiedWord/>
      <trackRevisions>false</trackRevisions>
    </reviewItem>
    <reviewItem>
      <errorID>252d2faa-054d-4cdb-9afc-e8ebedd3206f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1ACCEA75</paraID>
      <start>0</start>
      <end>2</end>
      <status>unmodified</status>
      <modifiedWord/>
      <trackRevisions>false</trackRevisions>
    </reviewItem>
    <reviewItem>
      <errorID>69e5ec22-8902-4570-86f9-4e3d43214eea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733E551A</paraID>
      <start>0</start>
      <end>2</end>
      <status>unmodified</status>
      <modifiedWord/>
      <trackRevisions>false</trackRevisions>
    </reviewItem>
    <reviewItem>
      <errorID>72e33126-65f3-48eb-923b-810ba551c5dd</errorID>
      <errorWord>......</errorWord>
      <group>L1_Punc</group>
      <groupName>标点问题</groupName>
      <ability>L2_Punc_CN</ability>
      <abilityName>标点符号问题</abilityName>
      <candidateList>
        <item>……</item>
      </candidateList>
      <explain/>
      <paraID>143923FF</paraID>
      <start>0</start>
      <end>6</end>
      <status>unmodified</status>
      <modifiedWord/>
      <trackRevisions>false</trackRevisions>
    </reviewItem>
    <reviewItem>
      <errorID>810dd473-dc7a-4c96-840c-e790310c6119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4BE8C35D</paraID>
      <start>0</start>
      <end>2</end>
      <status>unmodified</status>
      <modifiedWord/>
      <trackRevisions>false</trackRevisions>
    </reviewItem>
    <reviewItem>
      <errorID>f05c6476-e413-41ed-acdd-078ecf3dee07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54F6DCE7</paraID>
      <start>0</start>
      <end>2</end>
      <status>unmodified</status>
      <modifiedWord/>
      <trackRevisions>false</trackRevisions>
    </reviewItem>
    <reviewItem>
      <errorID>5aa1a628-508d-4cd5-80f6-9b4850c41f4a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51A2A466</paraID>
      <start>0</start>
      <end>2</end>
      <status>unmodified</status>
      <modifiedWord/>
      <trackRevisions>false</trackRevisions>
    </reviewItem>
    <reviewItem>
      <errorID>0af7975c-1f7f-43ee-a6a0-84b284f734f3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5FC3B4AC</paraID>
      <start>0</start>
      <end>2</end>
      <status>unmodified</status>
      <modifiedWord/>
      <trackRevisions>false</trackRevisions>
    </reviewItem>
    <reviewItem>
      <errorID>b5c5a7fe-e018-4ace-84e5-bdeaba274024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303C7518</paraID>
      <start>0</start>
      <end>2</end>
      <status>unmodified</status>
      <modifiedWord/>
      <trackRevisions>false</trackRevisions>
    </reviewItem>
    <reviewItem>
      <errorID>ae892f4d-7864-4a6b-ad30-a622a8f7bced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2D5F4242</paraID>
      <start>0</start>
      <end>2</end>
      <status>unmodified</status>
      <modifiedWord/>
      <trackRevisions>false</trackRevisions>
    </reviewItem>
    <reviewItem>
      <errorID>371aef53-653f-46e8-b1e9-7aac5df45080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790EC467</paraID>
      <start>0</start>
      <end>2</end>
      <status>unmodified</status>
      <modifiedWord/>
      <trackRevisions>false</trackRevisions>
    </reviewItem>
    <reviewItem>
      <errorID>e6a877db-2a49-425b-80cb-4f9f292345af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7F3FD14B</paraID>
      <start>0</start>
      <end>2</end>
      <status>unmodified</status>
      <modifiedWord/>
      <trackRevisions>false</trackRevisions>
    </reviewItem>
    <reviewItem>
      <errorID>33afce15-d6f8-4a40-b3db-9be467cd229f</errorID>
      <errorWord>。。</errorWord>
      <group>L1_Punc</group>
      <groupName>标点问题</groupName>
      <ability>L2_Punc_CN</ability>
      <abilityName>标点符号问题</abilityName>
      <candidateList>
        <item>。</item>
      </candidateList>
      <explain/>
      <paraID> 76F923E</paraID>
      <start>45</start>
      <end>46</end>
      <status>modified</status>
      <modifiedWord>。</modifiedWord>
      <trackRevisions>false</trackRevisions>
    </reviewItem>
    <reviewItem>
      <errorID>d2af06ec-4d80-4e10-944c-69c9f5461782</errorID>
      <errorWord>需</errorWord>
      <group>L1_Word</group>
      <groupName>字词问题</groupName>
      <ability>L2_Typo</ability>
      <abilityName>字词错误</abilityName>
      <candidateList>
        <item>须</item>
      </candidateList>
      <explain>存在发音相同字词的误用。</explain>
      <paraID>5144C4E7</paraID>
      <start>1</start>
      <end>2</end>
      <status>unmodified</status>
      <modifiedWord/>
      <trackRevisions>false</trackRevisions>
    </reviewItem>
    <reviewItem>
      <errorID>e69fbc05-7fa1-4df7-bbc3-1bfe98043c04</errorID>
      <errorWord>上线</errorWord>
      <group>L1_Word</group>
      <groupName>字词问题</groupName>
      <ability>L2_Typo</ability>
      <abilityName>字词错误</abilityName>
      <candidateList>
        <item>上限</item>
      </candidateList>
      <explain/>
      <paraID>2CE54B67</paraID>
      <start>14</start>
      <end>16</end>
      <status>unmodified</status>
      <modifiedWord/>
      <trackRevisions>false</trackRevisions>
    </reviewItem>
    <reviewItem>
      <errorID>b30c448e-ca88-4a9c-9ccc-51cf8123811e</errorID>
      <errorWord>下线</errorWord>
      <group>L1_Word</group>
      <groupName>字词问题</groupName>
      <ability>L2_Typo</ability>
      <abilityName>字词错误</abilityName>
      <candidateList>
        <item>下限</item>
      </candidateList>
      <explain/>
      <paraID>5AE5D072</paraID>
      <start>18</start>
      <end>20</end>
      <status>unmodified</status>
      <modifiedWord/>
      <trackRevisions>false</trackRevisions>
    </reviewItem>
    <reviewItem>
      <errorID>c44515fa-f7ab-4802-bc07-460a1c0f5894</errorID>
      <errorWord>已经</errorWord>
      <group>L1_Word</group>
      <groupName>字词问题</groupName>
      <ability>L2_Typo</ability>
      <abilityName>字词错误</abilityName>
      <candidateList>
        <item>已</item>
      </candidateList>
      <explain/>
      <paraID>79DD8248</paraID>
      <start>19</start>
      <end>21</end>
      <status>unmodified</status>
      <modifiedWord/>
      <trackRevisions>false</trackRevisions>
    </reviewItem>
    <reviewItem>
      <errorID>f16e2d4f-31f8-455d-bbb4-45c4925554d7</errorID>
      <errorWord>资源的</errorWord>
      <group>L1_Word</group>
      <groupName>字词问题</groupName>
      <ability>L2_Typo</ability>
      <abilityName>字词错误</abilityName>
      <candidateList>
        <item>资源</item>
      </candidateList>
      <explain/>
      <paraID>72E99BF0</paraID>
      <start>6</start>
      <end>9</end>
      <status>unmodified</status>
      <modifiedWord/>
      <trackRevisions>false</trackRevisions>
    </reviewItem>
    <reviewItem>
      <errorID>a2abb570-8c03-45ad-b8f4-b5d893f2f733</errorID>
      <errorWord>病历</errorWord>
      <group>L1_Word</group>
      <groupName>字词问题</groupName>
      <ability>L2_Typo</ability>
      <abilityName>字词错误</abilityName>
      <candidateList>
        <item>病例</item>
      </candidateList>
      <explain/>
      <paraID>5FEBAAD8</paraID>
      <start>14</start>
      <end>16</end>
      <status>unmodified</status>
      <modifiedWord/>
      <trackRevisions>false</trackRevisions>
    </reviewItem>
    <reviewItem>
      <errorID>36b632ca-7b29-44e5-be2c-15b9a24c284f</errorID>
      <errorWord>针对</errorWord>
      <group>L1_Word</group>
      <groupName>字词问题</groupName>
      <ability>L2_Typo</ability>
      <abilityName>字词错误</abilityName>
      <candidateList>
        <item>对</item>
      </candidateList>
      <explain/>
      <paraID> 2B3B7E0</paraID>
      <start>18</start>
      <end>20</end>
      <status>unmodified</status>
      <modifiedWord/>
      <trackRevisions>false</trackRevisions>
    </reviewItem>
    <reviewItem>
      <errorID>d028b378-f58f-4b42-abf6-9702e64a4500</errorID>
      <errorWord>即</errorWord>
      <group>L1_Word</group>
      <groupName>字词问题</groupName>
      <ability>L2_Typo</ability>
      <abilityName>字词错误</abilityName>
      <candidateList>
        <item>及</item>
      </candidateList>
      <explain>存在发音相同字词的误用。</explain>
      <paraID> AF12F04</paraID>
      <start>14</start>
      <end>15</end>
      <status>unmodified</status>
      <modifiedWord/>
      <trackRevisions>false</trackRevisions>
    </reviewItem>
    <reviewItem>
      <errorID>2418972e-e0ec-43b5-82f9-78ccd12c298b</errorID>
      <errorWord>如若</errorWord>
      <group>L1_Word</group>
      <groupName>字词问题</groupName>
      <ability>L2_Typo</ability>
      <abilityName>字词错误</abilityName>
      <candidateList>
        <item>若</item>
      </candidateList>
      <explain/>
      <paraID>5CA184F3</paraID>
      <start>80</start>
      <end>82</end>
      <status>unmodified</status>
      <modifiedWord/>
      <trackRevisions>false</trackRevisions>
    </reviewItem>
    <reviewItem>
      <errorID>b80677a6-e100-417e-b501-072f8f2a2dc4</errorID>
      <errorWord>支持能</errorWord>
      <group>L1_Word</group>
      <groupName>字词问题</groupName>
      <ability>L2_Typo</ability>
      <abilityName>字词错误</abilityName>
      <candidateList>
        <item>支持</item>
      </candidateList>
      <explain/>
      <paraID>39C2973E</paraID>
      <start>0</start>
      <end>3</end>
      <status>unmodified</status>
      <modifiedWord/>
      <trackRevisions>false</trackRevisions>
    </reviewItem>
    <reviewItem>
      <errorID>2174f23c-d1c7-488d-a763-dd1546c854d2</errorID>
      <errorWord>教给</errorWord>
      <group>L1_Word</group>
      <groupName>字词问题</groupName>
      <ability>L2_Typo</ability>
      <abilityName>字词错误</abilityName>
      <candidateList>
        <item>给</item>
      </candidateList>
      <explain/>
      <paraID>4A0801F2</paraID>
      <start>26</start>
      <end>28</end>
      <status>unmodified</status>
      <modifiedWord/>
      <trackRevisions>false</trackRevisions>
    </reviewItem>
    <reviewItem>
      <errorID>9b9b7f6f-65c3-4a64-aca9-5cf14c0d2c06</errorID>
      <errorWord>基础设置</errorWord>
      <group>L1_Word</group>
      <groupName>字词问题</groupName>
      <ability>L2_Typo</ability>
      <abilityName>字词错误</abilityName>
      <candidateList>
        <item>基础设施</item>
      </candidateList>
      <explain/>
      <paraID>2E6427CE</paraID>
      <start>0</start>
      <end>4</end>
      <status>unmodified</status>
      <modifiedWord/>
      <trackRevisions>false</trackRevisions>
    </reviewItem>
    <reviewItem>
      <errorID>52cb509d-ead9-43d2-8e2d-b106cc4e99ac</errorID>
      <errorWord>质</errorWord>
      <group>L1_Word</group>
      <groupName>字词问题</groupName>
      <ability>L2_Typo</ability>
      <abilityName>字词错误</abilityName>
      <candidateList>
        <item>质量</item>
      </candidateList>
      <explain/>
      <paraID>6B2B4387</paraID>
      <start>19</start>
      <end>20</end>
      <status>unmodified</status>
      <modifiedWord/>
      <trackRevisions>false</trackRevisions>
    </reviewItem>
    <reviewItem>
      <errorID>d3abc99c-ca41-411a-9c40-b7a4c7466209</errorID>
      <errorWord>查看到</errorWord>
      <group>L1_Word</group>
      <groupName>字词问题</groupName>
      <ability>L2_Typo</ability>
      <abilityName>字词错误</abilityName>
      <candidateList>
        <item>查看</item>
      </candidateList>
      <explain/>
      <paraID>713C5AC1</paraID>
      <start>50</start>
      <end>53</end>
      <status>unmodified</status>
      <modifiedWord/>
      <trackRevisions>false</trackRevisions>
    </reviewItem>
    <reviewItem>
      <errorID>abe6f029-987c-4124-a25a-fca39eb42204</errorID>
      <errorWord>设施</errorWord>
      <group>L1_Word</group>
      <groupName>字词问题</groupName>
      <ability>L2_Typo</ability>
      <abilityName>字词错误</abilityName>
      <candidateList>
        <item>设置</item>
      </candidateList>
      <explain>存在发音相近字词的误用。</explain>
      <paraID>79562CAD</paraID>
      <start>55</start>
      <end>57</end>
      <status>unmodified</status>
      <modifiedWord/>
      <trackRevisions>false</trackRevisions>
    </reviewItem>
    <reviewItem>
      <errorID>7e1f8035-b57a-45f5-a142-c251e03c463a</errorID>
      <errorWord>设施</errorWord>
      <group>L1_Word</group>
      <groupName>字词问题</groupName>
      <ability>L2_Typo</ability>
      <abilityName>字词错误</abilityName>
      <candidateList>
        <item>设置</item>
      </candidateList>
      <explain>存在发音相近字词的误用。</explain>
      <paraID>79562CAD</paraID>
      <start>69</start>
      <end>71</end>
      <status>unmodified</status>
      <modifiedWord/>
      <trackRevisions>false</trackRevisions>
    </reviewItem>
    <reviewItem>
      <errorID>100b6064-f184-437c-afbb-c1db0e66b23e</errorID>
      <errorWord>设施</errorWord>
      <group>L1_Word</group>
      <groupName>字词问题</groupName>
      <ability>L2_Typo</ability>
      <abilityName>字词错误</abilityName>
      <candidateList>
        <item>设置</item>
      </candidateList>
      <explain>存在发音相近字词的误用。</explain>
      <paraID>40281B53</paraID>
      <start>46</start>
      <end>48</end>
      <status>unmodified</status>
      <modifiedWord/>
      <trackRevisions>false</trackRevisions>
    </reviewItem>
    <reviewItem>
      <errorID>ea56cf31-01ea-4c55-9d5e-bef7332e2e84</errorID>
      <errorWord>作</errorWord>
      <group>L1_Word</group>
      <groupName>字词问题</groupName>
      <ability>L2_Typo</ability>
      <abilityName>字词错误</abilityName>
      <candidateList>
        <item>做</item>
      </candidateList>
      <explain>存在发音相同字词的误用。</explain>
      <paraID> DFCCDE8</paraID>
      <start>48</start>
      <end>49</end>
      <status>unmodified</status>
      <modifiedWord/>
      <trackRevisions>false</trackRevisions>
    </reviewItem>
    <reviewItem>
      <errorID>5a1fded9-65d2-425a-94af-8ef899cc0895</errorID>
      <errorWord>作</errorWord>
      <group>L1_Word</group>
      <groupName>字词问题</groupName>
      <ability>L2_Typo</ability>
      <abilityName>字词错误</abilityName>
      <candidateList>
        <item>做</item>
      </candidateList>
      <explain>存在发音相同字词的误用。</explain>
      <paraID> DFCCDE8</paraID>
      <start>73</start>
      <end>74</end>
      <status>unmodified</status>
      <modifiedWord/>
      <trackRevisions>false</trackRevisions>
    </reviewItem>
    <reviewItem>
      <errorID>5a47c230-38a5-4667-b235-43261b2a8d4f</errorID>
      <errorWord>作</errorWord>
      <group>L1_Word</group>
      <groupName>字词问题</groupName>
      <ability>L2_Typo</ability>
      <abilityName>字词错误</abilityName>
      <candidateList>
        <item>做</item>
      </candidateList>
      <explain/>
      <paraID> DFCCDE8</paraID>
      <start>80</start>
      <end>81</end>
      <status>unmodified</status>
      <modifiedWord/>
      <trackRevisions>false</trackRevisions>
    </reviewItem>
    <reviewItem>
      <errorID>b0b0951a-e372-4fd4-91b1-b062f67e5513</errorID>
      <errorWord>查看到</errorWord>
      <group>L1_Word</group>
      <groupName>字词问题</groupName>
      <ability>L2_Typo</ability>
      <abilityName>字词错误</abilityName>
      <candidateList>
        <item>查看</item>
      </candidateList>
      <explain/>
      <paraID>14D3593C</paraID>
      <start>2</start>
      <end>5</end>
      <status>unmodified</status>
      <modifiedWord/>
      <trackRevisions>false</trackRevisions>
    </reviewItem>
    <reviewItem>
      <errorID>86952742-9c67-4269-9402-ffb20ee1c947</errorID>
      <errorWord>插入到</errorWord>
      <group>L1_Word</group>
      <groupName>字词问题</groupName>
      <ability>L2_Typo</ability>
      <abilityName>字词错误</abilityName>
      <candidateList>
        <item>插入</item>
      </candidateList>
      <explain/>
      <paraID>734B0A6E</paraID>
      <start>94</start>
      <end>97</end>
      <status>unmodified</status>
      <modifiedWord/>
      <trackRevisions>false</trackRevisions>
    </reviewItem>
    <reviewItem>
      <errorID>e1e24e9d-1e76-42e1-b1ce-12e8e56f354d</errorID>
      <errorWord>，</errorWord>
      <group>L1_Word</group>
      <groupName>字词问题</groupName>
      <ability>L2_Typo</ability>
      <abilityName>字词错误</abilityName>
      <candidateList>
        <item>，包</item>
      </candidateList>
      <explain/>
      <paraID>50CACB4F</paraID>
      <start>15</start>
      <end>16</end>
      <status>unmodified</status>
      <modifiedWord/>
      <trackRevisions>false</trackRevisions>
    </reviewItem>
    <reviewItem>
      <errorID>25236e00-db4a-4e60-b7e8-a2dacbcedf72</errorID>
      <errorWord>查看到</errorWord>
      <group>L1_Word</group>
      <groupName>字词问题</groupName>
      <ability>L2_Typo</ability>
      <abilityName>字词错误</abilityName>
      <candidateList>
        <item>查看</item>
      </candidateList>
      <explain/>
      <paraID>6F65951F</paraID>
      <start>2</start>
      <end>5</end>
      <status>unmodified</status>
      <modifiedWord/>
      <trackRevisions>false</trackRevisions>
    </reviewItem>
    <reviewItem>
      <errorID>f82a0db7-78a4-453b-b344-7f5b5c7294f2</errorID>
      <errorWord>进入到</errorWord>
      <group>L1_Word</group>
      <groupName>字词问题</groupName>
      <ability>L2_Typo</ability>
      <abilityName>字词错误</abilityName>
      <candidateList>
        <item>进入</item>
      </candidateList>
      <explain/>
      <paraID>298FCE9D</paraID>
      <start>12</start>
      <end>15</end>
      <status>unmodified</status>
      <modifiedWord/>
      <trackRevisions>false</trackRevisions>
    </reviewItem>
    <reviewItem>
      <errorID>8a791aab-6834-4dec-bcf6-a0f49a560416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7F262C96</paraID>
      <start>10</start>
      <end>13</end>
      <status>unmodified</status>
      <modifiedWord/>
      <trackRevisions>false</trackRevisions>
    </reviewItem>
    <reviewItem>
      <errorID>3b5ae676-afcd-4a26-bf0b-3b19d813a087</errorID>
      <errorWord>，</errorWord>
      <group>L1_Word</group>
      <groupName>字词问题</groupName>
      <ability>L2_Typo</ability>
      <abilityName>字词错误</abilityName>
      <candidateList>
        <item>，包</item>
      </candidateList>
      <explain/>
      <paraID>4A1619D4</paraID>
      <start>15</start>
      <end>16</end>
      <status>unmodified</status>
      <modifiedWord/>
      <trackRevisions>false</trackRevisions>
    </reviewItem>
    <reviewItem>
      <errorID>18ef7ba0-8933-47ef-b0cc-d2f1202f13d4</errorID>
      <errorWord>；</errorWord>
      <group>L1_Word</group>
      <groupName>字词问题</groupName>
      <ability>L2_Typo</ability>
      <abilityName>字词错误</abilityName>
      <candidateList>
        <item>；在</item>
      </candidateList>
      <explain/>
      <paraID>28C5381B</paraID>
      <start>68</start>
      <end>69</end>
      <status>unmodified</status>
      <modifiedWord/>
      <trackRevisions>false</trackRevisions>
    </reviewItem>
    <reviewItem>
      <errorID>e2e5323e-9658-4ff1-84c9-a3ec2e4f6fe8</errorID>
      <errorWord>，</errorWord>
      <group>L1_Word</group>
      <groupName>字词问题</groupName>
      <ability>L2_Typo</ability>
      <abilityName>字词错误</abilityName>
      <candidateList>
        <item>，以</item>
      </candidateList>
      <explain/>
      <paraID>5566EFF5</paraID>
      <start>52</start>
      <end>53</end>
      <status>unmodified</status>
      <modifiedWord/>
      <trackRevisions>false</trackRevisions>
    </reviewItem>
    <reviewItem>
      <errorID>498a345e-777a-4a9e-8c13-dd07be347833</errorID>
      <errorWord>标准溶液配置</errorWord>
      <group>L1_Word</group>
      <groupName>字词问题</groupName>
      <ability>L2_Typo</ability>
      <abilityName>字词错误</abilityName>
      <candidateList>
        <item>标准溶液配制</item>
      </candidateList>
      <explain/>
      <paraID>776562AD</paraID>
      <start>0</start>
      <end>6</end>
      <status>unmodified</status>
      <modifiedWord/>
      <trackRevisions>false</trackRevisions>
    </reviewItem>
    <reviewItem>
      <errorID>f01581fb-1d23-4771-9ca4-a11be9097c6e</errorID>
      <errorWord>，，</errorWord>
      <group>L1_Punc</group>
      <groupName>标点问题</groupName>
      <ability>L2_Punc_CN</ability>
      <abilityName>标点符号问题</abilityName>
      <candidateList>
        <item>，</item>
      </candidateList>
      <explain/>
      <paraID>4BB03BF5</paraID>
      <start>13</start>
      <end>14</end>
      <status>modified</status>
      <modifiedWord>，</modifiedWord>
      <trackRevisions>false</trackRevisions>
    </reviewItem>
    <reviewItem>
      <errorID>a9edd1b0-66c6-40b6-b4fd-dabbca2fde2d</errorID>
      <errorWord>IOS</errorWord>
      <group>L1_English</group>
      <groupName>英文问题</groupName>
      <ability>L2_Case</ability>
      <abilityName>大小写问题</abilityName>
      <candidateList>
        <item>iOS</item>
      </candidateList>
      <explain>疑似单词大小写错误，建议将IOS修改为iOS</explain>
      <paraID>6E69224D</paraID>
      <start>7</start>
      <end>10</end>
      <status>unmodified</status>
      <modifiedWord/>
      <trackRevisions>false</trackRevisions>
    </reviewItem>
    <reviewItem>
      <errorID>6b38da3e-0c70-482a-a86e-9b2a2ff042db</errorID>
      <errorWord>androi</errorWord>
      <group>L1_English</group>
      <groupName>英文问题</groupName>
      <ability>L2_Spell</ability>
      <abilityName>拼写问题</abilityName>
      <candidateList>
        <item>Android</item>
      </candidateList>
      <explain>疑似单词拼写有误，建议将androi修改为Android</explain>
      <paraID>6E69224D</paraID>
      <start>11</start>
      <end>17</end>
      <status>unmodified</status>
      <modifiedWord/>
      <trackRevisions>false</trackRevisions>
    </reviewItem>
    <reviewItem>
      <errorID>711d22b0-c214-43f6-baec-b64ec3f32f5b</errorID>
      <errorWord>；</errorWord>
      <group>L1_Word</group>
      <groupName>字词问题</groupName>
      <ability>L2_Typo</ability>
      <abilityName>字词错误</abilityName>
      <candidateList>
        <item>；在</item>
      </candidateList>
      <explain/>
      <paraID>664B7D07</paraID>
      <start>34</start>
      <end>35</end>
      <status>unmodified</status>
      <modifiedWord/>
      <trackRevisions>false</trackRevisions>
    </reviewItem>
    <reviewItem>
      <errorID>9f81ee03-78b8-4ada-98ac-c9d35e860619</errorID>
      <errorWord>WIFI</errorWord>
      <group>L1_Knowledge</group>
      <groupName>知识性问题</groupName>
      <ability>L2_Knowledge</ability>
      <abilityName>其他知识</abilityName>
      <candidateList>
        <item>Wi-Fi</item>
      </candidateList>
      <explain/>
      <paraID>45712F4F</paraID>
      <start>19</start>
      <end>23</end>
      <status>unmodified</status>
      <modifiedWord/>
      <trackRevisions>false</trackRevisions>
    </reviewItem>
    <reviewItem>
      <errorID>08d62174-db30-4885-aaec-21bce0a73a45</errorID>
      <errorWord>模版</errorWord>
      <group>L1_Word</group>
      <groupName>字词问题</groupName>
      <ability>L2_Typo</ability>
      <abilityName>字词错误</abilityName>
      <candidateList>
        <item>模板</item>
      </candidateList>
      <explain>存在发音相同字词的误用。</explain>
      <paraID>6FCFE255</paraID>
      <start>7</start>
      <end>9</end>
      <status>unmodified</status>
      <modifiedWord/>
      <trackRevisions>false</trackRevisions>
    </reviewItem>
    <reviewItem>
      <errorID>f80b3c77-ca9b-4d15-94ae-4e6188964e4b</errorID>
      <errorWord>模版</errorWord>
      <group>L1_Word</group>
      <groupName>字词问题</groupName>
      <ability>L2_Typo</ability>
      <abilityName>字词错误</abilityName>
      <candidateList>
        <item>模板</item>
      </candidateList>
      <explain>存在发音相同字词的误用。</explain>
      <paraID>38745E3D</paraID>
      <start>9</start>
      <end>11</end>
      <status>unmodified</status>
      <modifiedWord/>
      <trackRevisions>false</trackRevisions>
    </reviewItem>
    <reviewItem>
      <errorID>fab1b6b3-6d6c-4f26-9295-0567ad11623a</errorID>
      <errorWord>模版</errorWord>
      <group>L1_Word</group>
      <groupName>字词问题</groupName>
      <ability>L2_Typo</ability>
      <abilityName>字词错误</abilityName>
      <candidateList>
        <item>模板</item>
      </candidateList>
      <explain>存在发音相同字词的误用。</explain>
      <paraID>33E973EC</paraID>
      <start>4</start>
      <end>6</end>
      <status>unmodified</status>
      <modifiedWord/>
      <trackRevisions>false</trackRevisions>
    </reviewItem>
    <reviewItem>
      <errorID>6a28680c-a294-4d74-8445-b083ca8bdd02</errorID>
      <errorWord>模版</errorWord>
      <group>L1_Word</group>
      <groupName>字词问题</groupName>
      <ability>L2_Typo</ability>
      <abilityName>字词错误</abilityName>
      <candidateList>
        <item>模板</item>
      </candidateList>
      <explain>存在发音相同字词的误用。</explain>
      <paraID>23CDD975</paraID>
      <start>9</start>
      <end>11</end>
      <status>unmodified</status>
      <modifiedWord/>
      <trackRevisions>false</trackRevisions>
    </reviewItem>
    <reviewItem>
      <errorID>886a736b-58a8-45c2-94f3-24561730c410</errorID>
      <errorWord>模版</errorWord>
      <group>L1_Word</group>
      <groupName>字词问题</groupName>
      <ability>L2_Typo</ability>
      <abilityName>字词错误</abilityName>
      <candidateList>
        <item>模板</item>
      </candidateList>
      <explain>存在发音相同字词的误用。</explain>
      <paraID>355395A4</paraID>
      <start>9</start>
      <end>11</end>
      <status>unmodified</status>
      <modifiedWord/>
      <trackRevisions>false</trackRevisions>
    </reviewItem>
    <reviewItem>
      <errorID>d7227652-61c3-440d-b9e5-b24446e84448</errorID>
      <errorWord>模版</errorWord>
      <group>L1_Word</group>
      <groupName>字词问题</groupName>
      <ability>L2_Typo</ability>
      <abilityName>字词错误</abilityName>
      <candidateList>
        <item>模板</item>
      </candidateList>
      <explain>存在发音相同字词的误用。</explain>
      <paraID>2201580C</paraID>
      <start>12</start>
      <end>14</end>
      <status>unmodified</status>
      <modifiedWord/>
      <trackRevisions>false</trackRevisions>
    </reviewItem>
    <reviewItem>
      <errorID>dad9062e-2c9d-4d8c-9b4a-3271e053abaf</errorID>
      <errorWord>模版</errorWord>
      <group>L1_Word</group>
      <groupName>字词问题</groupName>
      <ability>L2_Typo</ability>
      <abilityName>字词错误</abilityName>
      <candidateList>
        <item>模板</item>
      </candidateList>
      <explain>存在发音相同字词的误用。</explain>
      <paraID>1A3299D4</paraID>
      <start>7</start>
      <end>9</end>
      <status>unmodified</status>
      <modifiedWord/>
      <trackRevisions>false</trackRevisions>
    </reviewItem>
    <reviewItem>
      <errorID>96120e9f-39ef-4f65-9c1f-fe109fa8057d</errorID>
      <errorWord>模版</errorWord>
      <group>L1_Word</group>
      <groupName>字词问题</groupName>
      <ability>L2_Typo</ability>
      <abilityName>字词错误</abilityName>
      <candidateList>
        <item>模板</item>
      </candidateList>
      <explain>存在发音相同字词的误用。</explain>
      <paraID>  C4090A</paraID>
      <start>9</start>
      <end>11</end>
      <status>unmodified</status>
      <modifiedWord/>
      <trackRevisions>false</trackRevisions>
    </reviewItem>
    <reviewItem>
      <errorID>22ed3235-8685-4152-9133-ad5ec3f2932a</errorID>
      <errorWord>通用模版</errorWord>
      <group>L1_Word</group>
      <groupName>字词问题</groupName>
      <ability>L2_Alias</ability>
      <abilityName>也作/曾用词</abilityName>
      <candidateList>
        <item>通用模板</item>
      </candidateList>
      <explain>词汇[通用模版]为不规范表述或旧称，其规范书面表述为[通用模板]。</explain>
      <paraID>7D9BEA9E</paraID>
      <start>2</start>
      <end>6</end>
      <status>unmodified</status>
      <modifiedWord/>
      <trackRevisions>false</trackRevisions>
    </reviewItem>
    <reviewItem>
      <errorID>06628c35-8927-4202-959a-b7de651f3a64</errorID>
      <errorWord>模版</errorWord>
      <group>L1_Word</group>
      <groupName>字词问题</groupName>
      <ability>L2_Typo</ability>
      <abilityName>字词错误</abilityName>
      <candidateList>
        <item>模板</item>
      </candidateList>
      <explain>存在发音相同字词的误用。</explain>
      <paraID>56C9F259</paraID>
      <start>9</start>
      <end>11</end>
      <status>unmodified</status>
      <modifiedWord/>
      <trackRevisions>false</trackRevisions>
    </reviewItem>
    <reviewItem>
      <errorID>64983a89-246b-4856-b910-e9e27a67eab5</errorID>
      <errorWord>模版</errorWord>
      <group>L1_Word</group>
      <groupName>字词问题</groupName>
      <ability>L2_Typo</ability>
      <abilityName>字词错误</abilityName>
      <candidateList>
        <item>模板</item>
      </candidateList>
      <explain>存在发音相同字词的误用。</explain>
      <paraID>2C98A69D</paraID>
      <start>9</start>
      <end>11</end>
      <status>unmodified</status>
      <modifiedWord/>
      <trackRevisions>false</trackRevisions>
    </reviewItem>
    <reviewItem>
      <errorID>cfacca06-38ce-4f32-96fe-ee6652d5edd5</errorID>
      <errorWord>病历</errorWord>
      <group>L1_Word</group>
      <groupName>字词问题</groupName>
      <ability>L2_Typo</ability>
      <abilityName>字词错误</abilityName>
      <candidateList>
        <item>病例</item>
      </candidateList>
      <explain/>
      <paraID>133AA730</paraID>
      <start>9</start>
      <end>11</end>
      <status>unmodified</status>
      <modifiedWord/>
      <trackRevisions>false</trackRevisions>
    </reviewItem>
    <reviewItem>
      <errorID>1b43cc57-f069-4983-9ef5-1295eed8d337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57A038D5</paraID>
      <start>45</start>
      <end>48</end>
      <status>unmodified</status>
      <modifiedWord/>
      <trackRevisions>false</trackRevisions>
    </reviewItem>
    <reviewItem>
      <errorID>f53adbfe-be82-4b79-b5a1-6052b984762a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57A038D5</paraID>
      <start>50</start>
      <end>53</end>
      <status>unmodified</status>
      <modifiedWord/>
      <trackRevisions>false</trackRevisions>
    </reviewItem>
    <reviewItem>
      <errorID>0de465b5-cd24-4964-8ad5-9b63fdfdaf7f</errorID>
      <errorWord>慢病</errorWord>
      <group>L1_Word</group>
      <groupName>字词问题</groupName>
      <ability>L2_Typo</ability>
      <abilityName>字词错误</abilityName>
      <candidateList>
        <item>慢性病</item>
      </candidateList>
      <explain/>
      <paraID> 7462B41</paraID>
      <start>6</start>
      <end>8</end>
      <status>unmodified</status>
      <modifiedWord/>
      <trackRevisions>false</trackRevisions>
    </reviewItem>
    <reviewItem>
      <errorID>cd578940-00a5-4bbf-ae49-8dc4bcff294d</errorID>
      <errorWord>支持出</errorWord>
      <group>L1_Word</group>
      <groupName>字词问题</groupName>
      <ability>L2_Typo</ability>
      <abilityName>字词错误</abilityName>
      <candidateList>
        <item>支持</item>
      </candidateList>
      <explain/>
      <paraID>3E435EB4</paraID>
      <start>41</start>
      <end>44</end>
      <status>unmodified</status>
      <modifiedWord/>
      <trackRevisions>false</trackRevisions>
    </reviewItem>
    <reviewItem>
      <errorID>0371bf8f-cdc1-489c-819b-c59c44558486</errorID>
      <errorWord>病历</errorWord>
      <group>L1_Word</group>
      <groupName>字词问题</groupName>
      <ability>L2_Typo</ability>
      <abilityName>字词错误</abilityName>
      <candidateList>
        <item>病例</item>
      </candidateList>
      <explain/>
      <paraID>38A12807</paraID>
      <start>10</start>
      <end>12</end>
      <status>unmodified</status>
      <modifiedWord/>
      <trackRevisions>false</trackRevisions>
    </reviewItem>
    <reviewItem>
      <errorID>93cce274-be8f-4ef3-9312-a39a323d46f5</errorID>
      <errorWord>持</errorWord>
      <group>L1_Word</group>
      <groupName>字词问题</groupName>
      <ability>L2_Typo</ability>
      <abilityName>字词错误</abilityName>
      <candidateList>
        <item>持在</item>
      </candidateList>
      <explain/>
      <paraID>4C405F44</paraID>
      <start>1</start>
      <end>2</end>
      <status>unmodified</status>
      <modifiedWord/>
      <trackRevisions>false</trackRevisions>
    </reviewItem>
    <reviewItem>
      <errorID>deafd76c-c85f-4a6f-804d-dab1ef772a40</errorID>
      <errorWord>纵隔</errorWord>
      <group>L1_Word</group>
      <groupName>字词问题</groupName>
      <ability>L2_Typo</ability>
      <abilityName>字词错误</abilityName>
      <candidateList>
        <item>纵膈</item>
      </candidateList>
      <explain>存在发音相同字词的误用。</explain>
      <paraID>3B37DBB0</paraID>
      <start>7</start>
      <end>9</end>
      <status>unmodified</status>
      <modifiedWord/>
      <trackRevisions>false</trackRevisions>
    </reviewItem>
    <reviewItem>
      <errorID>bd523c00-9467-41fd-aada-dc2280fa5438</errorID>
      <errorWord>-</errorWord>
      <group>L1_Format</group>
      <groupName>格式问题</groupName>
      <ability>L2_HalfPunc_CN</ability>
      <abilityName>全半角问题</abilityName>
      <candidateList>
        <item>－</item>
      </candidateList>
      <explain>文本全半角错误。</explain>
      <paraID> 266DA93</paraID>
      <start>56</start>
      <end>57</end>
      <status>unmodified</status>
      <modifiedWord/>
      <trackRevisions>false</trackRevisions>
    </reviewItem>
    <reviewItem>
      <errorID>00d89689-8ccb-4314-97dd-e3820729a069</errorID>
      <errorWord>病例</errorWord>
      <group>L1_Word</group>
      <groupName>字词问题</groupName>
      <ability>L2_Typo</ability>
      <abilityName>字词错误</abilityName>
      <candidateList>
        <item>病历</item>
      </candidateList>
      <explain/>
      <paraID>5BD64223</paraID>
      <start>44</start>
      <end>46</end>
      <status>unmodified</status>
      <modifiedWord/>
      <trackRevisions>false</trackRevisions>
    </reviewItem>
    <reviewItem>
      <errorID>2a402a25-b925-458e-873d-14c4f2aa2071</errorID>
      <errorWord>病历</errorWord>
      <group>L1_Word</group>
      <groupName>字词问题</groupName>
      <ability>L2_Typo</ability>
      <abilityName>字词错误</abilityName>
      <candidateList>
        <item>病理</item>
      </candidateList>
      <explain/>
      <paraID>15593CA4</paraID>
      <start>7</start>
      <end>9</end>
      <status>unmodified</status>
      <modifiedWord/>
      <trackRevisions>false</trackRevisions>
    </reviewItem>
    <reviewItem>
      <errorID>b5d775e9-2f2f-4d7b-a233-89df0453d206</errorID>
      <errorWord>像</errorWord>
      <group>L1_Word</group>
      <groupName>字词问题</groupName>
      <ability>L2_Typo</ability>
      <abilityName>字词错误</abilityName>
      <candidateList>
        <item>象</item>
      </candidateList>
      <explain>存在发音相同字词的误用。</explain>
      <paraID> 7CEFC0A</paraID>
      <start>13</start>
      <end>14</end>
      <status>unmodified</status>
      <modifiedWord/>
      <trackRevisions>false</trackRevisions>
    </reviewItem>
    <reviewItem>
      <errorID>e9b3a1f7-3d96-4fc7-bc3e-fa25421a0013</errorID>
      <errorWord>脉像</errorWord>
      <group>L1_Knowledge</group>
      <groupName>知识性问题</groupName>
      <ability>L2_Term</ability>
      <abilityName>专业术语</abilityName>
      <candidateList>
        <item>脉象</item>
      </candidateList>
      <explain>医学名词[脉像]为不规范表述或旧称，其规范书面表述为[脉象]。</explain>
      <paraID> 7CEFC0A</paraID>
      <start>15</start>
      <end>17</end>
      <status>unmodified</status>
      <modifiedWord/>
      <trackRevisions>false</trackRevisions>
    </reviewItem>
    <reviewItem>
      <errorID>79f40af1-8fd6-4647-a9b6-1b3056046b28</errorID>
      <errorWord>像</errorWord>
      <group>L1_Word</group>
      <groupName>字词问题</groupName>
      <ability>L2_Typo</ability>
      <abilityName>字词错误</abilityName>
      <candidateList>
        <item>象</item>
      </candidateList>
      <explain>存在发音相同字词的误用。</explain>
      <paraID>33C9673A</paraID>
      <start>15</start>
      <end>16</end>
      <status>unmodified</status>
      <modifiedWord/>
      <trackRevisions>false</trackRevisions>
    </reviewItem>
    <reviewItem>
      <errorID>9aa7d0d1-2d46-4293-b40a-0beb6b35a451</errorID>
      <errorWord>脉像</errorWord>
      <group>L1_Knowledge</group>
      <groupName>知识性问题</groupName>
      <ability>L2_Term</ability>
      <abilityName>专业术语</abilityName>
      <candidateList>
        <item>脉象</item>
      </candidateList>
      <explain>医学名词[脉像]为不规范表述或旧称，其规范书面表述为[脉象]。</explain>
      <paraID>33C9673A</paraID>
      <start>17</start>
      <end>19</end>
      <status>unmodified</status>
      <modifiedWord/>
      <trackRevisions>false</trackRevisions>
    </reviewItem>
    <reviewItem>
      <errorID>a9322be8-9243-4ab7-94f6-ed9b347cd6d2</errorID>
      <errorWord>不同会</errorWord>
      <group>L1_Word</group>
      <groupName>字词问题</groupName>
      <ability>L2_Typo</ability>
      <abilityName>字词错误</abilityName>
      <candidateList>
        <item>不同</item>
      </candidateList>
      <explain/>
      <paraID>25A87806</paraID>
      <start>17</start>
      <end>20</end>
      <status>unmodified</status>
      <modifiedWord/>
      <trackRevisions>false</trackRevisions>
    </reviewItem>
    <reviewItem>
      <errorID>56eeb208-1f98-4d4e-82aa-582897b73876</errorID>
      <errorWord>禁忌症</errorWord>
      <group>L1_Knowledge</group>
      <groupName>知识性问题</groupName>
      <ability>L2_Term</ability>
      <abilityName>专业术语</abilityName>
      <candidateList>
        <item>禁忌证</item>
      </candidateList>
      <explain>医学名词[禁忌症]为不规范表述或旧称，其规范书面表述为[禁忌证]。</explain>
      <paraID> 944B841</paraID>
      <start>7</start>
      <end>10</end>
      <status>unmodified</status>
      <modifiedWord/>
      <trackRevisions>false</trackRevisions>
    </reviewItem>
    <reviewItem>
      <errorID>ac070fb4-1186-44c1-a920-c84cc2d1d7cb</errorID>
      <errorWord>禁忌症</errorWord>
      <group>L1_Knowledge</group>
      <groupName>知识性问题</groupName>
      <ability>L2_Term</ability>
      <abilityName>专业术语</abilityName>
      <candidateList>
        <item>禁忌证</item>
      </candidateList>
      <explain>医学名词[禁忌症]为不规范表述或旧称，其规范书面表述为[禁忌证]。</explain>
      <paraID>718D67D3</paraID>
      <start>7</start>
      <end>10</end>
      <status>unmodified</status>
      <modifiedWord/>
      <trackRevisions>false</trackRevisions>
    </reviewItem>
    <reviewItem>
      <errorID>f7b5f22a-d83a-4d36-ad3f-e40e5eedfe95</errorID>
      <errorWord>-</errorWord>
      <group>L1_Format</group>
      <groupName>格式问题</groupName>
      <ability>L2_HalfPunc_CN</ability>
      <abilityName>全半角问题</abilityName>
      <candidateList>
        <item>－</item>
      </candidateList>
      <explain>文本全半角错误。</explain>
      <paraID>718D67D3</paraID>
      <start>12</start>
      <end>13</end>
      <status>unmodified</status>
      <modifiedWord/>
      <trackRevisions>false</trackRevisions>
    </reviewItem>
    <reviewItem>
      <errorID>309c9307-0c16-4655-808e-47773190b45f</errorID>
      <errorWord>禁忌症</errorWord>
      <group>L1_Knowledge</group>
      <groupName>知识性问题</groupName>
      <ability>L2_Term</ability>
      <abilityName>专业术语</abilityName>
      <candidateList>
        <item>禁忌证</item>
      </candidateList>
      <explain>医学名词[禁忌症]为不规范表述或旧称，其规范书面表述为[禁忌证]。</explain>
      <paraID>4E0B6C28</paraID>
      <start>18</start>
      <end>21</end>
      <status>unmodified</status>
      <modifiedWord/>
      <trackRevisions>false</trackRevisions>
    </reviewItem>
    <reviewItem>
      <errorID>0680e915-45fc-4f39-9550-1694be0c314a</errorID>
      <errorWord>根据对</errorWord>
      <group>L1_Word</group>
      <groupName>字词问题</groupName>
      <ability>L2_Typo</ability>
      <abilityName>字词错误</abilityName>
      <candidateList>
        <item>根据</item>
      </candidateList>
      <explain/>
      <paraID> DA444B3</paraID>
      <start>4</start>
      <end>7</end>
      <status>unmodified</status>
      <modifiedWord/>
      <trackRevisions>false</trackRevisions>
    </reviewItem>
    <reviewItem>
      <errorID>4f75a703-671a-40b0-bfd3-b327c4149893</errorID>
      <errorWord>对于</errorWord>
      <group>L1_Word</group>
      <groupName>字词问题</groupName>
      <ability>L2_Typo</ability>
      <abilityName>字词错误</abilityName>
      <candidateList>
        <item>对</item>
      </candidateList>
      <explain/>
      <paraID>5CC2AAB3</paraID>
      <start>5</start>
      <end>7</end>
      <status>unmodified</status>
      <modifiedWord/>
      <trackRevisions>false</trackRevisions>
    </reviewItem>
    <reviewItem>
      <errorID>cb5a3003-c56a-40f0-a563-03095fafe61a</errorID>
      <errorWord>-</errorWord>
      <group>L1_Format</group>
      <groupName>格式问题</groupName>
      <ability>L2_HalfPunc_CN</ability>
      <abilityName>全半角问题</abilityName>
      <candidateList>
        <item>－</item>
      </candidateList>
      <explain>文本全半角错误。</explain>
      <paraID>5A8F7389</paraID>
      <start>28</start>
      <end>29</end>
      <status>unmodified</status>
      <modifiedWord/>
      <trackRevisions>false</trackRevisions>
    </reviewItem>
    <reviewItem>
      <errorID>43d3710a-3016-4d83-b702-fbdbbe69ddbd</errorID>
      <errorWord>像</errorWord>
      <group>L1_Word</group>
      <groupName>字词问题</groupName>
      <ability>L2_Typo</ability>
      <abilityName>字词错误</abilityName>
      <candidateList>
        <item>象</item>
      </candidateList>
      <explain>存在发音相同字词的误用。</explain>
      <paraID> E5FC50F</paraID>
      <start>1</start>
      <end>2</end>
      <status>unmodified</status>
      <modifiedWord/>
      <trackRevisions>false</trackRevisions>
    </reviewItem>
    <reviewItem>
      <errorID>ace0183b-cc53-4c6a-b1da-35b2acadd801</errorID>
      <errorWord>像</errorWord>
      <group>L1_Word</group>
      <groupName>字词问题</groupName>
      <ability>L2_Typo</ability>
      <abilityName>字词错误</abilityName>
      <candidateList>
        <item>象</item>
      </candidateList>
      <explain>存在发音相同字词的误用。</explain>
      <paraID> E5FC50F</paraID>
      <start>11</start>
      <end>12</end>
      <status>unmodified</status>
      <modifiedWord/>
      <trackRevisions>false</trackRevisions>
    </reviewItem>
    <reviewItem>
      <errorID>664464ce-8e34-46fd-b03d-4bc68d8619a7</errorID>
      <errorWord>-</errorWord>
      <group>L1_Format</group>
      <groupName>格式问题</groupName>
      <ability>L2_HalfPunc_CN</ability>
      <abilityName>全半角问题</abilityName>
      <candidateList>
        <item>－</item>
      </candidateList>
      <explain>文本全半角错误。</explain>
      <paraID>6A5C5D7E</paraID>
      <start>15</start>
      <end>16</end>
      <status>unmodified</status>
      <modifiedWord/>
      <trackRevisions>false</trackRevisions>
    </reviewItem>
    <reviewItem>
      <errorID>386536a1-928f-40b1-aac5-ea5f9b2ddf3c</errorID>
      <errorWord>-</errorWord>
      <group>L1_Format</group>
      <groupName>格式问题</groupName>
      <ability>L2_HalfPunc_CN</ability>
      <abilityName>全半角问题</abilityName>
      <candidateList>
        <item>－</item>
      </candidateList>
      <explain>文本全半角错误。</explain>
      <paraID>6A5C5D7E</paraID>
      <start>18</start>
      <end>19</end>
      <status>unmodified</status>
      <modifiedWord/>
      <trackRevisions>false</trackRevisions>
    </reviewItem>
    <reviewItem>
      <errorID>35c5683a-024f-4966-8cd7-57564af352bd</errorID>
      <errorWord>慢病</errorWord>
      <group>L1_Word</group>
      <groupName>字词问题</groupName>
      <ability>L2_Typo</ability>
      <abilityName>字词错误</abilityName>
      <candidateList>
        <item>慢性病</item>
      </candidateList>
      <explain/>
      <paraID>41C1C3E8</paraID>
      <start>13</start>
      <end>15</end>
      <status>unmodified</status>
      <modifiedWord/>
      <trackRevisions>false</trackRevisions>
    </reviewItem>
    <reviewItem>
      <errorID>ea5854de-e244-4934-b9e8-afee98d919eb</errorID>
      <errorWord>慢病</errorWord>
      <group>L1_Word</group>
      <groupName>字词问题</groupName>
      <ability>L2_Typo</ability>
      <abilityName>字词错误</abilityName>
      <candidateList>
        <item>慢性病</item>
      </candidateList>
      <explain/>
      <paraID>7DC384E8</paraID>
      <start>7</start>
      <end>9</end>
      <status>unmodified</status>
      <modifiedWord/>
      <trackRevisions>false</trackRevisions>
    </reviewItem>
    <reviewItem>
      <errorID>91f7c03c-fe4b-47c1-bc00-d5a0899b99f9</errorID>
      <errorWord>慢病</errorWord>
      <group>L1_Word</group>
      <groupName>字词问题</groupName>
      <ability>L2_Typo</ability>
      <abilityName>字词错误</abilityName>
      <candidateList>
        <item>慢性病</item>
      </candidateList>
      <explain/>
      <paraID>2DA2C6C6</paraID>
      <start>11</start>
      <end>13</end>
      <status>unmodified</status>
      <modifiedWord/>
      <trackRevisions>false</trackRevisions>
    </reviewItem>
    <reviewItem>
      <errorID>ccfc982a-446f-48ad-a1bd-00295f9abeb3</errorID>
      <errorWord>医疗医疗</errorWord>
      <group>L1_Word</group>
      <groupName>字词问题</groupName>
      <ability>L2_Typo</ability>
      <abilityName>字词错误</abilityName>
      <candidateList>
        <item>医疗</item>
      </candidateList>
      <explain/>
      <paraID>771605CA</paraID>
      <start>3</start>
      <end>5</end>
      <status>modified</status>
      <modifiedWord>医疗</modifiedWord>
      <trackRevisions>false</trackRevisions>
    </reviewItem>
    <reviewItem>
      <errorID>0379026b-eaf0-4b29-b278-0e1d948b578e</errorID>
      <errorWord>理</errorWord>
      <group>L1_Word</group>
      <groupName>字词问题</groupName>
      <ability>L2_Typo</ability>
      <abilityName>字词错误</abilityName>
      <candidateList>
        <item>理和</item>
      </candidateList>
      <explain/>
      <paraID> 4F32FB8</paraID>
      <start>27</start>
      <end>28</end>
      <status>unmodified</status>
      <modifiedWord/>
      <trackRevisions>false</trackRevisions>
    </reviewItem>
    <reviewItem>
      <errorID>5317dd00-2163-4697-9c4d-2edb050ad199</errorID>
      <errorWord>需求去</errorWord>
      <group>L1_Word</group>
      <groupName>字词问题</groupName>
      <ability>L2_Typo</ability>
      <abilityName>字词错误</abilityName>
      <candidateList>
        <item>需求</item>
      </candidateList>
      <explain/>
      <paraID>2B928D3F</paraID>
      <start>6</start>
      <end>9</end>
      <status>unmodified</status>
      <modifiedWord/>
      <trackRevisions>false</trackRevisions>
    </reviewItem>
    <reviewItem>
      <errorID>a43dd4e0-da36-4df7-8701-08913b2b1308</errorID>
      <errorWord>支持于</errorWord>
      <group>L1_Word</group>
      <groupName>字词问题</groupName>
      <ability>L2_Typo</ability>
      <abilityName>字词错误</abilityName>
      <candidateList>
        <item>支持</item>
      </candidateList>
      <explain/>
      <paraID>281DF111</paraID>
      <start>0</start>
      <end>3</end>
      <status>unmodified</status>
      <modifiedWord/>
      <trackRevisions>false</trackRevisions>
    </reviewItem>
    <reviewItem>
      <errorID>a7b0ad03-de39-4c54-a495-618deae261fa</errorID>
      <errorWord>，</errorWord>
      <group>L1_Word</group>
      <groupName>字词问题</groupName>
      <ability>L2_Typo</ability>
      <abilityName>字词错误</abilityName>
      <candidateList>
        <item>，将</item>
      </candidateList>
      <explain/>
      <paraID>39894A41</paraID>
      <start>64</start>
      <end>65</end>
      <status>unmodified</status>
      <modifiedWord/>
      <trackRevisions>false</trackRevisions>
    </reviewItem>
    <reviewItem>
      <errorID>307363d4-4188-46e0-8c73-52b02542334c</errorID>
      <errorWord>禁忌症</errorWord>
      <group>L1_Knowledge</group>
      <groupName>知识性问题</groupName>
      <ability>L2_Term</ability>
      <abilityName>专业术语</abilityName>
      <candidateList>
        <item>禁忌证</item>
      </candidateList>
      <explain>医学名词[禁忌症]为不规范表述或旧称，其规范书面表述为[禁忌证]。</explain>
      <paraID> B292F24</paraID>
      <start>12</start>
      <end>15</end>
      <status>unmodified</status>
      <modifiedWord/>
      <trackRevisions>false</trackRevisions>
    </reviewItem>
    <reviewItem>
      <errorID>325c0516-03b6-43c5-b01c-1179f7c6adb3</errorID>
      <errorWord>息</errorWord>
      <group>L1_Word</group>
      <groupName>字词问题</groupName>
      <ability>L2_Typo</ability>
      <abilityName>字词错误</abilityName>
      <candidateList>
        <item>息和</item>
      </candidateList>
      <explain/>
      <paraID>23105F86</paraID>
      <start>19</start>
      <end>20</end>
      <status>unmodified</status>
      <modifiedWord/>
      <trackRevisions>false</trackRevisions>
    </reviewItem>
    <reviewItem>
      <errorID>7c13c5a6-3004-4576-b4b9-f8ee6cfd288c</errorID>
      <errorWord>-</errorWord>
      <group>L1_Format</group>
      <groupName>格式问题</groupName>
      <ability>L2_HalfPunc_CN</ability>
      <abilityName>全半角问题</abilityName>
      <candidateList>
        <item>－</item>
      </candidateList>
      <explain>文本全半角错误。</explain>
      <paraID>152D80BE</paraID>
      <start>17</start>
      <end>18</end>
      <status>unmodified</status>
      <modifiedWord/>
      <trackRevisions>false</trackRevisions>
    </reviewItem>
    <reviewItem>
      <errorID>213257f3-08fe-4831-b005-dbd6dd075e27</errorID>
      <errorWord>模版</errorWord>
      <group>L1_Word</group>
      <groupName>字词问题</groupName>
      <ability>L2_Typo</ability>
      <abilityName>字词错误</abilityName>
      <candidateList>
        <item>模板</item>
      </candidateList>
      <explain>存在发音相同字词的误用。</explain>
      <paraID>4C57568D</paraID>
      <start>9</start>
      <end>11</end>
      <status>unmodified</status>
      <modifiedWord/>
      <trackRevisions>false</trackRevisions>
    </reviewItem>
    <reviewItem>
      <errorID>ceff3c4d-d232-4b51-849f-538513eb9896</errorID>
      <errorWord>必须严格按</errorWord>
      <group>L1_Word</group>
      <groupName>字词问题</groupName>
      <ability>L2_Typo</ability>
      <abilityName>字词错误</abilityName>
      <candidateList>
        <item>必须严格按照</item>
      </candidateList>
      <explain/>
      <paraID>357C0290</paraID>
      <start>11</start>
      <end>16</end>
      <status>unmodified</status>
      <modifiedWord/>
      <trackRevisions>false</trackRevisions>
    </reviewItem>
    <reviewItem>
      <errorID>ec5892d5-5b51-479e-b90d-8e1a2684f73c</errorID>
      <errorWord>、等</errorWord>
      <group>L1_Punc</group>
      <groupName>标点问题</groupName>
      <ability>L2_Punc_CN</ability>
      <abilityName>标点符号问题</abilityName>
      <candidateList>
        <item>等</item>
      </candidateList>
      <explain>“及”“和”“等”连词前不宜使用顿号，建议删除（或使用逗号）。</explain>
      <paraID>7B8BF8F5</paraID>
      <start>14</start>
      <end>16</end>
      <status>unmodified</status>
      <modifiedWord/>
      <trackRevisions>false</trackRevisions>
    </reviewItem>
    <reviewItem>
      <errorID>a5355967-f31f-428a-8811-d33bb6b5df87</errorID>
      <errorWord>果</errorWord>
      <group>L1_Word</group>
      <groupName>字词问题</groupName>
      <ability>L2_Typo</ability>
      <abilityName>字词错误</abilityName>
      <candidateList>
        <item>果并</item>
      </candidateList>
      <explain/>
      <paraID>3DBD9864</paraID>
      <start>18</start>
      <end>19</end>
      <status>unmodified</status>
      <modifiedWord/>
      <trackRevisions>false</trackRevisions>
    </reviewItem>
    <reviewItem>
      <errorID>acde1143-aee6-4e4d-9fc3-41ec08591177</errorID>
      <errorWord>-</errorWord>
      <group>L1_Format</group>
      <groupName>格式问题</groupName>
      <ability>L2_HalfPunc_CN</ability>
      <abilityName>全半角问题</abilityName>
      <candidateList>
        <item>－</item>
      </candidateList>
      <explain>文本全半角错误。</explain>
      <paraID>6A0A6C7C</paraID>
      <start>50</start>
      <end>51</end>
      <status>unmodified</status>
      <modifiedWord/>
      <trackRevisions>false</trackRevisions>
    </reviewItem>
    <reviewItem>
      <errorID>ad8b62d1-cd5d-430a-9c48-adcb73f3c362</errorID>
      <errorWord>使</errorWord>
      <group>L1_Word</group>
      <groupName>字词问题</groupName>
      <ability>L2_Typo</ability>
      <abilityName>字词错误</abilityName>
      <candidateList>
        <item>使用</item>
      </candidateList>
      <explain/>
      <paraID>7D3142BC</paraID>
      <start>30</start>
      <end>31</end>
      <status>unmodified</status>
      <modifiedWord/>
      <trackRevisions>false</trackRevisions>
    </reviewItem>
    <reviewItem>
      <errorID>1f8f3e76-b7df-4bd7-b929-2e3adf992f0b</errorID>
      <errorWord>系统中</errorWord>
      <group>L1_Word</group>
      <groupName>字词问题</groupName>
      <ability>L2_Typo</ability>
      <abilityName>字词错误</abilityName>
      <candidateList>
        <item>系统</item>
      </candidateList>
      <explain/>
      <paraID>33075181</paraID>
      <start>52</start>
      <end>55</end>
      <status>unmodified</status>
      <modifiedWord/>
      <trackRevisions>false</trackRevisions>
    </reviewItem>
    <reviewItem>
      <errorID>b9dc6786-868e-4d3b-8c4b-4a33f051ff09</errorID>
      <errorWord>布</errorWord>
      <group>L1_Word</group>
      <groupName>字词问题</groupName>
      <ability>L2_Typo</ability>
      <abilityName>字词错误</abilityName>
      <candidateList>
        <item>布式</item>
      </candidateList>
      <explain/>
      <paraID>4F2837E7</paraID>
      <start>64</start>
      <end>65</end>
      <status>unmodified</status>
      <modifiedWord/>
      <trackRevisions>false</trackRevisions>
    </reviewItem>
    <reviewItem>
      <errorID>a967c4b4-74a8-479b-b990-ff66264ee563</errorID>
      <errorWord>人</errorWord>
      <group>L1_Word</group>
      <groupName>字词问题</groupName>
      <ability>L2_Typo</ability>
      <abilityName>字词错误</abilityName>
      <candidateList>
        <item>人员</item>
      </candidateList>
      <explain/>
      <paraID>3604DF13</paraID>
      <start>26</start>
      <end>27</end>
      <status>unmodified</status>
      <modifiedWord/>
      <trackRevisions>false</trackRevisions>
    </reviewItem>
    <reviewItem>
      <errorID>75d1a0a3-8743-4953-9518-d65ccfe610ea</errorID>
      <errorWord>对于</errorWord>
      <group>L1_Word</group>
      <groupName>字词问题</groupName>
      <ability>L2_Typo</ability>
      <abilityName>字词错误</abilityName>
      <candidateList>
        <item>对</item>
      </candidateList>
      <explain/>
      <paraID>5A3AD82B</paraID>
      <start>6</start>
      <end>8</end>
      <status>unmodified</status>
      <modifiedWord/>
      <trackRevisions>false</trackRevisions>
    </reviewItem>
    <reviewItem>
      <errorID>9e61ec78-79a4-4966-8f83-ee31dbc66c02</errorID>
      <errorWord>面向用户</errorWord>
      <group>L1_Word</group>
      <groupName>字词问题</groupName>
      <ability>L2_Typo</ability>
      <abilityName>字词错误</abilityName>
      <candidateList>
        <item>向用户</item>
      </candidateList>
      <explain/>
      <paraID>1419DDF6</paraID>
      <start>12</start>
      <end>16</end>
      <status>unmodified</status>
      <modifiedWord/>
      <trackRevisions>false</trackRevisions>
    </reviewItem>
    <reviewItem>
      <errorID>57ae7d02-f6af-4e16-824f-f53b54e8ace9</errorID>
      <errorWord>获取到</errorWord>
      <group>L1_Word</group>
      <groupName>字词问题</groupName>
      <ability>L2_Typo</ability>
      <abilityName>字词错误</abilityName>
      <candidateList>
        <item>获取</item>
      </candidateList>
      <explain/>
      <paraID>455B2313</paraID>
      <start>38</start>
      <end>41</end>
      <status>unmodified</status>
      <modifiedWord/>
      <trackRevisions>false</trackRevisions>
    </reviewItem>
    <reviewItem>
      <errorID>9a93d5e9-efc8-4fd2-86a4-7df8cf8899ff</errorID>
      <errorWord>通讯道</errorWord>
      <group>L1_Word</group>
      <groupName>字词问题</groupName>
      <ability>L2_Alias</ability>
      <abilityName>也作/曾用词</abilityName>
      <candidateList>
        <item>通信道</item>
      </candidateList>
      <explain>词汇[通讯道]为不规范表述或旧称，其规范书面表述为[通信道]。</explain>
      <paraID>1D7B1A49</paraID>
      <start>26</start>
      <end>29</end>
      <status>unmodified</status>
      <modifiedWord/>
      <trackRevisions>false</trackRevisions>
    </reviewItem>
    <reviewItem>
      <errorID>9a5836c9-e2b4-43f5-a392-e725fcaaca12</errorID>
      <errorWord>通讯道</errorWord>
      <group>L1_Word</group>
      <groupName>字词问题</groupName>
      <ability>L2_Alias</ability>
      <abilityName>也作/曾用词</abilityName>
      <candidateList>
        <item>通信道</item>
      </candidateList>
      <explain>词汇[通讯道]为不规范表述或旧称，其规范书面表述为[通信道]。</explain>
      <paraID>42F0D64F</paraID>
      <start>43</start>
      <end>46</end>
      <status>unmodified</status>
      <modifiedWord/>
      <trackRevisions>false</trackRevisions>
    </reviewItem>
    <reviewItem>
      <errorID>b4896225-ea82-459a-89ad-1798f51dbbe6</errorID>
      <errorWord>协助的</errorWord>
      <group>L1_Word</group>
      <groupName>字词问题</groupName>
      <ability>L2_Typo</ability>
      <abilityName>字词错误</abilityName>
      <candidateList>
        <item>协助</item>
      </candidateList>
      <explain/>
      <paraID>377F2F23</paraID>
      <start>8</start>
      <end>11</end>
      <status>unmodified</status>
      <modifiedWord/>
      <trackRevisions>false</trackRevisions>
    </reviewItem>
    <reviewItem>
      <errorID>86ff16a0-2739-4761-b6cc-6f9844b259e6</errorID>
      <errorWord>通讯道</errorWord>
      <group>L1_Word</group>
      <groupName>字词问题</groupName>
      <ability>L2_Alias</ability>
      <abilityName>也作/曾用词</abilityName>
      <candidateList>
        <item>通信道</item>
      </candidateList>
      <explain>词汇[通讯道]为不规范表述或旧称，其规范书面表述为[通信道]。</explain>
      <paraID>644D5E98</paraID>
      <start>23</start>
      <end>26</end>
      <status>unmodified</status>
      <modifiedWord/>
      <trackRevisions>false</trackRevisions>
    </reviewItem>
    <reviewItem>
      <errorID>62cf7f1e-2c2a-44f2-92dd-df23fe3c130a</errorID>
      <errorWord>沟通沟通</errorWord>
      <group>L1_Word</group>
      <groupName>字词问题</groupName>
      <ability>L2_Typo</ability>
      <abilityName>字词错误</abilityName>
      <candidateList>
        <item>沟通</item>
      </candidateList>
      <explain/>
      <paraID> EF3EC99</paraID>
      <start>22</start>
      <end>26</end>
      <status>unmodified</status>
      <modifiedWord/>
      <trackRevisions>false</trackRevisions>
    </reviewItem>
    <reviewItem>
      <errorID>74aaafac-737f-4b75-a70f-a43e92d9dee3</errorID>
      <errorWord>获取到</errorWord>
      <group>L1_Word</group>
      <groupName>字词问题</groupName>
      <ability>L2_Typo</ability>
      <abilityName>字词错误</abilityName>
      <candidateList>
        <item>获取</item>
      </candidateList>
      <explain/>
      <paraID>73B41883</paraID>
      <start>10</start>
      <end>13</end>
      <status>unmodified</status>
      <modifiedWord/>
      <trackRevisions>false</trackRevisions>
    </reviewItem>
    <reviewItem>
      <errorID>c0353adf-55eb-4df9-a742-e39afb3fbdc1</errorID>
      <errorWord>或者</errorWord>
      <group>L1_Word</group>
      <groupName>字词问题</groupName>
      <ability>L2_Typo</ability>
      <abilityName>字词错误</abilityName>
      <candidateList>
        <item>或</item>
      </candidateList>
      <explain/>
      <paraID>5B72AF05</paraID>
      <start>26</start>
      <end>28</end>
      <status>unmodified</status>
      <modifiedWord/>
      <trackRevisions>false</trackRevisions>
    </reviewItem>
    <reviewItem>
      <errorID>845e4c6e-48b9-41f8-ace5-d179f149da69</errorID>
      <errorWord>、以及</errorWord>
      <group>L1_Punc</group>
      <groupName>标点问题</groupName>
      <ability>L2_Punc_CN</ability>
      <abilityName>标点符号问题</abilityName>
      <candidateList>
        <item>，以及</item>
      </candidateList>
      <explain>连接词前后不宜使用顿号，建议使用逗号。</explain>
      <paraID>376979D7</paraID>
      <start>10</start>
      <end>13</end>
      <status>unmodified</status>
      <modifiedWord/>
      <trackRevisions>false</trackRevisions>
    </reviewItem>
    <reviewItem>
      <errorID>bb8d2940-79ed-4c07-8476-a475a27ede0a</errorID>
      <errorWord>，。</errorWord>
      <group>L1_Punc</group>
      <groupName>标点问题</groupName>
      <ability>L2_Punc_CN</ability>
      <abilityName>标点符号问题</abilityName>
      <candidateList>
        <item>，</item>
      </candidateList>
      <explain/>
      <paraID>3BD38B35</paraID>
      <start>22</start>
      <end>24</end>
      <status>unmodified</status>
      <modifiedWord/>
      <trackRevisions>false</trackRevisions>
    </reviewItem>
    <reviewItem>
      <errorID>d6204e8e-6bcb-4a7a-bcb4-593ed3e7a589</errorID>
      <errorWord>、以及</errorWord>
      <group>L1_Punc</group>
      <groupName>标点问题</groupName>
      <ability>L2_Punc_CN</ability>
      <abilityName>标点符号问题</abilityName>
      <candidateList>
        <item>，以及</item>
      </candidateList>
      <explain>连接词前后不宜使用顿号，建议使用逗号。</explain>
      <paraID>772F0080</paraID>
      <start>10</start>
      <end>13</end>
      <status>unmodified</status>
      <modifiedWord/>
      <trackRevisions>false</trackRevisions>
    </reviewItem>
    <reviewItem>
      <errorID>c308b930-fa94-470c-a9c9-327544392de3</errorID>
      <errorWord>、或者</errorWord>
      <group>L1_Word</group>
      <groupName>字词问题</groupName>
      <ability>L2_Typo</ability>
      <abilityName>字词错误</abilityName>
      <candidateList>
        <item>，或者</item>
      </candidateList>
      <explain/>
      <paraID>1F703783</paraID>
      <start>30</start>
      <end>33</end>
      <status>unmodified</status>
      <modifiedWord/>
      <trackRevisions>false</trackRevisions>
    </reviewItem>
    <reviewItem>
      <errorID>33a7be13-ed65-46da-8146-0e301d657170</errorID>
      <errorWord>时候</errorWord>
      <group>L1_Word</group>
      <groupName>字词问题</groupName>
      <ability>L2_Typo</ability>
      <abilityName>字词错误</abilityName>
      <candidateList>
        <item>时</item>
      </candidateList>
      <explain/>
      <paraID>4B0497B2</paraID>
      <start>11</start>
      <end>13</end>
      <status>unmodified</status>
      <modifiedWord/>
      <trackRevisions>false</trackRevisions>
    </reviewItem>
    <reviewItem>
      <errorID>83c9d8cd-6e76-43f4-b22d-279143db0f39</errorID>
      <errorWord>时候</errorWord>
      <group>L1_Word</group>
      <groupName>字词问题</groupName>
      <ability>L2_Typo</ability>
      <abilityName>字词错误</abilityName>
      <candidateList>
        <item>时</item>
      </candidateList>
      <explain/>
      <paraID>7C830675</paraID>
      <start>11</start>
      <end>13</end>
      <status>unmodified</status>
      <modifiedWord/>
      <trackRevisions>false</trackRevisions>
    </reviewItem>
    <reviewItem>
      <errorID>e7a84303-afd2-42a3-b90a-7ae06ccd5cc7</errorID>
      <errorWord>道时候</errorWord>
      <group>L1_Word</group>
      <groupName>字词问题</groupName>
      <ability>L2_Typo</ability>
      <abilityName>字词错误</abilityName>
      <candidateList>
        <item>到时候</item>
      </candidateList>
      <explain/>
      <paraID>3C1C00A1</paraID>
      <start>9</start>
      <end>12</end>
      <status>unmodified</status>
      <modifiedWord/>
      <trackRevisions>false</trackRevisions>
    </reviewItem>
    <reviewItem>
      <errorID>31f583b5-601c-48c6-a12b-6e5b49fe0b49</errorID>
      <errorWord>道时候</errorWord>
      <group>L1_Word</group>
      <groupName>字词问题</groupName>
      <ability>L2_Typo</ability>
      <abilityName>字词错误</abilityName>
      <candidateList>
        <item>到时候</item>
      </candidateList>
      <explain/>
      <paraID>69F68876</paraID>
      <start>9</start>
      <end>12</end>
      <status>unmodified</status>
      <modifiedWord/>
      <trackRevisions>false</trackRevisions>
    </reviewItem>
    <reviewItem>
      <errorID>025f3478-49c7-43be-b0c9-d8854400ad2d</errorID>
      <errorWord>时候</errorWord>
      <group>L1_Word</group>
      <groupName>字词问题</groupName>
      <ability>L2_Typo</ability>
      <abilityName>字词错误</abilityName>
      <candidateList>
        <item>时</item>
      </candidateList>
      <explain/>
      <paraID>3A452F62</paraID>
      <start>9</start>
      <end>11</end>
      <status>unmodified</status>
      <modifiedWord/>
      <trackRevisions>false</trackRevisions>
    </reviewItem>
    <reviewItem>
      <errorID>604ced1e-462a-4982-a574-b19af31d2929</errorID>
      <errorWord>电子病例</errorWord>
      <group>L1_Knowledge</group>
      <groupName>知识性问题</groupName>
      <ability>L2_Term</ability>
      <abilityName>专业术语</abilityName>
      <candidateList>
        <item>电子病历</item>
      </candidateList>
      <explain/>
      <paraID>  5250AE</paraID>
      <start>25</start>
      <end>29</end>
      <status>unmodified</status>
      <modifiedWord/>
      <trackRevisions>false</trackRevisions>
    </reviewItem>
    <reviewItem>
      <errorID>78998903-b777-4cc1-aded-29be2dcbd41f</errorID>
      <errorWord>、以及</errorWord>
      <group>L1_Punc</group>
      <groupName>标点问题</groupName>
      <ability>L2_Punc_CN</ability>
      <abilityName>标点符号问题</abilityName>
      <candidateList>
        <item>，以及</item>
      </candidateList>
      <explain>连接词前后不宜使用顿号，建议使用逗号。</explain>
      <paraID>  5250AE</paraID>
      <start>29</start>
      <end>32</end>
      <status>unmodified</status>
      <modifiedWord/>
      <trackRevisions>false</trackRevisions>
    </reviewItem>
    <reviewItem>
      <errorID>9fcbdd52-5750-423f-848e-b0e5abb19395</errorID>
      <errorWord>、以及</errorWord>
      <group>L1_Punc</group>
      <groupName>标点问题</groupName>
      <ability>L2_Punc_CN</ability>
      <abilityName>标点符号问题</abilityName>
      <candidateList>
        <item>，以及</item>
      </candidateList>
      <explain>连接词前后不宜使用顿号，建议使用逗号。</explain>
      <paraID> F88C77F</paraID>
      <start>27</start>
      <end>30</end>
      <status>unmodified</status>
      <modifiedWord/>
      <trackRevisions>false</trackRevisions>
    </reviewItem>
    <reviewItem>
      <errorID>dfc37822-b21f-4621-93c4-48746aaeb48d</errorID>
      <errorWord>，。</errorWord>
      <group>L1_Punc</group>
      <groupName>标点问题</groupName>
      <ability>L2_Punc_CN</ability>
      <abilityName>标点符号问题</abilityName>
      <candidateList>
        <item>，</item>
      </candidateList>
      <explain/>
      <paraID>434085B2</paraID>
      <start>30</start>
      <end>31</end>
      <status>modified</status>
      <modifiedWord>，</modifiedWord>
      <trackRevisions>false</trackRevisions>
    </reviewItem>
    <reviewItem>
      <errorID>9be6902a-9e7b-4a0a-af14-b0822e37f229</errorID>
      <errorWord>.</errorWord>
      <group>L1_Format</group>
      <groupName>格式问题</groupName>
      <ability>L2_HalfPunc_CN</ability>
      <abilityName>全半角问题</abilityName>
      <candidateList>
        <item>。</item>
      </candidateList>
      <explain>文本全半角错误。</explain>
      <paraID>26F23F6D</paraID>
      <start>34</start>
      <end>35</end>
      <status>unmodified</status>
      <modifiedWord/>
      <trackRevisions>false</trackRevisions>
    </reviewItem>
    <reviewItem>
      <errorID>c34e9937-aa49-4bfa-b714-05c9060fcde3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79E16062</paraID>
      <start>36</start>
      <end>37</end>
      <status>unmodified</status>
      <modifiedWord/>
      <trackRevisions>false</trackRevisions>
    </reviewItem>
    <reviewItem>
      <errorID>b19c2450-759b-4d4e-b077-7a25b5c4159c</errorID>
      <errorWord>慢病</errorWord>
      <group>L1_Word</group>
      <groupName>字词问题</groupName>
      <ability>L2_Typo</ability>
      <abilityName>字词错误</abilityName>
      <candidateList>
        <item>慢性病</item>
      </candidateList>
      <explain/>
      <paraID>5BA26488</paraID>
      <start>33</start>
      <end>35</end>
      <status>unmodified</status>
      <modifiedWord/>
      <trackRevisions>false</trackRevisions>
    </reviewItem>
    <reviewItem>
      <errorID>c214dafa-039a-41f3-b2d2-eab21eeb9e11</errorID>
      <errorWord>合并症</errorWord>
      <group>L1_Word</group>
      <groupName>字词问题</groupName>
      <ability>L2_Typo</ability>
      <abilityName>字词错误</abilityName>
      <candidateList>
        <item>并发症</item>
      </candidateList>
      <explain/>
      <paraID>5BA26488</paraID>
      <start>61</start>
      <end>64</end>
      <status>unmodified</status>
      <modifiedWord/>
      <trackRevisions>false</trackRevisions>
    </reviewItem>
    <reviewItem>
      <errorID>5f01094e-28da-4929-8f3b-02c41b53992b</errorID>
      <errorWord>禁忌症</errorWord>
      <group>L1_Knowledge</group>
      <groupName>知识性问题</groupName>
      <ability>L2_Term</ability>
      <abilityName>专业术语</abilityName>
      <candidateList>
        <item>禁忌证</item>
      </candidateList>
      <explain>医学名词[禁忌症]为不规范表述或旧称，其规范书面表述为[禁忌证]。</explain>
      <paraID>5BA26488</paraID>
      <start>121</start>
      <end>124</end>
      <status>unmodified</status>
      <modifiedWord/>
      <trackRevisions>false</trackRevisions>
    </reviewItem>
    <reviewItem>
      <errorID>31dbe27a-bc01-4832-b9c3-7014079ae3fa</errorID>
      <errorWord>号</errorWord>
      <group>L1_Word</group>
      <groupName>字词问题</groupName>
      <ability>L2_Typo</ability>
      <abilityName>字词错误</abilityName>
      <candidateList>
        <item>号的</item>
      </candidateList>
      <explain/>
      <paraID>1E6B9F87</paraID>
      <start>16</start>
      <end>17</end>
      <status>unmodified</status>
      <modifiedWord/>
      <trackRevisions>false</trackRevisions>
    </reviewItem>
    <reviewItem>
      <errorID>25360b01-ff35-4a96-9713-0c34614c2834</errorID>
      <errorWord>时候</errorWord>
      <group>L1_Word</group>
      <groupName>字词问题</groupName>
      <ability>L2_Typo</ability>
      <abilityName>字词错误</abilityName>
      <candidateList>
        <item>时</item>
      </candidateList>
      <explain/>
      <paraID>1E6B9F87</paraID>
      <start>17</start>
      <end>19</end>
      <status>unmodified</status>
      <modifiedWord/>
      <trackRevisions>false</trackRevisions>
    </reviewItem>
    <reviewItem>
      <errorID>baf1d965-d2e5-48e4-b7a9-8cea6a2366ba</errorID>
      <errorWord>是否是</errorWord>
      <group>L1_Word</group>
      <groupName>字词问题</groupName>
      <ability>L2_Typo</ability>
      <abilityName>字词错误</abilityName>
      <candidateList>
        <item>是不是</item>
      </candidateList>
      <explain/>
      <paraID>1E6B9F87</paraID>
      <start>24</start>
      <end>27</end>
      <status>unmodified</status>
      <modifiedWord/>
      <trackRevisions>false</trackRevisions>
    </reviewItem>
    <reviewItem>
      <errorID>85084a17-0d80-474d-83ee-d47218de8442</errorID>
      <errorWord>道</errorWord>
      <group>L1_Word</group>
      <groupName>字词问题</groupName>
      <ability>L2_Typo</ability>
      <abilityName>字词错误</abilityName>
      <candidateList>
        <item>到</item>
      </candidateList>
      <explain>存在发音相同字词的误用。</explain>
      <paraID>76812799</paraID>
      <start>19</start>
      <end>20</end>
      <status>unmodified</status>
      <modifiedWord/>
      <trackRevisions>false</trackRevisions>
    </reviewItem>
    <reviewItem>
      <errorID>fc7fd8c5-6219-44c6-8d95-02a71d9c7807</errorID>
      <errorWord>是否是</errorWord>
      <group>L1_Word</group>
      <groupName>字词问题</groupName>
      <ability>L2_Typo</ability>
      <abilityName>字词错误</abilityName>
      <candidateList>
        <item>是不是</item>
      </candidateList>
      <explain/>
      <paraID>76812799</paraID>
      <start>26</start>
      <end>29</end>
      <status>unmodified</status>
      <modifiedWord/>
      <trackRevisions>false</trackRevisions>
    </reviewItem>
    <reviewItem>
      <errorID>b4586441-313c-4ed6-84e4-3ce113debc0f</errorID>
      <errorWord>慢病</errorWord>
      <group>L1_Word</group>
      <groupName>字词问题</groupName>
      <ability>L2_Typo</ability>
      <abilityName>字词错误</abilityName>
      <candidateList>
        <item>慢性病</item>
      </candidateList>
      <explain/>
      <paraID>2B85F2B3</paraID>
      <start>24</start>
      <end>26</end>
      <status>unmodified</status>
      <modifiedWord/>
      <trackRevisions>false</trackRevisions>
    </reviewItem>
    <reviewItem>
      <errorID>04ecfa8c-3463-4d5a-b443-aced12f7979c</errorID>
      <errorWord>、以及</errorWord>
      <group>L1_Punc</group>
      <groupName>标点问题</groupName>
      <ability>L2_Punc_CN</ability>
      <abilityName>标点符号问题</abilityName>
      <candidateList>
        <item>，以及</item>
      </candidateList>
      <explain>连接词前后不宜使用顿号，建议使用逗号。</explain>
      <paraID>4045DB71</paraID>
      <start>16</start>
      <end>19</end>
      <status>unmodified</status>
      <modifiedWord/>
      <trackRevisions>false</trackRevisions>
    </reviewItem>
    <reviewItem>
      <errorID>643d3f93-c080-4e77-9132-4bf0716f9b1b</errorID>
      <errorWord>、以及</errorWord>
      <group>L1_Punc</group>
      <groupName>标点问题</groupName>
      <ability>L2_Punc_CN</ability>
      <abilityName>标点符号问题</abilityName>
      <candidateList>
        <item>，以及</item>
      </candidateList>
      <explain>连接词前后不宜使用顿号，建议使用逗号。</explain>
      <paraID>65EC30DA</paraID>
      <start>12</start>
      <end>15</end>
      <status>unmodified</status>
      <modifiedWord/>
      <trackRevisions>false</trackRevisions>
    </reviewItem>
    <reviewItem>
      <errorID>70bf4a06-925c-4522-847b-38287b01c6c2</errorID>
      <errorWord>医院的</errorWord>
      <group>L1_Word</group>
      <groupName>字词问题</groupName>
      <ability>L2_Typo</ability>
      <abilityName>字词错误</abilityName>
      <candidateList>
        <item>医院</item>
      </candidateList>
      <explain/>
      <paraID>4847DEC9</paraID>
      <start>4</start>
      <end>7</end>
      <status>unmodified</status>
      <modifiedWord/>
      <trackRevisions>false</trackRevisions>
    </reviewItem>
    <reviewItem>
      <errorID>00dbcaed-d9ed-4ed6-a47d-8db1fe6274a1</errorID>
      <errorWord>体</errorWord>
      <group>L1_Word</group>
      <groupName>字词问题</groupName>
      <ability>L2_Typo</ability>
      <abilityName>字词错误</abilityName>
      <candidateList>
        <item>体化</item>
      </candidateList>
      <explain/>
      <paraID>144E1563</paraID>
      <start>8</start>
      <end>9</end>
      <status>unmodified</status>
      <modifiedWord/>
      <trackRevisions>false</trackRevisions>
    </reviewItem>
    <reviewItem>
      <errorID>7d583ba3-9a18-4efd-ba73-75aee95a2581</errorID>
      <errorWord>理</errorWord>
      <group>L1_Word</group>
      <groupName>字词问题</groupName>
      <ability>L2_Typo</ability>
      <abilityName>字词错误</abilityName>
      <candidateList>
        <item>理等</item>
      </candidateList>
      <explain/>
      <paraID>4BF57A48</paraID>
      <start>41</start>
      <end>42</end>
      <status>unmodified</status>
      <modifiedWord/>
      <trackRevisions>false</trackRevisions>
    </reviewItem>
    <reviewItem>
      <errorID>7d5b6298-09e2-4ebc-8176-7c63bb2427cf</errorID>
      <errorWord>纳入到</errorWord>
      <group>L1_Word</group>
      <groupName>字词问题</groupName>
      <ability>L2_Typo</ability>
      <abilityName>字词错误</abilityName>
      <candidateList>
        <item>纳入</item>
      </candidateList>
      <explain/>
      <paraID>6C983668</paraID>
      <start>8</start>
      <end>11</end>
      <status>unmodified</status>
      <modifiedWord/>
      <trackRevisions>false</trackRevisions>
    </reviewItem>
    <reviewItem>
      <errorID>810b8b38-a8f0-4190-97d5-0d21a88aecf2</errorID>
      <errorWord>查</errorWord>
      <group>L1_Word</group>
      <groupName>字词问题</groupName>
      <ability>L2_Typo</ability>
      <abilityName>字词错误</abilityName>
      <candidateList>
        <item>查等</item>
      </candidateList>
      <explain/>
      <paraID>275446C3</paraID>
      <start>18</start>
      <end>19</end>
      <status>unmodified</status>
      <modifiedWord/>
      <trackRevisions>false</trackRevisions>
    </reviewItem>
    <reviewItem>
      <errorID>684320ea-0c3e-4eee-bd4a-042ee581753f</errorID>
      <errorWord>纳入到</errorWord>
      <group>L1_Word</group>
      <groupName>字词问题</groupName>
      <ability>L2_Typo</ability>
      <abilityName>字词错误</abilityName>
      <candidateList>
        <item>纳入</item>
      </candidateList>
      <explain/>
      <paraID>6F2DF129</paraID>
      <start>7</start>
      <end>10</end>
      <status>unmodified</status>
      <modifiedWord/>
      <trackRevisions>false</trackRevisions>
    </reviewItem>
    <reviewItem>
      <errorID>f7cda166-c5fd-4151-9522-6dc7dd5c6b18</errorID>
      <errorWord>正在进行中</errorWord>
      <group>L1_Grammar</group>
      <groupName>语法问题</groupName>
      <ability>L2_Grammar</ability>
      <abilityName>语法错误</abilityName>
      <candidateList>
        <item>正在进行</item>
      </candidateList>
      <explain>该表达中的“正在进行中”存在语义重复。【词汇解析】进行中：向前行走； 正在：表动作的进行。与“进行中”语义重复。</explain>
      <paraID>10E8267C</paraID>
      <start>4</start>
      <end>9</end>
      <status>unmodified</status>
      <modifiedWord/>
      <trackRevisions>false</trackRevisions>
    </reviewItem>
    <reviewItem>
      <errorID>4660b797-4b4e-489f-b1fa-9825ebd49b48</errorID>
      <errorWord>对于</errorWord>
      <group>L1_Word</group>
      <groupName>字词问题</groupName>
      <ability>L2_Typo</ability>
      <abilityName>字词错误</abilityName>
      <candidateList>
        <item>对</item>
      </candidateList>
      <explain/>
      <paraID>3DF940C5</paraID>
      <start>2</start>
      <end>4</end>
      <status>unmodified</status>
      <modifiedWord/>
      <trackRevisions>false</trackRevisions>
    </reviewItem>
    <reviewItem>
      <errorID>1f5e7cb6-3413-4046-ac31-608bbfae7d87</errorID>
      <errorWord>、以及</errorWord>
      <group>L1_Punc</group>
      <groupName>标点问题</groupName>
      <ability>L2_Punc_CN</ability>
      <abilityName>标点符号问题</abilityName>
      <candidateList>
        <item>，以及</item>
      </candidateList>
      <explain>连接词前后不宜使用顿号，建议使用逗号。</explain>
      <paraID>61902FF7</paraID>
      <start>53</start>
      <end>56</end>
      <status>unmodified</status>
      <modifiedWord/>
      <trackRevisions>false</trackRevisions>
    </reviewItem>
    <reviewItem>
      <errorID>d8ce000d-e72d-4316-ab8a-9b3316e869a6</errorID>
      <errorWord>对于</errorWord>
      <group>L1_Word</group>
      <groupName>字词问题</groupName>
      <ability>L2_Typo</ability>
      <abilityName>字词错误</abilityName>
      <candidateList>
        <item>对</item>
      </candidateList>
      <explain/>
      <paraID>7C3AC056</paraID>
      <start>7</start>
      <end>9</end>
      <status>unmodified</status>
      <modifiedWord/>
      <trackRevisions>false</trackRevisions>
    </reviewItem>
    <reviewItem>
      <errorID>a167105a-0f0f-4ce2-969a-2f149bdcec42</errorID>
      <errorWord>、以及</errorWord>
      <group>L1_Punc</group>
      <groupName>标点问题</groupName>
      <ability>L2_Punc_CN</ability>
      <abilityName>标点符号问题</abilityName>
      <candidateList>
        <item>，以及</item>
      </candidateList>
      <explain>连接词前后不宜使用顿号，建议使用逗号。</explain>
      <paraID>7C3AC056</paraID>
      <start>19</start>
      <end>22</end>
      <status>unmodified</status>
      <modifiedWord/>
      <trackRevisions>false</trackRevisions>
    </reviewItem>
    <reviewItem>
      <errorID>85be3fa4-1a76-4f3a-ac65-e200093d4cfa</errorID>
      <errorWord>各</errorWord>
      <group>L1_Word</group>
      <groupName>字词问题</groupName>
      <ability>L2_Typo</ability>
      <abilityName>字词错误</abilityName>
      <candidateList>
        <item>各医</item>
      </candidateList>
      <explain/>
      <paraID>673DCCA6</paraID>
      <start>5</start>
      <end>6</end>
      <status>unmodified</status>
      <modifiedWord/>
      <trackRevisions>false</trackRevisions>
    </reviewItem>
    <reviewItem>
      <errorID>ce574a43-8223-4878-a5ce-a69e16a76e1c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19A73484</paraID>
      <start>42</start>
      <end>45</end>
      <status>unmodified</status>
      <modifiedWord/>
      <trackRevisions>false</trackRevisions>
    </reviewItem>
    <reviewItem>
      <errorID>42a53598-9835-41cd-a822-a35b443dab85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19A73484</paraID>
      <start>50</start>
      <end>53</end>
      <status>unmodified</status>
      <modifiedWord/>
      <trackRevisions>false</trackRevisions>
    </reviewItem>
    <reviewItem>
      <errorID>d21d3eb6-6524-4072-91e7-acf7aa71cca5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19A73484</paraID>
      <start>58</start>
      <end>61</end>
      <status>unmodified</status>
      <modifiedWord/>
      <trackRevisions>false</trackRevisions>
    </reviewItem>
    <reviewItem>
      <errorID>ecbcf602-ab94-45d8-b9b5-dc12b43163c9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7987B806</paraID>
      <start>40</start>
      <end>43</end>
      <status>unmodified</status>
      <modifiedWord/>
      <trackRevisions>false</trackRevisions>
    </reviewItem>
    <reviewItem>
      <errorID>4f86775b-7a34-4107-91f5-2827fe4ecf8a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7987B806</paraID>
      <start>50</start>
      <end>53</end>
      <status>unmodified</status>
      <modifiedWord/>
      <trackRevisions>false</trackRevisions>
    </reviewItem>
    <reviewItem>
      <errorID>30d83a28-b38d-4a2e-8f91-3552d3dfdadc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7987B806</paraID>
      <start>60</start>
      <end>63</end>
      <status>unmodified</status>
      <modifiedWord/>
      <trackRevisions>false</trackRevisions>
    </reviewItem>
    <reviewItem>
      <errorID>9a6149bb-4add-429a-8199-b3f35ebe3b51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7987B806</paraID>
      <start>69</start>
      <end>72</end>
      <status>unmodified</status>
      <modifiedWord/>
      <trackRevisions>false</trackRevisions>
    </reviewItem>
    <reviewItem>
      <errorID>8ae0f0b0-5fbc-4dad-bb0f-dc590351d086</errorID>
      <errorWord>时间、操作人</errorWord>
      <group>L1_Word</group>
      <groupName>字词问题</groupName>
      <ability>L2_Typo</ability>
      <abilityName>字词错误</abilityName>
      <candidateList>
        <item>时间、操作人员</item>
      </candidateList>
      <explain/>
      <paraID>7F764410</paraID>
      <start>13</start>
      <end>19</end>
      <status>unmodified</status>
      <modifiedWord/>
      <trackRevisions>false</trackRevisions>
    </reviewItem>
    <reviewItem>
      <errorID>4b89886f-5c15-4f02-b089-22514002a01c</errorID>
      <errorWord>、或</errorWord>
      <group>L1_Word</group>
      <groupName>字词问题</groupName>
      <ability>L2_Typo</ability>
      <abilityName>字词错误</abilityName>
      <candidateList>
        <item>或</item>
      </candidateList>
      <explain/>
      <paraID>2A22EE90</paraID>
      <start>38</start>
      <end>40</end>
      <status>unmodified</status>
      <modifiedWord/>
      <trackRevisions>false</trackRevisions>
    </reviewItem>
    <reviewItem>
      <errorID>4a2ec3fd-8fb4-4a34-94a3-da3336155e49</errorID>
      <errorWord>-</errorWord>
      <group>L1_Format</group>
      <groupName>格式问题</groupName>
      <ability>L2_HalfPunc_CN</ability>
      <abilityName>全半角问题</abilityName>
      <candidateList>
        <item>－</item>
      </candidateList>
      <explain>文本全半角错误。</explain>
      <paraID> C4DD1F7</paraID>
      <start>29</start>
      <end>30</end>
      <status>unmodified</status>
      <modifiedWord/>
      <trackRevisions>false</trackRevisions>
    </reviewItem>
    <reviewItem>
      <errorID>60b81453-555b-4a26-81e1-a2f5b6ba64d2</errorID>
      <errorWord>-</errorWord>
      <group>L1_Format</group>
      <groupName>格式问题</groupName>
      <ability>L2_HalfPunc_CN</ability>
      <abilityName>全半角问题</abilityName>
      <candidateList>
        <item>－</item>
      </candidateList>
      <explain>文本全半角错误。</explain>
      <paraID> C4DD1F7</paraID>
      <start>32</start>
      <end>33</end>
      <status>unmodified</status>
      <modifiedWord/>
      <trackRevisions>false</trackRevisions>
    </reviewItem>
    <reviewItem>
      <errorID>4b9a5a95-6b77-4652-a45d-b685ffc23d80</errorID>
      <errorWord>并联审核</errorWord>
      <group>L1_Political</group>
      <groupName>政治性问题</groupName>
      <ability>L2_Unpolitical</ability>
      <abilityName>政治敏感错误</abilityName>
      <candidateList>
        <item>并联审批</item>
      </candidateList>
      <explain/>
      <paraID> D909955</paraID>
      <start>9</start>
      <end>13</end>
      <status>unmodified</status>
      <modifiedWord/>
      <trackRevisions>false</trackRevisions>
    </reviewItem>
    <reviewItem>
      <errorID>bfe3ea63-2048-4d51-ac23-42ac8096fca6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76CD0EE8</paraID>
      <start>17</start>
      <end>20</end>
      <status>unmodified</status>
      <modifiedWord/>
      <trackRevisions>false</trackRevisions>
    </reviewItem>
    <reviewItem>
      <errorID>06d01183-c696-4ef8-bcae-4d1ec237ec95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76CD0EE8</paraID>
      <start>26</start>
      <end>29</end>
      <status>unmodified</status>
      <modifiedWord/>
      <trackRevisions>false</trackRevisions>
    </reviewItem>
    <reviewItem>
      <errorID>a31837c0-8168-4085-ba29-81585766556c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15DA17C6</paraID>
      <start>26</start>
      <end>29</end>
      <status>unmodified</status>
      <modifiedWord/>
      <trackRevisions>false</trackRevisions>
    </reviewItem>
    <reviewItem>
      <errorID>5eb5410d-0c55-4d2c-888a-d1477ace2949</errorID>
      <errorWord>帐号密码</errorWord>
      <group>L1_Word</group>
      <groupName>字词问题</groupName>
      <ability>L2_Alias</ability>
      <abilityName>也作/曾用词</abilityName>
      <candidateList>
        <item>账号密码</item>
      </candidateList>
      <explain>词汇[帐号密码]为不规范表述或旧称，其规范书面表述为[账号密码]。</explain>
      <paraID>748E3BD6</paraID>
      <start>57</start>
      <end>61</end>
      <status>unmodified</status>
      <modifiedWord/>
      <trackRevisions>false</trackRevisions>
    </reviewItem>
    <reviewItem>
      <errorID>7e39319f-413c-4fe6-ad27-cb18864f290a</errorID>
      <errorWord>并且</errorWord>
      <group>L1_Word</group>
      <groupName>字词问题</groupName>
      <ability>L2_Typo</ability>
      <abilityName>字词错误</abilityName>
      <candidateList>
        <item>并</item>
      </candidateList>
      <explain/>
      <paraID>4194F2B1</paraID>
      <start>13</start>
      <end>15</end>
      <status>unmodified</status>
      <modifiedWord/>
      <trackRevisions>false</trackRevisions>
    </reviewItem>
    <reviewItem>
      <errorID>585e0df9-94a9-42ae-9f7a-1a7260f738d8</errorID>
      <errorWord>声序排列</errorWord>
      <group>L1_Word</group>
      <groupName>字词问题</groupName>
      <ability>L2_Typo</ability>
      <abilityName>字词错误</abilityName>
      <candidateList>
        <item>顺序排列</item>
      </candidateList>
      <explain/>
      <paraID> 861ACE5</paraID>
      <start>25</start>
      <end>29</end>
      <status>unmodified</status>
      <modifiedWord/>
      <trackRevisions>false</trackRevisions>
    </reviewItem>
    <reviewItem>
      <errorID>9ffb1cd6-afc8-49c2-8242-474557774140</errorID>
      <errorWord>楚</errorWord>
      <group>L1_Word</group>
      <groupName>字词问题</groupName>
      <ability>L2_Typo</ability>
      <abilityName>字词错误</abilityName>
      <candidateList>
        <item>楚地</item>
      </candidateList>
      <explain/>
      <paraID>54718537</paraID>
      <start>9</start>
      <end>10</end>
      <status>unmodified</status>
      <modifiedWord/>
      <trackRevisions>false</trackRevisions>
    </reviewItem>
    <reviewItem>
      <errorID>2f4b0dbf-2976-449d-b896-495821777779</errorID>
      <errorWord>人</errorWord>
      <group>L1_Word</group>
      <groupName>字词问题</groupName>
      <ability>L2_Typo</ability>
      <abilityName>字词错误</abilityName>
      <candidateList>
        <item>人员</item>
      </candidateList>
      <explain/>
      <paraID>54718537</paraID>
      <start>16</start>
      <end>17</end>
      <status>unmodified</status>
      <modifiedWord/>
      <trackRevisions>false</trackRevisions>
    </reviewItem>
    <reviewItem>
      <errorID>c9d29671-fcca-441f-876a-9b3cda504c71</errorID>
      <errorWord>继续会</errorWord>
      <group>L1_Word</group>
      <groupName>字词问题</groupName>
      <ability>L2_Typo</ability>
      <abilityName>字词错误</abilityName>
      <candidateList>
        <item>继续</item>
      </candidateList>
      <explain/>
      <paraID>4EB14EEB</paraID>
      <start>36</start>
      <end>39</end>
      <status>unmodified</status>
      <modifiedWord/>
      <trackRevisions>false</trackRevisions>
    </reviewItem>
    <reviewItem>
      <errorID>eea4e3a7-d33e-4c53-a39e-b909eab8a090</errorID>
      <errorWord>继续会</errorWord>
      <group>L1_Word</group>
      <groupName>字词问题</groupName>
      <ability>L2_Typo</ability>
      <abilityName>字词错误</abilityName>
      <candidateList>
        <item>继续</item>
      </candidateList>
      <explain/>
      <paraID>4EB14EEB</paraID>
      <start>77</start>
      <end>80</end>
      <status>unmodified</status>
      <modifiedWord/>
      <trackRevisions>false</trackRevisions>
    </reviewItem>
    <reviewItem>
      <errorID>4c3d38ee-bd6c-4e46-9513-d13cb6e6b88f</errorID>
      <errorWord>获取到</errorWord>
      <group>L1_Word</group>
      <groupName>字词问题</groupName>
      <ability>L2_Typo</ability>
      <abilityName>字词错误</abilityName>
      <candidateList>
        <item>获取</item>
      </candidateList>
      <explain/>
      <paraID>57B6F2EF</paraID>
      <start>24</start>
      <end>27</end>
      <status>unmodified</status>
      <modifiedWord/>
      <trackRevisions>false</trackRevisions>
    </reviewItem>
    <reviewItem>
      <errorID>c6a960c9-5e8c-404a-b0b6-40a8db482270</errorID>
      <errorWord>、且</errorWord>
      <group>L1_Word</group>
      <groupName>字词问题</groupName>
      <ability>L2_Typo</ability>
      <abilityName>字词错误</abilityName>
      <candidateList>
        <item>且</item>
      </candidateList>
      <explain/>
      <paraID>75EFBB39</paraID>
      <start>21</start>
      <end>23</end>
      <status>unmodified</status>
      <modifiedWord/>
      <trackRevisions>false</trackRevisions>
    </reviewItem>
    <reviewItem>
      <errorID>0632bb18-64f9-432c-af11-d1e914be3164</errorID>
      <errorWord>其他的</errorWord>
      <group>L1_Word</group>
      <groupName>字词问题</groupName>
      <ability>L2_Typo</ability>
      <abilityName>字词错误</abilityName>
      <candidateList>
        <item>其他</item>
      </candidateList>
      <explain/>
      <paraID>38540CDB</paraID>
      <start>17</start>
      <end>20</end>
      <status>unmodified</status>
      <modifiedWord/>
      <trackRevisions>false</trackRevisions>
    </reviewItem>
    <reviewItem>
      <errorID>c879b9a6-6ae8-4fc4-ac83-1dc73db6686d</errorID>
      <errorWord>帐套</errorWord>
      <group>L1_Word</group>
      <groupName>字词问题</groupName>
      <ability>L2_Alias</ability>
      <abilityName>也作/曾用词</abilityName>
      <candidateList>
        <item>账套</item>
      </candidateList>
      <explain>词汇[帐套]为不规范表述或旧称，其规范书面表述为[账套]。</explain>
      <paraID>50DFB25D</paraID>
      <start>24</start>
      <end>26</end>
      <status>unmodified</status>
      <modifiedWord/>
      <trackRevisions>false</trackRevisions>
    </reviewItem>
    <reviewItem>
      <errorID>b1f6e8ce-23e7-437c-96c5-a02363c1ef78</errorID>
      <errorWord>追朔</errorWord>
      <group>L1_Word</group>
      <groupName>字词问题</groupName>
      <ability>L2_Typo</ability>
      <abilityName>字词错误</abilityName>
      <candidateList>
        <item>追溯</item>
      </candidateList>
      <explain/>
      <paraID>3E5479E3</paraID>
      <start>2</start>
      <end>4</end>
      <status>unmodified</status>
      <modifiedWord/>
      <trackRevisions>false</trackRevisions>
    </reviewItem>
    <reviewItem>
      <errorID>598210d4-8a64-4a4c-a370-0b30d3d7f5a4</errorID>
      <errorWord>两种的</errorWord>
      <group>L1_Word</group>
      <groupName>字词问题</groupName>
      <ability>L2_Typo</ability>
      <abilityName>字词错误</abilityName>
      <candidateList>
        <item>两种</item>
      </candidateList>
      <explain/>
      <paraID>126CF450</paraID>
      <start>21</start>
      <end>24</end>
      <status>unmodified</status>
      <modifiedWord/>
      <trackRevisions>false</trackRevisions>
    </reviewItem>
    <reviewItem>
      <errorID>d6416ac7-2608-410a-ba24-d0b126727bba</errorID>
      <errorWord>来往台湾通行证</errorWord>
      <group>L1_Political</group>
      <groupName>政治性问题</groupName>
      <ability>L2_Unpolitical</ability>
      <abilityName>政治敏感错误</abilityName>
      <candidateList>
        <item>往来台湾通行证</item>
      </candidateList>
      <explain/>
      <paraID>11CEAE7C</paraID>
      <start>13</start>
      <end>20</end>
      <status>unmodified</status>
      <modifiedWord/>
      <trackRevisions>false</trackRevisions>
    </reviewItem>
    <reviewItem>
      <errorID>7a065bf5-1eba-48a6-9249-92bb18b6a946</errorID>
      <errorWord>程</errorWord>
      <group>L1_Word</group>
      <groupName>字词问题</groupName>
      <ability>L2_Typo</ability>
      <abilityName>字词错误</abilityName>
      <candidateList>
        <item>程等</item>
      </candidateList>
      <explain/>
      <paraID>4203EB88</paraID>
      <start>27</start>
      <end>28</end>
      <status>unmodified</status>
      <modifiedWord/>
      <trackRevisions>false</trackRevisions>
    </reviewItem>
    <reviewItem>
      <errorID>c469242d-eed0-4829-bbea-cb2ab2782edc</errorID>
      <errorWord>等的</errorWord>
      <group>L1_Word</group>
      <groupName>字词问题</groupName>
      <ability>L2_Typo</ability>
      <abilityName>字词错误</abilityName>
      <candidateList>
        <item>等</item>
      </candidateList>
      <explain/>
      <paraID>2107A9F2</paraID>
      <start>26</start>
      <end>28</end>
      <status>unmodified</status>
      <modifiedWord/>
      <trackRevisions>false</trackRevisions>
    </reviewItem>
    <reviewItem>
      <errorID>566c7d7f-773b-4abe-b0de-9423bb9ccc53</errorID>
      <errorWord>慢病</errorWord>
      <group>L1_Word</group>
      <groupName>字词问题</groupName>
      <ability>L2_Typo</ability>
      <abilityName>字词错误</abilityName>
      <candidateList>
        <item>慢性病</item>
      </candidateList>
      <explain/>
      <paraID> 461F3B0</paraID>
      <start>48</start>
      <end>50</end>
      <status>unmodified</status>
      <modifiedWord/>
      <trackRevisions>false</trackRevisions>
    </reviewItem>
    <reviewItem>
      <errorID>51e0ee87-055b-4be2-bd4e-7b5a3282c912</errorID>
      <errorWord>选</errorWord>
      <group>L1_Word</group>
      <groupName>字词问题</groupName>
      <ability>L2_Typo</ability>
      <abilityName>字词错误</abilityName>
      <candidateList>
        <item>选择</item>
      </candidateList>
      <explain/>
      <paraID>67BC4989</paraID>
      <start>4</start>
      <end>5</end>
      <status>unmodified</status>
      <modifiedWord/>
      <trackRevisions>false</trackRevisions>
    </reviewItem>
    <reviewItem>
      <errorID>895775d4-fe1d-4242-bf7e-175e539653e6</errorID>
      <errorWord>选</errorWord>
      <group>L1_Word</group>
      <groupName>字词问题</groupName>
      <ability>L2_Typo</ability>
      <abilityName>字词错误</abilityName>
      <candidateList>
        <item>选择</item>
      </candidateList>
      <explain/>
      <paraID>5775BB51</paraID>
      <start>21</start>
      <end>22</end>
      <status>unmodified</status>
      <modifiedWord/>
      <trackRevisions>false</trackRevisions>
    </reviewItem>
    <reviewItem>
      <errorID>1c3ffdfb-5a5f-4842-945e-a3e727b38252</errorID>
      <errorWord>慢病</errorWord>
      <group>L1_Word</group>
      <groupName>字词问题</groupName>
      <ability>L2_Typo</ability>
      <abilityName>字词错误</abilityName>
      <candidateList>
        <item>慢性病</item>
      </candidateList>
      <explain/>
      <paraID> AB227D8</paraID>
      <start>15</start>
      <end>17</end>
      <status>unmodified</status>
      <modifiedWord/>
      <trackRevisions>false</trackRevisions>
    </reviewItem>
    <reviewItem>
      <errorID>a26493f2-5e78-41e2-a3fe-ecd87bdda3c3</errorID>
      <errorWord>：</errorWord>
      <group>L1_Format</group>
      <groupName>格式问题</groupName>
      <ability>L2_HalfPunc_CN</ability>
      <abilityName>全半角问题</abilityName>
      <candidateList>
        <item>:</item>
      </candidateList>
      <explain>文本全半角错误。</explain>
      <paraID>38502E20</paraID>
      <start>3</start>
      <end>4</end>
      <status>unmodified</status>
      <modifiedWord/>
      <trackRevisions>false</trackRevisions>
    </reviewItem>
    <reviewItem>
      <errorID>701c2895-2d63-49c5-82f5-ab4218176106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4BC45F30</paraID>
      <start>0</start>
      <end>2</end>
      <status>unmodified</status>
      <modifiedWord/>
      <trackRevisions>false</trackRevisions>
    </reviewItem>
    <reviewItem>
      <errorID>3f940cbd-bf6a-428a-b8fd-ff3a85c45d2f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224B1063</paraID>
      <start>0</start>
      <end>2</end>
      <status>unmodified</status>
      <modifiedWord/>
      <trackRevisions>false</trackRevisions>
    </reviewItem>
    <reviewItem>
      <errorID>8197e3ae-16d5-45f3-9629-050e9f5a0e9e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1239F5D9</paraID>
      <start>0</start>
      <end>2</end>
      <status>unmodified</status>
      <modifiedWord/>
      <trackRevisions>false</trackRevisions>
    </reviewItem>
    <reviewItem>
      <errorID>b48e43ed-908f-418d-9d84-08e03e639044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90C4843</paraID>
      <start>0</start>
      <end>2</end>
      <status>unmodified</status>
      <modifiedWord/>
      <trackRevisions>false</trackRevisions>
    </reviewItem>
    <reviewItem>
      <errorID>2ff9d784-c6c3-44e7-afd8-a2f7a082e7b2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CEBF865</paraID>
      <start>0</start>
      <end>2</end>
      <status>unmodified</status>
      <modifiedWord/>
      <trackRevisions>false</trackRevisions>
    </reviewItem>
    <reviewItem>
      <errorID>7852c534-ee34-407a-8a0c-d5f37dd7e5dc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39E6FCEF</paraID>
      <start>0</start>
      <end>2</end>
      <status>unmodified</status>
      <modifiedWord/>
      <trackRevisions>false</trackRevisions>
    </reviewItem>
    <reviewItem>
      <errorID>534619aa-661d-4a11-9320-cc5d8658047f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1A3FB396</paraID>
      <start>0</start>
      <end>2</end>
      <status>unmodified</status>
      <modifiedWord/>
      <trackRevisions>false</trackRevisions>
    </reviewItem>
    <reviewItem>
      <errorID>e5911b17-b798-43f2-a8e0-1b4f98aa8ab3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5E983CF2</paraID>
      <start>0</start>
      <end>2</end>
      <status>unmodified</status>
      <modifiedWord/>
      <trackRevisions>false</trackRevisions>
    </reviewItem>
    <reviewItem>
      <errorID>1e34b007-56c4-4b01-9209-e4aee648ef74</errorID>
      <errorWord>32,</errorWord>
      <group>L1_Format</group>
      <groupName>格式问题</groupName>
      <ability>L2_Ordinal</ability>
      <abilityName>序号格式</abilityName>
      <candidateList>
        <item>32.</item>
      </candidateList>
      <explain>当前序号格式不规范，建议修改为规范格式[32.]。</explain>
      <paraID>4E2F0789</paraID>
      <start>0</start>
      <end>3</end>
      <status>unmodified</status>
      <modifiedWord/>
      <trackRevisions>false</trackRevisions>
    </reviewItem>
    <reviewItem>
      <errorID>0445100f-9d3c-4c8a-aea4-d7cb24e0b073</errorID>
      <errorWord>外挂</errorWord>
      <group>L1_Sensitive</group>
      <groupName>敏感问题</groupName>
      <ability>L2_Prohibited</ability>
      <abilityName>违禁内容</abilityName>
      <candidateList/>
      <explain>【违禁内容】句中涉及国家法律明令禁止的违禁内容，请注意甄别。</explain>
      <paraID>5CEE4E63</paraID>
      <start>13</start>
      <end>15</end>
      <status>unmodified</status>
      <modifiedWord/>
      <trackRevisions>false</trackRevisions>
    </reviewItem>
    <reviewItem>
      <errorID>62cd1a95-8386-4834-a928-9e0664170c20</errorID>
      <errorWord>32,</errorWord>
      <group>L1_Format</group>
      <groupName>格式问题</groupName>
      <ability>L2_Ordinal</ability>
      <abilityName>序号格式</abilityName>
      <candidateList>
        <item>32.</item>
      </candidateList>
      <explain>当前序号格式不规范，建议修改为规范格式[32.]。</explain>
      <paraID>53457517</paraID>
      <start>0</start>
      <end>3</end>
      <status>unmodified</status>
      <modifiedWord/>
      <trackRevisions>false</trackRevisions>
    </reviewItem>
    <reviewItem>
      <errorID>fc77881f-99e3-4216-9a97-f5ae595ef465</errorID>
      <errorWord>4千</errorWord>
      <group>L1_Knowledge</group>
      <groupName>知识性问题</groupName>
      <ability>L2_Knowledge</ability>
      <abilityName>其他知识</abilityName>
      <candidateList>
        <item>4000</item>
      </candidateList>
      <explain>根据GB/T 15835-2011规定，只有“万”、“亿可以与阿拉伯数字混用，例如：“4万”、“4亿”、“4万亿”等。其他情况应统一使用阿拉伯数字。</explain>
      <paraID>2CD95271</paraID>
      <start>86</start>
      <end>88</end>
      <status>unmodified</status>
      <modifiedWord/>
      <trackRevisions>false</trackRevisions>
    </reviewItem>
    <reviewItem>
      <errorID>bbecc1ac-4704-45df-afec-ec5224c3ba4a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7E71A8A8</paraID>
      <start>38</start>
      <end>41</end>
      <status>unmodified</status>
      <modifiedWord/>
      <trackRevisions>false</trackRevisions>
    </reviewItem>
    <reviewItem>
      <errorID>8c2be900-f162-41ce-9adc-e3b4db08eda4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7E71A8A8</paraID>
      <start>45</start>
      <end>48</end>
      <status>unmodified</status>
      <modifiedWord/>
      <trackRevisions>false</trackRevisions>
    </reviewItem>
    <reviewItem>
      <errorID>5492c784-e7d5-4eaf-9209-18da4e953a70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7E71A8A8</paraID>
      <start>51</start>
      <end>54</end>
      <status>unmodified</status>
      <modifiedWord/>
      <trackRevisions>false</trackRevisions>
    </reviewItem>
    <reviewItem>
      <errorID>5ae26992-9f8e-4029-b9cd-5d53e53dcfb4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7E71A8A8</paraID>
      <start>60</start>
      <end>63</end>
      <status>unmodified</status>
      <modifiedWord/>
      <trackRevisions>false</trackRevisions>
    </reviewItem>
    <reviewItem>
      <errorID>eb4e25e5-6e79-45b8-9b20-0f5c151b49d9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7E71A8A8</paraID>
      <start>70</start>
      <end>73</end>
      <status>unmodified</status>
      <modifiedWord/>
      <trackRevisions>false</trackRevisions>
    </reviewItem>
    <reviewItem>
      <errorID>3f60f8aa-175e-4a36-bb66-d2eb98304b8d</errorID>
      <errorWord>4千</errorWord>
      <group>L1_Knowledge</group>
      <groupName>知识性问题</groupName>
      <ability>L2_Knowledge</ability>
      <abilityName>其他知识</abilityName>
      <candidateList>
        <item>4000</item>
      </candidateList>
      <explain>根据GB/T 15835-2011规定，只有“万”、“亿可以与阿拉伯数字混用，例如：“4万”、“4亿”、“4万亿”等。其他情况应统一使用阿拉伯数字。</explain>
      <paraID>62AD8E83</paraID>
      <start>89</start>
      <end>91</end>
      <status>unmodified</status>
      <modifiedWord/>
      <trackRevisions>false</trackRevisions>
    </reviewItem>
    <reviewItem>
      <errorID>28474361-7e3b-47c5-bf09-f5bcffa5f12a</errorID>
      <errorWord>无需安装任何</errorWord>
      <group>L1_Word</group>
      <groupName>字词问题</groupName>
      <ability>L2_Alias</ability>
      <abilityName>也作/曾用词</abilityName>
      <candidateList>
        <item>无须安装任何</item>
      </candidateList>
      <explain>词汇[无需安装任何]为不规范表述或旧称，其规范书面表述为[无须安装任何]。</explain>
      <paraID> 8A0DAD5</paraID>
      <start>9</start>
      <end>15</end>
      <status>unmodified</status>
      <modifiedWord/>
      <trackRevisions>false</trackRevisions>
    </reviewItem>
    <reviewItem>
      <errorID>b1519234-df13-453e-8940-b9e5e6ec40a9</errorID>
      <errorWord>帐号的</errorWord>
      <group>L1_Word</group>
      <groupName>字词问题</groupName>
      <ability>L2_Alias</ability>
      <abilityName>也作/曾用词</abilityName>
      <candidateList>
        <item>账号的</item>
      </candidateList>
      <explain>词汇[帐号的]为不规范表述或旧称，其规范书面表述为[账号的]。</explain>
      <paraID>60F9392C</paraID>
      <start>11</start>
      <end>14</end>
      <status>unmodified</status>
      <modifiedWord/>
      <trackRevisions>false</trackRevisions>
    </reviewItem>
    <reviewItem>
      <errorID>3ab49133-2ef7-4044-9a2b-0e0b0eb5c9b6</errorID>
      <errorWord>、以及</errorWord>
      <group>L1_Punc</group>
      <groupName>标点问题</groupName>
      <ability>L2_Punc_CN</ability>
      <abilityName>标点符号问题</abilityName>
      <candidateList>
        <item>，以及</item>
      </candidateList>
      <explain>连接词前后不宜使用顿号，建议使用逗号。</explain>
      <paraID>14EEDAC2</paraID>
      <start>80</start>
      <end>83</end>
      <status>unmodified</status>
      <modifiedWord/>
      <trackRevisions>false</trackRevisions>
    </reviewItem>
    <reviewItem>
      <errorID>14a4fb62-d5e9-4387-8cfb-8e04dae718bb</errorID>
      <errorWord>添加成</errorWord>
      <group>L1_Word</group>
      <groupName>字词问题</groupName>
      <ability>L2_Typo</ability>
      <abilityName>字词错误</abilityName>
      <candidateList>
        <item>添加</item>
      </candidateList>
      <explain/>
      <paraID>5081D026</paraID>
      <start>20</start>
      <end>23</end>
      <status>unmodified</status>
      <modifiedWord/>
      <trackRevisions>false</trackRevisions>
    </reviewItem>
    <reviewItem>
      <errorID>79fa843f-ef42-45c6-8037-84d37ef8bfbb</errorID>
      <errorWord>、等</errorWord>
      <group>L1_Punc</group>
      <groupName>标点问题</groupName>
      <ability>L2_Punc_CN</ability>
      <abilityName>标点符号问题</abilityName>
      <candidateList>
        <item>等</item>
      </candidateList>
      <explain>“及”“和”“等”连词前不宜使用顿号，建议删除（或使用逗号）。</explain>
      <paraID>2A62DED0</paraID>
      <start>32</start>
      <end>34</end>
      <status>unmodified</status>
      <modifiedWord/>
      <trackRevisions>false</trackRevisions>
    </reviewItem>
    <reviewItem>
      <errorID>f8a8f833-1591-482f-96a7-a940b3ce4d5c</errorID>
      <errorWord>接受</errorWord>
      <group>L1_Word</group>
      <groupName>字词问题</groupName>
      <ability>L2_Typo</ability>
      <abilityName>字词错误</abilityName>
      <candidateList>
        <item>接收</item>
      </candidateList>
      <explain/>
      <paraID>48A194F9</paraID>
      <start>30</start>
      <end>32</end>
      <status>unmodified</status>
      <modifiedWord/>
      <trackRevisions>false</trackRevisions>
    </reviewItem>
    <reviewItem>
      <errorID>907ba117-be97-4fa5-b8f0-9c72e69c243d</errorID>
      <errorWord>的</errorWord>
      <group>L1_Word</group>
      <groupName>字词问题</groupName>
      <ability>L2_DDD</ability>
      <abilityName>的地得用法</abilityName>
      <candidateList>
        <item>地</item>
      </candidateList>
      <explain/>
      <paraID>2478BDC9</paraID>
      <start>13</start>
      <end>14</end>
      <status>unmodified</status>
      <modifiedWord/>
      <trackRevisions>false</trackRevisions>
    </reviewItem>
    <reviewItem>
      <errorID>03121524-8cb9-4d06-999e-0bcbc1df7ad4</errorID>
      <errorWord>6千</errorWord>
      <group>L1_Knowledge</group>
      <groupName>知识性问题</groupName>
      <ability>L2_Knowledge</ability>
      <abilityName>其他知识</abilityName>
      <candidateList>
        <item>6000</item>
      </candidateList>
      <explain>根据GB/T 15835-2011规定，只有“万”、“亿可以与阿拉伯数字混用，例如：“4万”、“4亿”、“4万亿”等。其他情况应统一使用阿拉伯数字。</explain>
      <paraID>3F30C8F2</paraID>
      <start>20</start>
      <end>22</end>
      <status>unmodified</status>
      <modifiedWord/>
      <trackRevisions>false</trackRevisions>
    </reviewItem>
    <reviewItem>
      <errorID>8de7ddcd-7ccc-4cef-aed9-ba7828604e27</errorID>
      <errorWord>实现对</errorWord>
      <group>L1_Word</group>
      <groupName>字词问题</groupName>
      <ability>L2_Typo</ability>
      <abilityName>字词错误</abilityName>
      <candidateList>
        <item>实现</item>
      </candidateList>
      <explain/>
      <paraID>2E933BB1</paraID>
      <start>32</start>
      <end>35</end>
      <status>unmodified</status>
      <modifiedWord/>
      <trackRevisions>false</trackRevisions>
    </reviewItem>
    <reviewItem>
      <errorID>d0aeb1bb-1723-4641-9a44-c2d62ccda9eb</errorID>
      <errorWord>&gt;</errorWord>
      <group>L1_Format</group>
      <groupName>格式问题</groupName>
      <ability>L2_HalfPunc_CN</ability>
      <abilityName>全半角问题</abilityName>
      <candidateList>
        <item>〉</item>
      </candidateList>
      <explain>文本全半角错误。</explain>
      <paraID>6B88F785</paraID>
      <start>117</start>
      <end>118</end>
      <status>unmodified</status>
      <modifiedWord/>
      <trackRevisions>false</trackRevisions>
    </reviewItem>
    <reviewItem>
      <errorID>bac3cd7b-a443-41f8-8d9d-c09bc23752bb</errorID>
      <errorWord>模版</errorWord>
      <group>L1_Word</group>
      <groupName>字词问题</groupName>
      <ability>L2_Typo</ability>
      <abilityName>字词错误</abilityName>
      <candidateList>
        <item>模板</item>
      </candidateList>
      <explain>存在发音相同字词的误用。</explain>
      <paraID> F7645E2</paraID>
      <start>17</start>
      <end>19</end>
      <status>unmodified</status>
      <modifiedWord/>
      <trackRevisions>false</trackRevisions>
    </reviewItem>
    <reviewItem>
      <errorID>ab2c3010-6f30-4ab3-ab63-297978877aa8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6794439A</paraID>
      <start>0</start>
      <end>2</end>
      <status>unmodified</status>
      <modifiedWord/>
      <trackRevisions>false</trackRevisions>
    </reviewItem>
    <reviewItem>
      <errorID>4e6c1ae3-1a25-46a0-a55c-62c0eddb32a4</errorID>
      <errorWord>４</errorWord>
      <group>L1_Format</group>
      <groupName>格式问题</groupName>
      <ability>L2_HalfPunc_CN</ability>
      <abilityName>全半角问题</abilityName>
      <candidateList>
        <item>4</item>
      </candidateList>
      <explain>文本全半角错误。</explain>
      <paraID>6794439A</paraID>
      <start>34</start>
      <end>35</end>
      <status>unmodified</status>
      <modifiedWord/>
      <trackRevisions>false</trackRevisions>
    </reviewItem>
    <reviewItem>
      <errorID>350177e3-6c38-4b4d-a02d-fe0efe9c211b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3DF2677A</paraID>
      <start>0</start>
      <end>2</end>
      <status>unmodified</status>
      <modifiedWord/>
      <trackRevisions>false</trackRevisions>
    </reviewItem>
    <reviewItem>
      <errorID>24b32018-70de-4f93-9000-1b0423e6c776</errorID>
      <errorWord>3、</errorWord>
      <group>L1_Format</group>
      <groupName>格式问题</groupName>
      <ability>L2_Ordinal</ability>
      <abilityName>序号格式</abilityName>
      <candidateList>
        <item>3.</item>
      </candidateList>
      <explain>当前序号格式不规范，建议修改为规范格式[3.]。</explain>
      <paraID>177888D1</paraID>
      <start>0</start>
      <end>2</end>
      <status>unmodified</status>
      <modifiedWord/>
      <trackRevisions>false</trackRevisions>
    </reviewItem>
    <reviewItem>
      <errorID>3b39f9bb-a314-40cd-b640-b9cd5ba0a968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6257712</paraID>
      <start>0</start>
      <end>2</end>
      <status>unmodified</status>
      <modifiedWord/>
      <trackRevisions>false</trackRevisions>
    </reviewItem>
    <reviewItem>
      <errorID>21d4a2fa-c91d-4443-a795-045599c89f54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6655A968</paraID>
      <start>0</start>
      <end>2</end>
      <status>unmodified</status>
      <modifiedWord/>
      <trackRevisions>false</trackRevisions>
    </reviewItem>
    <reviewItem>
      <errorID>d0f45928-ec8d-48a8-be0e-ecd88faf8f15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7F50D9A3</paraID>
      <start>0</start>
      <end>2</end>
      <status>unmodified</status>
      <modifiedWord/>
      <trackRevisions>false</trackRevisions>
    </reviewItem>
    <reviewItem>
      <errorID>a11c40a7-ec4c-4597-bd45-2a6efde91092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5BBA40C4</paraID>
      <start>0</start>
      <end>2</end>
      <status>unmodified</status>
      <modifiedWord/>
      <trackRevisions>false</trackRevisions>
    </reviewItem>
    <reviewItem>
      <errorID>f766d4b4-e023-4fe0-a46a-0a5023e7d0fd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13539777</paraID>
      <start>0</start>
      <end>2</end>
      <status>unmodified</status>
      <modifiedWord/>
      <trackRevisions>false</trackRevisions>
    </reviewItem>
    <reviewItem>
      <errorID>b6e9c9aa-103d-4f5a-9ee6-ba2129ee21c5</errorID>
      <errorWord>社会统一信用代码</errorWord>
      <group>L1_Word</group>
      <groupName>字词问题</groupName>
      <ability>L2_Typo</ability>
      <abilityName>字词错误</abilityName>
      <candidateList>
        <item>统一社会信用代码</item>
      </candidateList>
      <explain/>
      <paraID>13539777</paraID>
      <start>35</start>
      <end>43</end>
      <status>unmodified</status>
      <modifiedWord/>
      <trackRevisions>false</trackRevisions>
    </reviewItem>
    <reviewItem>
      <errorID>13af151d-828f-472a-b3a2-2091e17e8654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8E6782A</paraID>
      <start>0</start>
      <end>2</end>
      <status>unmodified</status>
      <modifiedWord/>
      <trackRevisions>false</trackRevisions>
    </reviewItem>
    <reviewItem>
      <errorID>370d53bc-4d6f-4a12-97ba-fd40bdc9a83a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C9CA520</paraID>
      <start>0</start>
      <end>3</end>
      <status>unmodified</status>
      <modifiedWord/>
      <trackRevisions>false</trackRevisions>
    </reviewItem>
    <reviewItem>
      <errorID>17129dd5-b23a-4683-ad5d-646a415cd7f4</errorID>
      <errorWord>条</errorWord>
      <group>L1_Word</group>
      <groupName>字词问题</groupName>
      <ability>L2_Typo</ability>
      <abilityName>字词错误</abilityName>
      <candidateList>
        <item>条件</item>
      </candidateList>
      <explain/>
      <paraID> C9CA520</paraID>
      <start>272</start>
      <end>273</end>
      <status>unmodified</status>
      <modifiedWord/>
      <trackRevisions>false</trackRevisions>
    </reviewItem>
    <reviewItem>
      <errorID>df130445-8d24-400a-ab1c-b6a439456fdb</errorID>
      <errorWord>其它</errorWord>
      <group>L1_Word</group>
      <groupName>字词问题</groupName>
      <ability>L2_Alias</ability>
      <abilityName>也作/曾用词</abilityName>
      <candidateList>
        <item>其他</item>
      </candidateList>
      <explain>词汇[其它]为不规范表述或旧称，其规范书面表述为[其他]。</explain>
      <paraID> C9CA520</paraID>
      <start>368</start>
      <end>370</end>
      <status>unmodified</status>
      <modifiedWord/>
      <trackRevisions>false</trackRevisions>
    </reviewItem>
    <reviewItem>
      <errorID>5a1c1f0e-2286-4ea0-8176-e157476644e2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70776323</paraID>
      <start>0</start>
      <end>3</end>
      <status>unmodified</status>
      <modifiedWord/>
      <trackRevisions>false</trackRevisions>
    </reviewItem>
    <reviewItem>
      <errorID>05939177-7605-4ae3-a4cc-a746d36cc989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2F231D7E</paraID>
      <start>0</start>
      <end>3</end>
      <status>unmodified</status>
      <modifiedWord/>
      <trackRevisions>false</trackRevisions>
    </reviewItem>
    <reviewItem>
      <errorID>2f2dc68e-703f-45dd-85cc-aa8dce6edd05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712F3447</paraID>
      <start>0</start>
      <end>3</end>
      <status>unmodified</status>
      <modifiedWord/>
      <trackRevisions>false</trackRevisions>
    </reviewItem>
    <reviewItem>
      <errorID>0ca5fc33-3f4a-4c25-ba94-c75e266fd844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3AF568E7</paraID>
      <start>0</start>
      <end>3</end>
      <status>unmodified</status>
      <modifiedWord/>
      <trackRevisions>false</trackRevisions>
    </reviewItem>
    <reviewItem>
      <errorID>900a6777-7ccf-4d49-8a91-20e629c0e42d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73C628FA</paraID>
      <start>0</start>
      <end>3</end>
      <status>unmodified</status>
      <modifiedWord/>
      <trackRevisions>false</trackRevisions>
    </reviewItem>
    <reviewItem>
      <errorID>4301403d-6e86-4456-9a0d-ed12e3f6a4a9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23E7C636</paraID>
      <start>0</start>
      <end>2</end>
      <status>unmodified</status>
      <modifiedWord/>
      <trackRevisions>false</trackRevisions>
    </reviewItem>
    <reviewItem>
      <errorID>1cb4116f-8cc8-4552-aa38-bc64f73f28f2</errorID>
      <errorWord>４</errorWord>
      <group>L1_Format</group>
      <groupName>格式问题</groupName>
      <ability>L2_HalfPunc_CN</ability>
      <abilityName>全半角问题</abilityName>
      <candidateList>
        <item>4</item>
      </candidateList>
      <explain>文本全半角错误。</explain>
      <paraID>23E7C636</paraID>
      <start>34</start>
      <end>35</end>
      <status>unmodified</status>
      <modifiedWord/>
      <trackRevisions>false</trackRevisions>
    </reviewItem>
    <reviewItem>
      <errorID>309f00ca-7273-4b09-b156-dc4fcd10989c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DABC4C9</paraID>
      <start>0</start>
      <end>2</end>
      <status>unmodified</status>
      <modifiedWord/>
      <trackRevisions>false</trackRevisions>
    </reviewItem>
    <reviewItem>
      <errorID>51eb227e-bae5-4ad9-8a23-e04c006c8859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11A90B38</paraID>
      <start>0</start>
      <end>2</end>
      <status>unmodified</status>
      <modifiedWord/>
      <trackRevisions>false</trackRevisions>
    </reviewItem>
    <reviewItem>
      <errorID>1f1b824f-3d57-4471-b910-52f6736b961d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147C5FDB</paraID>
      <start>0</start>
      <end>2</end>
      <status>unmodified</status>
      <modifiedWord/>
      <trackRevisions>false</trackRevisions>
    </reviewItem>
    <reviewItem>
      <errorID>a42d8d90-76bc-4302-ad79-49ca2240e1f6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746B78B3</paraID>
      <start>0</start>
      <end>2</end>
      <status>unmodified</status>
      <modifiedWord/>
      <trackRevisions>false</trackRevisions>
    </reviewItem>
    <reviewItem>
      <errorID>1daca438-27dd-4c40-a2e4-49fe6c30f65d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5A0250DB</paraID>
      <start>0</start>
      <end>2</end>
      <status>unmodified</status>
      <modifiedWord/>
      <trackRevisions>false</trackRevisions>
    </reviewItem>
    <reviewItem>
      <errorID>3cd8b755-0d31-43c4-b385-dd43a4c8bf07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25E4B5B4</paraID>
      <start>0</start>
      <end>2</end>
      <status>unmodified</status>
      <modifiedWord/>
      <trackRevisions>false</trackRevisions>
    </reviewItem>
    <reviewItem>
      <errorID>23bdc3f0-f5a6-4c17-8b56-579698f49225</errorID>
      <errorWord>统一信用代码</errorWord>
      <group>L1_Word</group>
      <groupName>字词问题</groupName>
      <ability>L2_Typo</ability>
      <abilityName>字词错误</abilityName>
      <candidateList>
        <item>统一社会信用代码</item>
      </candidateList>
      <explain/>
      <paraID>25E4B5B4</paraID>
      <start>106</start>
      <end>112</end>
      <status>unmodified</status>
      <modifiedWord/>
      <trackRevisions>false</trackRevisions>
    </reviewItem>
    <reviewItem>
      <errorID>972ceaf2-075a-4f02-a53d-59706c9e69d2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521B938E</paraID>
      <start>0</start>
      <end>2</end>
      <status>unmodified</status>
      <modifiedWord/>
      <trackRevisions>false</trackRevisions>
    </reviewItem>
    <reviewItem>
      <errorID>b8bee6a0-8677-426b-87d4-8878f45a93d4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6F88E46</paraID>
      <start>0</start>
      <end>3</end>
      <status>unmodified</status>
      <modifiedWord/>
      <trackRevisions>false</trackRevisions>
    </reviewItem>
    <reviewItem>
      <errorID>05763fd7-a8f9-436f-b010-96bef929eae2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876C530</paraID>
      <start>0</start>
      <end>3</end>
      <status>unmodified</status>
      <modifiedWord/>
      <trackRevisions>false</trackRevisions>
    </reviewItem>
    <reviewItem>
      <errorID>d802d37b-703b-4e93-85f8-5bfae95ea986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4F7766ED</paraID>
      <start>0</start>
      <end>3</end>
      <status>unmodified</status>
      <modifiedWord/>
      <trackRevisions>false</trackRevisions>
    </reviewItem>
    <reviewItem>
      <errorID>a3bb2745-dbae-4eaf-a3a0-89f8ec0ad3d3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32B47D8C</paraID>
      <start>0</start>
      <end>3</end>
      <status>unmodified</status>
      <modifiedWord/>
      <trackRevisions>false</trackRevisions>
    </reviewItem>
    <reviewItem>
      <errorID>c03b6b4e-47a9-4a3a-beb5-204626177b5f</errorID>
      <errorWord>的</errorWord>
      <group>L1_Word</group>
      <groupName>字词问题</groupName>
      <ability>L2_DDD</ability>
      <abilityName>的地得用法</abilityName>
      <candidateList>
        <item>地</item>
      </candidateList>
      <explain/>
      <paraID>32B47D8C</paraID>
      <start>129</start>
      <end>130</end>
      <status>unmodified</status>
      <modifiedWord/>
      <trackRevisions>false</trackRevisions>
    </reviewItem>
    <reviewItem>
      <errorID>53e79b5e-a3e0-4669-857a-55ef92e1fd0d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7DB85105</paraID>
      <start>0</start>
      <end>2</end>
      <status>unmodified</status>
      <modifiedWord/>
      <trackRevisions>false</trackRevisions>
    </reviewItem>
    <reviewItem>
      <errorID>8e3f023f-800d-482d-b653-00bcef2f715d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7F0170ED</paraID>
      <start>0</start>
      <end>3</end>
      <status>unmodified</status>
      <modifiedWord/>
      <trackRevisions>false</trackRevisions>
    </reviewItem>
    <reviewItem>
      <errorID>3def771b-5c79-4e60-836c-40bf886b82ed</errorID>
      <errorWord>支换</errorWord>
      <group>L1_Word</group>
      <groupName>字词问题</groupName>
      <ability>L2_Typo</ability>
      <abilityName>字词错误</abilityName>
      <candidateList>
        <item>支持</item>
      </candidateList>
      <explain/>
      <paraID>6EBDA890</paraID>
      <start>571</start>
      <end>573</end>
      <status>unmodified</status>
      <modifiedWord/>
      <trackRevisions>false</trackRevisions>
    </reviewItem>
    <reviewItem>
      <errorID>6a874367-786c-4676-bd19-5a80b431f47a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7CF87CF7</paraID>
      <start>0</start>
      <end>3</end>
      <status>unmodified</status>
      <modifiedWord/>
      <trackRevisions>false</trackRevisions>
    </reviewItem>
    <reviewItem>
      <errorID>f36fec0c-4e9f-47ce-998b-8de59b356ab0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3AD171F7</paraID>
      <start>0</start>
      <end>3</end>
      <status>unmodified</status>
      <modifiedWord/>
      <trackRevisions>false</trackRevisions>
    </reviewItem>
    <reviewItem>
      <errorID>fe89efdd-fc88-4cea-a841-b6e76184b51f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357AC3C9</paraID>
      <start>0</start>
      <end>2</end>
      <status>unmodified</status>
      <modifiedWord/>
      <trackRevisions>false</trackRevisions>
    </reviewItem>
    <reviewItem>
      <errorID>880059f5-1b08-4e96-8580-4374b68b1891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4C272846</paraID>
      <start>0</start>
      <end>2</end>
      <status>unmodified</status>
      <modifiedWord/>
      <trackRevisions>false</trackRevisions>
    </reviewItem>
    <reviewItem>
      <errorID>ae86b915-01f0-4ed8-ae00-86beb3a9b36c</errorID>
      <errorWord>、及</errorWord>
      <group>L1_Word</group>
      <groupName>字词问题</groupName>
      <ability>L2_Typo</ability>
      <abilityName>字词错误</abilityName>
      <candidateList>
        <item>及</item>
      </candidateList>
      <explain/>
      <paraID>6B3F423F</paraID>
      <start>120</start>
      <end>122</end>
      <status>unmodified</status>
      <modifiedWord/>
      <trackRevisions>false</trackRevisions>
    </reviewItem>
    <reviewItem>
      <errorID>47051e7b-f86f-4a15-b0d4-60294925323c</errorID>
      <errorWord>kw</errorWord>
      <group>L1_Word</group>
      <groupName>字词问题</groupName>
      <ability>L2_Typo</ability>
      <abilityName>字词错误</abilityName>
      <candidateList>
        <item>kW</item>
      </candidateList>
      <explain/>
      <paraID>415E87B9</paraID>
      <start>22</start>
      <end>24</end>
      <status>unmodified</status>
      <modifiedWord/>
      <trackRevisions>false</trackRevisions>
    </reviewItem>
    <reviewItem>
      <errorID>b14becc3-01b9-46c7-afb5-0e896845c859</errorID>
      <errorWord>领导小组中</errorWord>
      <group>L1_Word</group>
      <groupName>字词问题</groupName>
      <ability>L2_Typo</ability>
      <abilityName>字词错误</abilityName>
      <candidateList>
        <item>领导小组</item>
      </candidateList>
      <explain/>
      <paraID>6A5AA0E6</paraID>
      <start>15</start>
      <end>20</end>
      <status>unmodified</status>
      <modifiedWord/>
      <trackRevisions>false</trackRevisions>
    </reviewItem>
    <reviewItem>
      <errorID>bf1cdc3c-f517-4143-bf00-f805af9f9f09</errorID>
      <errorWord>的</errorWord>
      <group>L1_Word</group>
      <groupName>字词问题</groupName>
      <ability>L2_DDD</ability>
      <abilityName>的地得用法</abilityName>
      <candidateList>
        <item>地</item>
      </candidateList>
      <explain/>
      <paraID> 5645699</paraID>
      <start>112</start>
      <end>113</end>
      <status>unmodified</status>
      <modifiedWord/>
      <trackRevisions>false</trackRevisions>
    </reviewItem>
    <reviewItem>
      <errorID>65c050b6-3667-47ec-b799-7670a438ad8c</errorID>
      <errorWord>.</errorWord>
      <group>L1_Word</group>
      <groupName>字词问题</groupName>
      <ability>L2_Typo</ability>
      <abilityName>字词错误</abilityName>
      <candidateList>
        <item>.在</item>
      </candidateList>
      <explain/>
      <paraID>1BB53361</paraID>
      <start>5</start>
      <end>6</end>
      <status>unmodified</status>
      <modifiedWord/>
      <trackRevisions>false</trackRevisions>
    </reviewItem>
    <reviewItem>
      <errorID>12a45af8-15e4-4356-9ad1-2a57986af4bc</errorID>
      <errorWord>成</errorWord>
      <group>L1_Word</group>
      <groupName>字词问题</groupName>
      <ability>L2_Typo</ability>
      <abilityName>字词错误</abilityName>
      <candidateList>
        <item>成后</item>
      </candidateList>
      <explain/>
      <paraID>22C99FD9</paraID>
      <start>16</start>
      <end>17</end>
      <status>unmodified</status>
      <modifiedWord/>
      <trackRevisions>false</trackRevisions>
    </reviewItem>
    <reviewItem>
      <errorID>9c492009-8d3a-400b-8a12-0dc93f377957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4574CDC9</paraID>
      <start>0</start>
      <end>2</end>
      <status>unmodified</status>
      <modifiedWord/>
      <trackRevisions>false</trackRevisions>
    </reviewItem>
    <reviewItem>
      <errorID>260f132e-b881-4b5a-90e3-d3c653058a13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3219436A</paraID>
      <start>13</start>
      <end>17</end>
      <status>unmodified</status>
      <modifiedWord/>
      <trackRevisions>false</trackRevisions>
    </reviewItem>
    <reviewItem>
      <errorID>e8a7a5d6-1efc-46ce-b0c7-ab54d77cedbe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7E9CF043</paraID>
      <start>0</start>
      <end>2</end>
      <status>unmodified</status>
      <modifiedWord/>
      <trackRevisions>false</trackRevisions>
    </reviewItem>
    <reviewItem>
      <errorID>95dd4d57-2283-4627-a6a5-0919bc9ecf67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63316B6F</paraID>
      <start>0</start>
      <end>2</end>
      <status>unmodified</status>
      <modifiedWord/>
      <trackRevisions>false</trackRevisions>
    </reviewItem>
    <reviewItem>
      <errorID>fd62c956-6b8f-486c-87b2-c173a34dad06</errorID>
      <errorWord>和持续发展</errorWord>
      <group>L1_Word</group>
      <groupName>字词问题</groupName>
      <ability>L2_Typo</ability>
      <abilityName>字词错误</abilityName>
      <candidateList>
        <item>和可持续发展</item>
      </candidateList>
      <explain/>
      <paraID>174BC531</paraID>
      <start>42</start>
      <end>47</end>
      <status>unmodified</status>
      <modifiedWord/>
      <trackRevisions>false</trackRevisions>
    </reviewItem>
    <reviewItem>
      <errorID>0dc4099b-30c2-4a8c-b769-5bec168afb6a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73A9013C</paraID>
      <start>0</start>
      <end>2</end>
      <status>unmodified</status>
      <modifiedWord/>
      <trackRevisions>false</trackRevisions>
    </reviewItem>
    <reviewItem>
      <errorID>bc9f8800-6905-4604-9033-f6b532dc6ec0</errorID>
      <errorWord>书面形式做出</errorWord>
      <group>L1_Word</group>
      <groupName>字词问题</groupName>
      <ability>L2_Typo</ability>
      <abilityName>字词错误</abilityName>
      <candidateList>
        <item>书面形式作出</item>
      </candidateList>
      <explain/>
      <paraID>2A62D392</paraID>
      <start>64</start>
      <end>70</end>
      <status>unmodified</status>
      <modifiedWord/>
      <trackRevisions>false</trackRevisions>
    </reviewItem>
    <reviewItem>
      <errorID>c993edf4-a63a-4168-aff3-a030b2b4d569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38839EA7</paraID>
      <start>0</start>
      <end>3</end>
      <status>unmodified</status>
      <modifiedWord/>
      <trackRevisions>false</trackRevisions>
    </reviewItem>
    <reviewItem>
      <errorID>85b8d2c4-cf90-436f-91aa-1cfad00c49f4</errorID>
      <errorWord>其它</errorWord>
      <group>L1_Word</group>
      <groupName>字词问题</groupName>
      <ability>L2_Alias</ability>
      <abilityName>也作/曾用词</abilityName>
      <candidateList>
        <item>其他</item>
      </candidateList>
      <explain>词汇[其它]为不规范表述或旧称，其规范书面表述为[其他]。</explain>
      <paraID>2D7DD94C</paraID>
      <start>3</start>
      <end>5</end>
      <status>unmodified</status>
      <modifiedWord/>
      <trackRevisions>false</trackRevisions>
    </reviewItem>
    <reviewItem>
      <errorID>91e79002-a465-4989-98b4-f21706905580</errorID>
      <errorWord>其它</errorWord>
      <group>L1_Word</group>
      <groupName>字词问题</groupName>
      <ability>L2_Alias</ability>
      <abilityName>也作/曾用词</abilityName>
      <candidateList>
        <item>其他</item>
      </candidateList>
      <explain>词汇[其它]为不规范表述或旧称，其规范书面表述为[其他]。</explain>
      <paraID>2D7DD94C</paraID>
      <start>27</start>
      <end>29</end>
      <status>unmodified</status>
      <modifiedWord/>
      <trackRevisions>false</trackRevisions>
    </reviewItem>
    <reviewItem>
      <errorID>e38ddf12-aa6b-40c0-b91f-81ce8c18c305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45BC1A96</paraID>
      <start>0</start>
      <end>3</end>
      <status>unmodified</status>
      <modifiedWord/>
      <trackRevisions>false</trackRevisions>
    </reviewItem>
    <reviewItem>
      <errorID>cf04d873-1773-47bf-b78e-6f34fa1e986c</errorID>
      <errorWord>、或</errorWord>
      <group>L1_Word</group>
      <groupName>字词问题</groupName>
      <ability>L2_Typo</ability>
      <abilityName>字词错误</abilityName>
      <candidateList>
        <item>或</item>
      </candidateList>
      <explain/>
      <paraID>  CA372A</paraID>
      <start>62</start>
      <end>64</end>
      <status>unmodified</status>
      <modifiedWord/>
      <trackRevisions>false</trackRevisions>
    </reviewItem>
    <reviewItem>
      <errorID>a4cfcbd0-2880-4dad-be01-6090a56b5b5c</errorID>
      <errorWord>要</errorWord>
      <group>L1_Word</group>
      <groupName>字词问题</groupName>
      <ability>L2_Typo</ability>
      <abilityName>字词错误</abilityName>
      <candidateList>
        <item>要的</item>
      </candidateList>
      <explain/>
      <paraID>6F3E61EB</paraID>
      <start>81</start>
      <end>82</end>
      <status>unmodified</status>
      <modifiedWord/>
      <trackRevisions>false</trackRevisions>
    </reviewItem>
    <reviewItem>
      <errorID>03a3c8f0-5227-45dd-9fd3-86bb8a7e72ac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319AA148</paraID>
      <start>0</start>
      <end>2</end>
      <status>unmodified</status>
      <modifiedWord/>
      <trackRevisions>false</trackRevisions>
    </reviewItem>
    <reviewItem>
      <errorID>7a9a177c-db82-4c6a-902d-0f26d629d0fe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C3B4AE1</paraID>
      <start>0</start>
      <end>2</end>
      <status>unmodified</status>
      <modifiedWord/>
      <trackRevisions>false</trackRevisions>
    </reviewItem>
    <reviewItem>
      <errorID>7b6e9f50-9d67-4169-87ce-efc4616df43c</errorID>
      <errorWord>，</errorWord>
      <group>L1_Word</group>
      <groupName>字词问题</groupName>
      <ability>L2_Typo</ability>
      <abilityName>字词错误</abilityName>
      <candidateList>
        <item>，并</item>
      </candidateList>
      <explain/>
      <paraID> C3B4AE1</paraID>
      <start>45</start>
      <end>46</end>
      <status>unmodified</status>
      <modifiedWord/>
      <trackRevisions>false</trackRevisions>
    </reviewItem>
    <reviewItem>
      <errorID>a3f25dd6-f91b-4d06-9295-533e4c34c67a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53F0A5F3</paraID>
      <start>0</start>
      <end>2</end>
      <status>unmodified</status>
      <modifiedWord/>
      <trackRevisions>false</trackRevisions>
    </reviewItem>
    <reviewItem>
      <errorID>93a7aa79-1638-40e2-b369-dbdf690ce722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4E8C71E</paraID>
      <start>0</start>
      <end>2</end>
      <status>unmodified</status>
      <modifiedWord/>
      <trackRevisions>false</trackRevisions>
    </reviewItem>
    <reviewItem>
      <errorID>c71e71aa-b1ef-4561-a368-44991dcd8ec9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7A82AB3B</paraID>
      <start>0</start>
      <end>2</end>
      <status>unmodified</status>
      <modifiedWord/>
      <trackRevisions>false</trackRevisions>
    </reviewItem>
    <reviewItem>
      <errorID>844ca2ab-66db-47d3-8393-4d8905e669f6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536B30F0</paraID>
      <start>0</start>
      <end>2</end>
      <status>unmodified</status>
      <modifiedWord/>
      <trackRevisions>false</trackRevisions>
    </reviewItem>
    <reviewItem>
      <errorID>5527a0d4-a943-4faa-85d1-8280ea108764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3CA2C188</paraID>
      <start>0</start>
      <end>2</end>
      <status>unmodified</status>
      <modifiedWord/>
      <trackRevisions>false</trackRevisions>
    </reviewItem>
    <reviewItem>
      <errorID>5de2cd3e-c5b1-4592-b3bf-451a323e722a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63D6C910</paraID>
      <start>0</start>
      <end>2</end>
      <status>unmodified</status>
      <modifiedWord/>
      <trackRevisions>false</trackRevisions>
    </reviewItem>
    <reviewItem>
      <errorID>61b2d507-63f6-4cea-937d-e32a349452f1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64B13527</paraID>
      <start>0</start>
      <end>2</end>
      <status>unmodified</status>
      <modifiedWord/>
      <trackRevisions>false</trackRevisions>
    </reviewItem>
    <reviewItem>
      <errorID>fcad54bd-0d4b-466a-9c39-7a76c9815e8d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3A7B09D8</paraID>
      <start>82</start>
      <end>85</end>
      <status>unmodified</status>
      <modifiedWord/>
      <trackRevisions>false</trackRevisions>
    </reviewItem>
    <reviewItem>
      <errorID>826eebbc-60f2-405d-9abe-6dbf46c42931</errorID>
      <errorWord>：。</errorWord>
      <group>L1_Punc</group>
      <groupName>标点问题</groupName>
      <ability>L2_Punc_CN</ability>
      <abilityName>标点符号问题</abilityName>
      <candidateList>
        <item>：</item>
      </candidateList>
      <explain/>
      <paraID>7E1679C9</paraID>
      <start>16</start>
      <end>18</end>
      <status>unmodified</status>
      <modifiedWord/>
      <trackRevisions>false</trackRevisions>
    </reviewItem>
    <reviewItem>
      <errorID>eca84dbd-b244-4667-b8b7-8736f4d6dd9b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662FC374</paraID>
      <start>0</start>
      <end>2</end>
      <status>unmodified</status>
      <modifiedWord/>
      <trackRevisions>false</trackRevisions>
    </reviewItem>
    <reviewItem>
      <errorID>1b0ea7c3-8cfb-457f-8f6e-397c6c8eea8d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3DFBC608</paraID>
      <start>0</start>
      <end>2</end>
      <status>unmodified</status>
      <modifiedWord/>
      <trackRevisions>false</trackRevisions>
    </reviewItem>
    <reviewItem>
      <errorID>18ac3e8e-883b-4acd-a778-eb5260df301a</errorID>
      <errorWord>、</errorWord>
      <group>L1_Punc</group>
      <groupName>标点问题</groupName>
      <ability>L2_Punc_CN</ability>
      <abilityName>标点符号问题</abilityName>
      <candidateList>
        <item>.</item>
      </candidateList>
      <explain/>
      <paraID>233C50A3</paraID>
      <start>1</start>
      <end>2</end>
      <status>unmodified</status>
      <modifiedWord/>
      <trackRevisions>false</trackRevisions>
    </reviewItem>
    <reviewItem>
      <errorID>cd1e2a89-03e4-4a25-8226-ef3f34f3b185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30D471EB</paraID>
      <start>0</start>
      <end>2</end>
      <status>unmodified</status>
      <modifiedWord/>
      <trackRevisions>false</trackRevisions>
    </reviewItem>
    <reviewItem>
      <errorID>9a7064d0-ae00-48ee-8e32-d5b2598f1469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4FE8D64E</paraID>
      <start>0</start>
      <end>2</end>
      <status>unmodified</status>
      <modifiedWord/>
      <trackRevisions>false</trackRevisions>
    </reviewItem>
    <reviewItem>
      <errorID>95309fcd-5ca0-46d6-92eb-051fa313f898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2CEB4492</paraID>
      <start>0</start>
      <end>2</end>
      <status>unmodified</status>
      <modifiedWord/>
      <trackRevisions>false</trackRevisions>
    </reviewItem>
    <reviewItem>
      <errorID>2ecdb716-91b5-42c1-a9b3-76ba66695092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5FAC54DE</paraID>
      <start>0</start>
      <end>2</end>
      <status>unmodified</status>
      <modifiedWord/>
      <trackRevisions>false</trackRevisions>
    </reviewItem>
    <reviewItem>
      <errorID>8f5e33c4-0566-434b-9a02-f5664033fddd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7CF37554</paraID>
      <start>0</start>
      <end>2</end>
      <status>unmodified</status>
      <modifiedWord/>
      <trackRevisions>false</trackRevisions>
    </reviewItem>
    <reviewItem>
      <errorID>bf6b696d-2008-42ef-aaa0-d58a533936cd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6BDD2863</paraID>
      <start>0</start>
      <end>2</end>
      <status>unmodified</status>
      <modifiedWord/>
      <trackRevisions>false</trackRevisions>
    </reviewItem>
    <reviewItem>
      <errorID>04348969-b982-46c4-bac9-25e35c9a5f89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78A8EC3E</paraID>
      <start>0</start>
      <end>2</end>
      <status>unmodified</status>
      <modifiedWord/>
      <trackRevisions>false</trackRevisions>
    </reviewItem>
    <reviewItem>
      <errorID>fd8af284-51f1-4126-8651-9ff53db7b557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8FE0B7C</paraID>
      <start>0</start>
      <end>2</end>
      <status>unmodified</status>
      <modifiedWord/>
      <trackRevisions>false</trackRevisions>
    </reviewItem>
    <reviewItem>
      <errorID>08f67f29-ddf6-4678-b816-234b9e196f7b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D854FBE</paraID>
      <start>0</start>
      <end>2</end>
      <status>unmodified</status>
      <modifiedWord/>
      <trackRevisions>false</trackRevisions>
    </reviewItem>
    <reviewItem>
      <errorID>66f013c8-e5fc-4595-92b7-fbbb1ab488b3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28AB6E3D</paraID>
      <start>0</start>
      <end>2</end>
      <status>unmodified</status>
      <modifiedWord/>
      <trackRevisions>false</trackRevisions>
    </reviewItem>
    <reviewItem>
      <errorID>00cb7be2-f8e0-4c34-b5b2-e916e7552260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77E280C</paraID>
      <start>0</start>
      <end>2</end>
      <status>unmodified</status>
      <modifiedWord/>
      <trackRevisions>false</trackRevisions>
    </reviewItem>
    <reviewItem>
      <errorID>756a1916-6024-4c35-8309-204d0048442b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7D690E1A</paraID>
      <start>0</start>
      <end>2</end>
      <status>unmodified</status>
      <modifiedWord/>
      <trackRevisions>false</trackRevisions>
    </reviewItem>
    <reviewItem>
      <errorID>1b10fde7-34af-46e3-8afb-e471f9d8547e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486F5821</paraID>
      <start>0</start>
      <end>2</end>
      <status>unmodified</status>
      <modifiedWord/>
      <trackRevisions>false</trackRevisions>
    </reviewItem>
    <reviewItem>
      <errorID>d783dff3-1f0b-4539-9265-9a15c314c2c2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3419195D</paraID>
      <start>0</start>
      <end>2</end>
      <status>unmodified</status>
      <modifiedWord/>
      <trackRevisions>false</trackRevisions>
    </reviewItem>
    <reviewItem>
      <errorID>b584108a-1030-496b-a19f-741678096bfb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50C7A343</paraID>
      <start>0</start>
      <end>2</end>
      <status>unmodified</status>
      <modifiedWord/>
      <trackRevisions>false</trackRevisions>
    </reviewItem>
    <reviewItem>
      <errorID>a1df3359-e6eb-4cbf-99d8-a8987854614e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30D698B</paraID>
      <start>0</start>
      <end>2</end>
      <status>unmodified</status>
      <modifiedWord/>
      <trackRevisions>false</trackRevisions>
    </reviewItem>
    <reviewItem>
      <errorID>da50a4ca-ddec-4d68-9a5b-aafaceaee126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4775E924</paraID>
      <start>0</start>
      <end>2</end>
      <status>unmodified</status>
      <modifiedWord/>
      <trackRevisions>false</trackRevisions>
    </reviewItem>
    <reviewItem>
      <errorID>8a3fc2a1-dddb-42b5-86ea-f9a4a6c66238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3D7DAA07</paraID>
      <start>0</start>
      <end>2</end>
      <status>unmodified</status>
      <modifiedWord/>
      <trackRevisions>false</trackRevisions>
    </reviewItem>
    <reviewItem>
      <errorID>efa8c72a-2591-4eb0-8744-1d49b46da256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23DAE412</paraID>
      <start>0</start>
      <end>2</end>
      <status>unmodified</status>
      <modifiedWord/>
      <trackRevisions>false</trackRevisions>
    </reviewItem>
    <reviewItem>
      <errorID>662b8d32-8ab8-4ca7-a9d2-b70352d5b576</errorID>
      <errorWord>书面形式做出</errorWord>
      <group>L1_Word</group>
      <groupName>字词问题</groupName>
      <ability>L2_Typo</ability>
      <abilityName>字词错误</abilityName>
      <candidateList>
        <item>书面形式作出</item>
      </candidateList>
      <explain/>
      <paraID>3708D29C</paraID>
      <start>12</start>
      <end>18</end>
      <status>unmodified</status>
      <modifiedWord/>
      <trackRevisions>false</trackRevisions>
    </reviewItem>
    <reviewItem>
      <errorID>48b1888f-5690-41d0-ad2f-3f93c1c6408e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43F9488F</paraID>
      <start>0</start>
      <end>2</end>
      <status>unmodified</status>
      <modifiedWord/>
      <trackRevisions>false</trackRevisions>
    </reviewItem>
    <reviewItem>
      <errorID>fef10ede-f8e6-4791-891e-2df307b13509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1E8CC2F1</paraID>
      <start>0</start>
      <end>2</end>
      <status>unmodified</status>
      <modifiedWord/>
      <trackRevisions>false</trackRevisions>
    </reviewItem>
    <reviewItem>
      <errorID>e047d74c-0d7f-4870-bdef-87adbc3d7049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3CB60944</paraID>
      <start>0</start>
      <end>2</end>
      <status>unmodified</status>
      <modifiedWord/>
      <trackRevisions>false</trackRevisions>
    </reviewItem>
    <reviewItem>
      <errorID>d90d6981-4ccc-4fd8-adbb-60d2525bea1d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15A08B65</paraID>
      <start>0</start>
      <end>2</end>
      <status>unmodified</status>
      <modifiedWord/>
      <trackRevisions>false</trackRevisions>
    </reviewItem>
    <reviewItem>
      <errorID>144ee81f-9232-46d7-8e88-496265fde71e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4B10716A</paraID>
      <start>0</start>
      <end>2</end>
      <status>unmodified</status>
      <modifiedWord/>
      <trackRevisions>false</trackRevisions>
    </reviewItem>
    <reviewItem>
      <errorID>ef8c67de-30d5-41e0-a234-eda436b83181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50DBD389</paraID>
      <start>0</start>
      <end>2</end>
      <status>unmodified</status>
      <modifiedWord/>
      <trackRevisions>false</trackRevisions>
    </reviewItem>
    <reviewItem>
      <errorID>e3d19055-7ca6-413a-95ac-6e8c61b8be22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1C4F1B6B</paraID>
      <start>0</start>
      <end>2</end>
      <status>unmodified</status>
      <modifiedWord/>
      <trackRevisions>false</trackRevisions>
    </reviewItem>
    <reviewItem>
      <errorID>eaf5aa17-65f9-4ec7-85a9-5c5fa1ea06ba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21DB99E3</paraID>
      <start>0</start>
      <end>2</end>
      <status>unmodified</status>
      <modifiedWord/>
      <trackRevisions>false</trackRevisions>
    </reviewItem>
    <reviewItem>
      <errorID>f4ba9b7f-cc86-4642-866d-2373a6b59ed0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A344C50</paraID>
      <start>0</start>
      <end>2</end>
      <status>unmodified</status>
      <modifiedWord/>
      <trackRevisions>false</trackRevisions>
    </reviewItem>
    <reviewItem>
      <errorID>9d3d4e24-0e40-46f4-b616-8dfa2a64b189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37C738A6</paraID>
      <start>0</start>
      <end>2</end>
      <status>unmodified</status>
      <modifiedWord/>
      <trackRevisions>false</trackRevisions>
    </reviewItem>
    <reviewItem>
      <errorID>f54d081c-9143-4d87-8495-04e8b18b7788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2E66BA97</paraID>
      <start>0</start>
      <end>2</end>
      <status>unmodified</status>
      <modifiedWord/>
      <trackRevisions>false</trackRevisions>
    </reviewItem>
    <reviewItem>
      <errorID>f1593a15-a593-4244-bedc-13e8c7d2280a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1C29476F</paraID>
      <start>0</start>
      <end>2</end>
      <status>unmodified</status>
      <modifiedWord/>
      <trackRevisions>false</trackRevisions>
    </reviewItem>
    <reviewItem>
      <errorID>8dcf12a4-0f42-47aa-baa9-b5599ba14ae9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44323A25</paraID>
      <start>0</start>
      <end>2</end>
      <status>unmodified</status>
      <modifiedWord/>
      <trackRevisions>false</trackRevisions>
    </reviewItem>
    <reviewItem>
      <errorID>31e31d9c-5533-438d-ac42-2c02b976f1cc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49C29D28</paraID>
      <start>0</start>
      <end>2</end>
      <status>unmodified</status>
      <modifiedWord/>
      <trackRevisions>false</trackRevisions>
    </reviewItem>
    <reviewItem>
      <errorID>4c5563ac-fa1e-45f7-a4c3-5a9ed8fe3645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66C01866</paraID>
      <start>0</start>
      <end>2</end>
      <status>unmodified</status>
      <modifiedWord/>
      <trackRevisions>false</trackRevisions>
    </reviewItem>
    <reviewItem>
      <errorID>96e57fd8-bd61-4007-8729-1c0c89adb36a</errorID>
      <errorWord>防止并不能避免</errorWord>
      <group>L1_Grammar</group>
      <groupName>语法问题</groupName>
      <ability>L2_Grammar</ability>
      <abilityName>语法错误</abilityName>
      <candidateList>
        <item>防止并不能</item>
      </candidateList>
      <explain>该表达中的“防止并不能避免”存在语义重复。</explain>
      <paraID>66C01866</paraID>
      <start>62</start>
      <end>69</end>
      <status>unmodified</status>
      <modifiedWord/>
      <trackRevisions>false</trackRevisions>
    </reviewItem>
    <reviewItem>
      <errorID>6b011db2-4cc1-4bee-ba11-ac192443ba5d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2CA00959</paraID>
      <start>0</start>
      <end>2</end>
      <status>unmodified</status>
      <modifiedWord/>
      <trackRevisions>false</trackRevisions>
    </reviewItem>
    <reviewItem>
      <errorID>10e4defe-5514-4a43-bb11-0b09d0d621a0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3138D711</paraID>
      <start>0</start>
      <end>2</end>
      <status>unmodified</status>
      <modifiedWord/>
      <trackRevisions>false</trackRevisions>
    </reviewItem>
    <reviewItem>
      <errorID>692a48e9-6ef3-4750-a36d-14d8055bd631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1D36CCD5</paraID>
      <start>0</start>
      <end>2</end>
      <status>unmodified</status>
      <modifiedWord/>
      <trackRevisions>false</trackRevisions>
    </reviewItem>
    <reviewItem>
      <errorID>855b8cec-bda6-4c8b-a52a-310e9cedcfb1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693D97BB</paraID>
      <start>0</start>
      <end>2</end>
      <status>unmodified</status>
      <modifiedWord/>
      <trackRevisions>false</trackRevisions>
    </reviewItem>
    <reviewItem>
      <errorID>0cab2f15-551e-4e6f-b709-74b04655473d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377F6469</paraID>
      <start>0</start>
      <end>2</end>
      <status>unmodified</status>
      <modifiedWord/>
      <trackRevisions>false</trackRevisions>
    </reviewItem>
    <reviewItem>
      <errorID>2fc47d93-d326-4842-ac42-8046322bca16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256A1171</paraID>
      <start>0</start>
      <end>2</end>
      <status>unmodified</status>
      <modifiedWord/>
      <trackRevisions>false</trackRevisions>
    </reviewItem>
    <reviewItem>
      <errorID>abc91672-66a8-478c-99b8-5c12ce5d2bb6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5CCA17FA</paraID>
      <start>0</start>
      <end>2</end>
      <status>unmodified</status>
      <modifiedWord/>
      <trackRevisions>false</trackRevisions>
    </reviewItem>
    <reviewItem>
      <errorID>ea6992ed-5ef8-41d5-8224-9443ae154e59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139A2090</paraID>
      <start>0</start>
      <end>2</end>
      <status>unmodified</status>
      <modifiedWord/>
      <trackRevisions>false</trackRevisions>
    </reviewItem>
    <reviewItem>
      <errorID>04345ac8-c231-4253-8410-0ede418a3f94</errorID>
      <errorWord>送达至</errorWord>
      <group>L1_Word</group>
      <groupName>字词问题</groupName>
      <ability>L2_Typo</ability>
      <abilityName>字词错误</abilityName>
      <candidateList>
        <item>送达</item>
      </candidateList>
      <explain/>
      <paraID>139A2090</paraID>
      <start>56</start>
      <end>59</end>
      <status>unmodified</status>
      <modifiedWord/>
      <trackRevisions>false</trackRevisions>
    </reviewItem>
    <reviewItem>
      <errorID>ba35c0ea-9e19-4914-b7e9-5a5fdae40f83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67E95CD6</paraID>
      <start>0</start>
      <end>2</end>
      <status>unmodified</status>
      <modifiedWord/>
      <trackRevisions>false</trackRevisions>
    </reviewItem>
    <reviewItem>
      <errorID>e5997ac0-4e94-4e83-ad68-facda85713af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3288D33F</paraID>
      <start>0</start>
      <end>2</end>
      <status>unmodified</status>
      <modifiedWord/>
      <trackRevisions>false</trackRevisions>
    </reviewItem>
    <reviewItem>
      <errorID>3f8da6d6-343d-491a-b0f1-9fcecd858aaa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450D9D50</paraID>
      <start>0</start>
      <end>2</end>
      <status>unmodified</status>
      <modifiedWord/>
      <trackRevisions>false</trackRevisions>
    </reviewItem>
    <reviewItem>
      <errorID>9e805a01-dc1e-4daa-8aee-c72703198a93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569B349C</paraID>
      <start>0</start>
      <end>2</end>
      <status>unmodified</status>
      <modifiedWord/>
      <trackRevisions>false</trackRevisions>
    </reviewItem>
    <reviewItem>
      <errorID>b50c650f-bc0a-4f81-b37c-d3d1007769cd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3C81690E</paraID>
      <start>0</start>
      <end>2</end>
      <status>unmodified</status>
      <modifiedWord/>
      <trackRevisions>false</trackRevisions>
    </reviewItem>
    <reviewItem>
      <errorID>e423294a-3d8d-4104-adcd-c2ae66e9ccbe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1D505B1C</paraID>
      <start>0</start>
      <end>2</end>
      <status>unmodified</status>
      <modifiedWord/>
      <trackRevisions>false</trackRevisions>
    </reviewItem>
    <reviewItem>
      <errorID>969b2849-06fd-4e62-963c-0f7b1cb132ce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154C7AF</paraID>
      <start>0</start>
      <end>2</end>
      <status>unmodified</status>
      <modifiedWord/>
      <trackRevisions>false</trackRevisions>
    </reviewItem>
    <reviewItem>
      <errorID>912bce5d-116b-4bd4-b144-6e7d073706c9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1C6B573F</paraID>
      <start>0</start>
      <end>2</end>
      <status>unmodified</status>
      <modifiedWord/>
      <trackRevisions>false</trackRevisions>
    </reviewItem>
    <reviewItem>
      <errorID>f9a81e7e-ebc8-4c92-a4d4-cfe55481dc15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2627485E</paraID>
      <start>0</start>
      <end>2</end>
      <status>unmodified</status>
      <modifiedWord/>
      <trackRevisions>false</trackRevisions>
    </reviewItem>
    <reviewItem>
      <errorID>294396f5-264d-4345-8074-71906a506f28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18D8B276</paraID>
      <start>0</start>
      <end>2</end>
      <status>unmodified</status>
      <modifiedWord/>
      <trackRevisions>false</trackRevisions>
    </reviewItem>
    <reviewItem>
      <errorID>8e55e0bf-4fb4-4da7-8191-7e7051ab2a68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2CFCE71</paraID>
      <start>0</start>
      <end>2</end>
      <status>unmodified</status>
      <modifiedWord/>
      <trackRevisions>false</trackRevisions>
    </reviewItem>
    <reviewItem>
      <errorID>16e96c9f-e810-4bd0-b1a3-7e95dec35758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4CE910C</paraID>
      <start>0</start>
      <end>2</end>
      <status>unmodified</status>
      <modifiedWord/>
      <trackRevisions>false</trackRevisions>
    </reviewItem>
    <reviewItem>
      <errorID>c2d30194-870d-40f3-b888-4557f0e6df74</errorID>
      <errorWord>二位</errorWord>
      <group>L1_Word</group>
      <groupName>字词问题</groupName>
      <ability>L2_Typo</ability>
      <abilityName>字词错误</abilityName>
      <candidateList>
        <item>两位</item>
      </candidateList>
      <explain/>
      <paraID> 4CE910C</paraID>
      <start>78</start>
      <end>80</end>
      <status>unmodified</status>
      <modifiedWord/>
      <trackRevisions>false</trackRevisions>
    </reviewItem>
    <reviewItem>
      <errorID>78d19c88-e3aa-4180-b6cd-1caf71aef792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46558515</paraID>
      <start>0</start>
      <end>2</end>
      <status>unmodified</status>
      <modifiedWord/>
      <trackRevisions>false</trackRevisions>
    </reviewItem>
    <reviewItem>
      <errorID>f89d6ce4-f4d9-4aec-b207-f5b346cf8d79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7E2D98F6</paraID>
      <start>0</start>
      <end>2</end>
      <status>unmodified</status>
      <modifiedWord/>
      <trackRevisions>false</trackRevisions>
    </reviewItem>
    <reviewItem>
      <errorID>e8613984-96b8-4c49-b15f-0f6120865985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7CA0B39D</paraID>
      <start>0</start>
      <end>2</end>
      <status>unmodified</status>
      <modifiedWord/>
      <trackRevisions>false</trackRevisions>
    </reviewItem>
    <reviewItem>
      <errorID>15be4121-0157-46a2-a119-aa63747c2a2c</errorID>
      <errorWord>&lt;</errorWord>
      <group>L1_Format</group>
      <groupName>格式问题</groupName>
      <ability>L2_HalfPunc_CN</ability>
      <abilityName>全半角问题</abilityName>
      <candidateList>
        <item>〈</item>
      </candidateList>
      <explain>文本全半角错误。</explain>
      <paraID>54DA7DE9</paraID>
      <start>51</start>
      <end>52</end>
      <status>unmodified</status>
      <modifiedWord/>
      <trackRevisions>false</trackRevisions>
    </reviewItem>
    <reviewItem>
      <errorID>6281dae6-4192-4c40-a2c4-897c8ac1cbef</errorID>
      <errorWord>&lt;</errorWord>
      <group>L1_Format</group>
      <groupName>格式问题</groupName>
      <ability>L2_HalfPunc_CN</ability>
      <abilityName>全半角问题</abilityName>
      <candidateList>
        <item>〈</item>
      </candidateList>
      <explain>文本全半角错误。</explain>
      <paraID>23545273</paraID>
      <start>51</start>
      <end>52</end>
      <status>unmodified</status>
      <modifiedWord/>
      <trackRevisions>false</trackRevisions>
    </reviewItem>
    <reviewItem>
      <errorID>94801d67-270d-4242-9e61-fa416daf1740</errorID>
      <errorWord>&lt;</errorWord>
      <group>L1_Format</group>
      <groupName>格式问题</groupName>
      <ability>L2_HalfPunc_CN</ability>
      <abilityName>全半角问题</abilityName>
      <candidateList>
        <item>〈</item>
      </candidateList>
      <explain>文本全半角错误。</explain>
      <paraID>181A9638</paraID>
      <start>36</start>
      <end>37</end>
      <status>unmodified</status>
      <modifiedWord/>
      <trackRevisions>false</trackRevisions>
    </reviewItem>
    <reviewItem>
      <errorID>3d7373b3-53ff-441e-bf9b-954791872852</errorID>
      <errorWord>，</errorWord>
      <group>L1_Word</group>
      <groupName>字词问题</groupName>
      <ability>L2_Typo</ability>
      <abilityName>字词错误</abilityName>
      <candidateList>
        <item>，并</item>
      </candidateList>
      <explain/>
      <paraID>3262AB77</paraID>
      <start>69</start>
      <end>70</end>
      <status>unmodified</status>
      <modifiedWord/>
      <trackRevisions>false</trackRevisions>
    </reviewItem>
    <reviewItem>
      <errorID>48bedc2c-638f-45c3-9058-3adeb9cdab20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48B700AD</paraID>
      <start>0</start>
      <end>2</end>
      <status>unmodified</status>
      <modifiedWord/>
      <trackRevisions>false</trackRevisions>
    </reviewItem>
    <reviewItem>
      <errorID>b1373d92-fd4c-4512-8e5f-8840206732b2</errorID>
      <errorWord>（</errorWord>
      <group>L1_Punc</group>
      <groupName>标点问题</groupName>
      <ability>L2_Punc_CN</ability>
      <abilityName>标点符号问题</abilityName>
      <candidateList/>
      <explain>同一形式括号套用。</explain>
      <paraID>5859A3C1</paraID>
      <start>77</start>
      <end>78</end>
      <status>unmodified</status>
      <modifiedWord/>
      <trackRevisions>false</trackRevisions>
    </reviewItem>
    <reviewItem>
      <errorID>c10485ac-8f9d-4854-8d0d-38cc09923ca2</errorID>
      <errorWord>）</errorWord>
      <group>L1_Punc</group>
      <groupName>标点问题</groupName>
      <ability>L2_Punc_CN</ability>
      <abilityName>标点符号问题</abilityName>
      <candidateList/>
      <explain>同一形式括号套用。</explain>
      <paraID>5859A3C1</paraID>
      <start>96</start>
      <end>97</end>
      <status>unmodified</status>
      <modifiedWord/>
      <trackRevisions>false</trackRevisions>
    </reviewItem>
    <reviewItem>
      <errorID>a8804088-1786-4b0b-88b7-713666a6dcb9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573118D8</paraID>
      <start>0</start>
      <end>2</end>
      <status>unmodified</status>
      <modifiedWord/>
      <trackRevisions>false</trackRevisions>
    </reviewItem>
    <reviewItem>
      <errorID>9ca676e7-4698-47e7-80f9-3149f6a179cb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16B04C42</paraID>
      <start>0</start>
      <end>2</end>
      <status>unmodified</status>
      <modifiedWord/>
      <trackRevisions>false</trackRevisions>
    </reviewItem>
    <reviewItem>
      <errorID>70685878-3729-41fe-b7fc-1c5c06a5e1ea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46A4C2F</paraID>
      <start>0</start>
      <end>2</end>
      <status>unmodified</status>
      <modifiedWord/>
      <trackRevisions>false</trackRevisions>
    </reviewItem>
    <reviewItem>
      <errorID>92d16b5e-beab-4b37-bde0-a59b10cd2430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7CF95022</paraID>
      <start>0</start>
      <end>2</end>
      <status>unmodified</status>
      <modifiedWord/>
      <trackRevisions>false</trackRevisions>
    </reviewItem>
    <reviewItem>
      <errorID>1a942a30-9e7b-46cc-a911-56d0989d0978</errorID>
      <errorWord>，</errorWord>
      <group>L1_Word</group>
      <groupName>字词问题</groupName>
      <ability>L2_Typo</ability>
      <abilityName>字词错误</abilityName>
      <candidateList>
        <item>，包</item>
      </candidateList>
      <explain/>
      <paraID>7CF95022</paraID>
      <start>20</start>
      <end>21</end>
      <status>unmodified</status>
      <modifiedWord/>
      <trackRevisions>false</trackRevisions>
    </reviewItem>
    <reviewItem>
      <errorID>12371710-60f9-43e9-939a-95395036471b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38416E0</paraID>
      <start>0</start>
      <end>2</end>
      <status>unmodified</status>
      <modifiedWord/>
      <trackRevisions>false</trackRevisions>
    </reviewItem>
    <reviewItem>
      <errorID>24194573-0e65-4d34-8e38-22f64f5d0467</errorID>
      <errorWord>需具备</errorWord>
      <group>L1_Word</group>
      <groupName>字词问题</groupName>
      <ability>L2_Typo</ability>
      <abilityName>字词错误</abilityName>
      <candidateList>
        <item>须具备</item>
      </candidateList>
      <explain/>
      <paraID> 38416E0</paraID>
      <start>8</start>
      <end>11</end>
      <status>unmodified</status>
      <modifiedWord/>
      <trackRevisions>false</trackRevisions>
    </reviewItem>
    <reviewItem>
      <errorID>bc38de3d-8bc2-46db-91bf-67ee58321e5a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47ADF202</paraID>
      <start>0</start>
      <end>2</end>
      <status>unmodified</status>
      <modifiedWord/>
      <trackRevisions>false</trackRevisions>
    </reviewItem>
    <reviewItem>
      <errorID>ea30b830-1908-4938-ae8d-a91f220a5794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20677090</paraID>
      <start>0</start>
      <end>2</end>
      <status>unmodified</status>
      <modifiedWord/>
      <trackRevisions>false</trackRevisions>
    </reviewItem>
    <reviewItem>
      <errorID>87f00f55-2595-4c69-a435-dcfbf6825914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3B56117D</paraID>
      <start>0</start>
      <end>2</end>
      <status>unmodified</status>
      <modifiedWord/>
      <trackRevisions>false</trackRevisions>
    </reviewItem>
    <reviewItem>
      <errorID>ed2aeec5-492f-44d3-a6df-f075fe40dae1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472E5818</paraID>
      <start>0</start>
      <end>2</end>
      <status>unmodified</status>
      <modifiedWord/>
      <trackRevisions>false</trackRevisions>
    </reviewItem>
    <reviewItem>
      <errorID>ee6bae9a-590a-4d07-b0f3-9d01bb29dbe2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57F67040</paraID>
      <start>0</start>
      <end>2</end>
      <status>unmodified</status>
      <modifiedWord/>
      <trackRevisions>false</trackRevisions>
    </reviewItem>
    <reviewItem>
      <errorID>e8441d8c-62cd-4269-99d1-8c9b928730d6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1249B485</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Version="6" StyleName="APA" SelectedStyle="\APASixthEditionOfficeOnline.xsl"/>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49D5AE7F-2933-4871-8E1C-160973F7FE15}"/>
</file>

<file path=customXml/itemProps2.xml><?xml version="1.0" encoding="utf-8"?>
<ds:datastoreItem xmlns:ds="http://schemas.openxmlformats.org/officeDocument/2006/customXml" ds:itemID="{94AEEF2D-BBAA-4F1F-878F-AD702E727E8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陆宇</cp:lastModifiedBy>
  <cp:revision>8</cp:revision>
  <dcterms:created xsi:type="dcterms:W3CDTF">2026-05-18T16:30:00Z</dcterms:created>
  <dcterms:modified xsi:type="dcterms:W3CDTF">2026-09-30T06:37:33Z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7550CEF5D57D4E1A9CB5A06A1759BFB4_43</vt:lpwstr>
  </property>
  <property fmtid="{D5CDD505-2E9C-101B-9397-08002B2CF9AE}" pid="4" name="_readonly">
    <vt:lpwstr/>
  </property>
  <property fmtid="{D5CDD505-2E9C-101B-9397-08002B2CF9AE}" pid="5" name="_change">
    <vt:lpwstr/>
  </property>
  <property fmtid="{D5CDD505-2E9C-101B-9397-08002B2CF9AE}" pid="6" name="_full-control">
    <vt:lpwstr/>
  </property>
  <property fmtid="{D5CDD505-2E9C-101B-9397-08002B2CF9AE}" pid="7" name="sflag">
    <vt:lpwstr>1730686019</vt:lpwstr>
  </property>
  <property fmtid="{D5CDD505-2E9C-101B-9397-08002B2CF9AE}" pid="8" name="KSOTemplateDocerSaveRecord">
    <vt:lpwstr>eyJoZGlkIjoiZmNhYzAxNGYzMDUwY2JlOTYzOGM0MzM4ZmNiOTZjODUiLCJ1c2VySWQiOiIxMjE3NzU0MzE5In0=</vt:lpwstr>
  </property>
</Properties>
</file>